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1DEED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22128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EED6D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4C168281" wp14:editId="16996F3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1BF725AC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36CFE5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37672F8B" w14:textId="314BD686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6C5402">
        <w:rPr>
          <w:rFonts w:ascii="Times New Roman" w:hAnsi="Times New Roman" w:cs="Times New Roman"/>
          <w:sz w:val="24"/>
          <w:szCs w:val="24"/>
        </w:rPr>
        <w:t xml:space="preserve"> 14.</w:t>
      </w:r>
      <w:r w:rsidR="00263C1A">
        <w:rPr>
          <w:rFonts w:ascii="Times New Roman" w:hAnsi="Times New Roman" w:cs="Times New Roman"/>
          <w:sz w:val="24"/>
          <w:szCs w:val="24"/>
        </w:rPr>
        <w:t xml:space="preserve">  </w:t>
      </w:r>
      <w:r w:rsidR="00A156FC">
        <w:rPr>
          <w:rFonts w:ascii="Times New Roman" w:hAnsi="Times New Roman" w:cs="Times New Roman"/>
          <w:sz w:val="24"/>
          <w:szCs w:val="24"/>
        </w:rPr>
        <w:t>listopad</w:t>
      </w:r>
      <w:r w:rsidR="006C5402">
        <w:rPr>
          <w:rFonts w:ascii="Times New Roman" w:hAnsi="Times New Roman" w:cs="Times New Roman"/>
          <w:sz w:val="24"/>
          <w:szCs w:val="24"/>
        </w:rPr>
        <w:t>a</w:t>
      </w:r>
      <w:r w:rsidR="00015777">
        <w:rPr>
          <w:rFonts w:ascii="Times New Roman" w:hAnsi="Times New Roman" w:cs="Times New Roman"/>
          <w:sz w:val="24"/>
          <w:szCs w:val="24"/>
        </w:rPr>
        <w:t xml:space="preserve"> </w:t>
      </w:r>
      <w:r w:rsidR="00263C1A">
        <w:rPr>
          <w:rFonts w:ascii="Times New Roman" w:hAnsi="Times New Roman" w:cs="Times New Roman"/>
          <w:sz w:val="24"/>
          <w:szCs w:val="24"/>
        </w:rPr>
        <w:t xml:space="preserve">2021. </w:t>
      </w:r>
    </w:p>
    <w:p w14:paraId="0C97C7C8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5D806CB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16CB19A5" w14:textId="77777777" w:rsidTr="00040CBF">
        <w:tc>
          <w:tcPr>
            <w:tcW w:w="1942" w:type="dxa"/>
          </w:tcPr>
          <w:p w14:paraId="3B8969FF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1B423B8" w14:textId="77777777" w:rsidR="00560748" w:rsidRPr="00E14F24" w:rsidRDefault="00560748" w:rsidP="005C2F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</w:t>
            </w:r>
            <w:r w:rsidR="005C2F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 w:rsidR="005C2F54">
              <w:rPr>
                <w:sz w:val="24"/>
                <w:szCs w:val="24"/>
              </w:rPr>
              <w:t>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34B71E20" w14:textId="77777777" w:rsidTr="00040CBF">
        <w:tc>
          <w:tcPr>
            <w:tcW w:w="1937" w:type="dxa"/>
          </w:tcPr>
          <w:p w14:paraId="08A39394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066156EE" w14:textId="77777777" w:rsidR="005479CB" w:rsidRPr="005479CB" w:rsidRDefault="005479CB" w:rsidP="005479CB">
            <w:pPr>
              <w:jc w:val="both"/>
              <w:rPr>
                <w:sz w:val="24"/>
                <w:szCs w:val="24"/>
              </w:rPr>
            </w:pPr>
            <w:r w:rsidRPr="005479CB">
              <w:rPr>
                <w:sz w:val="24"/>
                <w:szCs w:val="24"/>
              </w:rPr>
              <w:t xml:space="preserve">Godišnje izvješće o radu </w:t>
            </w:r>
            <w:r w:rsidR="00263C1A">
              <w:rPr>
                <w:sz w:val="24"/>
                <w:szCs w:val="24"/>
              </w:rPr>
              <w:t>Hrvatske energet</w:t>
            </w:r>
            <w:r w:rsidR="004F5EB3">
              <w:rPr>
                <w:sz w:val="24"/>
                <w:szCs w:val="24"/>
              </w:rPr>
              <w:t>ske regulatorne agencije za 2020</w:t>
            </w:r>
            <w:r w:rsidR="00263C1A">
              <w:rPr>
                <w:sz w:val="24"/>
                <w:szCs w:val="24"/>
              </w:rPr>
              <w:t>. godinu i Izvješće o ostvarenju proračuna Hrvatske energet</w:t>
            </w:r>
            <w:r w:rsidR="004F5EB3">
              <w:rPr>
                <w:sz w:val="24"/>
                <w:szCs w:val="24"/>
              </w:rPr>
              <w:t>ske regulatorne agencije za 2020</w:t>
            </w:r>
            <w:r w:rsidR="00263C1A">
              <w:rPr>
                <w:sz w:val="24"/>
                <w:szCs w:val="24"/>
              </w:rPr>
              <w:t>. godinu</w:t>
            </w:r>
            <w:r w:rsidR="009B3C5D">
              <w:rPr>
                <w:sz w:val="24"/>
                <w:szCs w:val="24"/>
              </w:rPr>
              <w:t xml:space="preserve"> - mišljenje Vlade</w:t>
            </w:r>
          </w:p>
          <w:p w14:paraId="5F50AAD9" w14:textId="77777777" w:rsidR="00560748" w:rsidRPr="00E14F24" w:rsidRDefault="00560748" w:rsidP="00CB44D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00B7C8D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3B61FA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CE89823" w14:textId="77777777" w:rsidR="00147299" w:rsidRPr="00C13440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02217473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587D0B76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502D83BD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D23BA48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5EAE4714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EE9ABE5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5746408" w14:textId="353EECC3" w:rsidR="00147299" w:rsidRPr="00147299" w:rsidRDefault="00147299" w:rsidP="00147299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PREDSJEDNIKU HRVATSKOG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 xml:space="preserve"> SABORA</w:t>
      </w:r>
    </w:p>
    <w:p w14:paraId="1D2E59B4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341D38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851A41D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F11E446" w14:textId="77777777" w:rsidR="00263C1A" w:rsidRPr="00263C1A" w:rsidRDefault="007667E2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  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EB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Godišnje izvješće o radu Hrvatske energetske regul</w:t>
      </w:r>
      <w:r w:rsidR="004F5EB3">
        <w:rPr>
          <w:rFonts w:ascii="Times New Roman" w:eastAsia="Calibri" w:hAnsi="Times New Roman" w:cs="Times New Roman"/>
          <w:sz w:val="24"/>
          <w:szCs w:val="24"/>
        </w:rPr>
        <w:t xml:space="preserve">atorne agencije za 2020. godinu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i Izvješće o ostvarenju proračuna Hrvatske energet</w:t>
      </w:r>
      <w:r w:rsidR="004F5EB3">
        <w:rPr>
          <w:rFonts w:ascii="Times New Roman" w:eastAsia="Calibri" w:hAnsi="Times New Roman" w:cs="Times New Roman"/>
          <w:sz w:val="24"/>
          <w:szCs w:val="24"/>
        </w:rPr>
        <w:t>ske regulatorne agencije za 2020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. godinu</w:t>
      </w:r>
      <w:r w:rsidR="009B3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C5D" w:rsidRPr="00147299">
        <w:rPr>
          <w:rFonts w:ascii="Times New Roman" w:eastAsia="Calibri" w:hAnsi="Times New Roman" w:cs="Times New Roman"/>
          <w:sz w:val="24"/>
          <w:szCs w:val="24"/>
        </w:rPr>
        <w:t>– mišljenje Vlade</w:t>
      </w:r>
    </w:p>
    <w:p w14:paraId="0C6F0EF3" w14:textId="77777777" w:rsidR="00147299" w:rsidRPr="00147299" w:rsidRDefault="00263C1A" w:rsidP="00263C1A">
      <w:pPr>
        <w:suppressAutoHyphens/>
        <w:autoSpaceDN w:val="0"/>
        <w:spacing w:after="0" w:line="240" w:lineRule="auto"/>
        <w:ind w:left="1350" w:hanging="13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667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9D38A0" w14:textId="77777777" w:rsidR="00147299" w:rsidRPr="00147299" w:rsidRDefault="00147299" w:rsidP="00147299">
      <w:pPr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9921C60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Veza: </w:t>
      </w:r>
      <w:r w:rsidRPr="00147299">
        <w:rPr>
          <w:rFonts w:ascii="Times New Roman" w:eastAsia="Calibri" w:hAnsi="Times New Roman" w:cs="Times New Roman"/>
          <w:sz w:val="24"/>
          <w:szCs w:val="24"/>
        </w:rPr>
        <w:tab/>
        <w:t xml:space="preserve">Pismo Hrvatskog sabora, klase: </w:t>
      </w:r>
      <w:r w:rsidR="004F5EB3">
        <w:rPr>
          <w:rFonts w:ascii="Times New Roman" w:eastAsia="Calibri" w:hAnsi="Times New Roman" w:cs="Times New Roman"/>
          <w:sz w:val="24"/>
          <w:szCs w:val="24"/>
        </w:rPr>
        <w:t>021-12/21-09/57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7299">
        <w:rPr>
          <w:rFonts w:ascii="Times New Roman" w:eastAsia="Calibri" w:hAnsi="Times New Roman" w:cs="Times New Roman"/>
          <w:sz w:val="24"/>
          <w:szCs w:val="24"/>
        </w:rPr>
        <w:t>urbroja</w:t>
      </w:r>
      <w:proofErr w:type="spellEnd"/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F5EB3">
        <w:rPr>
          <w:rFonts w:ascii="Times New Roman" w:eastAsia="Calibri" w:hAnsi="Times New Roman" w:cs="Times New Roman"/>
          <w:sz w:val="24"/>
          <w:szCs w:val="24"/>
        </w:rPr>
        <w:t>65-21-03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4F5EB3">
        <w:rPr>
          <w:rFonts w:ascii="Times New Roman" w:eastAsia="Calibri" w:hAnsi="Times New Roman" w:cs="Times New Roman"/>
          <w:sz w:val="24"/>
          <w:szCs w:val="24"/>
        </w:rPr>
        <w:t>30. lipnja 2021.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578F4D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2163B3" w14:textId="77777777" w:rsidR="00147299" w:rsidRPr="00147299" w:rsidRDefault="00147299" w:rsidP="00147299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AFAA512" w14:textId="0CB2B8FE" w:rsidR="00147299" w:rsidRPr="00147299" w:rsidRDefault="00147299" w:rsidP="00081CD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Na temelju članka 122. stavka 2.</w:t>
      </w:r>
      <w:r w:rsidR="00142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249B">
        <w:rPr>
          <w:rFonts w:ascii="Times New Roman" w:hAnsi="Times New Roman" w:cs="Times New Roman"/>
          <w:sz w:val="24"/>
          <w:szCs w:val="24"/>
        </w:rPr>
        <w:t xml:space="preserve">Poslovnika Hrvatskoga sabora </w:t>
      </w:r>
      <w:r w:rsidR="004F5EB3" w:rsidRPr="004F5EB3">
        <w:rPr>
          <w:rFonts w:ascii="Times New Roman" w:eastAsia="Calibri" w:hAnsi="Times New Roman" w:cs="Times New Roman"/>
          <w:sz w:val="24"/>
          <w:szCs w:val="24"/>
        </w:rPr>
        <w:t>(„Narodne novine“, br. 81/13., 113/16., 69/17., 29/18., 53/20., 119/20. - Odluka Ustavnog suda Republike Hrvatske i 123/20.)</w:t>
      </w: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Godišnje</w:t>
      </w:r>
      <w:r w:rsidR="00263C1A">
        <w:rPr>
          <w:rFonts w:ascii="Times New Roman" w:eastAsia="Calibri" w:hAnsi="Times New Roman" w:cs="Times New Roman"/>
          <w:sz w:val="24"/>
          <w:szCs w:val="24"/>
        </w:rPr>
        <w:t>m izvješću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 o radu Hrvatske energetske regula</w:t>
      </w:r>
      <w:r w:rsidR="004F5EB3">
        <w:rPr>
          <w:rFonts w:ascii="Times New Roman" w:eastAsia="Calibri" w:hAnsi="Times New Roman" w:cs="Times New Roman"/>
          <w:sz w:val="24"/>
          <w:szCs w:val="24"/>
        </w:rPr>
        <w:t>torne agencije za 2020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. godinu </w:t>
      </w:r>
      <w:r w:rsidR="00263C1A">
        <w:rPr>
          <w:rFonts w:ascii="Times New Roman" w:eastAsia="Calibri" w:hAnsi="Times New Roman" w:cs="Times New Roman"/>
          <w:sz w:val="24"/>
          <w:szCs w:val="24"/>
        </w:rPr>
        <w:t>i Izvješću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 xml:space="preserve"> o ostvarenju proračuna Hrvatske energet</w:t>
      </w:r>
      <w:r w:rsidR="004F5EB3">
        <w:rPr>
          <w:rFonts w:ascii="Times New Roman" w:eastAsia="Calibri" w:hAnsi="Times New Roman" w:cs="Times New Roman"/>
          <w:sz w:val="24"/>
          <w:szCs w:val="24"/>
        </w:rPr>
        <w:t>ske regulatorne agencije za 2020</w:t>
      </w:r>
      <w:r w:rsidR="00263C1A" w:rsidRPr="00263C1A">
        <w:rPr>
          <w:rFonts w:ascii="Times New Roman" w:eastAsia="Calibri" w:hAnsi="Times New Roman" w:cs="Times New Roman"/>
          <w:sz w:val="24"/>
          <w:szCs w:val="24"/>
        </w:rPr>
        <w:t>. godinu</w:t>
      </w:r>
      <w:r w:rsidR="00263C1A">
        <w:rPr>
          <w:rFonts w:ascii="Times New Roman" w:eastAsia="Calibri" w:hAnsi="Times New Roman" w:cs="Times New Roman"/>
          <w:sz w:val="24"/>
          <w:szCs w:val="24"/>
        </w:rPr>
        <w:t xml:space="preserve">, daje </w:t>
      </w:r>
      <w:r w:rsidRPr="00147299">
        <w:rPr>
          <w:rFonts w:ascii="Times New Roman" w:eastAsia="Calibri" w:hAnsi="Times New Roman" w:cs="Times New Roman"/>
          <w:sz w:val="24"/>
          <w:szCs w:val="24"/>
        </w:rPr>
        <w:t>sljedeće mišljenje:</w:t>
      </w:r>
    </w:p>
    <w:p w14:paraId="4C9B4B40" w14:textId="77777777" w:rsidR="00147299" w:rsidRPr="00147299" w:rsidRDefault="00147299" w:rsidP="00081CDB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CA2BA6D" w14:textId="77777777" w:rsidR="00147299" w:rsidRPr="00147299" w:rsidRDefault="00147299" w:rsidP="0014729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9D6E22F" w14:textId="42CC318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Š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LJ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NJ</w:t>
      </w:r>
      <w:r w:rsidR="00081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299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13AFDED9" w14:textId="77777777" w:rsidR="00147299" w:rsidRPr="00147299" w:rsidRDefault="00147299" w:rsidP="00147299">
      <w:pPr>
        <w:suppressAutoHyphens/>
        <w:autoSpaceDN w:val="0"/>
        <w:spacing w:after="0" w:line="240" w:lineRule="auto"/>
        <w:ind w:left="3117" w:firstLine="423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04E008" w14:textId="77777777" w:rsid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15777">
        <w:rPr>
          <w:rFonts w:ascii="Times New Roman" w:eastAsia="Calibri" w:hAnsi="Times New Roman" w:cs="Times New Roman"/>
          <w:sz w:val="24"/>
          <w:szCs w:val="24"/>
        </w:rPr>
        <w:t>Hrvatske energetska regulatorna agencija (u daljnjem tekstu: HERA) je neovisno regulatorno tijelo s javnim ovlastima, s temeljnom zadaćom provođenja regulacije energetskih djelatnosti u Republici Hrvatskoj s obvezama propisanim relevantnim zakonodavnim okvirom. Sukladno članku 33. stavku 1. Zakona o regulaciji energetskih djelatnosti (Narodne novine, br. 120/12 i 68/18) HERA je dužna jedanput godišnje podnijeti Hrvatskome saboru Izvješće o radu</w:t>
      </w:r>
      <w:r w:rsidR="00E410AB">
        <w:rPr>
          <w:rFonts w:ascii="Times New Roman" w:eastAsia="Calibri" w:hAnsi="Times New Roman" w:cs="Times New Roman"/>
          <w:sz w:val="24"/>
          <w:szCs w:val="24"/>
        </w:rPr>
        <w:t xml:space="preserve"> (u daljnjem tekstu: Izvješće)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, koje između ostalog sadrži i ostvarenje proračuna. </w:t>
      </w:r>
    </w:p>
    <w:p w14:paraId="1F136B66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70BEF63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ješće </w:t>
      </w:r>
      <w:r w:rsidR="00E410AB">
        <w:rPr>
          <w:rFonts w:ascii="Times New Roman" w:eastAsia="Calibri" w:hAnsi="Times New Roman" w:cs="Times New Roman"/>
          <w:sz w:val="24"/>
          <w:szCs w:val="24"/>
        </w:rPr>
        <w:t>se po svom sadržaju i strukturi nije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bit</w:t>
      </w:r>
      <w:r>
        <w:rPr>
          <w:rFonts w:ascii="Times New Roman" w:eastAsia="Calibri" w:hAnsi="Times New Roman" w:cs="Times New Roman"/>
          <w:sz w:val="24"/>
          <w:szCs w:val="24"/>
        </w:rPr>
        <w:t>no mijenjalo od 2005. godine, međutim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s obzirom na ubrzane procese koji </w:t>
      </w:r>
      <w:r w:rsidRPr="00015777">
        <w:rPr>
          <w:rFonts w:ascii="Times New Roman" w:eastAsia="Calibri" w:hAnsi="Times New Roman" w:cs="Times New Roman"/>
          <w:sz w:val="24"/>
          <w:szCs w:val="24"/>
        </w:rPr>
        <w:lastRenderedPageBreak/>
        <w:t>se odvijaju u energetskom sektoru isto</w:t>
      </w:r>
      <w:r w:rsidR="00E410AB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potrebno osuvremeniti u smislu pružanja jasnijeg i razumljivijeg uvida uloge HERA-e u energetskom sektoru, a koja se u bitnome razlikuje od početka otvaranja tržišta energije za električnu energiju 2006. godine. </w:t>
      </w:r>
      <w:r w:rsidR="00E410AB">
        <w:rPr>
          <w:rFonts w:ascii="Times New Roman" w:eastAsia="Calibri" w:hAnsi="Times New Roman" w:cs="Times New Roman"/>
          <w:sz w:val="24"/>
          <w:szCs w:val="24"/>
        </w:rPr>
        <w:t xml:space="preserve">Iz Izvješća nije </w:t>
      </w:r>
      <w:r w:rsidRPr="00015777">
        <w:rPr>
          <w:rFonts w:ascii="Times New Roman" w:eastAsia="Calibri" w:hAnsi="Times New Roman" w:cs="Times New Roman"/>
          <w:sz w:val="24"/>
          <w:szCs w:val="24"/>
        </w:rPr>
        <w:t>razvidno da je upravo HERA nadležna institucija u Republici Hrvatskoj koja, kao neovisni regulator, svojim odlukama vezanim uz regulaciju utječe na politiku cijena energenata u Republici Hrvatskoj. Naime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ovisno o energentu ili energiji, sadržaj reguliranog dijela u ukupnoj cijeni varira kako za kategoriju kupaca tako i za različita distribucijska područja kada se konkretno radi o prirodnom plinu ili toplinskoj energiji. Važno je naglasiti, kako se, među ostalim, i regulatornom politikom u bitnome može utjecati na konkurentnost gospodarstva, ali i na osjetljivost prema najranjivijim kategorijama kupaca.</w:t>
      </w:r>
    </w:p>
    <w:p w14:paraId="2FEB7FCF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D53197" w14:textId="77777777" w:rsidR="00015777" w:rsidRPr="00015777" w:rsidRDefault="00E410AB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Također, u</w:t>
      </w:r>
      <w:r w:rsidR="00015777">
        <w:rPr>
          <w:rFonts w:ascii="Times New Roman" w:eastAsia="Calibri" w:hAnsi="Times New Roman" w:cs="Times New Roman"/>
          <w:sz w:val="24"/>
          <w:szCs w:val="24"/>
        </w:rPr>
        <w:t xml:space="preserve"> Izv</w:t>
      </w:r>
      <w:r>
        <w:rPr>
          <w:rFonts w:ascii="Times New Roman" w:eastAsia="Calibri" w:hAnsi="Times New Roman" w:cs="Times New Roman"/>
          <w:sz w:val="24"/>
          <w:szCs w:val="24"/>
        </w:rPr>
        <w:t>ješću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 nije dovoljno jasno naglašena uloga HERA-e u energetskoj tranziciji, s obzirom da je još u prosincu 2019. godine, Europska komisija predstavila  Europski zeleni plan koji naglasak stavlja na </w:t>
      </w:r>
      <w:proofErr w:type="spellStart"/>
      <w:r w:rsidR="00015777" w:rsidRPr="00015777">
        <w:rPr>
          <w:rFonts w:ascii="Times New Roman" w:eastAsia="Calibri" w:hAnsi="Times New Roman" w:cs="Times New Roman"/>
          <w:sz w:val="24"/>
          <w:szCs w:val="24"/>
        </w:rPr>
        <w:t>dekarbonizaciju</w:t>
      </w:r>
      <w:proofErr w:type="spellEnd"/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 energetike i gospodarstva, te </w:t>
      </w:r>
      <w:r w:rsidR="0001577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>u skladu s tim, tij</w:t>
      </w:r>
      <w:r w:rsidR="00015777">
        <w:rPr>
          <w:rFonts w:ascii="Times New Roman" w:eastAsia="Calibri" w:hAnsi="Times New Roman" w:cs="Times New Roman"/>
          <w:sz w:val="24"/>
          <w:szCs w:val="24"/>
        </w:rPr>
        <w:t>ekom 2020. godine, provedeno niz aktivnosti u Europskoj uniji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 koje usmjeravaju energetski sektor na snažnu </w:t>
      </w:r>
      <w:proofErr w:type="spellStart"/>
      <w:r w:rsidR="00015777" w:rsidRPr="00015777">
        <w:rPr>
          <w:rFonts w:ascii="Times New Roman" w:eastAsia="Calibri" w:hAnsi="Times New Roman" w:cs="Times New Roman"/>
          <w:sz w:val="24"/>
          <w:szCs w:val="24"/>
        </w:rPr>
        <w:t>dekarbonizaciju</w:t>
      </w:r>
      <w:proofErr w:type="spellEnd"/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 (primjerice povećanje cilja za smanjenje CO2 do 2030.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na minus 55 % u odnosu na 1990. godinu ili nužne </w:t>
      </w:r>
      <w:r>
        <w:rPr>
          <w:rFonts w:ascii="Times New Roman" w:eastAsia="Calibri" w:hAnsi="Times New Roman" w:cs="Times New Roman"/>
          <w:sz w:val="24"/>
          <w:szCs w:val="24"/>
        </w:rPr>
        <w:t>izmjene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 direktiva „Fit to 55“ paket i sl.). Dakle, svi su su</w:t>
      </w:r>
      <w:r w:rsidR="00015777">
        <w:rPr>
          <w:rFonts w:ascii="Times New Roman" w:eastAsia="Calibri" w:hAnsi="Times New Roman" w:cs="Times New Roman"/>
          <w:sz w:val="24"/>
          <w:szCs w:val="24"/>
        </w:rPr>
        <w:t>dionici u energetskom sustavu Republike Hrvatske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, već od objave Zelenog plana za Europu, intenzivno krenuli u implementaciju novih ciljeva i unatoč tome, Izvješće HERA-e ne sadrži informacije o aktivnostima koje je HERA poduzela kako bi se </w:t>
      </w:r>
      <w:r w:rsidR="00015777">
        <w:rPr>
          <w:rFonts w:ascii="Times New Roman" w:eastAsia="Calibri" w:hAnsi="Times New Roman" w:cs="Times New Roman"/>
          <w:sz w:val="24"/>
          <w:szCs w:val="24"/>
        </w:rPr>
        <w:t>ublažili izazovi, kao ni njezin</w:t>
      </w:r>
      <w:r w:rsidR="00015777" w:rsidRPr="00015777">
        <w:rPr>
          <w:rFonts w:ascii="Times New Roman" w:eastAsia="Calibri" w:hAnsi="Times New Roman" w:cs="Times New Roman"/>
          <w:sz w:val="24"/>
          <w:szCs w:val="24"/>
        </w:rPr>
        <w:t xml:space="preserve"> jasan stav o energetskoj tranziciji, po pitanju prijetnje povećanja cijena plina, rasta cijena emisija CO2, povećanje ulaganja u energetsku tranziciju, pravedne podjele troškova tranzicije itd.). </w:t>
      </w:r>
    </w:p>
    <w:p w14:paraId="08DC33FE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2C34B5A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Također, potrebno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015777">
        <w:rPr>
          <w:rFonts w:ascii="Times New Roman" w:eastAsia="Calibri" w:hAnsi="Times New Roman" w:cs="Times New Roman"/>
          <w:sz w:val="24"/>
          <w:szCs w:val="24"/>
        </w:rPr>
        <w:t>doraditi i usuglasiti stavove HERA-e vezano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novu financijsku perspektivu Europske unije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2021. – 2027. kao i potencijal svih izvora financiranja koje se u novoj financijskoj perspektivi nude energetskom sektoru u Republici </w:t>
      </w:r>
      <w:r w:rsidRPr="00015777">
        <w:rPr>
          <w:rFonts w:ascii="Times New Roman" w:eastAsia="Calibri" w:hAnsi="Times New Roman" w:cs="Times New Roman"/>
          <w:sz w:val="24"/>
          <w:szCs w:val="24"/>
        </w:rPr>
        <w:lastRenderedPageBreak/>
        <w:t>Hrvatskoj. Ovo je posebno važno jer HERA nije vodila proces programiranja navedenih planova i programa za povlačenje sredstava, iako u Izvješću komentira pojedine elemen</w:t>
      </w:r>
      <w:r>
        <w:rPr>
          <w:rFonts w:ascii="Times New Roman" w:eastAsia="Calibri" w:hAnsi="Times New Roman" w:cs="Times New Roman"/>
          <w:sz w:val="24"/>
          <w:szCs w:val="24"/>
        </w:rPr>
        <w:t>te potencijalnog financiranja Europske unije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, a koji su i unutar samog teksta Izvješća neusklađeni. Tako primjerice, HERA u Izvješću potvrđuje kako je odobrila niz </w:t>
      </w:r>
      <w:r>
        <w:rPr>
          <w:rFonts w:ascii="Times New Roman" w:eastAsia="Calibri" w:hAnsi="Times New Roman" w:cs="Times New Roman"/>
          <w:sz w:val="24"/>
          <w:szCs w:val="24"/>
        </w:rPr>
        <w:t xml:space="preserve">akata koji predstavljaju pravni temelj </w:t>
      </w:r>
      <w:r w:rsidRPr="00015777">
        <w:rPr>
          <w:rFonts w:ascii="Times New Roman" w:eastAsia="Calibri" w:hAnsi="Times New Roman" w:cs="Times New Roman"/>
          <w:sz w:val="24"/>
          <w:szCs w:val="24"/>
        </w:rPr>
        <w:t>za predaju zahtjeva i povlačenje sredstava iz Nacionalnog plana oporavka i otpornosti za razdoblje 2021. – 2026. (</w:t>
      </w:r>
      <w:r>
        <w:rPr>
          <w:rFonts w:ascii="Times New Roman" w:eastAsia="Calibri" w:hAnsi="Times New Roman" w:cs="Times New Roman"/>
          <w:sz w:val="24"/>
          <w:szCs w:val="24"/>
        </w:rPr>
        <w:t xml:space="preserve">u daljnjem </w:t>
      </w:r>
      <w:r w:rsidRPr="00015777">
        <w:rPr>
          <w:rFonts w:ascii="Times New Roman" w:eastAsia="Calibri" w:hAnsi="Times New Roman" w:cs="Times New Roman"/>
          <w:sz w:val="24"/>
          <w:szCs w:val="24"/>
        </w:rPr>
        <w:t>tekstu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NPOO</w:t>
      </w:r>
      <w:r w:rsidR="00746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777">
        <w:rPr>
          <w:rFonts w:ascii="Times New Roman" w:eastAsia="Calibri" w:hAnsi="Times New Roman" w:cs="Times New Roman"/>
          <w:sz w:val="24"/>
          <w:szCs w:val="24"/>
        </w:rPr>
        <w:t>)</w:t>
      </w:r>
      <w:r w:rsidR="000F1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777">
        <w:rPr>
          <w:rFonts w:ascii="Times New Roman" w:eastAsia="Calibri" w:hAnsi="Times New Roman" w:cs="Times New Roman"/>
          <w:sz w:val="24"/>
          <w:szCs w:val="24"/>
        </w:rPr>
        <w:t>da bi naknadno u tekstu isti taj sustav navela kao „upitno održiv“ te izrazila sumnju u dokumente koje odo</w:t>
      </w:r>
      <w:r>
        <w:rPr>
          <w:rFonts w:ascii="Times New Roman" w:eastAsia="Calibri" w:hAnsi="Times New Roman" w:cs="Times New Roman"/>
          <w:sz w:val="24"/>
          <w:szCs w:val="24"/>
        </w:rPr>
        <w:t>brava. Napominjemo, da je Ministarstvo gospodarstva i održivog razvoja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0F1D18">
        <w:rPr>
          <w:rFonts w:ascii="Times New Roman" w:eastAsia="Calibri" w:hAnsi="Times New Roman" w:cs="Times New Roman"/>
          <w:sz w:val="24"/>
          <w:szCs w:val="24"/>
        </w:rPr>
        <w:t>l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o garanciju Europskoj komisiji na mogućnost priključenja novih 1600 MW do završetka trajanja </w:t>
      </w:r>
      <w:r w:rsidR="00746F27">
        <w:rPr>
          <w:rFonts w:ascii="Times New Roman" w:eastAsia="Calibri" w:hAnsi="Times New Roman" w:cs="Times New Roman"/>
          <w:sz w:val="24"/>
          <w:szCs w:val="24"/>
        </w:rPr>
        <w:t>NPOO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, a u trenutku pripreme Izvješća, HERA je </w:t>
      </w:r>
      <w:r w:rsidR="000F1D18">
        <w:rPr>
          <w:rFonts w:ascii="Times New Roman" w:eastAsia="Calibri" w:hAnsi="Times New Roman" w:cs="Times New Roman"/>
          <w:sz w:val="24"/>
          <w:szCs w:val="24"/>
        </w:rPr>
        <w:t>imala sve relevantne informacije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o predviđenim sredstvima u sklopu NPOO, kao i obveze koje smo kao država članica preuzeli za povlačenje tih sredstava. Stoga, smatramo da j</w:t>
      </w:r>
      <w:r w:rsidR="00746F27">
        <w:rPr>
          <w:rFonts w:ascii="Times New Roman" w:eastAsia="Calibri" w:hAnsi="Times New Roman" w:cs="Times New Roman"/>
          <w:sz w:val="24"/>
          <w:szCs w:val="24"/>
        </w:rPr>
        <w:t>e izuzetno važno  u budućim Izv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ješćima posvetiti znatan dio Izvješća upravo navedenoj problematici, te posebice procesima odobravanja planova razvoja za regulirane djelatnosti i praćenju realizacije istih što je prioritetna obveza HERA-e. </w:t>
      </w:r>
    </w:p>
    <w:p w14:paraId="192E7864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6CD4CC1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15777">
        <w:rPr>
          <w:rFonts w:ascii="Times New Roman" w:eastAsia="Calibri" w:hAnsi="Times New Roman" w:cs="Times New Roman"/>
          <w:sz w:val="24"/>
          <w:szCs w:val="24"/>
        </w:rPr>
        <w:t>Kada je električna energija u pitanju, razlike po distribucijskim područjima po pitanju priključenja kupaca se navodi samo kao informacija, bez bilo kakvog obrazloženja je li HERA nešto poduzela kod lošijih distribucijskih područja. Također</w:t>
      </w:r>
      <w:r w:rsidR="000F1D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5777">
        <w:rPr>
          <w:rFonts w:ascii="Times New Roman" w:eastAsia="Calibri" w:hAnsi="Times New Roman" w:cs="Times New Roman"/>
          <w:sz w:val="24"/>
          <w:szCs w:val="24"/>
        </w:rPr>
        <w:t>bilježi</w:t>
      </w:r>
      <w:r w:rsidR="000F1D18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zabrinjavajuće nizak postotak instalacija numeričkih, odnosno digitaln</w:t>
      </w:r>
      <w:r w:rsidR="00746F27">
        <w:rPr>
          <w:rFonts w:ascii="Times New Roman" w:eastAsia="Calibri" w:hAnsi="Times New Roman" w:cs="Times New Roman"/>
          <w:sz w:val="24"/>
          <w:szCs w:val="24"/>
        </w:rPr>
        <w:t>ih brojila kod kućanstva, a u Izvješću se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r w:rsidR="00746F27">
        <w:rPr>
          <w:rFonts w:ascii="Times New Roman" w:eastAsia="Calibri" w:hAnsi="Times New Roman" w:cs="Times New Roman"/>
          <w:sz w:val="24"/>
          <w:szCs w:val="24"/>
        </w:rPr>
        <w:t>navodi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jesu li iskorištena sredstva dostupna za ovu namjenu koja su osigurana </w:t>
      </w:r>
      <w:r w:rsidR="00746F27">
        <w:rPr>
          <w:rFonts w:ascii="Times New Roman" w:eastAsia="Calibri" w:hAnsi="Times New Roman" w:cs="Times New Roman"/>
          <w:sz w:val="24"/>
          <w:szCs w:val="24"/>
        </w:rPr>
        <w:t>Hrvatskoj elektroprivredi d.d.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od strane </w:t>
      </w:r>
      <w:r w:rsidR="00746F27">
        <w:rPr>
          <w:rFonts w:ascii="Times New Roman" w:eastAsia="Calibri" w:hAnsi="Times New Roman" w:cs="Times New Roman"/>
          <w:sz w:val="24"/>
          <w:szCs w:val="24"/>
        </w:rPr>
        <w:t>Ministarstva gospodarstva i održivog razvoja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kroz projekt Europske unije.  </w:t>
      </w:r>
    </w:p>
    <w:p w14:paraId="2D0649FA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550C8B2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15777">
        <w:rPr>
          <w:rFonts w:ascii="Times New Roman" w:eastAsia="Calibri" w:hAnsi="Times New Roman" w:cs="Times New Roman"/>
          <w:sz w:val="24"/>
          <w:szCs w:val="24"/>
        </w:rPr>
        <w:t>Nadalje, na stranici 207</w:t>
      </w:r>
      <w:r w:rsidR="00746F27">
        <w:rPr>
          <w:rFonts w:ascii="Times New Roman" w:eastAsia="Calibri" w:hAnsi="Times New Roman" w:cs="Times New Roman"/>
          <w:sz w:val="24"/>
          <w:szCs w:val="24"/>
        </w:rPr>
        <w:t>.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Izvješća, a vezano uz potrebu uvođenja mjera energetske učinkovitosti kod opskrbljivača, navodi se kako je „dio opskrbljivača energijom nespremno dočekao navedenu obvezu koja im predstavlja značajan teret u poslovanju“. Pri tome se još dodatno ističe kako je propust nastao jer nisu donesena rješenja kojim se određuje </w:t>
      </w:r>
      <w:r w:rsidR="00746F27">
        <w:rPr>
          <w:rFonts w:ascii="Times New Roman" w:eastAsia="Calibri" w:hAnsi="Times New Roman" w:cs="Times New Roman"/>
          <w:sz w:val="24"/>
          <w:szCs w:val="24"/>
        </w:rPr>
        <w:t>obveza pojedinom obvezniku. Međutim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, pri tome nije prepoznata uloga HERA-e koja je ovo pitanje trebala regulirati kroz svoju djelatnost sukladno članku 16. Zakona o energetskoj učinkovitosti, iako je isti na snazi još od 2014. godine. Naime, HERA je bila dužna pri provedbi regulatornih zadataka voditi računa o energetskoj učinkovitosti u vezi sa svojim odlukama o radu infrastrukture za plin i električnu energiju, kao i osigurati </w:t>
      </w:r>
      <w:r w:rsidR="00746F27">
        <w:rPr>
          <w:rFonts w:ascii="Times New Roman" w:eastAsia="Calibri" w:hAnsi="Times New Roman" w:cs="Times New Roman"/>
          <w:sz w:val="24"/>
          <w:szCs w:val="24"/>
        </w:rPr>
        <w:t xml:space="preserve">da se </w:t>
      </w:r>
      <w:r w:rsidRPr="00015777">
        <w:rPr>
          <w:rFonts w:ascii="Times New Roman" w:eastAsia="Calibri" w:hAnsi="Times New Roman" w:cs="Times New Roman"/>
          <w:sz w:val="24"/>
          <w:szCs w:val="24"/>
        </w:rPr>
        <w:t>pri donošenj</w:t>
      </w:r>
      <w:r w:rsidR="00746F27">
        <w:rPr>
          <w:rFonts w:ascii="Times New Roman" w:eastAsia="Calibri" w:hAnsi="Times New Roman" w:cs="Times New Roman"/>
          <w:sz w:val="24"/>
          <w:szCs w:val="24"/>
        </w:rPr>
        <w:t>u mrežnih tarifa i propisa uzmu u obzir troškovi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i koristi svake mjere, osigurati poticaje za mrežne operatore da korisnicima mreže stavi na raspolaganje usluge sustava i time im omoguće provedbu mjera </w:t>
      </w:r>
      <w:r w:rsidRPr="00015777">
        <w:rPr>
          <w:rFonts w:ascii="Times New Roman" w:eastAsia="Calibri" w:hAnsi="Times New Roman" w:cs="Times New Roman"/>
          <w:sz w:val="24"/>
          <w:szCs w:val="24"/>
        </w:rPr>
        <w:lastRenderedPageBreak/>
        <w:t>za poboljšanje energetske učinkovitosti u kontekstu dalj</w:t>
      </w:r>
      <w:r w:rsidR="00746F27">
        <w:rPr>
          <w:rFonts w:ascii="Times New Roman" w:eastAsia="Calibri" w:hAnsi="Times New Roman" w:cs="Times New Roman"/>
          <w:sz w:val="24"/>
          <w:szCs w:val="24"/>
        </w:rPr>
        <w:t>njeg uvođenja pametnih mreža. Međutim</w:t>
      </w:r>
      <w:r w:rsidRPr="00015777">
        <w:rPr>
          <w:rFonts w:ascii="Times New Roman" w:eastAsia="Calibri" w:hAnsi="Times New Roman" w:cs="Times New Roman"/>
          <w:sz w:val="24"/>
          <w:szCs w:val="24"/>
        </w:rPr>
        <w:t>, i bez relevantnih rješenja i poduzimanja konkretnih mjera za stranke obveznice ubrzanim aktivnostima Ministarstva</w:t>
      </w:r>
      <w:r w:rsidR="00746F27">
        <w:rPr>
          <w:rFonts w:ascii="Times New Roman" w:eastAsia="Calibri" w:hAnsi="Times New Roman" w:cs="Times New Roman"/>
          <w:sz w:val="24"/>
          <w:szCs w:val="24"/>
        </w:rPr>
        <w:t xml:space="preserve"> gospodarstva i održivog razvoja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postignuti su zacrtani ciljevi u ostvarenju obveze energetske učinkovitost. </w:t>
      </w:r>
      <w:r w:rsidR="00746F27">
        <w:rPr>
          <w:rFonts w:ascii="Times New Roman" w:eastAsia="Calibri" w:hAnsi="Times New Roman" w:cs="Times New Roman"/>
          <w:sz w:val="24"/>
          <w:szCs w:val="24"/>
        </w:rPr>
        <w:t>U</w:t>
      </w:r>
      <w:r w:rsidRPr="00015777">
        <w:rPr>
          <w:rFonts w:ascii="Times New Roman" w:eastAsia="Calibri" w:hAnsi="Times New Roman" w:cs="Times New Roman"/>
          <w:sz w:val="24"/>
          <w:szCs w:val="24"/>
        </w:rPr>
        <w:t>z</w:t>
      </w:r>
      <w:r w:rsidR="00746F27">
        <w:rPr>
          <w:rFonts w:ascii="Times New Roman" w:eastAsia="Calibri" w:hAnsi="Times New Roman" w:cs="Times New Roman"/>
          <w:sz w:val="24"/>
          <w:szCs w:val="24"/>
        </w:rPr>
        <w:t xml:space="preserve"> aktivniju ulogu HERA u praćenju opskrbljivača dobio </w:t>
      </w:r>
      <w:r w:rsidRPr="00015777">
        <w:rPr>
          <w:rFonts w:ascii="Times New Roman" w:eastAsia="Calibri" w:hAnsi="Times New Roman" w:cs="Times New Roman"/>
          <w:sz w:val="24"/>
          <w:szCs w:val="24"/>
        </w:rPr>
        <w:t>bi se uvid u sredstva koji su pojedini energetski subjekti uložili u mjere energetske učinkovitosti, kao i utjecaj istoga na krajnju cijenu energije. Takođ</w:t>
      </w:r>
      <w:r w:rsidR="00746F27">
        <w:rPr>
          <w:rFonts w:ascii="Times New Roman" w:eastAsia="Calibri" w:hAnsi="Times New Roman" w:cs="Times New Roman"/>
          <w:sz w:val="24"/>
          <w:szCs w:val="24"/>
        </w:rPr>
        <w:t>er</w:t>
      </w:r>
      <w:r w:rsidR="000F1D18">
        <w:rPr>
          <w:rFonts w:ascii="Times New Roman" w:eastAsia="Calibri" w:hAnsi="Times New Roman" w:cs="Times New Roman"/>
          <w:sz w:val="24"/>
          <w:szCs w:val="24"/>
        </w:rPr>
        <w:t>,</w:t>
      </w:r>
      <w:r w:rsidR="00746F27">
        <w:rPr>
          <w:rFonts w:ascii="Times New Roman" w:eastAsia="Calibri" w:hAnsi="Times New Roman" w:cs="Times New Roman"/>
          <w:sz w:val="24"/>
          <w:szCs w:val="24"/>
        </w:rPr>
        <w:t xml:space="preserve"> HERA u svome Izvješću, nije navela </w:t>
      </w:r>
      <w:r w:rsidRPr="00015777">
        <w:rPr>
          <w:rFonts w:ascii="Times New Roman" w:eastAsia="Calibri" w:hAnsi="Times New Roman" w:cs="Times New Roman"/>
          <w:sz w:val="24"/>
          <w:szCs w:val="24"/>
        </w:rPr>
        <w:t>jesu li obveznici ispunili zakonske obveze uštede ili to nisu učinili pa nije jasno ima li uvid i vodili li brigu o tim elementima energetske politike.</w:t>
      </w:r>
    </w:p>
    <w:p w14:paraId="67303C70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08B847B" w14:textId="77777777" w:rsidR="00015777" w:rsidRPr="00015777" w:rsidRDefault="00015777" w:rsidP="00015777">
      <w:pPr>
        <w:suppressAutoHyphens/>
        <w:autoSpaceDN w:val="0"/>
        <w:spacing w:after="0" w:line="240" w:lineRule="auto"/>
        <w:ind w:firstLine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15777">
        <w:rPr>
          <w:rFonts w:ascii="Times New Roman" w:eastAsia="Calibri" w:hAnsi="Times New Roman" w:cs="Times New Roman"/>
          <w:sz w:val="24"/>
          <w:szCs w:val="24"/>
        </w:rPr>
        <w:t>Zaštita kupaca i kupac kao središnje mjesto energetskog sektora, također zahtjeva pravilniji i detaljniji pristup, a ne samo kao uvid u iznošenje statističkih podataka o žalbama i rješenjima krajnjih kupaca. S druge strane, sma</w:t>
      </w:r>
      <w:r w:rsidR="00746F27">
        <w:rPr>
          <w:rFonts w:ascii="Times New Roman" w:eastAsia="Calibri" w:hAnsi="Times New Roman" w:cs="Times New Roman"/>
          <w:sz w:val="24"/>
          <w:szCs w:val="24"/>
        </w:rPr>
        <w:t>tramo da je iznimno važno u Izv</w:t>
      </w:r>
      <w:r w:rsidRPr="00015777">
        <w:rPr>
          <w:rFonts w:ascii="Times New Roman" w:eastAsia="Calibri" w:hAnsi="Times New Roman" w:cs="Times New Roman"/>
          <w:sz w:val="24"/>
          <w:szCs w:val="24"/>
        </w:rPr>
        <w:t>ješću naglasiti statističke podatke o vremenskom razdoblju u kojem se rješavaju zaprimljeni zahtjevi od strane nositelja projekata za izdavanjem rješenja o stjecanju statusa povlaš</w:t>
      </w:r>
      <w:r w:rsidR="00746F27">
        <w:rPr>
          <w:rFonts w:ascii="Times New Roman" w:eastAsia="Calibri" w:hAnsi="Times New Roman" w:cs="Times New Roman"/>
          <w:sz w:val="24"/>
          <w:szCs w:val="24"/>
        </w:rPr>
        <w:t>tenih proizvođača, te izdavanje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 rješenja o dozvolama za obavljanje energetskih djelatnosti, kao i ostalih rješenja, kako bi se postigla još viš</w:t>
      </w:r>
      <w:r w:rsidR="00746F27">
        <w:rPr>
          <w:rFonts w:ascii="Times New Roman" w:eastAsia="Calibri" w:hAnsi="Times New Roman" w:cs="Times New Roman"/>
          <w:sz w:val="24"/>
          <w:szCs w:val="24"/>
        </w:rPr>
        <w:t>a razina transparentnosti rada HERA-e</w:t>
      </w:r>
      <w:r w:rsidRPr="000157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DCA7A6" w14:textId="5F2F2110" w:rsidR="00FD2F80" w:rsidRPr="00147299" w:rsidRDefault="00015777" w:rsidP="00A156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15777">
        <w:rPr>
          <w:rFonts w:ascii="Times New Roman" w:eastAsia="Calibri" w:hAnsi="Times New Roman" w:cs="Times New Roman"/>
          <w:sz w:val="24"/>
          <w:szCs w:val="24"/>
        </w:rPr>
        <w:tab/>
      </w:r>
      <w:r w:rsidRPr="00015777">
        <w:rPr>
          <w:rFonts w:ascii="Times New Roman" w:eastAsia="Calibri" w:hAnsi="Times New Roman" w:cs="Times New Roman"/>
          <w:sz w:val="24"/>
          <w:szCs w:val="24"/>
        </w:rPr>
        <w:tab/>
      </w:r>
      <w:r w:rsidR="00113D2B">
        <w:rPr>
          <w:rFonts w:ascii="Times New Roman" w:eastAsia="Calibri" w:hAnsi="Times New Roman" w:cs="Times New Roman"/>
          <w:sz w:val="24"/>
          <w:szCs w:val="24"/>
        </w:rPr>
        <w:tab/>
      </w:r>
      <w:r w:rsidR="003E4AAC">
        <w:rPr>
          <w:rFonts w:ascii="Times New Roman" w:eastAsia="Calibri" w:hAnsi="Times New Roman" w:cs="Times New Roman"/>
          <w:sz w:val="24"/>
          <w:szCs w:val="24"/>
        </w:rPr>
        <w:tab/>
      </w:r>
      <w:r w:rsidR="00F545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185B07" w14:textId="77777777" w:rsidR="00B9426A" w:rsidRPr="00B9426A" w:rsidRDefault="003E4AAC" w:rsidP="00F54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B9426A" w:rsidRPr="00B9426A">
        <w:rPr>
          <w:rFonts w:ascii="Times New Roman" w:eastAsia="Calibri" w:hAnsi="Times New Roman"/>
          <w:sz w:val="24"/>
          <w:szCs w:val="24"/>
        </w:rPr>
        <w:t>Za svoje predstavnike, koji će u vezi s iznesenim mišljenjem biti nazočni na sjednicama Hrvatskoga sabora i njegovih radnih tijela, Vlada</w:t>
      </w:r>
      <w:r w:rsidR="00446425">
        <w:rPr>
          <w:rFonts w:ascii="Times New Roman" w:eastAsia="Calibri" w:hAnsi="Times New Roman"/>
          <w:sz w:val="24"/>
          <w:szCs w:val="24"/>
        </w:rPr>
        <w:t xml:space="preserve"> je odredila dr. </w:t>
      </w:r>
      <w:proofErr w:type="spellStart"/>
      <w:r w:rsidR="00446425">
        <w:rPr>
          <w:rFonts w:ascii="Times New Roman" w:eastAsia="Calibri" w:hAnsi="Times New Roman"/>
          <w:sz w:val="24"/>
          <w:szCs w:val="24"/>
        </w:rPr>
        <w:t>sc</w:t>
      </w:r>
      <w:proofErr w:type="spellEnd"/>
      <w:r w:rsidR="00446425">
        <w:rPr>
          <w:rFonts w:ascii="Times New Roman" w:eastAsia="Calibri" w:hAnsi="Times New Roman"/>
          <w:sz w:val="24"/>
          <w:szCs w:val="24"/>
        </w:rPr>
        <w:t xml:space="preserve">. </w:t>
      </w:r>
      <w:r w:rsidR="00B9426A" w:rsidRPr="00B9426A">
        <w:rPr>
          <w:rFonts w:ascii="Times New Roman" w:eastAsia="Calibri" w:hAnsi="Times New Roman"/>
          <w:sz w:val="24"/>
          <w:szCs w:val="24"/>
        </w:rPr>
        <w:t xml:space="preserve">Tomislava Ćorića, ministra gospodarstva i održivog razvoja, </w:t>
      </w:r>
      <w:r w:rsidR="00C87734" w:rsidRPr="00C87734">
        <w:rPr>
          <w:rFonts w:ascii="Times New Roman" w:eastAsia="Calibri" w:hAnsi="Times New Roman"/>
          <w:sz w:val="24"/>
          <w:szCs w:val="24"/>
        </w:rPr>
        <w:t xml:space="preserve">Ivu </w:t>
      </w:r>
      <w:proofErr w:type="spellStart"/>
      <w:r w:rsidR="00C87734" w:rsidRPr="00C87734">
        <w:rPr>
          <w:rFonts w:ascii="Times New Roman" w:eastAsia="Calibri" w:hAnsi="Times New Roman"/>
          <w:sz w:val="24"/>
          <w:szCs w:val="24"/>
        </w:rPr>
        <w:t>Milatića</w:t>
      </w:r>
      <w:proofErr w:type="spellEnd"/>
      <w:r w:rsidR="00C87734">
        <w:rPr>
          <w:rFonts w:ascii="Times New Roman" w:eastAsia="Calibri" w:hAnsi="Times New Roman"/>
          <w:sz w:val="24"/>
          <w:szCs w:val="24"/>
        </w:rPr>
        <w:t xml:space="preserve">, </w:t>
      </w:r>
      <w:r w:rsidR="00B9426A" w:rsidRPr="00B9426A">
        <w:rPr>
          <w:rFonts w:ascii="Times New Roman" w:eastAsia="Calibri" w:hAnsi="Times New Roman"/>
          <w:sz w:val="24"/>
          <w:szCs w:val="24"/>
        </w:rPr>
        <w:t xml:space="preserve">Natašu </w:t>
      </w:r>
      <w:proofErr w:type="spellStart"/>
      <w:r w:rsidR="00B9426A" w:rsidRPr="00B9426A">
        <w:rPr>
          <w:rFonts w:ascii="Times New Roman" w:eastAsia="Calibri" w:hAnsi="Times New Roman"/>
          <w:sz w:val="24"/>
          <w:szCs w:val="24"/>
        </w:rPr>
        <w:t>Mikuš</w:t>
      </w:r>
      <w:proofErr w:type="spellEnd"/>
      <w:r w:rsidR="00B9426A" w:rsidRPr="00B9426A">
        <w:rPr>
          <w:rFonts w:ascii="Times New Roman" w:eastAsia="Calibri" w:hAnsi="Times New Roman"/>
          <w:sz w:val="24"/>
          <w:szCs w:val="24"/>
        </w:rPr>
        <w:t xml:space="preserve"> Žigman, dr. </w:t>
      </w:r>
      <w:proofErr w:type="spellStart"/>
      <w:r w:rsidR="00B9426A" w:rsidRPr="00B9426A">
        <w:rPr>
          <w:rFonts w:ascii="Times New Roman" w:eastAsia="Calibri" w:hAnsi="Times New Roman"/>
          <w:sz w:val="24"/>
          <w:szCs w:val="24"/>
        </w:rPr>
        <w:t>sc</w:t>
      </w:r>
      <w:proofErr w:type="spellEnd"/>
      <w:r w:rsidR="00B9426A" w:rsidRPr="00B9426A">
        <w:rPr>
          <w:rFonts w:ascii="Times New Roman" w:eastAsia="Calibri" w:hAnsi="Times New Roman"/>
          <w:sz w:val="24"/>
          <w:szCs w:val="24"/>
        </w:rPr>
        <w:t xml:space="preserve">. Marija </w:t>
      </w:r>
      <w:proofErr w:type="spellStart"/>
      <w:r w:rsidR="00B9426A" w:rsidRPr="00B9426A">
        <w:rPr>
          <w:rFonts w:ascii="Times New Roman" w:eastAsia="Calibri" w:hAnsi="Times New Roman"/>
          <w:sz w:val="24"/>
          <w:szCs w:val="24"/>
        </w:rPr>
        <w:t>Šiljega</w:t>
      </w:r>
      <w:proofErr w:type="spellEnd"/>
      <w:r w:rsidR="00B9426A" w:rsidRPr="00B9426A">
        <w:rPr>
          <w:rFonts w:ascii="Times New Roman" w:eastAsia="Calibri" w:hAnsi="Times New Roman"/>
          <w:sz w:val="24"/>
          <w:szCs w:val="24"/>
        </w:rPr>
        <w:t xml:space="preserve"> i Milu Horvata</w:t>
      </w:r>
      <w:r w:rsidR="008A0D50">
        <w:rPr>
          <w:rFonts w:ascii="Times New Roman" w:eastAsia="Calibri" w:hAnsi="Times New Roman"/>
          <w:sz w:val="24"/>
          <w:szCs w:val="24"/>
        </w:rPr>
        <w:t>,</w:t>
      </w:r>
      <w:r w:rsidR="00B9426A" w:rsidRPr="00B9426A">
        <w:rPr>
          <w:rFonts w:ascii="Times New Roman" w:eastAsia="Calibri" w:hAnsi="Times New Roman"/>
          <w:sz w:val="24"/>
          <w:szCs w:val="24"/>
        </w:rPr>
        <w:t xml:space="preserve"> državne tajnike u Ministarstvu </w:t>
      </w:r>
      <w:r w:rsidR="00C87734">
        <w:rPr>
          <w:rFonts w:ascii="Times New Roman" w:eastAsia="Calibri" w:hAnsi="Times New Roman"/>
          <w:sz w:val="24"/>
          <w:szCs w:val="24"/>
        </w:rPr>
        <w:t>gospodarstva i održivog razvoja.</w:t>
      </w:r>
    </w:p>
    <w:p w14:paraId="4768FF92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22170B0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7ECD1F2" w14:textId="77777777" w:rsidR="00147299" w:rsidRPr="00147299" w:rsidRDefault="00147299" w:rsidP="0014729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33F3217" w14:textId="77777777" w:rsid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 xml:space="preserve">    PREDSJEDNIK </w:t>
      </w:r>
    </w:p>
    <w:p w14:paraId="3A717BE4" w14:textId="77777777" w:rsidR="00856B89" w:rsidRPr="00147299" w:rsidRDefault="00856B8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AAA402" w14:textId="77777777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362B3D2" w14:textId="2E94EA46" w:rsidR="00147299" w:rsidRPr="00147299" w:rsidRDefault="00147299" w:rsidP="00147299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299">
        <w:rPr>
          <w:rFonts w:ascii="Times New Roman" w:eastAsia="Calibri" w:hAnsi="Times New Roman" w:cs="Times New Roman"/>
          <w:sz w:val="24"/>
          <w:szCs w:val="24"/>
        </w:rPr>
        <w:t>mr.</w:t>
      </w:r>
      <w:r w:rsidR="00081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7299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147299"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14:paraId="5C9969FC" w14:textId="77777777" w:rsidR="00CB44D7" w:rsidRDefault="00CB44D7" w:rsidP="00CB44D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83DB91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8AF62F" w14:textId="77777777" w:rsidR="00CB44D7" w:rsidRDefault="00CB44D7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B133EDE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C5FA3AB" w14:textId="77777777" w:rsidR="00147299" w:rsidRDefault="00147299" w:rsidP="00CB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sectPr w:rsidR="00147299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A4B4F" w14:textId="77777777" w:rsidR="00A534E9" w:rsidRDefault="00A534E9" w:rsidP="00F23A41">
      <w:pPr>
        <w:spacing w:after="0" w:line="240" w:lineRule="auto"/>
      </w:pPr>
      <w:r>
        <w:separator/>
      </w:r>
    </w:p>
  </w:endnote>
  <w:endnote w:type="continuationSeparator" w:id="0">
    <w:p w14:paraId="0BED3C41" w14:textId="77777777" w:rsidR="00A534E9" w:rsidRDefault="00A534E9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E50C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0EE07FA" w14:textId="77777777" w:rsidR="003731FD" w:rsidRPr="00E14F24" w:rsidRDefault="00117AFD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A647" w14:textId="77777777" w:rsidR="00A534E9" w:rsidRDefault="00A534E9" w:rsidP="00F23A41">
      <w:pPr>
        <w:spacing w:after="0" w:line="240" w:lineRule="auto"/>
      </w:pPr>
      <w:r>
        <w:separator/>
      </w:r>
    </w:p>
  </w:footnote>
  <w:footnote w:type="continuationSeparator" w:id="0">
    <w:p w14:paraId="2B80BB6C" w14:textId="77777777" w:rsidR="00A534E9" w:rsidRDefault="00A534E9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15777"/>
    <w:rsid w:val="000247A8"/>
    <w:rsid w:val="00060324"/>
    <w:rsid w:val="00081CDB"/>
    <w:rsid w:val="00086902"/>
    <w:rsid w:val="00095787"/>
    <w:rsid w:val="000B3C44"/>
    <w:rsid w:val="000F1D18"/>
    <w:rsid w:val="00113D2B"/>
    <w:rsid w:val="00117AFD"/>
    <w:rsid w:val="0014249B"/>
    <w:rsid w:val="00147299"/>
    <w:rsid w:val="001B4B00"/>
    <w:rsid w:val="00234BE2"/>
    <w:rsid w:val="00263C1A"/>
    <w:rsid w:val="00271ABB"/>
    <w:rsid w:val="00273029"/>
    <w:rsid w:val="0027360F"/>
    <w:rsid w:val="002D515A"/>
    <w:rsid w:val="003106AB"/>
    <w:rsid w:val="00325C6A"/>
    <w:rsid w:val="00392220"/>
    <w:rsid w:val="003B3ED2"/>
    <w:rsid w:val="003E4AAC"/>
    <w:rsid w:val="003F3141"/>
    <w:rsid w:val="00423F6D"/>
    <w:rsid w:val="00446425"/>
    <w:rsid w:val="004A2FF8"/>
    <w:rsid w:val="004F5EB3"/>
    <w:rsid w:val="005479CB"/>
    <w:rsid w:val="00560748"/>
    <w:rsid w:val="005B5932"/>
    <w:rsid w:val="005C2F54"/>
    <w:rsid w:val="005C5BBE"/>
    <w:rsid w:val="005E3852"/>
    <w:rsid w:val="0062537B"/>
    <w:rsid w:val="00637D02"/>
    <w:rsid w:val="006C5402"/>
    <w:rsid w:val="006D7AA8"/>
    <w:rsid w:val="006E6508"/>
    <w:rsid w:val="006F36DE"/>
    <w:rsid w:val="006F5B3D"/>
    <w:rsid w:val="00746F27"/>
    <w:rsid w:val="007667E2"/>
    <w:rsid w:val="00766BE5"/>
    <w:rsid w:val="007676B1"/>
    <w:rsid w:val="00777894"/>
    <w:rsid w:val="00804A42"/>
    <w:rsid w:val="00856B89"/>
    <w:rsid w:val="00874266"/>
    <w:rsid w:val="00880D1E"/>
    <w:rsid w:val="008867AA"/>
    <w:rsid w:val="008A0D50"/>
    <w:rsid w:val="008A505C"/>
    <w:rsid w:val="00912BFA"/>
    <w:rsid w:val="00966062"/>
    <w:rsid w:val="009B3C5D"/>
    <w:rsid w:val="009E08ED"/>
    <w:rsid w:val="00A156FC"/>
    <w:rsid w:val="00A534E9"/>
    <w:rsid w:val="00A66296"/>
    <w:rsid w:val="00AB5B86"/>
    <w:rsid w:val="00AC575F"/>
    <w:rsid w:val="00B61DBE"/>
    <w:rsid w:val="00B936CB"/>
    <w:rsid w:val="00B9426A"/>
    <w:rsid w:val="00B9775C"/>
    <w:rsid w:val="00BB4268"/>
    <w:rsid w:val="00BE4EE3"/>
    <w:rsid w:val="00C13440"/>
    <w:rsid w:val="00C472FE"/>
    <w:rsid w:val="00C563D9"/>
    <w:rsid w:val="00C64455"/>
    <w:rsid w:val="00C76430"/>
    <w:rsid w:val="00C87734"/>
    <w:rsid w:val="00CB44D7"/>
    <w:rsid w:val="00CF0459"/>
    <w:rsid w:val="00D0151C"/>
    <w:rsid w:val="00D03138"/>
    <w:rsid w:val="00D355E3"/>
    <w:rsid w:val="00D8559E"/>
    <w:rsid w:val="00D86C15"/>
    <w:rsid w:val="00DA032F"/>
    <w:rsid w:val="00DC261E"/>
    <w:rsid w:val="00DD2B08"/>
    <w:rsid w:val="00DD638F"/>
    <w:rsid w:val="00E03210"/>
    <w:rsid w:val="00E14CE5"/>
    <w:rsid w:val="00E16A25"/>
    <w:rsid w:val="00E23BD8"/>
    <w:rsid w:val="00E410AB"/>
    <w:rsid w:val="00E506B7"/>
    <w:rsid w:val="00E81D05"/>
    <w:rsid w:val="00E8666E"/>
    <w:rsid w:val="00EC32C2"/>
    <w:rsid w:val="00EE674F"/>
    <w:rsid w:val="00F20466"/>
    <w:rsid w:val="00F23A41"/>
    <w:rsid w:val="00F5458A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92D1F4"/>
  <w15:docId w15:val="{F7F01F9D-6B92-427A-87E8-303E4FA3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F36D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6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F2FD-80D7-4CF8-A02F-378A85DF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Larisa Petrić</cp:lastModifiedBy>
  <cp:revision>32</cp:revision>
  <cp:lastPrinted>2020-03-16T14:35:00Z</cp:lastPrinted>
  <dcterms:created xsi:type="dcterms:W3CDTF">2021-01-08T11:23:00Z</dcterms:created>
  <dcterms:modified xsi:type="dcterms:W3CDTF">2021-10-13T09:47:00Z</dcterms:modified>
</cp:coreProperties>
</file>