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1E912B2" w14:textId="77777777" w:rsidR="005D1893" w:rsidRPr="005D1893" w:rsidRDefault="005D1893" w:rsidP="005D189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5D1893">
        <w:rPr>
          <w:rFonts w:ascii="Times New Roman" w:eastAsia="Times New Roman" w:hAnsi="Times New Roman" w:cs="Times New Roman"/>
          <w:noProof/>
          <w:sz w:val="24"/>
          <w:szCs w:val="24"/>
          <w:lang w:eastAsia="hr-HR"/>
        </w:rPr>
        <w:drawing>
          <wp:inline distT="0" distB="0" distL="0" distR="0" wp14:anchorId="6C7FDF30" wp14:editId="00A232FF">
            <wp:extent cx="502942" cy="684000"/>
            <wp:effectExtent l="0" t="0" r="0" b="190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2942" cy="68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D1893">
        <w:rPr>
          <w:rFonts w:ascii="Times New Roman" w:eastAsia="Times New Roman" w:hAnsi="Times New Roman" w:cs="Times New Roman"/>
          <w:sz w:val="24"/>
          <w:szCs w:val="24"/>
          <w:lang w:eastAsia="hr-HR"/>
        </w:rPr>
        <w:fldChar w:fldCharType="begin"/>
      </w:r>
      <w:r w:rsidRPr="005D1893">
        <w:rPr>
          <w:rFonts w:ascii="Times New Roman" w:eastAsia="Times New Roman" w:hAnsi="Times New Roman" w:cs="Times New Roman"/>
          <w:sz w:val="24"/>
          <w:szCs w:val="24"/>
          <w:lang w:eastAsia="hr-HR"/>
        </w:rPr>
        <w:instrText xml:space="preserve"> INCLUDEPICTURE "http://www.inet.hr/~box/images/grb-rh.gif" \* MERGEFORMATINET </w:instrText>
      </w:r>
      <w:r w:rsidRPr="005D1893">
        <w:rPr>
          <w:rFonts w:ascii="Times New Roman" w:eastAsia="Times New Roman" w:hAnsi="Times New Roman" w:cs="Times New Roman"/>
          <w:sz w:val="24"/>
          <w:szCs w:val="24"/>
          <w:lang w:eastAsia="hr-HR"/>
        </w:rPr>
        <w:fldChar w:fldCharType="end"/>
      </w:r>
    </w:p>
    <w:p w14:paraId="157F2BDB" w14:textId="77777777" w:rsidR="005D1893" w:rsidRPr="005D1893" w:rsidRDefault="005D1893" w:rsidP="005D1893">
      <w:pPr>
        <w:spacing w:before="60" w:after="1680" w:line="240" w:lineRule="auto"/>
        <w:jc w:val="center"/>
        <w:rPr>
          <w:rFonts w:ascii="Times New Roman" w:eastAsia="Times New Roman" w:hAnsi="Times New Roman" w:cs="Times New Roman"/>
          <w:sz w:val="28"/>
          <w:szCs w:val="24"/>
          <w:lang w:eastAsia="hr-HR"/>
        </w:rPr>
      </w:pPr>
      <w:r w:rsidRPr="005D1893">
        <w:rPr>
          <w:rFonts w:ascii="Times New Roman" w:eastAsia="Times New Roman" w:hAnsi="Times New Roman" w:cs="Times New Roman"/>
          <w:sz w:val="28"/>
          <w:szCs w:val="24"/>
          <w:lang w:eastAsia="hr-HR"/>
        </w:rPr>
        <w:t>VLADA REPUBLIKE HRVATSKE</w:t>
      </w:r>
    </w:p>
    <w:p w14:paraId="4AC22755" w14:textId="77777777" w:rsidR="005D1893" w:rsidRPr="005D1893" w:rsidRDefault="005D1893" w:rsidP="005D189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156BB941" w14:textId="56E28466" w:rsidR="005D1893" w:rsidRPr="005D1893" w:rsidRDefault="005D1893" w:rsidP="005D1893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5D1893">
        <w:rPr>
          <w:rFonts w:ascii="Times New Roman" w:eastAsia="Times New Roman" w:hAnsi="Times New Roman" w:cs="Times New Roman"/>
          <w:sz w:val="24"/>
          <w:szCs w:val="24"/>
          <w:lang w:eastAsia="hr-HR"/>
        </w:rPr>
        <w:t>Zagreb, 2</w:t>
      </w:r>
      <w:r w:rsidR="00172C1C">
        <w:rPr>
          <w:rFonts w:ascii="Times New Roman" w:eastAsia="Times New Roman" w:hAnsi="Times New Roman" w:cs="Times New Roman"/>
          <w:sz w:val="24"/>
          <w:szCs w:val="24"/>
          <w:lang w:eastAsia="hr-HR"/>
        </w:rPr>
        <w:t>8</w:t>
      </w:r>
      <w:bookmarkStart w:id="0" w:name="_GoBack"/>
      <w:bookmarkEnd w:id="0"/>
      <w:r w:rsidRPr="005D1893">
        <w:rPr>
          <w:rFonts w:ascii="Times New Roman" w:eastAsia="Times New Roman" w:hAnsi="Times New Roman" w:cs="Times New Roman"/>
          <w:sz w:val="24"/>
          <w:szCs w:val="24"/>
          <w:lang w:eastAsia="hr-HR"/>
        </w:rPr>
        <w:t>. listopada 2021.</w:t>
      </w:r>
    </w:p>
    <w:p w14:paraId="60AEB021" w14:textId="77777777" w:rsidR="005D1893" w:rsidRPr="005D1893" w:rsidRDefault="005D1893" w:rsidP="005D1893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28A7C0B3" w14:textId="77777777" w:rsidR="005D1893" w:rsidRPr="005D1893" w:rsidRDefault="005D1893" w:rsidP="005D1893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46985D48" w14:textId="77777777" w:rsidR="005D1893" w:rsidRPr="005D1893" w:rsidRDefault="005D1893" w:rsidP="005D1893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5E3F6D38" w14:textId="77777777" w:rsidR="005D1893" w:rsidRPr="005D1893" w:rsidRDefault="005D1893" w:rsidP="005D1893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424DE3EC" w14:textId="77777777" w:rsidR="005D1893" w:rsidRPr="005D1893" w:rsidRDefault="005D1893" w:rsidP="005D1893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412DA1C3" w14:textId="77777777" w:rsidR="005D1893" w:rsidRPr="005D1893" w:rsidRDefault="005D1893" w:rsidP="005D1893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0EA38531" w14:textId="77777777" w:rsidR="005D1893" w:rsidRPr="005D1893" w:rsidRDefault="005D1893" w:rsidP="005D1893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323969FD" w14:textId="77777777" w:rsidR="005D1893" w:rsidRPr="005D1893" w:rsidRDefault="005D1893" w:rsidP="005D189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5D1893">
        <w:rPr>
          <w:rFonts w:ascii="Times New Roman" w:eastAsia="Times New Roman" w:hAnsi="Times New Roman" w:cs="Times New Roman"/>
          <w:sz w:val="24"/>
          <w:szCs w:val="24"/>
          <w:lang w:eastAsia="hr-HR"/>
        </w:rPr>
        <w:t>__________________________________________________________________________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51"/>
        <w:gridCol w:w="7229"/>
      </w:tblGrid>
      <w:tr w:rsidR="005D1893" w:rsidRPr="005D1893" w14:paraId="46A32A30" w14:textId="77777777" w:rsidTr="00F51257">
        <w:tc>
          <w:tcPr>
            <w:tcW w:w="1951" w:type="dxa"/>
          </w:tcPr>
          <w:p w14:paraId="5FA3E9CC" w14:textId="77777777" w:rsidR="005D1893" w:rsidRPr="005D1893" w:rsidRDefault="005D1893" w:rsidP="005D1893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5D1893">
              <w:rPr>
                <w:b/>
                <w:smallCaps/>
                <w:sz w:val="24"/>
                <w:szCs w:val="24"/>
              </w:rPr>
              <w:t>Predlagatelj</w:t>
            </w:r>
            <w:r w:rsidRPr="005D1893">
              <w:rPr>
                <w:b/>
                <w:sz w:val="24"/>
                <w:szCs w:val="24"/>
              </w:rPr>
              <w:t>:</w:t>
            </w:r>
          </w:p>
        </w:tc>
        <w:tc>
          <w:tcPr>
            <w:tcW w:w="7229" w:type="dxa"/>
          </w:tcPr>
          <w:p w14:paraId="2E4D1D9D" w14:textId="77777777" w:rsidR="005D1893" w:rsidRPr="005D1893" w:rsidRDefault="005D1893" w:rsidP="005D1893">
            <w:pPr>
              <w:rPr>
                <w:sz w:val="24"/>
                <w:szCs w:val="24"/>
              </w:rPr>
            </w:pPr>
            <w:r w:rsidRPr="005D1893">
              <w:rPr>
                <w:sz w:val="24"/>
                <w:szCs w:val="24"/>
              </w:rPr>
              <w:t>Ministarstvo obrane</w:t>
            </w:r>
          </w:p>
          <w:p w14:paraId="5F75D617" w14:textId="77777777" w:rsidR="005D1893" w:rsidRPr="005D1893" w:rsidRDefault="005D1893" w:rsidP="005D1893">
            <w:pPr>
              <w:rPr>
                <w:sz w:val="24"/>
                <w:szCs w:val="24"/>
              </w:rPr>
            </w:pPr>
          </w:p>
        </w:tc>
      </w:tr>
    </w:tbl>
    <w:p w14:paraId="7C965A9C" w14:textId="77777777" w:rsidR="005D1893" w:rsidRPr="005D1893" w:rsidRDefault="005D1893" w:rsidP="005D189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5D1893">
        <w:rPr>
          <w:rFonts w:ascii="Times New Roman" w:eastAsia="Times New Roman" w:hAnsi="Times New Roman" w:cs="Times New Roman"/>
          <w:sz w:val="24"/>
          <w:szCs w:val="24"/>
          <w:lang w:eastAsia="hr-HR"/>
        </w:rPr>
        <w:t>__________________________________________________________________________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51"/>
        <w:gridCol w:w="7229"/>
      </w:tblGrid>
      <w:tr w:rsidR="005D1893" w:rsidRPr="005D1893" w14:paraId="0210FA15" w14:textId="77777777" w:rsidTr="00F51257">
        <w:tc>
          <w:tcPr>
            <w:tcW w:w="1951" w:type="dxa"/>
          </w:tcPr>
          <w:p w14:paraId="2F1F1772" w14:textId="77777777" w:rsidR="005D1893" w:rsidRPr="005D1893" w:rsidRDefault="005D1893" w:rsidP="005D1893">
            <w:pPr>
              <w:spacing w:line="360" w:lineRule="auto"/>
              <w:rPr>
                <w:sz w:val="24"/>
                <w:szCs w:val="24"/>
              </w:rPr>
            </w:pPr>
            <w:r w:rsidRPr="005D1893">
              <w:rPr>
                <w:b/>
                <w:smallCaps/>
                <w:sz w:val="24"/>
                <w:szCs w:val="24"/>
              </w:rPr>
              <w:t>Predmet</w:t>
            </w:r>
            <w:r w:rsidRPr="005D1893">
              <w:rPr>
                <w:b/>
                <w:sz w:val="24"/>
                <w:szCs w:val="24"/>
              </w:rPr>
              <w:t>:</w:t>
            </w:r>
          </w:p>
        </w:tc>
        <w:tc>
          <w:tcPr>
            <w:tcW w:w="7229" w:type="dxa"/>
          </w:tcPr>
          <w:p w14:paraId="5CC0D886" w14:textId="22A50BB8" w:rsidR="00824ACC" w:rsidRPr="00824ACC" w:rsidRDefault="005D1893" w:rsidP="00824ACC">
            <w:pPr>
              <w:autoSpaceDE w:val="0"/>
              <w:autoSpaceDN w:val="0"/>
              <w:adjustRightInd w:val="0"/>
              <w:jc w:val="both"/>
              <w:rPr>
                <w:color w:val="FF0000"/>
                <w:sz w:val="24"/>
                <w:szCs w:val="24"/>
              </w:rPr>
            </w:pPr>
            <w:r w:rsidRPr="005D1893">
              <w:rPr>
                <w:rFonts w:eastAsia="Calibri"/>
                <w:sz w:val="24"/>
                <w:szCs w:val="24"/>
              </w:rPr>
              <w:t xml:space="preserve">Nacrt prijedloga </w:t>
            </w:r>
            <w:r w:rsidR="00824ACC" w:rsidRPr="00824ACC">
              <w:rPr>
                <w:sz w:val="24"/>
                <w:szCs w:val="24"/>
              </w:rPr>
              <w:t xml:space="preserve">odluke o sudjelovanju </w:t>
            </w:r>
            <w:r w:rsidR="00824ACC">
              <w:rPr>
                <w:sz w:val="24"/>
                <w:szCs w:val="24"/>
              </w:rPr>
              <w:t>O</w:t>
            </w:r>
            <w:r w:rsidR="00824ACC" w:rsidRPr="00824ACC">
              <w:rPr>
                <w:sz w:val="24"/>
                <w:szCs w:val="24"/>
              </w:rPr>
              <w:t>ružanih snaga</w:t>
            </w:r>
            <w:r w:rsidR="00824ACC">
              <w:rPr>
                <w:sz w:val="24"/>
                <w:szCs w:val="24"/>
              </w:rPr>
              <w:t xml:space="preserve"> R</w:t>
            </w:r>
            <w:r w:rsidR="00824ACC" w:rsidRPr="00824ACC">
              <w:rPr>
                <w:sz w:val="24"/>
                <w:szCs w:val="24"/>
              </w:rPr>
              <w:t xml:space="preserve">epublike </w:t>
            </w:r>
            <w:r w:rsidR="00824ACC">
              <w:rPr>
                <w:sz w:val="24"/>
                <w:szCs w:val="24"/>
              </w:rPr>
              <w:t>H</w:t>
            </w:r>
            <w:r w:rsidR="00824ACC" w:rsidRPr="00824ACC">
              <w:rPr>
                <w:sz w:val="24"/>
                <w:szCs w:val="24"/>
              </w:rPr>
              <w:t xml:space="preserve">rvatske u sklopu aktivnosti ojačane prednje prisutnosti NATO-a u </w:t>
            </w:r>
            <w:r w:rsidR="00824ACC">
              <w:rPr>
                <w:sz w:val="24"/>
                <w:szCs w:val="24"/>
              </w:rPr>
              <w:t>R</w:t>
            </w:r>
            <w:r w:rsidR="00824ACC" w:rsidRPr="00824ACC">
              <w:rPr>
                <w:sz w:val="24"/>
                <w:szCs w:val="24"/>
              </w:rPr>
              <w:t xml:space="preserve">epublici </w:t>
            </w:r>
            <w:r w:rsidR="00824ACC">
              <w:rPr>
                <w:sz w:val="24"/>
                <w:szCs w:val="24"/>
              </w:rPr>
              <w:t>L</w:t>
            </w:r>
            <w:r w:rsidR="00824ACC" w:rsidRPr="00824ACC">
              <w:rPr>
                <w:sz w:val="24"/>
                <w:szCs w:val="24"/>
              </w:rPr>
              <w:t xml:space="preserve">itvi </w:t>
            </w:r>
          </w:p>
          <w:p w14:paraId="56D34528" w14:textId="77777777" w:rsidR="005D1893" w:rsidRPr="005D1893" w:rsidRDefault="005D1893" w:rsidP="005D1893">
            <w:pPr>
              <w:jc w:val="both"/>
              <w:rPr>
                <w:bCs/>
                <w:sz w:val="24"/>
                <w:szCs w:val="24"/>
              </w:rPr>
            </w:pPr>
          </w:p>
        </w:tc>
      </w:tr>
    </w:tbl>
    <w:p w14:paraId="6056B658" w14:textId="77777777" w:rsidR="005D1893" w:rsidRPr="005D1893" w:rsidRDefault="005D1893" w:rsidP="005D189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5D1893">
        <w:rPr>
          <w:rFonts w:ascii="Times New Roman" w:eastAsia="Times New Roman" w:hAnsi="Times New Roman" w:cs="Times New Roman"/>
          <w:sz w:val="24"/>
          <w:szCs w:val="24"/>
          <w:lang w:eastAsia="hr-HR"/>
        </w:rPr>
        <w:t>__________________________________________________________________________</w:t>
      </w:r>
    </w:p>
    <w:p w14:paraId="799E2915" w14:textId="77777777" w:rsidR="005D1893" w:rsidRPr="005D1893" w:rsidRDefault="005D1893" w:rsidP="005D189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439AF6AD" w14:textId="77777777" w:rsidR="005D1893" w:rsidRPr="005D1893" w:rsidRDefault="005D1893" w:rsidP="005D189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2AF621FE" w14:textId="77777777" w:rsidR="005D1893" w:rsidRPr="005D1893" w:rsidRDefault="005D1893" w:rsidP="005D189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3F82CA44" w14:textId="77777777" w:rsidR="005D1893" w:rsidRPr="005D1893" w:rsidRDefault="005D1893" w:rsidP="005D189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17966700" w14:textId="77777777" w:rsidR="005D1893" w:rsidRPr="005D1893" w:rsidRDefault="005D1893" w:rsidP="005D189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7FFA2BBC" w14:textId="77777777" w:rsidR="005D1893" w:rsidRPr="005D1893" w:rsidRDefault="005D1893" w:rsidP="005D1893">
      <w:pPr>
        <w:tabs>
          <w:tab w:val="center" w:pos="4536"/>
          <w:tab w:val="right" w:pos="9072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3B6CC91A" w14:textId="77777777" w:rsidR="005D1893" w:rsidRPr="005D1893" w:rsidRDefault="005D1893" w:rsidP="005D189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576BC362" w14:textId="77777777" w:rsidR="005D1893" w:rsidRPr="005D1893" w:rsidRDefault="005D1893" w:rsidP="005D189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5D1893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</w:p>
    <w:p w14:paraId="5C3377BE" w14:textId="77777777" w:rsidR="005D1893" w:rsidRPr="005D1893" w:rsidRDefault="005D1893" w:rsidP="005D189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3D859881" w14:textId="77777777" w:rsidR="005D1893" w:rsidRPr="005D1893" w:rsidRDefault="005D1893" w:rsidP="005D189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49385698" w14:textId="77777777" w:rsidR="005D1893" w:rsidRPr="005D1893" w:rsidRDefault="005D1893" w:rsidP="005D189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115ED4DF" w14:textId="77777777" w:rsidR="005D1893" w:rsidRPr="005D1893" w:rsidRDefault="005D1893" w:rsidP="005D189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7E1925B5" w14:textId="77777777" w:rsidR="005D1893" w:rsidRPr="005D1893" w:rsidRDefault="005D1893" w:rsidP="005D189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25C88186" w14:textId="77777777" w:rsidR="005D1893" w:rsidRPr="005D1893" w:rsidRDefault="005D1893" w:rsidP="005D189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181DB365" w14:textId="0B449134" w:rsidR="005D1893" w:rsidRDefault="005D1893" w:rsidP="005D189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60832B5D" w14:textId="05949BD5" w:rsidR="005D1893" w:rsidRDefault="005D1893" w:rsidP="005D189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312AF101" w14:textId="77777777" w:rsidR="005D1893" w:rsidRPr="005D1893" w:rsidRDefault="005D1893" w:rsidP="005D189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4677E8A2" w14:textId="77777777" w:rsidR="005D1893" w:rsidRPr="005D1893" w:rsidRDefault="005D1893" w:rsidP="005D189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01245883" w14:textId="77777777" w:rsidR="005D1893" w:rsidRPr="005D1893" w:rsidRDefault="005D1893" w:rsidP="005D189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6A643BE8" w14:textId="77777777" w:rsidR="005D1893" w:rsidRPr="005D1893" w:rsidRDefault="005D1893" w:rsidP="005D189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25CF12B7" w14:textId="5FFBACBD" w:rsidR="005D1893" w:rsidRPr="005D1893" w:rsidRDefault="005D1893" w:rsidP="005D1893">
      <w:pPr>
        <w:pBdr>
          <w:top w:val="single" w:sz="4" w:space="1" w:color="404040" w:themeColor="text1" w:themeTint="BF"/>
        </w:pBdr>
        <w:tabs>
          <w:tab w:val="center" w:pos="4536"/>
          <w:tab w:val="right" w:pos="9072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404040" w:themeColor="text1" w:themeTint="BF"/>
          <w:spacing w:val="20"/>
          <w:sz w:val="20"/>
          <w:szCs w:val="24"/>
          <w:lang w:eastAsia="hr-HR"/>
        </w:rPr>
      </w:pPr>
      <w:r w:rsidRPr="005D1893">
        <w:rPr>
          <w:rFonts w:ascii="Times New Roman" w:eastAsia="Times New Roman" w:hAnsi="Times New Roman" w:cs="Times New Roman"/>
          <w:color w:val="404040" w:themeColor="text1" w:themeTint="BF"/>
          <w:spacing w:val="20"/>
          <w:sz w:val="20"/>
          <w:szCs w:val="24"/>
          <w:lang w:eastAsia="hr-HR"/>
        </w:rPr>
        <w:t xml:space="preserve">     Banski dvori | Trg Sv. Marka 2  | 10000 Zagreb | tel. 01 4569 222 | vlada.gov.hr</w:t>
      </w:r>
      <w:r w:rsidRPr="005D1893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</w:p>
    <w:p w14:paraId="33B9306F" w14:textId="599B6E4D" w:rsidR="00A05FA9" w:rsidRDefault="00A05FA9" w:rsidP="00A05FA9">
      <w:pPr>
        <w:pBdr>
          <w:bottom w:val="single" w:sz="4" w:space="1" w:color="auto"/>
        </w:pBd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  <w:r w:rsidRPr="003D559C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lastRenderedPageBreak/>
        <w:t>VLADA REPUBLIKE HRVATSKE</w:t>
      </w:r>
    </w:p>
    <w:p w14:paraId="6283E3EB" w14:textId="77777777" w:rsidR="00A05FA9" w:rsidRPr="00541CA8" w:rsidRDefault="00A05FA9" w:rsidP="00A05FA9">
      <w:pPr>
        <w:autoSpaceDE w:val="0"/>
        <w:autoSpaceDN w:val="0"/>
        <w:adjustRightInd w:val="0"/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14:paraId="78CBA727" w14:textId="77777777" w:rsidR="00A05FA9" w:rsidRDefault="00A05FA9" w:rsidP="00A05FA9">
      <w:pPr>
        <w:autoSpaceDE w:val="0"/>
        <w:autoSpaceDN w:val="0"/>
        <w:adjustRightInd w:val="0"/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14:paraId="0168E7D3" w14:textId="77777777" w:rsidR="000E79DE" w:rsidRDefault="000E79DE" w:rsidP="00A05FA9">
      <w:pPr>
        <w:autoSpaceDE w:val="0"/>
        <w:autoSpaceDN w:val="0"/>
        <w:adjustRightInd w:val="0"/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14:paraId="07153232" w14:textId="77777777" w:rsidR="00A05FA9" w:rsidRDefault="00A05FA9" w:rsidP="00A05FA9">
      <w:pPr>
        <w:autoSpaceDE w:val="0"/>
        <w:autoSpaceDN w:val="0"/>
        <w:adjustRightInd w:val="0"/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14:paraId="53335844" w14:textId="77777777" w:rsidR="00A05FA9" w:rsidRDefault="00A05FA9" w:rsidP="00A05FA9">
      <w:pPr>
        <w:autoSpaceDE w:val="0"/>
        <w:autoSpaceDN w:val="0"/>
        <w:adjustRightInd w:val="0"/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14:paraId="73CE1A11" w14:textId="77777777" w:rsidR="00A05FA9" w:rsidRDefault="00A05FA9" w:rsidP="00A05FA9">
      <w:pPr>
        <w:autoSpaceDE w:val="0"/>
        <w:autoSpaceDN w:val="0"/>
        <w:adjustRightInd w:val="0"/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14:paraId="08682BCC" w14:textId="0C41B6D4" w:rsidR="008931FB" w:rsidRDefault="00151D31" w:rsidP="008931FB">
      <w:pPr>
        <w:autoSpaceDE w:val="0"/>
        <w:autoSpaceDN w:val="0"/>
        <w:adjustRightInd w:val="0"/>
        <w:spacing w:after="0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N</w:t>
      </w:r>
      <w:r w:rsidR="00DE6B80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 a c r t</w:t>
      </w:r>
    </w:p>
    <w:p w14:paraId="39880CAE" w14:textId="77777777" w:rsidR="00A05FA9" w:rsidRDefault="00A05FA9" w:rsidP="00A05FA9">
      <w:pPr>
        <w:autoSpaceDE w:val="0"/>
        <w:autoSpaceDN w:val="0"/>
        <w:adjustRightInd w:val="0"/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14:paraId="335B3FFC" w14:textId="77777777" w:rsidR="00A05FA9" w:rsidRDefault="00A05FA9" w:rsidP="00A05FA9">
      <w:pPr>
        <w:autoSpaceDE w:val="0"/>
        <w:autoSpaceDN w:val="0"/>
        <w:adjustRightInd w:val="0"/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14:paraId="284A4549" w14:textId="77777777" w:rsidR="008D5898" w:rsidRDefault="008D5898" w:rsidP="00A05FA9">
      <w:pPr>
        <w:autoSpaceDE w:val="0"/>
        <w:autoSpaceDN w:val="0"/>
        <w:adjustRightInd w:val="0"/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14:paraId="232DADBF" w14:textId="77777777" w:rsidR="004D1237" w:rsidRDefault="004D1237" w:rsidP="004D1237">
      <w:pPr>
        <w:autoSpaceDE w:val="0"/>
        <w:autoSpaceDN w:val="0"/>
        <w:adjustRightInd w:val="0"/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14:paraId="2A6F43C4" w14:textId="77777777" w:rsidR="004D1237" w:rsidRDefault="004D1237" w:rsidP="004D1237">
      <w:pPr>
        <w:autoSpaceDE w:val="0"/>
        <w:autoSpaceDN w:val="0"/>
        <w:adjustRightInd w:val="0"/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14:paraId="098785B5" w14:textId="77777777" w:rsidR="004D1237" w:rsidRDefault="004D1237" w:rsidP="004D1237">
      <w:pPr>
        <w:autoSpaceDE w:val="0"/>
        <w:autoSpaceDN w:val="0"/>
        <w:adjustRightInd w:val="0"/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14:paraId="64E0174F" w14:textId="77777777" w:rsidR="0003260F" w:rsidRDefault="0003260F" w:rsidP="004D1237">
      <w:pPr>
        <w:autoSpaceDE w:val="0"/>
        <w:autoSpaceDN w:val="0"/>
        <w:adjustRightInd w:val="0"/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14:paraId="03EB0EFD" w14:textId="77777777" w:rsidR="0003260F" w:rsidRDefault="0003260F" w:rsidP="004D1237">
      <w:pPr>
        <w:autoSpaceDE w:val="0"/>
        <w:autoSpaceDN w:val="0"/>
        <w:adjustRightInd w:val="0"/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14:paraId="4A4D1DDA" w14:textId="7C2290EC" w:rsidR="004D1237" w:rsidRDefault="00151D31" w:rsidP="004D1237">
      <w:pPr>
        <w:autoSpaceDE w:val="0"/>
        <w:autoSpaceDN w:val="0"/>
        <w:adjustRightInd w:val="0"/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PRIJEDLOG ODLUKE </w:t>
      </w:r>
      <w:r w:rsidR="004D1237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O SUDJELOVANJU ORUŽANIH SNAGA</w:t>
      </w:r>
    </w:p>
    <w:p w14:paraId="0B7F069F" w14:textId="77777777" w:rsidR="004D1237" w:rsidRDefault="004D1237" w:rsidP="004D1237">
      <w:pPr>
        <w:autoSpaceDE w:val="0"/>
        <w:autoSpaceDN w:val="0"/>
        <w:adjustRightInd w:val="0"/>
        <w:spacing w:after="0"/>
        <w:jc w:val="center"/>
        <w:rPr>
          <w:rFonts w:ascii="Times New Roman" w:eastAsia="Times New Roman" w:hAnsi="Times New Roman" w:cs="Times New Roman"/>
          <w:color w:val="FF0000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REPUBLIKE HRVATSKE U SKLOPU AKTIVNOSTI OJAČANE PREDNJE PRISUTNOSTI NATO-a U REPUBLICI LITVI </w:t>
      </w:r>
    </w:p>
    <w:p w14:paraId="6AACE851" w14:textId="77777777" w:rsidR="00A05FA9" w:rsidRDefault="00A05FA9" w:rsidP="00A05FA9">
      <w:pPr>
        <w:jc w:val="center"/>
      </w:pPr>
    </w:p>
    <w:p w14:paraId="065961AB" w14:textId="77777777" w:rsidR="00A05FA9" w:rsidRDefault="00A05FA9" w:rsidP="00A05FA9">
      <w:pPr>
        <w:jc w:val="center"/>
      </w:pPr>
    </w:p>
    <w:p w14:paraId="2E04825D" w14:textId="77777777" w:rsidR="00A05FA9" w:rsidRDefault="00A05FA9" w:rsidP="00A05FA9">
      <w:pPr>
        <w:autoSpaceDE w:val="0"/>
        <w:autoSpaceDN w:val="0"/>
        <w:adjustRightInd w:val="0"/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14:paraId="7E09E7D3" w14:textId="77777777" w:rsidR="00A05FA9" w:rsidRDefault="00A05FA9" w:rsidP="00A05FA9">
      <w:pPr>
        <w:autoSpaceDE w:val="0"/>
        <w:autoSpaceDN w:val="0"/>
        <w:adjustRightInd w:val="0"/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14:paraId="5D0F72C6" w14:textId="77777777" w:rsidR="00A05FA9" w:rsidRDefault="00A05FA9" w:rsidP="00A05FA9">
      <w:pPr>
        <w:autoSpaceDE w:val="0"/>
        <w:autoSpaceDN w:val="0"/>
        <w:adjustRightInd w:val="0"/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14:paraId="34B31024" w14:textId="77777777" w:rsidR="00A05FA9" w:rsidRDefault="00A05FA9" w:rsidP="00A05FA9">
      <w:pPr>
        <w:autoSpaceDE w:val="0"/>
        <w:autoSpaceDN w:val="0"/>
        <w:adjustRightInd w:val="0"/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14:paraId="547EF25E" w14:textId="77777777" w:rsidR="00A05FA9" w:rsidRDefault="00A05FA9" w:rsidP="00A05FA9">
      <w:pPr>
        <w:autoSpaceDE w:val="0"/>
        <w:autoSpaceDN w:val="0"/>
        <w:adjustRightInd w:val="0"/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14:paraId="2524F051" w14:textId="77777777" w:rsidR="00A05FA9" w:rsidRDefault="00A05FA9" w:rsidP="00A05FA9">
      <w:pPr>
        <w:autoSpaceDE w:val="0"/>
        <w:autoSpaceDN w:val="0"/>
        <w:adjustRightInd w:val="0"/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14:paraId="15242A0C" w14:textId="77777777" w:rsidR="00A05FA9" w:rsidRDefault="00A05FA9" w:rsidP="00A05FA9">
      <w:pPr>
        <w:autoSpaceDE w:val="0"/>
        <w:autoSpaceDN w:val="0"/>
        <w:adjustRightInd w:val="0"/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14:paraId="276DC0F0" w14:textId="77777777" w:rsidR="00A05FA9" w:rsidRDefault="00A05FA9" w:rsidP="00A05FA9">
      <w:pPr>
        <w:autoSpaceDE w:val="0"/>
        <w:autoSpaceDN w:val="0"/>
        <w:adjustRightInd w:val="0"/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14:paraId="388F81F7" w14:textId="77777777" w:rsidR="00A05FA9" w:rsidRDefault="00A05FA9" w:rsidP="00A05FA9">
      <w:pPr>
        <w:autoSpaceDE w:val="0"/>
        <w:autoSpaceDN w:val="0"/>
        <w:adjustRightInd w:val="0"/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14:paraId="28FA6D52" w14:textId="77777777" w:rsidR="00A05FA9" w:rsidRDefault="00A05FA9" w:rsidP="00A05FA9">
      <w:pPr>
        <w:autoSpaceDE w:val="0"/>
        <w:autoSpaceDN w:val="0"/>
        <w:adjustRightInd w:val="0"/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14:paraId="5E847BFC" w14:textId="77777777" w:rsidR="00D104FD" w:rsidRDefault="00D104FD" w:rsidP="00A05FA9">
      <w:pPr>
        <w:autoSpaceDE w:val="0"/>
        <w:autoSpaceDN w:val="0"/>
        <w:adjustRightInd w:val="0"/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14:paraId="1B95524F" w14:textId="77777777" w:rsidR="00D104FD" w:rsidRDefault="00D104FD" w:rsidP="00A05FA9">
      <w:pPr>
        <w:autoSpaceDE w:val="0"/>
        <w:autoSpaceDN w:val="0"/>
        <w:adjustRightInd w:val="0"/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14:paraId="4A83596B" w14:textId="77777777" w:rsidR="00D104FD" w:rsidRDefault="00D104FD" w:rsidP="00A05FA9">
      <w:pPr>
        <w:autoSpaceDE w:val="0"/>
        <w:autoSpaceDN w:val="0"/>
        <w:adjustRightInd w:val="0"/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14:paraId="2A40B42A" w14:textId="77777777" w:rsidR="00A05FA9" w:rsidRDefault="00A05FA9" w:rsidP="00A05FA9">
      <w:pPr>
        <w:autoSpaceDE w:val="0"/>
        <w:autoSpaceDN w:val="0"/>
        <w:adjustRightInd w:val="0"/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14:paraId="0F4C6CC7" w14:textId="77777777" w:rsidR="00A05FA9" w:rsidRDefault="00A05FA9" w:rsidP="00A05FA9">
      <w:pPr>
        <w:autoSpaceDE w:val="0"/>
        <w:autoSpaceDN w:val="0"/>
        <w:adjustRightInd w:val="0"/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14:paraId="01F5C6A5" w14:textId="77777777" w:rsidR="00A05FA9" w:rsidRDefault="00A05FA9" w:rsidP="00A05FA9">
      <w:pPr>
        <w:autoSpaceDE w:val="0"/>
        <w:autoSpaceDN w:val="0"/>
        <w:adjustRightInd w:val="0"/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14:paraId="271B60A2" w14:textId="77777777" w:rsidR="00A05FA9" w:rsidRDefault="00A05FA9" w:rsidP="00A05FA9">
      <w:pPr>
        <w:autoSpaceDE w:val="0"/>
        <w:autoSpaceDN w:val="0"/>
        <w:adjustRightInd w:val="0"/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14:paraId="017AFDBD" w14:textId="77777777" w:rsidR="00A05FA9" w:rsidRDefault="00A05FA9" w:rsidP="00A05FA9">
      <w:pPr>
        <w:autoSpaceDE w:val="0"/>
        <w:autoSpaceDN w:val="0"/>
        <w:adjustRightInd w:val="0"/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14:paraId="314105B4" w14:textId="77777777" w:rsidR="00A05FA9" w:rsidRPr="00541CA8" w:rsidRDefault="00A05FA9" w:rsidP="00A05FA9">
      <w:pPr>
        <w:autoSpaceDE w:val="0"/>
        <w:autoSpaceDN w:val="0"/>
        <w:adjustRightInd w:val="0"/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14:paraId="26848C68" w14:textId="258A52FB" w:rsidR="00A05FA9" w:rsidRPr="003D559C" w:rsidRDefault="00A05FA9" w:rsidP="00A05FA9">
      <w:pPr>
        <w:pBdr>
          <w:top w:val="single" w:sz="4" w:space="1" w:color="auto"/>
        </w:pBd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</w:pPr>
      <w:r w:rsidRPr="003D559C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Zagreb, </w:t>
      </w:r>
      <w:r w:rsidR="00E80C2C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listopad</w:t>
      </w:r>
      <w:r w:rsidR="00C52C08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202</w:t>
      </w:r>
      <w:r w:rsidR="003364AC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1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.</w:t>
      </w:r>
    </w:p>
    <w:p w14:paraId="460B263B" w14:textId="77777777" w:rsidR="00A05FA9" w:rsidRDefault="00A05FA9" w:rsidP="00A05FA9">
      <w:pPr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br w:type="page"/>
      </w:r>
    </w:p>
    <w:p w14:paraId="3EE7E846" w14:textId="70117EEB" w:rsidR="00B03A67" w:rsidRDefault="00B03A67" w:rsidP="004D1918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0705B">
        <w:rPr>
          <w:rFonts w:ascii="Times New Roman" w:hAnsi="Times New Roman" w:cs="Times New Roman"/>
          <w:b/>
          <w:sz w:val="24"/>
          <w:szCs w:val="24"/>
        </w:rPr>
        <w:lastRenderedPageBreak/>
        <w:t>PRIJEDLOG ODLUKE O SUDJELOVANJU ORUŽANIH SNAGA</w:t>
      </w:r>
      <w:r w:rsidR="00151D31">
        <w:rPr>
          <w:rFonts w:ascii="Times New Roman" w:hAnsi="Times New Roman" w:cs="Times New Roman"/>
          <w:b/>
          <w:sz w:val="24"/>
          <w:szCs w:val="24"/>
        </w:rPr>
        <w:t xml:space="preserve"> REPUBLIKE HRVATSKE U SKLOPU</w:t>
      </w:r>
      <w:r w:rsidR="000847D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B0705B">
        <w:rPr>
          <w:rFonts w:ascii="Times New Roman" w:hAnsi="Times New Roman" w:cs="Times New Roman"/>
          <w:b/>
          <w:sz w:val="24"/>
          <w:szCs w:val="24"/>
        </w:rPr>
        <w:t>AKTIVNOSTI</w:t>
      </w:r>
      <w:r w:rsidR="00A05FA9" w:rsidRPr="00B0705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85970">
        <w:rPr>
          <w:rFonts w:ascii="Times New Roman" w:hAnsi="Times New Roman" w:cs="Times New Roman"/>
          <w:b/>
          <w:sz w:val="24"/>
          <w:szCs w:val="24"/>
        </w:rPr>
        <w:t>OJAČ</w:t>
      </w:r>
      <w:r w:rsidRPr="00B0705B">
        <w:rPr>
          <w:rFonts w:ascii="Times New Roman" w:hAnsi="Times New Roman" w:cs="Times New Roman"/>
          <w:b/>
          <w:sz w:val="24"/>
          <w:szCs w:val="24"/>
        </w:rPr>
        <w:t>ANE PREDNJE PRISUTNOSTI NATO-a U REPUBLICI LITVI</w:t>
      </w:r>
      <w:r w:rsidR="0096257B" w:rsidRPr="0096257B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 </w:t>
      </w:r>
    </w:p>
    <w:p w14:paraId="61C69886" w14:textId="77777777" w:rsidR="00B0705B" w:rsidRPr="00B0705B" w:rsidRDefault="00B0705B" w:rsidP="00B03A6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AD63761" w14:textId="77777777" w:rsidR="00B03A67" w:rsidRPr="00B0705B" w:rsidRDefault="00B03A67" w:rsidP="00B03A6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A3EED76" w14:textId="1C88BBCA" w:rsidR="000847D3" w:rsidRPr="000847D3" w:rsidRDefault="00B03A67" w:rsidP="000847D3">
      <w:pPr>
        <w:pStyle w:val="ListParagraph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0847D3">
        <w:rPr>
          <w:rFonts w:ascii="Times New Roman" w:hAnsi="Times New Roman" w:cs="Times New Roman"/>
          <w:b/>
          <w:sz w:val="24"/>
          <w:szCs w:val="24"/>
        </w:rPr>
        <w:t xml:space="preserve">USTAVNA OSNOVA ZA DONOŠENJE ODLUKE </w:t>
      </w:r>
    </w:p>
    <w:p w14:paraId="610ADD8C" w14:textId="2D8F1C80" w:rsidR="00151D31" w:rsidRPr="00151D31" w:rsidRDefault="00904B14" w:rsidP="00572626">
      <w:pPr>
        <w:spacing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6571C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Na temelju članka 7. stavka 5. Ustava Republike Hrvatske (Narodne novine, br. 85/10 – pročišćeni tekst i 5/14 – Odluka Ustavnog suda Republike Hrvatske) pokreće </w:t>
      </w:r>
      <w:r w:rsidR="00B03A67" w:rsidRPr="00B0705B">
        <w:rPr>
          <w:rFonts w:ascii="Times New Roman" w:hAnsi="Times New Roman" w:cs="Times New Roman"/>
          <w:sz w:val="24"/>
          <w:szCs w:val="24"/>
        </w:rPr>
        <w:t xml:space="preserve">se postupak za donošenje Odluke o sudjelovanju Oružanih snaga Republike Hrvatske u sklopu aktivnosti </w:t>
      </w:r>
      <w:r w:rsidR="00DE38F8">
        <w:rPr>
          <w:rFonts w:ascii="Times New Roman" w:hAnsi="Times New Roman" w:cs="Times New Roman"/>
          <w:sz w:val="24"/>
          <w:szCs w:val="24"/>
        </w:rPr>
        <w:t>o</w:t>
      </w:r>
      <w:r w:rsidR="00D85970">
        <w:rPr>
          <w:rFonts w:ascii="Times New Roman" w:hAnsi="Times New Roman" w:cs="Times New Roman"/>
          <w:sz w:val="24"/>
          <w:szCs w:val="24"/>
        </w:rPr>
        <w:t>jač</w:t>
      </w:r>
      <w:r w:rsidR="00B03A67" w:rsidRPr="00B0705B">
        <w:rPr>
          <w:rFonts w:ascii="Times New Roman" w:hAnsi="Times New Roman" w:cs="Times New Roman"/>
          <w:sz w:val="24"/>
          <w:szCs w:val="24"/>
        </w:rPr>
        <w:t>ane prednje prisutnosti NATO-a u Rep</w:t>
      </w:r>
      <w:r w:rsidR="00572626">
        <w:rPr>
          <w:rFonts w:ascii="Times New Roman" w:hAnsi="Times New Roman" w:cs="Times New Roman"/>
          <w:sz w:val="24"/>
          <w:szCs w:val="24"/>
        </w:rPr>
        <w:t>ublici Litvi (u daljnjem tekstu</w:t>
      </w:r>
      <w:r w:rsidR="00B03A67" w:rsidRPr="00B0705B">
        <w:rPr>
          <w:rFonts w:ascii="Times New Roman" w:hAnsi="Times New Roman" w:cs="Times New Roman"/>
          <w:sz w:val="24"/>
          <w:szCs w:val="24"/>
        </w:rPr>
        <w:t xml:space="preserve"> Odluka). </w:t>
      </w:r>
    </w:p>
    <w:p w14:paraId="11268E4F" w14:textId="56B7C8B8" w:rsidR="00B03A67" w:rsidRPr="00B0705B" w:rsidRDefault="00B03A67" w:rsidP="00650AEE">
      <w:pPr>
        <w:ind w:firstLine="708"/>
        <w:rPr>
          <w:rFonts w:ascii="Times New Roman" w:hAnsi="Times New Roman" w:cs="Times New Roman"/>
          <w:b/>
          <w:sz w:val="24"/>
          <w:szCs w:val="24"/>
        </w:rPr>
      </w:pPr>
      <w:r w:rsidRPr="00B0705B">
        <w:rPr>
          <w:rFonts w:ascii="Times New Roman" w:hAnsi="Times New Roman" w:cs="Times New Roman"/>
          <w:b/>
          <w:sz w:val="24"/>
          <w:szCs w:val="24"/>
        </w:rPr>
        <w:t xml:space="preserve">II. </w:t>
      </w:r>
      <w:r w:rsidR="000E79DE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C1382C">
        <w:rPr>
          <w:rFonts w:ascii="Times New Roman" w:hAnsi="Times New Roman" w:cs="Times New Roman"/>
          <w:b/>
          <w:sz w:val="24"/>
          <w:szCs w:val="24"/>
        </w:rPr>
        <w:tab/>
      </w:r>
      <w:r w:rsidRPr="00B0705B">
        <w:rPr>
          <w:rFonts w:ascii="Times New Roman" w:hAnsi="Times New Roman" w:cs="Times New Roman"/>
          <w:b/>
          <w:sz w:val="24"/>
          <w:szCs w:val="24"/>
        </w:rPr>
        <w:t xml:space="preserve">OCJENA DOSADAŠNJEG STANJA </w:t>
      </w:r>
    </w:p>
    <w:p w14:paraId="65E66C74" w14:textId="469E2C1E" w:rsidR="007939DC" w:rsidRDefault="00904B14" w:rsidP="0021543D">
      <w:pPr>
        <w:autoSpaceDE w:val="0"/>
        <w:autoSpaceDN w:val="0"/>
        <w:adjustRightInd w:val="0"/>
        <w:spacing w:after="120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21543D">
        <w:rPr>
          <w:rFonts w:ascii="Times New Roman" w:eastAsia="Times New Roman" w:hAnsi="Times New Roman" w:cs="Times New Roman"/>
          <w:sz w:val="24"/>
          <w:szCs w:val="24"/>
          <w:lang w:eastAsia="hr-HR"/>
        </w:rPr>
        <w:t>Pojavom novih sigurnosnih izazova te jačanjem nestabilnos</w:t>
      </w:r>
      <w:r w:rsidR="00572626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ti u neposrednom okruženju NATO-a </w:t>
      </w:r>
      <w:r w:rsidRPr="0021543D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od asimetričnih sukoba do hibridnih i terorističkih prijetnji, države članice usuglasile su se oko potrebe jačanja zaštite granica te kolektivne sigurnosti i obrane članica Saveza. </w:t>
      </w:r>
    </w:p>
    <w:p w14:paraId="1E1599B6" w14:textId="0F25C372" w:rsidR="00C1382C" w:rsidRDefault="00904B14" w:rsidP="0021543D">
      <w:pPr>
        <w:autoSpaceDE w:val="0"/>
        <w:autoSpaceDN w:val="0"/>
        <w:adjustRightInd w:val="0"/>
        <w:spacing w:after="120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21543D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Kao odgovor na promijenjene sigurnosne uvjete i nove ugroze, članice </w:t>
      </w:r>
      <w:r w:rsidR="00572626">
        <w:rPr>
          <w:rFonts w:ascii="Times New Roman" w:eastAsia="Times New Roman" w:hAnsi="Times New Roman" w:cs="Times New Roman"/>
          <w:sz w:val="24"/>
          <w:szCs w:val="24"/>
          <w:lang w:eastAsia="hr-HR"/>
        </w:rPr>
        <w:t>NATO-a</w:t>
      </w:r>
      <w:r w:rsidR="008E2398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su</w:t>
      </w:r>
      <w:r w:rsidRPr="0021543D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na samitu u Walesu 2014. usvojile Akcijski plan za spremnost Saveza (u daljnjem tekstu: Akcijski plan) </w:t>
      </w:r>
      <w:r w:rsidR="00DE38F8" w:rsidRPr="0021543D">
        <w:rPr>
          <w:rFonts w:ascii="Times New Roman" w:eastAsia="Times New Roman" w:hAnsi="Times New Roman" w:cs="Times New Roman"/>
          <w:sz w:val="24"/>
          <w:szCs w:val="24"/>
          <w:lang w:eastAsia="hr-HR"/>
        </w:rPr>
        <w:t>radi</w:t>
      </w:r>
      <w:r w:rsidRPr="0021543D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stvaranja novih i jačanja postojećih operativnih sposobnosti </w:t>
      </w:r>
      <w:r w:rsidR="00572626">
        <w:rPr>
          <w:rFonts w:ascii="Times New Roman" w:eastAsia="Times New Roman" w:hAnsi="Times New Roman" w:cs="Times New Roman"/>
          <w:sz w:val="24"/>
          <w:szCs w:val="24"/>
          <w:lang w:eastAsia="hr-HR"/>
        </w:rPr>
        <w:t>NATO-a</w:t>
      </w:r>
      <w:r w:rsidRPr="00541CA8">
        <w:rPr>
          <w:rFonts w:ascii="Times New Roman" w:eastAsia="Times New Roman" w:hAnsi="Times New Roman" w:cs="Times New Roman"/>
          <w:sz w:val="24"/>
          <w:szCs w:val="24"/>
          <w:lang w:eastAsia="hr-HR"/>
        </w:rPr>
        <w:t>.</w:t>
      </w:r>
      <w:r w:rsidRPr="0021543D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541CA8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Implementacija 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Akcijskog plana </w:t>
      </w:r>
      <w:r w:rsidRPr="00541CA8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vodila je 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prema</w:t>
      </w:r>
      <w:r w:rsidRPr="00FA08A8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značajnim promjenama NATO </w:t>
      </w:r>
      <w:r w:rsidRPr="00541CA8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postava snaga te 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je </w:t>
      </w:r>
      <w:r w:rsidRPr="00541CA8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potaknula dugoročnu 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transformaciju </w:t>
      </w:r>
      <w:r w:rsidR="00572626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NATO-a </w:t>
      </w:r>
      <w:r w:rsidRPr="00541CA8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kroz tri ključne komponente: vojnu, političku i institucionalnu. </w:t>
      </w:r>
    </w:p>
    <w:p w14:paraId="271D6D6F" w14:textId="2F01F415" w:rsidR="00904B14" w:rsidRPr="0021543D" w:rsidRDefault="00904B14" w:rsidP="0021543D">
      <w:pPr>
        <w:autoSpaceDE w:val="0"/>
        <w:autoSpaceDN w:val="0"/>
        <w:adjustRightInd w:val="0"/>
        <w:spacing w:after="120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Na NATO samitu u Varšavi</w:t>
      </w:r>
      <w:r w:rsidR="00E80C2C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u srpnju 2016.</w:t>
      </w:r>
      <w:r w:rsidRPr="00541CA8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zaključeno je kako je implementacija </w:t>
      </w:r>
      <w:r w:rsidRPr="0021543D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Akcijskog plana </w:t>
      </w:r>
      <w:r w:rsidRPr="00541CA8">
        <w:rPr>
          <w:rFonts w:ascii="Times New Roman" w:eastAsia="Times New Roman" w:hAnsi="Times New Roman" w:cs="Times New Roman"/>
          <w:sz w:val="24"/>
          <w:szCs w:val="24"/>
          <w:lang w:eastAsia="hr-HR"/>
        </w:rPr>
        <w:t>uspješno provedena, no zbog prijetnji i izazova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koji imaju dugoročna obilježja</w:t>
      </w:r>
      <w:r w:rsidRPr="00541CA8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države članice </w:t>
      </w:r>
      <w:r w:rsidR="00572626">
        <w:rPr>
          <w:rFonts w:ascii="Times New Roman" w:eastAsia="Times New Roman" w:hAnsi="Times New Roman" w:cs="Times New Roman"/>
          <w:sz w:val="24"/>
          <w:szCs w:val="24"/>
          <w:lang w:eastAsia="hr-HR"/>
        </w:rPr>
        <w:t>NATO-a</w:t>
      </w:r>
      <w:r w:rsidRPr="00541CA8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odlučile su </w:t>
      </w:r>
      <w:r w:rsidR="00DE38F8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djelovati u dva osnovna smjera: dodatnim jačanjem kolektivnog odvraćanja i obrane jačanjem prednje prisutnosti na istoku </w:t>
      </w:r>
      <w:r w:rsidR="00572626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NATO-a </w:t>
      </w:r>
      <w:r w:rsidR="00DE38F8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te projiciranjem stabilnosti izvan granica </w:t>
      </w:r>
      <w:r w:rsidR="00572626">
        <w:rPr>
          <w:rFonts w:ascii="Times New Roman" w:eastAsia="Times New Roman" w:hAnsi="Times New Roman" w:cs="Times New Roman"/>
          <w:sz w:val="24"/>
          <w:szCs w:val="24"/>
          <w:lang w:eastAsia="hr-HR"/>
        </w:rPr>
        <w:t>NATO-a</w:t>
      </w:r>
      <w:r w:rsidR="00DE38F8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izgradnjom institucionalne i sigurnosne arhitekture partnerskih država</w:t>
      </w:r>
      <w:r w:rsidR="00572626" w:rsidRPr="00572626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572626">
        <w:rPr>
          <w:rFonts w:ascii="Times New Roman" w:eastAsia="Times New Roman" w:hAnsi="Times New Roman" w:cs="Times New Roman"/>
          <w:sz w:val="24"/>
          <w:szCs w:val="24"/>
          <w:lang w:eastAsia="hr-HR"/>
        </w:rPr>
        <w:t>NATO-a</w:t>
      </w:r>
      <w:r w:rsidR="00DE38F8">
        <w:rPr>
          <w:rFonts w:ascii="Times New Roman" w:eastAsia="Times New Roman" w:hAnsi="Times New Roman" w:cs="Times New Roman"/>
          <w:sz w:val="24"/>
          <w:szCs w:val="24"/>
          <w:lang w:eastAsia="hr-HR"/>
        </w:rPr>
        <w:t>.</w:t>
      </w:r>
    </w:p>
    <w:p w14:paraId="2215B189" w14:textId="35D99FBD" w:rsidR="00C1382C" w:rsidRDefault="00DE38F8" w:rsidP="0021543D">
      <w:pPr>
        <w:autoSpaceDE w:val="0"/>
        <w:autoSpaceDN w:val="0"/>
        <w:adjustRightInd w:val="0"/>
        <w:spacing w:after="120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Najkonkretniji</w:t>
      </w:r>
      <w:r w:rsidRPr="00541CA8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oblik 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o</w:t>
      </w:r>
      <w:r w:rsidRPr="00541CA8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jačanja kolektivnog odvraćanja i obrane </w:t>
      </w:r>
      <w:r w:rsidR="00572626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NATO-a </w:t>
      </w:r>
      <w:r w:rsidRPr="00541CA8">
        <w:rPr>
          <w:rFonts w:ascii="Times New Roman" w:eastAsia="Times New Roman" w:hAnsi="Times New Roman" w:cs="Times New Roman"/>
          <w:sz w:val="24"/>
          <w:szCs w:val="24"/>
          <w:lang w:eastAsia="hr-HR"/>
        </w:rPr>
        <w:t>je odluka o uspo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stavi ojačane prednje prisutnosti NATO snaga na istočnom krilu </w:t>
      </w:r>
      <w:r w:rsidR="00572626">
        <w:rPr>
          <w:rFonts w:ascii="Times New Roman" w:eastAsia="Times New Roman" w:hAnsi="Times New Roman" w:cs="Times New Roman"/>
          <w:sz w:val="24"/>
          <w:szCs w:val="24"/>
          <w:lang w:eastAsia="hr-HR"/>
        </w:rPr>
        <w:t>NATO-a</w:t>
      </w:r>
      <w:r w:rsidR="00904B14" w:rsidRPr="00541CA8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, što </w:t>
      </w:r>
      <w:r w:rsidR="00904B14">
        <w:rPr>
          <w:rFonts w:ascii="Times New Roman" w:eastAsia="Times New Roman" w:hAnsi="Times New Roman" w:cs="Times New Roman"/>
          <w:sz w:val="24"/>
          <w:szCs w:val="24"/>
          <w:lang w:eastAsia="hr-HR"/>
        </w:rPr>
        <w:t>predstavlja</w:t>
      </w:r>
      <w:r w:rsidR="00904B14" w:rsidRPr="00541CA8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poruk</w:t>
      </w:r>
      <w:r w:rsidR="00904B14">
        <w:rPr>
          <w:rFonts w:ascii="Times New Roman" w:eastAsia="Times New Roman" w:hAnsi="Times New Roman" w:cs="Times New Roman"/>
          <w:sz w:val="24"/>
          <w:szCs w:val="24"/>
          <w:lang w:eastAsia="hr-HR"/>
        </w:rPr>
        <w:t>u zajedništva i</w:t>
      </w:r>
      <w:r w:rsidR="00904B14" w:rsidRPr="00541CA8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jedinstva</w:t>
      </w:r>
      <w:r w:rsidR="00904B14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država članica </w:t>
      </w:r>
      <w:r w:rsidR="00572626">
        <w:rPr>
          <w:rFonts w:ascii="Times New Roman" w:eastAsia="Times New Roman" w:hAnsi="Times New Roman" w:cs="Times New Roman"/>
          <w:sz w:val="24"/>
          <w:szCs w:val="24"/>
          <w:lang w:eastAsia="hr-HR"/>
        </w:rPr>
        <w:t>NATO-a</w:t>
      </w:r>
      <w:r w:rsidR="00904B14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i</w:t>
      </w:r>
      <w:r w:rsidR="00904B14" w:rsidRPr="00541CA8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unaprjeđenj</w:t>
      </w:r>
      <w:r w:rsidR="00904B14">
        <w:rPr>
          <w:rFonts w:ascii="Times New Roman" w:eastAsia="Times New Roman" w:hAnsi="Times New Roman" w:cs="Times New Roman"/>
          <w:sz w:val="24"/>
          <w:szCs w:val="24"/>
          <w:lang w:eastAsia="hr-HR"/>
        </w:rPr>
        <w:t>e</w:t>
      </w:r>
      <w:r w:rsidR="00904B14" w:rsidRPr="00541CA8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transatlantske veze. Pritom treba uzeti u obzir kako je jačanje prednje prisutnosti </w:t>
      </w:r>
      <w:r w:rsidR="00904B14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na istočnom krilu </w:t>
      </w:r>
      <w:r w:rsidR="00904B14" w:rsidRPr="00541CA8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samo jedan segment </w:t>
      </w:r>
      <w:r w:rsidR="00E80C2C">
        <w:rPr>
          <w:rFonts w:ascii="Times New Roman" w:eastAsia="Times New Roman" w:hAnsi="Times New Roman" w:cs="Times New Roman"/>
          <w:sz w:val="24"/>
          <w:szCs w:val="24"/>
          <w:lang w:eastAsia="hr-HR"/>
        </w:rPr>
        <w:t>jačanja odvraćanja i obrane</w:t>
      </w:r>
      <w:r w:rsidR="00904B14" w:rsidRPr="00541CA8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u skladu sa savezničkom politikom spremnosti odgovora na </w:t>
      </w:r>
      <w:r w:rsidR="00904B14">
        <w:rPr>
          <w:rFonts w:ascii="Times New Roman" w:eastAsia="Times New Roman" w:hAnsi="Times New Roman" w:cs="Times New Roman"/>
          <w:sz w:val="24"/>
          <w:szCs w:val="24"/>
          <w:lang w:eastAsia="hr-HR"/>
        </w:rPr>
        <w:t>trenutačne i eventualne buduće</w:t>
      </w:r>
      <w:r w:rsidR="00904B14" w:rsidRPr="00541CA8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prijetnje. </w:t>
      </w:r>
    </w:p>
    <w:p w14:paraId="681C2EA7" w14:textId="35489F66" w:rsidR="0040052E" w:rsidRPr="0021543D" w:rsidRDefault="00904B14" w:rsidP="0021543D">
      <w:pPr>
        <w:autoSpaceDE w:val="0"/>
        <w:autoSpaceDN w:val="0"/>
        <w:adjustRightInd w:val="0"/>
        <w:spacing w:after="120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541CA8">
        <w:rPr>
          <w:rFonts w:ascii="Times New Roman" w:eastAsia="Times New Roman" w:hAnsi="Times New Roman" w:cs="Times New Roman"/>
          <w:sz w:val="24"/>
          <w:szCs w:val="24"/>
          <w:lang w:eastAsia="hr-HR"/>
        </w:rPr>
        <w:t>Sve aktivnosti u okviru jačanja prisutnosti snaga na teritoriju istočnih saveznica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u potpunosti</w:t>
      </w:r>
      <w:r w:rsidRPr="00541CA8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su transparentne te se provode isključivo 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radi </w:t>
      </w:r>
      <w:r w:rsidRPr="00541CA8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jačanja kolektivnog odvraćanja i obrane. </w:t>
      </w:r>
    </w:p>
    <w:p w14:paraId="1BAE9863" w14:textId="6753DA81" w:rsidR="000E79DE" w:rsidRDefault="00DE38F8" w:rsidP="0021543D">
      <w:pPr>
        <w:autoSpaceDE w:val="0"/>
        <w:autoSpaceDN w:val="0"/>
        <w:adjustRightInd w:val="0"/>
        <w:spacing w:after="120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21543D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Hrvatski sabor </w:t>
      </w:r>
      <w:r w:rsidR="005A1CFA" w:rsidRPr="0021543D">
        <w:rPr>
          <w:rFonts w:ascii="Times New Roman" w:eastAsia="Times New Roman" w:hAnsi="Times New Roman" w:cs="Times New Roman"/>
          <w:sz w:val="24"/>
          <w:szCs w:val="24"/>
          <w:lang w:eastAsia="hr-HR"/>
        </w:rPr>
        <w:t>12. srpnja 2019. donio je Odluku o sudjelovanju Oružanih snaga Republike Hrvatske u sklopu aktivnosti ojačane prednje prisutn</w:t>
      </w:r>
      <w:r w:rsidR="00C1382C">
        <w:rPr>
          <w:rFonts w:ascii="Times New Roman" w:eastAsia="Times New Roman" w:hAnsi="Times New Roman" w:cs="Times New Roman"/>
          <w:sz w:val="24"/>
          <w:szCs w:val="24"/>
          <w:lang w:eastAsia="hr-HR"/>
        </w:rPr>
        <w:t>osti NATO-a u Republici Litvi (Narodne novine, br. 69/19</w:t>
      </w:r>
      <w:r w:rsidR="005A1CFA" w:rsidRPr="0021543D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) u </w:t>
      </w:r>
      <w:r w:rsidR="005A1CFA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skladu s kojom se u 2019. i 2020. </w:t>
      </w:r>
      <w:r w:rsidR="00572626">
        <w:rPr>
          <w:rFonts w:ascii="Times New Roman" w:eastAsia="Times New Roman" w:hAnsi="Times New Roman" w:cs="Times New Roman"/>
          <w:sz w:val="24"/>
          <w:szCs w:val="24"/>
          <w:lang w:eastAsia="hr-HR"/>
        </w:rPr>
        <w:t>g</w:t>
      </w:r>
      <w:r w:rsidR="00C1382C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odinu </w:t>
      </w:r>
      <w:r w:rsidR="005A1CFA">
        <w:rPr>
          <w:rFonts w:ascii="Times New Roman" w:eastAsia="Times New Roman" w:hAnsi="Times New Roman" w:cs="Times New Roman"/>
          <w:sz w:val="24"/>
          <w:szCs w:val="24"/>
          <w:lang w:eastAsia="hr-HR"/>
        </w:rPr>
        <w:t>u ovu aktivnost može u Republiku Litvu uputiti do 200 pripadnika Oružanih snaga Republike Hrvatske.</w:t>
      </w:r>
    </w:p>
    <w:p w14:paraId="13FBAC79" w14:textId="77777777" w:rsidR="00650AEE" w:rsidRPr="0021543D" w:rsidRDefault="00650AEE" w:rsidP="00C1382C">
      <w:pPr>
        <w:autoSpaceDE w:val="0"/>
        <w:autoSpaceDN w:val="0"/>
        <w:adjustRightInd w:val="0"/>
        <w:spacing w:after="120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5DC83F75" w14:textId="689AD484" w:rsidR="00B03A67" w:rsidRPr="00B0705B" w:rsidRDefault="00B03A67" w:rsidP="00B03A67">
      <w:pPr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0705B">
        <w:rPr>
          <w:rFonts w:ascii="Times New Roman" w:hAnsi="Times New Roman" w:cs="Times New Roman"/>
          <w:b/>
          <w:sz w:val="24"/>
          <w:szCs w:val="24"/>
        </w:rPr>
        <w:lastRenderedPageBreak/>
        <w:t xml:space="preserve">III. </w:t>
      </w:r>
      <w:r w:rsidR="00D977A1">
        <w:rPr>
          <w:rFonts w:ascii="Times New Roman" w:hAnsi="Times New Roman" w:cs="Times New Roman"/>
          <w:b/>
          <w:sz w:val="24"/>
          <w:szCs w:val="24"/>
        </w:rPr>
        <w:tab/>
      </w:r>
      <w:r w:rsidRPr="00B0705B">
        <w:rPr>
          <w:rFonts w:ascii="Times New Roman" w:hAnsi="Times New Roman" w:cs="Times New Roman"/>
          <w:b/>
          <w:sz w:val="24"/>
          <w:szCs w:val="24"/>
        </w:rPr>
        <w:t xml:space="preserve">RAZLOZI I CILJEVI DONOŠENJA ODLUKE </w:t>
      </w:r>
    </w:p>
    <w:p w14:paraId="00E15CC6" w14:textId="0BB201BD" w:rsidR="00E35722" w:rsidRPr="009E08FB" w:rsidRDefault="00E35722" w:rsidP="00E35722">
      <w:pPr>
        <w:autoSpaceDE w:val="0"/>
        <w:autoSpaceDN w:val="0"/>
        <w:adjustRightInd w:val="0"/>
        <w:spacing w:after="16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Na</w:t>
      </w:r>
      <w:r w:rsidRPr="009E08FB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NATO samit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u</w:t>
      </w:r>
      <w:r w:rsidRPr="009E08FB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u Varšavi 2016. 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države članice</w:t>
      </w:r>
      <w:r w:rsidRPr="009E08FB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usvojile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su</w:t>
      </w:r>
      <w:r w:rsidRPr="009E08FB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niz odluka 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radi</w:t>
      </w:r>
      <w:r w:rsidRPr="009E08FB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jačanja odvraćanja i obrane </w:t>
      </w:r>
      <w:r w:rsidR="00572626">
        <w:rPr>
          <w:rFonts w:ascii="Times New Roman" w:eastAsia="Times New Roman" w:hAnsi="Times New Roman" w:cs="Times New Roman"/>
          <w:sz w:val="24"/>
          <w:szCs w:val="24"/>
          <w:lang w:eastAsia="hr-HR"/>
        </w:rPr>
        <w:t>NATO-a</w:t>
      </w:r>
      <w:r w:rsidRPr="009E08FB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koje</w:t>
      </w:r>
      <w:r w:rsidRPr="009E08FB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uključuju pozicioniranje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određenog broja vojnih</w:t>
      </w:r>
      <w:r w:rsidRPr="009E08FB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snaga 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na istoku </w:t>
      </w:r>
      <w:r w:rsidR="00572626">
        <w:rPr>
          <w:rFonts w:ascii="Times New Roman" w:eastAsia="Times New Roman" w:hAnsi="Times New Roman" w:cs="Times New Roman"/>
          <w:sz w:val="24"/>
          <w:szCs w:val="24"/>
          <w:lang w:eastAsia="hr-HR"/>
        </w:rPr>
        <w:t>NATO-a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FA08A8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kroz </w:t>
      </w:r>
      <w:r w:rsidR="002D2F2A">
        <w:rPr>
          <w:rFonts w:ascii="Times New Roman" w:eastAsia="Times New Roman" w:hAnsi="Times New Roman" w:cs="Times New Roman"/>
          <w:sz w:val="24"/>
          <w:szCs w:val="24"/>
          <w:lang w:eastAsia="hr-HR"/>
        </w:rPr>
        <w:t>o</w:t>
      </w:r>
      <w:r w:rsidRPr="00FA08A8">
        <w:rPr>
          <w:rFonts w:ascii="Times New Roman" w:eastAsia="Times New Roman" w:hAnsi="Times New Roman" w:cs="Times New Roman"/>
          <w:sz w:val="24"/>
          <w:szCs w:val="24"/>
          <w:lang w:eastAsia="hr-HR"/>
        </w:rPr>
        <w:t>jačanu prednju prisutnost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u Republici Estoniji, Republici Latviji, Republici Litvi i Republici Poljskoj</w:t>
      </w:r>
      <w:r w:rsidRPr="00FA08A8">
        <w:rPr>
          <w:rFonts w:ascii="Times New Roman" w:eastAsia="Times New Roman" w:hAnsi="Times New Roman" w:cs="Times New Roman"/>
          <w:sz w:val="24"/>
          <w:szCs w:val="24"/>
          <w:lang w:eastAsia="hr-HR"/>
        </w:rPr>
        <w:t>.</w:t>
      </w:r>
    </w:p>
    <w:p w14:paraId="60B0C017" w14:textId="3C362EAF" w:rsidR="00E35722" w:rsidRPr="009E08FB" w:rsidRDefault="00E35722" w:rsidP="00E35722">
      <w:pPr>
        <w:autoSpaceDE w:val="0"/>
        <w:autoSpaceDN w:val="0"/>
        <w:adjustRightInd w:val="0"/>
        <w:spacing w:after="16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541CA8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Konkretna implementacija </w:t>
      </w:r>
      <w:r w:rsidR="002D2F2A">
        <w:rPr>
          <w:rFonts w:ascii="Times New Roman" w:eastAsia="Times New Roman" w:hAnsi="Times New Roman" w:cs="Times New Roman"/>
          <w:sz w:val="24"/>
          <w:szCs w:val="24"/>
          <w:lang w:eastAsia="hr-HR"/>
        </w:rPr>
        <w:t>o</w:t>
      </w:r>
      <w:r w:rsidRPr="00541CA8">
        <w:rPr>
          <w:rFonts w:ascii="Times New Roman" w:eastAsia="Times New Roman" w:hAnsi="Times New Roman" w:cs="Times New Roman"/>
          <w:sz w:val="24"/>
          <w:szCs w:val="24"/>
          <w:lang w:eastAsia="hr-HR"/>
        </w:rPr>
        <w:t>jačan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e</w:t>
      </w:r>
      <w:r w:rsidRPr="00541CA8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prednje prisutnosti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započela je 2017. </w:t>
      </w:r>
      <w:r w:rsidR="00C1382C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godine 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i</w:t>
      </w:r>
      <w:r w:rsidRPr="00541CA8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provodi se razmještanje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m</w:t>
      </w:r>
      <w:r w:rsidRPr="00541CA8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četiri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ju</w:t>
      </w:r>
      <w:r w:rsidRPr="00541CA8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borben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ih</w:t>
      </w:r>
      <w:r w:rsidRPr="00541CA8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skupina</w:t>
      </w:r>
      <w:r w:rsidRPr="00541CA8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savezničkih snaga</w:t>
      </w:r>
      <w:r w:rsidR="00805849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A041DB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na istoku </w:t>
      </w:r>
      <w:r w:rsidR="00572626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NATO-a </w:t>
      </w:r>
      <w:r w:rsidR="00A041DB">
        <w:rPr>
          <w:rFonts w:ascii="Times New Roman" w:eastAsia="Times New Roman" w:hAnsi="Times New Roman" w:cs="Times New Roman"/>
          <w:sz w:val="24"/>
          <w:szCs w:val="24"/>
          <w:lang w:eastAsia="hr-HR"/>
        </w:rPr>
        <w:t>u navedenim državama</w:t>
      </w:r>
      <w:r w:rsidR="002D2F2A">
        <w:rPr>
          <w:rFonts w:ascii="Times New Roman" w:eastAsia="Times New Roman" w:hAnsi="Times New Roman" w:cs="Times New Roman"/>
          <w:sz w:val="24"/>
          <w:szCs w:val="24"/>
          <w:lang w:eastAsia="hr-HR"/>
        </w:rPr>
        <w:t>. Ove četiri borbene skupine sastavljene su od</w:t>
      </w:r>
      <w:r w:rsidRPr="00541CA8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multinacionalnih savezničkih snaga,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pod vodstvom </w:t>
      </w:r>
      <w:r w:rsidRPr="00541CA8">
        <w:rPr>
          <w:rFonts w:ascii="Times New Roman" w:eastAsia="Times New Roman" w:hAnsi="Times New Roman" w:cs="Times New Roman"/>
          <w:sz w:val="24"/>
          <w:szCs w:val="24"/>
          <w:lang w:eastAsia="hr-HR"/>
        </w:rPr>
        <w:t>četiri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ju</w:t>
      </w:r>
      <w:r w:rsidRPr="00541CA8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vodeć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ih</w:t>
      </w:r>
      <w:r w:rsidRPr="00541CA8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držav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a</w:t>
      </w:r>
      <w:r w:rsidRPr="00541CA8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– Kanade u Republici Latviji, Savezne Republike Njemačke u Republici Litvi, Ujedinjene Kraljevine Velike Britanije i Sjever</w:t>
      </w:r>
      <w:r w:rsidR="00E80C2C">
        <w:rPr>
          <w:rFonts w:ascii="Times New Roman" w:eastAsia="Times New Roman" w:hAnsi="Times New Roman" w:cs="Times New Roman"/>
          <w:sz w:val="24"/>
          <w:szCs w:val="24"/>
          <w:lang w:eastAsia="hr-HR"/>
        </w:rPr>
        <w:t>ne Irske u Republici Estoniji i</w:t>
      </w:r>
      <w:r w:rsidRPr="00541CA8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Sjedinjenih Američkih Država </w:t>
      </w:r>
      <w:r w:rsidRPr="009E08FB">
        <w:rPr>
          <w:rFonts w:ascii="Times New Roman" w:eastAsia="Times New Roman" w:hAnsi="Times New Roman" w:cs="Times New Roman"/>
          <w:sz w:val="24"/>
          <w:szCs w:val="24"/>
          <w:lang w:eastAsia="hr-HR"/>
        </w:rPr>
        <w:t>u Republici Poljskoj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.</w:t>
      </w:r>
      <w:r w:rsidRPr="00F4358E">
        <w:rPr>
          <w:rFonts w:ascii="Times New Roman" w:eastAsia="Times New Roman" w:hAnsi="Times New Roman" w:cs="Times New Roman"/>
          <w:color w:val="FF0000"/>
          <w:sz w:val="24"/>
          <w:szCs w:val="24"/>
          <w:lang w:eastAsia="hr-HR"/>
        </w:rPr>
        <w:t xml:space="preserve"> </w:t>
      </w:r>
    </w:p>
    <w:p w14:paraId="73B39862" w14:textId="210FE107" w:rsidR="00111AB8" w:rsidRPr="00F712B2" w:rsidRDefault="00E35722" w:rsidP="00F712B2">
      <w:pPr>
        <w:autoSpaceDE w:val="0"/>
        <w:autoSpaceDN w:val="0"/>
        <w:adjustRightInd w:val="0"/>
        <w:spacing w:after="16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541CA8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Republika Hrvatska poduprla je odluku o jačanju nazočnosti </w:t>
      </w:r>
      <w:r w:rsidR="00572626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NATO-a </w:t>
      </w:r>
      <w:r w:rsidRPr="00541CA8">
        <w:rPr>
          <w:rFonts w:ascii="Times New Roman" w:eastAsia="Times New Roman" w:hAnsi="Times New Roman" w:cs="Times New Roman"/>
          <w:sz w:val="24"/>
          <w:szCs w:val="24"/>
          <w:lang w:eastAsia="hr-HR"/>
        </w:rPr>
        <w:t>u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okviru</w:t>
      </w:r>
      <w:r w:rsidRPr="00541CA8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2D2F2A">
        <w:rPr>
          <w:rFonts w:ascii="Times New Roman" w:eastAsia="Times New Roman" w:hAnsi="Times New Roman" w:cs="Times New Roman"/>
          <w:sz w:val="24"/>
          <w:szCs w:val="24"/>
          <w:lang w:eastAsia="hr-HR"/>
        </w:rPr>
        <w:t>o</w:t>
      </w:r>
      <w:r w:rsidRPr="00541CA8">
        <w:rPr>
          <w:rFonts w:ascii="Times New Roman" w:eastAsia="Times New Roman" w:hAnsi="Times New Roman" w:cs="Times New Roman"/>
          <w:sz w:val="24"/>
          <w:szCs w:val="24"/>
          <w:lang w:eastAsia="hr-HR"/>
        </w:rPr>
        <w:t>jačan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e</w:t>
      </w:r>
      <w:r w:rsidRPr="00541CA8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prednje prisutnosti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. </w:t>
      </w:r>
      <w:r w:rsidR="00B03A67" w:rsidRPr="00F712B2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U tom kontekstu u Republiku Litvu je u prosincu 2017. u </w:t>
      </w:r>
      <w:r w:rsidR="002D2F2A">
        <w:rPr>
          <w:rFonts w:ascii="Times New Roman" w:eastAsia="Times New Roman" w:hAnsi="Times New Roman" w:cs="Times New Roman"/>
          <w:sz w:val="24"/>
          <w:szCs w:val="24"/>
          <w:lang w:eastAsia="hr-HR"/>
        </w:rPr>
        <w:t>b</w:t>
      </w:r>
      <w:r w:rsidR="00B03A67" w:rsidRPr="00F712B2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orbenu skupinu pod vodstvom Savezne Republike Njemačke upućena </w:t>
      </w:r>
      <w:r w:rsidR="00253D3F">
        <w:rPr>
          <w:rFonts w:ascii="Times New Roman" w:eastAsia="Times New Roman" w:hAnsi="Times New Roman" w:cs="Times New Roman"/>
          <w:sz w:val="24"/>
          <w:szCs w:val="24"/>
          <w:lang w:eastAsia="hr-HR"/>
        </w:rPr>
        <w:t>mehanizirana pješačka satnija s</w:t>
      </w:r>
      <w:r w:rsidR="00B03A67" w:rsidRPr="00F712B2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188 pripadnika </w:t>
      </w:r>
      <w:r w:rsidR="002D2F2A">
        <w:rPr>
          <w:rFonts w:ascii="Times New Roman" w:eastAsia="Times New Roman" w:hAnsi="Times New Roman" w:cs="Times New Roman"/>
          <w:sz w:val="24"/>
          <w:szCs w:val="24"/>
          <w:lang w:eastAsia="hr-HR"/>
        </w:rPr>
        <w:t>i</w:t>
      </w:r>
      <w:r w:rsidR="00B03A67" w:rsidRPr="00F712B2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do 20 borbenih oklopnih vozila uključujući i elemente logističke potpore. Satnija se 3. srpnja 2018. vratila u Republiku Hrvatsk</w:t>
      </w:r>
      <w:r w:rsidR="002D2F2A">
        <w:rPr>
          <w:rFonts w:ascii="Times New Roman" w:eastAsia="Times New Roman" w:hAnsi="Times New Roman" w:cs="Times New Roman"/>
          <w:sz w:val="24"/>
          <w:szCs w:val="24"/>
          <w:lang w:eastAsia="hr-HR"/>
        </w:rPr>
        <w:t>u</w:t>
      </w:r>
      <w:r w:rsidR="00B03A67" w:rsidRPr="00F712B2">
        <w:rPr>
          <w:rFonts w:ascii="Times New Roman" w:eastAsia="Times New Roman" w:hAnsi="Times New Roman" w:cs="Times New Roman"/>
          <w:sz w:val="24"/>
          <w:szCs w:val="24"/>
          <w:lang w:eastAsia="hr-HR"/>
        </w:rPr>
        <w:t>, a angažiranje prvoga hrvatskoga kontingenta bilo je jednokratno u trajanju od šest mjeseci.</w:t>
      </w:r>
      <w:r w:rsidR="002D2F2A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Drugi hrvatski kontingent s</w:t>
      </w:r>
      <w:r w:rsidR="0048642E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188 pripadnika</w:t>
      </w:r>
      <w:r w:rsidR="002D2F2A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sudjelovao je u ovoj aktivnosti od 5. siječnja do 3. srpnja 2020. </w:t>
      </w:r>
      <w:r w:rsidR="00B03A67" w:rsidRPr="00F712B2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</w:p>
    <w:p w14:paraId="28E51B73" w14:textId="33FBFDF9" w:rsidR="00111AB8" w:rsidRPr="0021543D" w:rsidRDefault="00B03A67" w:rsidP="0021543D">
      <w:pPr>
        <w:autoSpaceDE w:val="0"/>
        <w:autoSpaceDN w:val="0"/>
        <w:adjustRightInd w:val="0"/>
        <w:spacing w:after="120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21543D">
        <w:rPr>
          <w:rFonts w:ascii="Times New Roman" w:eastAsia="Times New Roman" w:hAnsi="Times New Roman" w:cs="Times New Roman"/>
          <w:sz w:val="24"/>
          <w:szCs w:val="24"/>
          <w:lang w:eastAsia="hr-HR"/>
        </w:rPr>
        <w:t>Mehanizirana satnija provela je u Republici Litvi kompletan ciklus obuke, počevši od pojedinačnih zadaća, skupnih zadaća razine desetina/vod/satnija, vježbi s bojevim gađanjem</w:t>
      </w:r>
      <w:r w:rsidR="0048642E" w:rsidRPr="0021543D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te</w:t>
      </w:r>
      <w:r w:rsidRPr="0021543D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vježbi na zemljištu uz korištenje </w:t>
      </w:r>
      <w:r w:rsidR="00D85970" w:rsidRPr="0021543D">
        <w:rPr>
          <w:rFonts w:ascii="Times New Roman" w:eastAsia="Times New Roman" w:hAnsi="Times New Roman" w:cs="Times New Roman"/>
          <w:sz w:val="24"/>
          <w:szCs w:val="24"/>
          <w:lang w:eastAsia="hr-HR"/>
        </w:rPr>
        <w:t>ojač</w:t>
      </w:r>
      <w:r w:rsidRPr="0021543D">
        <w:rPr>
          <w:rFonts w:ascii="Times New Roman" w:eastAsia="Times New Roman" w:hAnsi="Times New Roman" w:cs="Times New Roman"/>
          <w:sz w:val="24"/>
          <w:szCs w:val="24"/>
          <w:lang w:eastAsia="hr-HR"/>
        </w:rPr>
        <w:t>anja pridodanih iz strukture borbene skupine</w:t>
      </w:r>
      <w:r w:rsidR="0048642E" w:rsidRPr="0021543D">
        <w:rPr>
          <w:rFonts w:ascii="Times New Roman" w:eastAsia="Times New Roman" w:hAnsi="Times New Roman" w:cs="Times New Roman"/>
          <w:sz w:val="24"/>
          <w:szCs w:val="24"/>
          <w:lang w:eastAsia="hr-HR"/>
        </w:rPr>
        <w:t>, čime je</w:t>
      </w:r>
      <w:r w:rsidRPr="0021543D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uspješno prezentirana hrvatska vojna oprema i naoružanje. </w:t>
      </w:r>
    </w:p>
    <w:p w14:paraId="4BE828EE" w14:textId="77C32C53" w:rsidR="0048642E" w:rsidRPr="00AD2315" w:rsidRDefault="0048642E" w:rsidP="0048642E">
      <w:pPr>
        <w:autoSpaceDE w:val="0"/>
        <w:autoSpaceDN w:val="0"/>
        <w:adjustRightInd w:val="0"/>
        <w:spacing w:after="16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AD2315">
        <w:rPr>
          <w:rFonts w:ascii="Times New Roman" w:eastAsia="Times New Roman" w:hAnsi="Times New Roman" w:cs="Times New Roman"/>
          <w:sz w:val="24"/>
          <w:szCs w:val="24"/>
          <w:lang w:eastAsia="hr-HR"/>
        </w:rPr>
        <w:t>Oružane snage Republike Hrvatske sudjelovanjem u ovoj aktivnosti NATO-a dodatno razvijaju svoje sposobnosti te podižu interoperabilnost sa snagama drugih država članica, što izravno pri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do</w:t>
      </w:r>
      <w:r w:rsidRPr="00AD231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nosi jačanju odvraćanja i kolektivne obrane </w:t>
      </w:r>
      <w:r w:rsidR="00572626">
        <w:rPr>
          <w:rFonts w:ascii="Times New Roman" w:eastAsia="Times New Roman" w:hAnsi="Times New Roman" w:cs="Times New Roman"/>
          <w:sz w:val="24"/>
          <w:szCs w:val="24"/>
          <w:lang w:eastAsia="hr-HR"/>
        </w:rPr>
        <w:t>NATO-a</w:t>
      </w:r>
      <w:r w:rsidRPr="00AD2315">
        <w:rPr>
          <w:rFonts w:ascii="Times New Roman" w:eastAsia="Times New Roman" w:hAnsi="Times New Roman" w:cs="Times New Roman"/>
          <w:sz w:val="24"/>
          <w:szCs w:val="24"/>
          <w:lang w:eastAsia="hr-HR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AD231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Republika Hrvatska tako potvrđuje predanost u implementaciji savezničkih odluka usvojenih na NATO samitu u Varšavi te nastavlja 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graditi</w:t>
      </w:r>
      <w:r w:rsidRPr="00AD231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vjerodostojnost te politički i vojni kredibilitet u okviru </w:t>
      </w:r>
      <w:r w:rsidR="00572626">
        <w:rPr>
          <w:rFonts w:ascii="Times New Roman" w:eastAsia="Times New Roman" w:hAnsi="Times New Roman" w:cs="Times New Roman"/>
          <w:sz w:val="24"/>
          <w:szCs w:val="24"/>
          <w:lang w:eastAsia="hr-HR"/>
        </w:rPr>
        <w:t>NATO-a</w:t>
      </w:r>
      <w:r w:rsidRPr="00AD2315">
        <w:rPr>
          <w:rFonts w:ascii="Times New Roman" w:eastAsia="Times New Roman" w:hAnsi="Times New Roman" w:cs="Times New Roman"/>
          <w:sz w:val="24"/>
          <w:szCs w:val="24"/>
          <w:lang w:eastAsia="hr-HR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 </w:t>
      </w:r>
      <w:r w:rsidRPr="00AD231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</w:p>
    <w:p w14:paraId="1D6E49B5" w14:textId="391448E4" w:rsidR="00057957" w:rsidRPr="00B0705B" w:rsidRDefault="00B03A67" w:rsidP="00B23133">
      <w:pPr>
        <w:spacing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0705B">
        <w:rPr>
          <w:rFonts w:ascii="Times New Roman" w:hAnsi="Times New Roman" w:cs="Times New Roman"/>
          <w:sz w:val="24"/>
          <w:szCs w:val="24"/>
        </w:rPr>
        <w:t xml:space="preserve"> Slijedom navedenoga predlaže se sudjelovanje Oružanih snag</w:t>
      </w:r>
      <w:r w:rsidR="0048642E">
        <w:rPr>
          <w:rFonts w:ascii="Times New Roman" w:hAnsi="Times New Roman" w:cs="Times New Roman"/>
          <w:sz w:val="24"/>
          <w:szCs w:val="24"/>
        </w:rPr>
        <w:t>a</w:t>
      </w:r>
      <w:r w:rsidRPr="00B0705B">
        <w:rPr>
          <w:rFonts w:ascii="Times New Roman" w:hAnsi="Times New Roman" w:cs="Times New Roman"/>
          <w:sz w:val="24"/>
          <w:szCs w:val="24"/>
        </w:rPr>
        <w:t xml:space="preserve"> Republike Hrvatske u sklopu borbene skupine pod vodstvom Savezne Republike Njemačke s mogućnošću upućivanja do 200 pripadnika Oružanih snaga Republike Hrvatsk</w:t>
      </w:r>
      <w:r w:rsidR="00EF50A2">
        <w:rPr>
          <w:rFonts w:ascii="Times New Roman" w:hAnsi="Times New Roman" w:cs="Times New Roman"/>
          <w:sz w:val="24"/>
          <w:szCs w:val="24"/>
        </w:rPr>
        <w:t xml:space="preserve">e u Republiku Litvu </w:t>
      </w:r>
      <w:r w:rsidR="000E79DE">
        <w:rPr>
          <w:rFonts w:ascii="Times New Roman" w:hAnsi="Times New Roman" w:cs="Times New Roman"/>
          <w:sz w:val="24"/>
          <w:szCs w:val="24"/>
        </w:rPr>
        <w:t xml:space="preserve">u </w:t>
      </w:r>
      <w:r w:rsidR="00EF50A2">
        <w:rPr>
          <w:rFonts w:ascii="Times New Roman" w:hAnsi="Times New Roman" w:cs="Times New Roman"/>
          <w:sz w:val="24"/>
          <w:szCs w:val="24"/>
        </w:rPr>
        <w:t>202</w:t>
      </w:r>
      <w:r w:rsidR="00250940">
        <w:rPr>
          <w:rFonts w:ascii="Times New Roman" w:hAnsi="Times New Roman" w:cs="Times New Roman"/>
          <w:sz w:val="24"/>
          <w:szCs w:val="24"/>
        </w:rPr>
        <w:t>3</w:t>
      </w:r>
      <w:r w:rsidR="00EF50A2">
        <w:rPr>
          <w:rFonts w:ascii="Times New Roman" w:hAnsi="Times New Roman" w:cs="Times New Roman"/>
          <w:sz w:val="24"/>
          <w:szCs w:val="24"/>
        </w:rPr>
        <w:t>.</w:t>
      </w:r>
      <w:r w:rsidRPr="00B0705B">
        <w:rPr>
          <w:rFonts w:ascii="Times New Roman" w:hAnsi="Times New Roman" w:cs="Times New Roman"/>
          <w:sz w:val="24"/>
          <w:szCs w:val="24"/>
        </w:rPr>
        <w:t xml:space="preserve"> godin</w:t>
      </w:r>
      <w:r w:rsidR="000E79DE">
        <w:rPr>
          <w:rFonts w:ascii="Times New Roman" w:hAnsi="Times New Roman" w:cs="Times New Roman"/>
          <w:sz w:val="24"/>
          <w:szCs w:val="24"/>
        </w:rPr>
        <w:t>i</w:t>
      </w:r>
      <w:r w:rsidRPr="00B0705B">
        <w:rPr>
          <w:rFonts w:ascii="Times New Roman" w:hAnsi="Times New Roman" w:cs="Times New Roman"/>
          <w:sz w:val="24"/>
          <w:szCs w:val="24"/>
        </w:rPr>
        <w:t>.</w:t>
      </w:r>
    </w:p>
    <w:p w14:paraId="279A882A" w14:textId="1DA1F0AD" w:rsidR="00B23133" w:rsidRPr="00650AEE" w:rsidRDefault="00B03A67" w:rsidP="00650AEE">
      <w:pPr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0705B">
        <w:rPr>
          <w:rFonts w:ascii="Times New Roman" w:hAnsi="Times New Roman" w:cs="Times New Roman"/>
          <w:b/>
          <w:sz w:val="24"/>
          <w:szCs w:val="24"/>
        </w:rPr>
        <w:t xml:space="preserve">IV. </w:t>
      </w:r>
      <w:r w:rsidR="00D977A1">
        <w:rPr>
          <w:rFonts w:ascii="Times New Roman" w:hAnsi="Times New Roman" w:cs="Times New Roman"/>
          <w:b/>
          <w:sz w:val="24"/>
          <w:szCs w:val="24"/>
        </w:rPr>
        <w:tab/>
      </w:r>
      <w:r w:rsidRPr="00B0705B">
        <w:rPr>
          <w:rFonts w:ascii="Times New Roman" w:hAnsi="Times New Roman" w:cs="Times New Roman"/>
          <w:b/>
          <w:sz w:val="24"/>
          <w:szCs w:val="24"/>
        </w:rPr>
        <w:t xml:space="preserve">POTREBNA FINANCIJSKA SREDSTVA </w:t>
      </w:r>
    </w:p>
    <w:p w14:paraId="5E6D76EE" w14:textId="53010411" w:rsidR="00444B7F" w:rsidRPr="00444B7F" w:rsidRDefault="00874593" w:rsidP="00444B7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="00444B7F" w:rsidRPr="00444B7F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Financijska sredstva za provedbu ove Odluke planirat će se u državnom proračunu Republike Hrvatske za 2023. </w:t>
      </w:r>
      <w:r w:rsidR="00444B7F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godinu </w:t>
      </w:r>
      <w:r w:rsidR="00444B7F" w:rsidRPr="00444B7F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na razdjelu Ministarstva obrane u skladu s predviđenim projekcijama financijskoga plana Ministarstva obrane za 2023. godinu. </w:t>
      </w:r>
    </w:p>
    <w:p w14:paraId="5FC32E26" w14:textId="77777777" w:rsidR="00650AEE" w:rsidRDefault="00650AEE" w:rsidP="00650AE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15886B3C" w14:textId="77777777" w:rsidR="00230DB5" w:rsidRDefault="00230DB5" w:rsidP="00650AE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5DCE5B91" w14:textId="77777777" w:rsidR="00650AEE" w:rsidRDefault="00650AEE" w:rsidP="00650AE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509BBBDE" w14:textId="3549581C" w:rsidR="00650AEE" w:rsidRDefault="00650AEE" w:rsidP="00650AE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59C60236" w14:textId="77777777" w:rsidR="00121819" w:rsidRDefault="00121819" w:rsidP="00650AE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01830699" w14:textId="77777777" w:rsidR="00650AEE" w:rsidRPr="00B0705B" w:rsidRDefault="00650AEE" w:rsidP="00650AE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13FE8AE" w14:textId="29DFE182" w:rsidR="0096257B" w:rsidRDefault="00423F25" w:rsidP="00423F25">
      <w:pPr>
        <w:spacing w:after="0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P</w:t>
      </w:r>
      <w:r w:rsidR="00C1382C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r</w:t>
      </w:r>
      <w:r w:rsidR="00C1382C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i</w:t>
      </w:r>
      <w:r w:rsidR="00C1382C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j</w:t>
      </w:r>
      <w:r w:rsidR="00C1382C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e</w:t>
      </w:r>
      <w:r w:rsidR="00C1382C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d</w:t>
      </w:r>
      <w:r w:rsidR="00C1382C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l</w:t>
      </w:r>
      <w:r w:rsidR="00C1382C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o</w:t>
      </w:r>
      <w:r w:rsidR="00C1382C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 xml:space="preserve">g </w:t>
      </w:r>
    </w:p>
    <w:p w14:paraId="4ED4F82F" w14:textId="77777777" w:rsidR="00423F25" w:rsidRDefault="00423F25" w:rsidP="00D977A1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4014BBA3" w14:textId="77777777" w:rsidR="009851D9" w:rsidRDefault="009851D9" w:rsidP="008D5898">
      <w:pPr>
        <w:spacing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5BCE1128" w14:textId="3A83B1B9" w:rsidR="00B0705B" w:rsidRDefault="00B5640C" w:rsidP="008D5898">
      <w:pPr>
        <w:spacing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B28D1">
        <w:rPr>
          <w:rFonts w:ascii="Times New Roman" w:eastAsia="Times New Roman" w:hAnsi="Times New Roman" w:cs="Times New Roman"/>
          <w:sz w:val="24"/>
          <w:szCs w:val="24"/>
          <w:lang w:eastAsia="hr-HR"/>
        </w:rPr>
        <w:t>Na temelju članka 54. stavka 2. Zakona o obrani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C6571C">
        <w:rPr>
          <w:rFonts w:ascii="Times New Roman" w:hAnsi="Times New Roman" w:cs="Times New Roman"/>
          <w:color w:val="000000"/>
          <w:sz w:val="24"/>
          <w:szCs w:val="24"/>
        </w:rPr>
        <w:t>(Narodne novine, br. 73/13, 75/15, 27/16</w:t>
      </w:r>
      <w:r w:rsidRPr="00C6571C">
        <w:rPr>
          <w:rFonts w:ascii="Times New Roman" w:hAnsi="Times New Roman" w:cs="Times New Roman"/>
          <w:sz w:val="24"/>
          <w:szCs w:val="24"/>
        </w:rPr>
        <w:t>, 110/17 – Odluka Ustavnog suda Republike Hrvatske,</w:t>
      </w:r>
      <w:r w:rsidRPr="00C6571C">
        <w:rPr>
          <w:rFonts w:ascii="Times New Roman" w:hAnsi="Times New Roman" w:cs="Times New Roman"/>
          <w:color w:val="000000"/>
          <w:sz w:val="24"/>
          <w:szCs w:val="24"/>
        </w:rPr>
        <w:t xml:space="preserve"> 30/18</w:t>
      </w:r>
      <w:r w:rsidRPr="00C6571C">
        <w:rPr>
          <w:rFonts w:ascii="Times New Roman" w:hAnsi="Times New Roman" w:cs="Times New Roman"/>
          <w:sz w:val="24"/>
          <w:szCs w:val="24"/>
        </w:rPr>
        <w:t xml:space="preserve"> i 70/19</w:t>
      </w:r>
      <w:r w:rsidRPr="00C6571C">
        <w:rPr>
          <w:rFonts w:ascii="Times New Roman" w:hAnsi="Times New Roman" w:cs="Times New Roman"/>
          <w:color w:val="000000"/>
          <w:sz w:val="24"/>
          <w:szCs w:val="24"/>
        </w:rPr>
        <w:t>)</w:t>
      </w:r>
      <w:r w:rsidRPr="003B28D1">
        <w:rPr>
          <w:rFonts w:ascii="Times New Roman" w:eastAsia="Times New Roman" w:hAnsi="Times New Roman" w:cs="Times New Roman"/>
          <w:sz w:val="24"/>
          <w:szCs w:val="24"/>
          <w:lang w:eastAsia="hr-HR"/>
        </w:rPr>
        <w:t>, na prijedlog Vlade Republike Hrvatske i uz p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rethodnu suglasnost Predsjednika</w:t>
      </w:r>
      <w:r w:rsidRPr="003B28D1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Republike Hrvatske</w:t>
      </w:r>
      <w:r w:rsidR="00B03A67" w:rsidRPr="00B0705B">
        <w:rPr>
          <w:rFonts w:ascii="Times New Roman" w:hAnsi="Times New Roman" w:cs="Times New Roman"/>
          <w:sz w:val="24"/>
          <w:szCs w:val="24"/>
        </w:rPr>
        <w:t xml:space="preserve">, Hrvatski sabor na sjednici _______________ donio je </w:t>
      </w:r>
    </w:p>
    <w:p w14:paraId="0B752358" w14:textId="77777777" w:rsidR="00B0705B" w:rsidRDefault="00B0705B" w:rsidP="00B03A67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27D9AB74" w14:textId="77777777" w:rsidR="00B0705B" w:rsidRPr="00C1382C" w:rsidRDefault="00B03A67" w:rsidP="00B0705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1382C">
        <w:rPr>
          <w:rFonts w:ascii="Times New Roman" w:hAnsi="Times New Roman" w:cs="Times New Roman"/>
          <w:b/>
          <w:sz w:val="28"/>
          <w:szCs w:val="28"/>
        </w:rPr>
        <w:t>O D L U K U</w:t>
      </w:r>
    </w:p>
    <w:p w14:paraId="0530F48E" w14:textId="42229A57" w:rsidR="008D5898" w:rsidRPr="00C1382C" w:rsidRDefault="00B03A67" w:rsidP="00B0705B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C1382C">
        <w:rPr>
          <w:rFonts w:ascii="Times New Roman" w:hAnsi="Times New Roman" w:cs="Times New Roman"/>
          <w:b/>
          <w:sz w:val="24"/>
          <w:szCs w:val="24"/>
        </w:rPr>
        <w:t xml:space="preserve">O SUDJELOVANJU ORUŽANIH SNAGA REPUBLIKE HRVATSKE U SKLOPU AKTIVNOSTI </w:t>
      </w:r>
      <w:r w:rsidR="00D85970" w:rsidRPr="00C1382C">
        <w:rPr>
          <w:rFonts w:ascii="Times New Roman" w:hAnsi="Times New Roman" w:cs="Times New Roman"/>
          <w:b/>
          <w:sz w:val="24"/>
          <w:szCs w:val="24"/>
        </w:rPr>
        <w:t>OJAČ</w:t>
      </w:r>
      <w:r w:rsidRPr="00C1382C">
        <w:rPr>
          <w:rFonts w:ascii="Times New Roman" w:hAnsi="Times New Roman" w:cs="Times New Roman"/>
          <w:b/>
          <w:sz w:val="24"/>
          <w:szCs w:val="24"/>
        </w:rPr>
        <w:t>ANE PREDNJE PRISUTNOSTI NATO-a U REPUBLICI LITVI</w:t>
      </w:r>
      <w:r w:rsidR="0096257B" w:rsidRPr="00C1382C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 </w:t>
      </w:r>
    </w:p>
    <w:p w14:paraId="4C37CEDD" w14:textId="77777777" w:rsidR="00C1382C" w:rsidRDefault="00C1382C" w:rsidP="00B0705B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0432DF91" w14:textId="77777777" w:rsidR="00B0705B" w:rsidRPr="00C1382C" w:rsidRDefault="00B03A67" w:rsidP="00B0705B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1382C">
        <w:rPr>
          <w:rFonts w:ascii="Times New Roman" w:hAnsi="Times New Roman" w:cs="Times New Roman"/>
          <w:b/>
          <w:sz w:val="24"/>
          <w:szCs w:val="24"/>
        </w:rPr>
        <w:t>I.</w:t>
      </w:r>
    </w:p>
    <w:p w14:paraId="2EB76DDB" w14:textId="0DF22798" w:rsidR="00B0705B" w:rsidRDefault="00B03A67" w:rsidP="008D5898">
      <w:pPr>
        <w:spacing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0705B">
        <w:rPr>
          <w:rFonts w:ascii="Times New Roman" w:hAnsi="Times New Roman" w:cs="Times New Roman"/>
          <w:sz w:val="24"/>
          <w:szCs w:val="24"/>
        </w:rPr>
        <w:t xml:space="preserve">U sklopu aktivnosti </w:t>
      </w:r>
      <w:r w:rsidR="008D5898">
        <w:rPr>
          <w:rFonts w:ascii="Times New Roman" w:hAnsi="Times New Roman" w:cs="Times New Roman"/>
          <w:sz w:val="24"/>
          <w:szCs w:val="24"/>
        </w:rPr>
        <w:t>o</w:t>
      </w:r>
      <w:r w:rsidR="00D85970">
        <w:rPr>
          <w:rFonts w:ascii="Times New Roman" w:hAnsi="Times New Roman" w:cs="Times New Roman"/>
          <w:sz w:val="24"/>
          <w:szCs w:val="24"/>
        </w:rPr>
        <w:t>jač</w:t>
      </w:r>
      <w:r w:rsidRPr="00B0705B">
        <w:rPr>
          <w:rFonts w:ascii="Times New Roman" w:hAnsi="Times New Roman" w:cs="Times New Roman"/>
          <w:sz w:val="24"/>
          <w:szCs w:val="24"/>
        </w:rPr>
        <w:t>ane prednje prisutnosti NATO-a, u okviru borbene skupine pod vodstvom Savezne Republike Njema</w:t>
      </w:r>
      <w:r w:rsidR="0040052E">
        <w:rPr>
          <w:rFonts w:ascii="Times New Roman" w:hAnsi="Times New Roman" w:cs="Times New Roman"/>
          <w:sz w:val="24"/>
          <w:szCs w:val="24"/>
        </w:rPr>
        <w:t>čke, u Republiku Litvu u 202</w:t>
      </w:r>
      <w:r w:rsidR="003364AC">
        <w:rPr>
          <w:rFonts w:ascii="Times New Roman" w:hAnsi="Times New Roman" w:cs="Times New Roman"/>
          <w:sz w:val="24"/>
          <w:szCs w:val="24"/>
        </w:rPr>
        <w:t>3</w:t>
      </w:r>
      <w:r w:rsidRPr="00B0705B">
        <w:rPr>
          <w:rFonts w:ascii="Times New Roman" w:hAnsi="Times New Roman" w:cs="Times New Roman"/>
          <w:sz w:val="24"/>
          <w:szCs w:val="24"/>
        </w:rPr>
        <w:t xml:space="preserve">. godini upućuje se do 200 pripadnika Oružanih snaga Republike Hrvatske (pješačka mehanizirana satnija). </w:t>
      </w:r>
    </w:p>
    <w:p w14:paraId="4DFE3C88" w14:textId="77777777" w:rsidR="00B0705B" w:rsidRPr="00C1382C" w:rsidRDefault="00B03A67" w:rsidP="00B0705B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1382C">
        <w:rPr>
          <w:rFonts w:ascii="Times New Roman" w:hAnsi="Times New Roman" w:cs="Times New Roman"/>
          <w:b/>
          <w:sz w:val="24"/>
          <w:szCs w:val="24"/>
        </w:rPr>
        <w:t>II.</w:t>
      </w:r>
    </w:p>
    <w:p w14:paraId="20823802" w14:textId="01FBD075" w:rsidR="008D5898" w:rsidRPr="008D5898" w:rsidRDefault="00B5640C" w:rsidP="00B5640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hr-HR" w:bidi="ta-IN"/>
        </w:rPr>
      </w:pPr>
      <w:r w:rsidRPr="00B5640C">
        <w:rPr>
          <w:rFonts w:ascii="Times New Roman" w:eastAsia="Times New Roman" w:hAnsi="Times New Roman" w:cs="Times New Roman"/>
          <w:color w:val="000000"/>
          <w:sz w:val="24"/>
          <w:szCs w:val="24"/>
          <w:lang w:eastAsia="hr-HR" w:bidi="ta-IN"/>
        </w:rPr>
        <w:t>Izvješće o sudjelovanju Oružanih snaga Republike Hrvatske u aktivnosti</w:t>
      </w:r>
      <w:r w:rsidR="00CC0C6A" w:rsidRPr="00CC0C6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B5640C">
        <w:rPr>
          <w:rFonts w:ascii="Times New Roman" w:eastAsia="Times New Roman" w:hAnsi="Times New Roman" w:cs="Times New Roman"/>
          <w:color w:val="000000"/>
          <w:sz w:val="24"/>
          <w:szCs w:val="24"/>
          <w:lang w:eastAsia="hr-HR" w:bidi="ta-IN"/>
        </w:rPr>
        <w:t>iz točke I. ove Odluke bit će dio Godišnjeg izvješća o obrani koje Vlada Republike Hrvatske podnosi Hrvatskome saboru.</w:t>
      </w:r>
      <w:r w:rsidR="008D5898" w:rsidRPr="00C45B66">
        <w:rPr>
          <w:rFonts w:ascii="Times New Roman" w:eastAsia="Times New Roman" w:hAnsi="Times New Roman" w:cs="Times New Roman"/>
          <w:sz w:val="24"/>
          <w:szCs w:val="24"/>
          <w:lang w:eastAsia="hr-HR" w:bidi="ta-IN"/>
        </w:rPr>
        <w:t xml:space="preserve"> </w:t>
      </w:r>
    </w:p>
    <w:p w14:paraId="16302071" w14:textId="77777777" w:rsidR="00B0705B" w:rsidRPr="00C1382C" w:rsidRDefault="00B03A67" w:rsidP="00B0705B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1382C">
        <w:rPr>
          <w:rFonts w:ascii="Times New Roman" w:hAnsi="Times New Roman" w:cs="Times New Roman"/>
          <w:b/>
          <w:sz w:val="24"/>
          <w:szCs w:val="24"/>
        </w:rPr>
        <w:t>III.</w:t>
      </w:r>
    </w:p>
    <w:p w14:paraId="4F595C4D" w14:textId="21F29A59" w:rsidR="00B0705B" w:rsidRDefault="00B03A67" w:rsidP="00B03A67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0705B">
        <w:rPr>
          <w:rFonts w:ascii="Times New Roman" w:hAnsi="Times New Roman" w:cs="Times New Roman"/>
          <w:sz w:val="24"/>
          <w:szCs w:val="24"/>
        </w:rPr>
        <w:t xml:space="preserve">Ova Odluka stupa na snagu osmoga dana od dana objave u Narodnim novinama. </w:t>
      </w:r>
    </w:p>
    <w:tbl>
      <w:tblPr>
        <w:tblW w:w="0" w:type="auto"/>
        <w:tblInd w:w="108" w:type="dxa"/>
        <w:tblLook w:val="01E0" w:firstRow="1" w:lastRow="1" w:firstColumn="1" w:lastColumn="1" w:noHBand="0" w:noVBand="0"/>
      </w:tblPr>
      <w:tblGrid>
        <w:gridCol w:w="567"/>
        <w:gridCol w:w="2761"/>
        <w:gridCol w:w="236"/>
        <w:gridCol w:w="2179"/>
        <w:gridCol w:w="3437"/>
      </w:tblGrid>
      <w:tr w:rsidR="00F22BD3" w:rsidRPr="005E75B8" w14:paraId="05274A19" w14:textId="77777777" w:rsidTr="00A719D0">
        <w:tc>
          <w:tcPr>
            <w:tcW w:w="567" w:type="dxa"/>
            <w:shd w:val="clear" w:color="auto" w:fill="auto"/>
          </w:tcPr>
          <w:p w14:paraId="24B06AFE" w14:textId="4898441E" w:rsidR="00F22BD3" w:rsidRPr="005E75B8" w:rsidRDefault="00F22BD3">
            <w:pPr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761" w:type="dxa"/>
            <w:shd w:val="clear" w:color="auto" w:fill="auto"/>
          </w:tcPr>
          <w:p w14:paraId="38C69C9C" w14:textId="6C379137" w:rsidR="00F22BD3" w:rsidRPr="005E75B8" w:rsidDel="00EE4DAE" w:rsidRDefault="00F22BD3" w:rsidP="00A719D0">
            <w:pPr>
              <w:pStyle w:val="NormalWeb"/>
              <w:spacing w:before="0" w:beforeAutospacing="0" w:after="0" w:afterAutospacing="0"/>
              <w:rPr>
                <w:color w:val="000000"/>
              </w:rPr>
            </w:pPr>
          </w:p>
        </w:tc>
        <w:tc>
          <w:tcPr>
            <w:tcW w:w="2415" w:type="dxa"/>
            <w:gridSpan w:val="2"/>
            <w:shd w:val="clear" w:color="auto" w:fill="auto"/>
          </w:tcPr>
          <w:p w14:paraId="3672D521" w14:textId="77777777" w:rsidR="00F22BD3" w:rsidRPr="005E75B8" w:rsidDel="00EE4DAE" w:rsidRDefault="00F22BD3" w:rsidP="00D41CF1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3437" w:type="dxa"/>
            <w:shd w:val="clear" w:color="auto" w:fill="auto"/>
          </w:tcPr>
          <w:p w14:paraId="6E671F43" w14:textId="77777777" w:rsidR="00F22BD3" w:rsidRPr="005E75B8" w:rsidDel="00EE4DAE" w:rsidRDefault="00F22BD3" w:rsidP="00D41CF1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</w:tr>
      <w:tr w:rsidR="00F22BD3" w:rsidRPr="005E75B8" w14:paraId="68A757E0" w14:textId="77777777" w:rsidTr="00A719D0">
        <w:tc>
          <w:tcPr>
            <w:tcW w:w="9180" w:type="dxa"/>
            <w:gridSpan w:val="5"/>
            <w:shd w:val="clear" w:color="auto" w:fill="auto"/>
          </w:tcPr>
          <w:p w14:paraId="7F0ED546" w14:textId="77777777" w:rsidR="00D104FD" w:rsidRDefault="00D104FD" w:rsidP="00A719D0">
            <w:pPr>
              <w:pStyle w:val="NormalWeb"/>
              <w:spacing w:before="0" w:beforeAutospacing="0" w:after="120" w:afterAutospacing="0"/>
              <w:jc w:val="center"/>
              <w:rPr>
                <w:color w:val="000000"/>
              </w:rPr>
            </w:pPr>
          </w:p>
          <w:p w14:paraId="74A55C69" w14:textId="22523D4B" w:rsidR="00A719D0" w:rsidRPr="006C15E9" w:rsidRDefault="00F22BD3" w:rsidP="00A719D0">
            <w:pPr>
              <w:pStyle w:val="NormalWeb"/>
              <w:spacing w:before="0" w:beforeAutospacing="0" w:after="120" w:afterAutospacing="0"/>
              <w:jc w:val="center"/>
              <w:rPr>
                <w:b/>
                <w:color w:val="000000"/>
              </w:rPr>
            </w:pPr>
            <w:r w:rsidRPr="006C15E9">
              <w:rPr>
                <w:b/>
                <w:color w:val="000000"/>
              </w:rPr>
              <w:t>HRVATSKI SABOR</w:t>
            </w:r>
            <w:r w:rsidR="00477C16" w:rsidRPr="006C15E9">
              <w:rPr>
                <w:b/>
                <w:color w:val="000000"/>
              </w:rPr>
              <w:t xml:space="preserve"> </w:t>
            </w:r>
          </w:p>
          <w:p w14:paraId="2700E6EA" w14:textId="73A46B1E" w:rsidR="00C1382C" w:rsidRPr="005E75B8" w:rsidRDefault="00C1382C" w:rsidP="00A719D0">
            <w:pPr>
              <w:pStyle w:val="NormalWeb"/>
              <w:spacing w:before="0" w:beforeAutospacing="0" w:after="120" w:afterAutospacing="0"/>
              <w:jc w:val="center"/>
              <w:rPr>
                <w:b/>
                <w:color w:val="000000"/>
              </w:rPr>
            </w:pPr>
          </w:p>
        </w:tc>
      </w:tr>
      <w:tr w:rsidR="00F22BD3" w:rsidRPr="005E75B8" w14:paraId="22BD31C1" w14:textId="77777777" w:rsidTr="00A719D0">
        <w:tc>
          <w:tcPr>
            <w:tcW w:w="567" w:type="dxa"/>
            <w:shd w:val="clear" w:color="auto" w:fill="auto"/>
          </w:tcPr>
          <w:p w14:paraId="7BDCF274" w14:textId="77777777" w:rsidR="00F22BD3" w:rsidRPr="005E75B8" w:rsidRDefault="00F22BD3" w:rsidP="00D41CF1">
            <w:pPr>
              <w:pStyle w:val="NormalWeb"/>
              <w:spacing w:before="0" w:beforeAutospacing="0" w:after="0" w:afterAutospacing="0"/>
              <w:jc w:val="center"/>
              <w:rPr>
                <w:b/>
                <w:color w:val="000000"/>
              </w:rPr>
            </w:pPr>
          </w:p>
        </w:tc>
        <w:tc>
          <w:tcPr>
            <w:tcW w:w="2761" w:type="dxa"/>
            <w:shd w:val="clear" w:color="auto" w:fill="auto"/>
          </w:tcPr>
          <w:p w14:paraId="76E32767" w14:textId="6DF8C651" w:rsidR="00F22BD3" w:rsidRPr="005E75B8" w:rsidRDefault="00F22BD3" w:rsidP="00D41CF1">
            <w:pPr>
              <w:pStyle w:val="NormalWeb"/>
              <w:spacing w:before="0" w:beforeAutospacing="0" w:after="0" w:afterAutospacing="0"/>
              <w:jc w:val="center"/>
              <w:rPr>
                <w:b/>
                <w:color w:val="000000"/>
              </w:rPr>
            </w:pPr>
          </w:p>
        </w:tc>
        <w:tc>
          <w:tcPr>
            <w:tcW w:w="236" w:type="dxa"/>
            <w:shd w:val="clear" w:color="auto" w:fill="auto"/>
          </w:tcPr>
          <w:p w14:paraId="036BA45D" w14:textId="77777777" w:rsidR="00F22BD3" w:rsidRPr="005E75B8" w:rsidRDefault="00F22BD3" w:rsidP="00D41CF1">
            <w:pPr>
              <w:pStyle w:val="NormalWeb"/>
              <w:spacing w:before="0" w:beforeAutospacing="0" w:after="0" w:afterAutospacing="0"/>
              <w:jc w:val="center"/>
              <w:rPr>
                <w:b/>
                <w:color w:val="000000"/>
              </w:rPr>
            </w:pPr>
          </w:p>
        </w:tc>
        <w:tc>
          <w:tcPr>
            <w:tcW w:w="5616" w:type="dxa"/>
            <w:gridSpan w:val="2"/>
            <w:shd w:val="clear" w:color="auto" w:fill="auto"/>
          </w:tcPr>
          <w:p w14:paraId="27F42AE3" w14:textId="77777777" w:rsidR="006C15E9" w:rsidRDefault="006C15E9" w:rsidP="00C1382C">
            <w:pPr>
              <w:pStyle w:val="NormalWeb"/>
              <w:spacing w:before="0" w:beforeAutospacing="0" w:after="0" w:afterAutospacing="0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 xml:space="preserve"> </w:t>
            </w:r>
            <w:r w:rsidR="00F22BD3" w:rsidRPr="00C1382C">
              <w:rPr>
                <w:b/>
                <w:color w:val="000000"/>
              </w:rPr>
              <w:t>Predsjednik</w:t>
            </w:r>
          </w:p>
          <w:p w14:paraId="6DDDFC5E" w14:textId="5D1DFB83" w:rsidR="00F22BD3" w:rsidRPr="00C1382C" w:rsidRDefault="00C1382C" w:rsidP="00C1382C">
            <w:pPr>
              <w:pStyle w:val="NormalWeb"/>
              <w:spacing w:before="0" w:beforeAutospacing="0" w:after="0" w:afterAutospacing="0"/>
              <w:jc w:val="center"/>
              <w:rPr>
                <w:b/>
                <w:color w:val="000000"/>
              </w:rPr>
            </w:pPr>
            <w:r w:rsidRPr="00C1382C">
              <w:rPr>
                <w:b/>
                <w:color w:val="000000"/>
              </w:rPr>
              <w:t xml:space="preserve"> </w:t>
            </w:r>
            <w:r w:rsidR="00F22BD3" w:rsidRPr="00C1382C">
              <w:rPr>
                <w:b/>
                <w:color w:val="000000"/>
              </w:rPr>
              <w:t>Hrvatskoga sabora</w:t>
            </w:r>
          </w:p>
          <w:p w14:paraId="78279CF4" w14:textId="77777777" w:rsidR="00F22BD3" w:rsidRPr="005E75B8" w:rsidRDefault="00F22BD3" w:rsidP="00D41CF1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</w:rPr>
            </w:pPr>
            <w:r w:rsidRPr="005E75B8">
              <w:rPr>
                <w:b/>
                <w:color w:val="000000"/>
              </w:rPr>
              <w:t>Gordan Jandroković</w:t>
            </w:r>
            <w:r w:rsidRPr="005E75B8">
              <w:rPr>
                <w:color w:val="000000"/>
              </w:rPr>
              <w:br/>
            </w:r>
          </w:p>
        </w:tc>
      </w:tr>
    </w:tbl>
    <w:p w14:paraId="6B9BBC22" w14:textId="77777777" w:rsidR="00B0705B" w:rsidRDefault="00B0705B" w:rsidP="00B03A67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00924844" w14:textId="18DAD228" w:rsidR="00C1382C" w:rsidRPr="00C1382C" w:rsidRDefault="006C15E9" w:rsidP="00C1382C">
      <w:pPr>
        <w:spacing w:after="120" w:line="240" w:lineRule="auto"/>
        <w:rPr>
          <w:rFonts w:ascii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>Klasa,</w:t>
      </w:r>
    </w:p>
    <w:p w14:paraId="250EB094" w14:textId="77777777" w:rsidR="00D977A1" w:rsidRDefault="00C1382C" w:rsidP="00D977A1">
      <w:pPr>
        <w:spacing w:after="12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C1382C">
        <w:rPr>
          <w:rFonts w:ascii="Times New Roman" w:hAnsi="Times New Roman" w:cs="Times New Roman"/>
          <w:b/>
          <w:color w:val="000000"/>
          <w:sz w:val="24"/>
          <w:szCs w:val="24"/>
        </w:rPr>
        <w:t>Zagreb,</w:t>
      </w:r>
    </w:p>
    <w:p w14:paraId="6774689A" w14:textId="77777777" w:rsidR="00D977A1" w:rsidRDefault="00D977A1" w:rsidP="00D977A1">
      <w:pPr>
        <w:spacing w:after="12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14:paraId="77DDD8FF" w14:textId="77777777" w:rsidR="00D977A1" w:rsidRDefault="00D977A1" w:rsidP="00D977A1">
      <w:pPr>
        <w:spacing w:after="12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14:paraId="14DAB4E9" w14:textId="77777777" w:rsidR="00D977A1" w:rsidRDefault="00D977A1" w:rsidP="00D977A1">
      <w:pPr>
        <w:spacing w:after="12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14:paraId="04D76024" w14:textId="46BEA8B7" w:rsidR="00C43C70" w:rsidRPr="00D977A1" w:rsidRDefault="00B03A67" w:rsidP="00D977A1">
      <w:pPr>
        <w:spacing w:after="12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B0705B">
        <w:rPr>
          <w:rFonts w:ascii="Times New Roman" w:hAnsi="Times New Roman" w:cs="Times New Roman"/>
          <w:b/>
          <w:sz w:val="24"/>
          <w:szCs w:val="24"/>
        </w:rPr>
        <w:lastRenderedPageBreak/>
        <w:t>O B R A Z L O Ž E N</w:t>
      </w:r>
      <w:r w:rsidR="004A0AE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B0705B">
        <w:rPr>
          <w:rFonts w:ascii="Times New Roman" w:hAnsi="Times New Roman" w:cs="Times New Roman"/>
          <w:b/>
          <w:sz w:val="24"/>
          <w:szCs w:val="24"/>
        </w:rPr>
        <w:t>J E</w:t>
      </w:r>
    </w:p>
    <w:p w14:paraId="5E000ED8" w14:textId="77777777" w:rsidR="001D3A01" w:rsidRPr="00B0705B" w:rsidRDefault="001D3A01" w:rsidP="001D3A01">
      <w:pPr>
        <w:spacing w:after="0"/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0C71363" w14:textId="2088ECBE" w:rsidR="00B0705B" w:rsidRDefault="00B03A67" w:rsidP="001D3A0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0705B">
        <w:rPr>
          <w:rFonts w:ascii="Times New Roman" w:hAnsi="Times New Roman" w:cs="Times New Roman"/>
          <w:b/>
          <w:sz w:val="24"/>
          <w:szCs w:val="24"/>
        </w:rPr>
        <w:t>Točkom I.</w:t>
      </w:r>
      <w:r w:rsidRPr="00B0705B">
        <w:rPr>
          <w:rFonts w:ascii="Times New Roman" w:hAnsi="Times New Roman" w:cs="Times New Roman"/>
          <w:sz w:val="24"/>
          <w:szCs w:val="24"/>
        </w:rPr>
        <w:t xml:space="preserve"> određuje se da Hrvatski sabor donosi Odluku o sudjelovanju Oružanih snaga Republike Hrvatske u </w:t>
      </w:r>
      <w:r w:rsidR="00CC0C6A">
        <w:rPr>
          <w:rFonts w:ascii="Times New Roman" w:hAnsi="Times New Roman" w:cs="Times New Roman"/>
          <w:sz w:val="24"/>
          <w:szCs w:val="24"/>
        </w:rPr>
        <w:t xml:space="preserve">sklopu </w:t>
      </w:r>
      <w:r w:rsidRPr="00B0705B">
        <w:rPr>
          <w:rFonts w:ascii="Times New Roman" w:hAnsi="Times New Roman" w:cs="Times New Roman"/>
          <w:sz w:val="24"/>
          <w:szCs w:val="24"/>
        </w:rPr>
        <w:t xml:space="preserve">aktivnosti </w:t>
      </w:r>
      <w:r w:rsidR="00CC0C6A">
        <w:rPr>
          <w:rFonts w:ascii="Times New Roman" w:hAnsi="Times New Roman" w:cs="Times New Roman"/>
          <w:sz w:val="24"/>
          <w:szCs w:val="24"/>
        </w:rPr>
        <w:t>o</w:t>
      </w:r>
      <w:r w:rsidR="00D85970">
        <w:rPr>
          <w:rFonts w:ascii="Times New Roman" w:hAnsi="Times New Roman" w:cs="Times New Roman"/>
          <w:sz w:val="24"/>
          <w:szCs w:val="24"/>
        </w:rPr>
        <w:t>jač</w:t>
      </w:r>
      <w:r w:rsidRPr="00B0705B">
        <w:rPr>
          <w:rFonts w:ascii="Times New Roman" w:hAnsi="Times New Roman" w:cs="Times New Roman"/>
          <w:sz w:val="24"/>
          <w:szCs w:val="24"/>
        </w:rPr>
        <w:t xml:space="preserve">ane prednje prisutnosti NATO-a u Republici Litvi. </w:t>
      </w:r>
      <w:r w:rsidR="003D609E" w:rsidRPr="00541CA8">
        <w:rPr>
          <w:rFonts w:ascii="Times New Roman" w:eastAsia="MS Mincho" w:hAnsi="Times New Roman" w:cs="Times New Roman"/>
          <w:sz w:val="24"/>
          <w:szCs w:val="24"/>
          <w:lang w:eastAsia="ja-JP"/>
        </w:rPr>
        <w:t>Pravni temelj za donošenje Odluke Hrvatskoga sabora je članak 7. stavak 5. Ustava Republike Hrvatske (Narodne novine, br. 85/10</w:t>
      </w:r>
      <w:r w:rsidR="00C1382C">
        <w:rPr>
          <w:rFonts w:ascii="Times New Roman" w:eastAsia="MS Mincho" w:hAnsi="Times New Roman" w:cs="Times New Roman"/>
          <w:sz w:val="24"/>
          <w:szCs w:val="24"/>
          <w:lang w:eastAsia="ja-JP"/>
        </w:rPr>
        <w:t xml:space="preserve"> </w:t>
      </w:r>
      <w:r w:rsidR="003D609E" w:rsidRPr="00541CA8">
        <w:rPr>
          <w:rFonts w:ascii="Times New Roman" w:eastAsia="MS Mincho" w:hAnsi="Times New Roman" w:cs="Times New Roman"/>
          <w:sz w:val="24"/>
          <w:szCs w:val="24"/>
          <w:lang w:eastAsia="ja-JP"/>
        </w:rPr>
        <w:t>– pročišćeni tekst i 5/14 – Odluka Ustavnog suda Republike Hrvatske</w:t>
      </w:r>
      <w:r w:rsidR="003D609E" w:rsidRPr="009F3756">
        <w:rPr>
          <w:rFonts w:ascii="Times New Roman" w:eastAsia="MS Mincho" w:hAnsi="Times New Roman" w:cs="Times New Roman"/>
          <w:sz w:val="24"/>
          <w:szCs w:val="24"/>
          <w:lang w:eastAsia="ja-JP"/>
        </w:rPr>
        <w:t>)</w:t>
      </w:r>
      <w:r w:rsidR="003D609E" w:rsidRPr="00541CA8">
        <w:rPr>
          <w:rFonts w:ascii="Times New Roman" w:eastAsia="MS Mincho" w:hAnsi="Times New Roman" w:cs="Times New Roman"/>
          <w:sz w:val="24"/>
          <w:szCs w:val="24"/>
          <w:lang w:eastAsia="ja-JP"/>
        </w:rPr>
        <w:t xml:space="preserve"> koji propisuje da Oružane snage Republike Hrvatske mogu prijeći njezine granice ili djelovati preko njezinih granica na temelju Odluke Hrvatskoga sabora, koju predlaže Vlada Republike Hrvatske, uz p</w:t>
      </w:r>
      <w:r w:rsidR="003D609E">
        <w:rPr>
          <w:rFonts w:ascii="Times New Roman" w:eastAsia="MS Mincho" w:hAnsi="Times New Roman" w:cs="Times New Roman"/>
          <w:sz w:val="24"/>
          <w:szCs w:val="24"/>
          <w:lang w:eastAsia="ja-JP"/>
        </w:rPr>
        <w:t>rethodnu suglasnost Predsjednika</w:t>
      </w:r>
      <w:r w:rsidR="003D609E" w:rsidRPr="00541CA8">
        <w:rPr>
          <w:rFonts w:ascii="Times New Roman" w:eastAsia="MS Mincho" w:hAnsi="Times New Roman" w:cs="Times New Roman"/>
          <w:sz w:val="24"/>
          <w:szCs w:val="24"/>
          <w:lang w:eastAsia="ja-JP"/>
        </w:rPr>
        <w:t xml:space="preserve"> Republike Hrvatske. Zakon o obrani </w:t>
      </w:r>
      <w:r w:rsidR="003D609E" w:rsidRPr="00C6571C">
        <w:rPr>
          <w:rFonts w:ascii="Times New Roman" w:hAnsi="Times New Roman" w:cs="Times New Roman"/>
          <w:color w:val="000000"/>
          <w:sz w:val="24"/>
          <w:szCs w:val="24"/>
        </w:rPr>
        <w:t>(Narodne novine, br. 73/13, 75/15, 27/16</w:t>
      </w:r>
      <w:r w:rsidR="003D609E" w:rsidRPr="00C6571C">
        <w:rPr>
          <w:rFonts w:ascii="Times New Roman" w:hAnsi="Times New Roman" w:cs="Times New Roman"/>
          <w:sz w:val="24"/>
          <w:szCs w:val="24"/>
        </w:rPr>
        <w:t>, 110/17 – Odluka Ustavnog suda Republike Hrvatske,</w:t>
      </w:r>
      <w:r w:rsidR="003D609E" w:rsidRPr="00C6571C">
        <w:rPr>
          <w:rFonts w:ascii="Times New Roman" w:hAnsi="Times New Roman" w:cs="Times New Roman"/>
          <w:color w:val="000000"/>
          <w:sz w:val="24"/>
          <w:szCs w:val="24"/>
        </w:rPr>
        <w:t xml:space="preserve"> 30/18</w:t>
      </w:r>
      <w:r w:rsidR="003D609E" w:rsidRPr="00C6571C">
        <w:rPr>
          <w:rFonts w:ascii="Times New Roman" w:hAnsi="Times New Roman" w:cs="Times New Roman"/>
          <w:sz w:val="24"/>
          <w:szCs w:val="24"/>
        </w:rPr>
        <w:t xml:space="preserve"> i 70/19</w:t>
      </w:r>
      <w:r w:rsidR="003D609E" w:rsidRPr="00C6571C">
        <w:rPr>
          <w:rFonts w:ascii="Times New Roman" w:hAnsi="Times New Roman" w:cs="Times New Roman"/>
          <w:color w:val="000000"/>
          <w:sz w:val="24"/>
          <w:szCs w:val="24"/>
        </w:rPr>
        <w:t>)</w:t>
      </w:r>
      <w:r w:rsidR="003D609E" w:rsidRPr="00541CA8">
        <w:rPr>
          <w:rFonts w:ascii="Times New Roman" w:eastAsia="MS Mincho" w:hAnsi="Times New Roman" w:cs="Times New Roman"/>
          <w:sz w:val="24"/>
          <w:szCs w:val="24"/>
          <w:lang w:eastAsia="ja-JP"/>
        </w:rPr>
        <w:t xml:space="preserve"> u članku 54. stavku 2. na istovjetan način uređuje ovo područje. </w:t>
      </w:r>
      <w:r w:rsidRPr="00B0705B">
        <w:rPr>
          <w:rFonts w:ascii="Times New Roman" w:hAnsi="Times New Roman" w:cs="Times New Roman"/>
          <w:sz w:val="24"/>
          <w:szCs w:val="24"/>
        </w:rPr>
        <w:t xml:space="preserve">U </w:t>
      </w:r>
      <w:r w:rsidR="000D593F">
        <w:rPr>
          <w:rFonts w:ascii="Times New Roman" w:hAnsi="Times New Roman" w:cs="Times New Roman"/>
          <w:sz w:val="24"/>
          <w:szCs w:val="24"/>
        </w:rPr>
        <w:t xml:space="preserve">sklopu </w:t>
      </w:r>
      <w:r w:rsidRPr="00B0705B">
        <w:rPr>
          <w:rFonts w:ascii="Times New Roman" w:hAnsi="Times New Roman" w:cs="Times New Roman"/>
          <w:sz w:val="24"/>
          <w:szCs w:val="24"/>
        </w:rPr>
        <w:t>aktivnost</w:t>
      </w:r>
      <w:r w:rsidR="008E2398">
        <w:rPr>
          <w:rFonts w:ascii="Times New Roman" w:hAnsi="Times New Roman" w:cs="Times New Roman"/>
          <w:sz w:val="24"/>
          <w:szCs w:val="24"/>
        </w:rPr>
        <w:t>i</w:t>
      </w:r>
      <w:r w:rsidRPr="00B0705B">
        <w:rPr>
          <w:rFonts w:ascii="Times New Roman" w:hAnsi="Times New Roman" w:cs="Times New Roman"/>
          <w:sz w:val="24"/>
          <w:szCs w:val="24"/>
        </w:rPr>
        <w:t xml:space="preserve"> </w:t>
      </w:r>
      <w:r w:rsidR="00821EFB">
        <w:rPr>
          <w:rFonts w:ascii="Times New Roman" w:hAnsi="Times New Roman" w:cs="Times New Roman"/>
          <w:sz w:val="24"/>
          <w:szCs w:val="24"/>
        </w:rPr>
        <w:t>o</w:t>
      </w:r>
      <w:r w:rsidR="00D85970">
        <w:rPr>
          <w:rFonts w:ascii="Times New Roman" w:hAnsi="Times New Roman" w:cs="Times New Roman"/>
          <w:sz w:val="24"/>
          <w:szCs w:val="24"/>
        </w:rPr>
        <w:t>jač</w:t>
      </w:r>
      <w:r w:rsidRPr="00B0705B">
        <w:rPr>
          <w:rFonts w:ascii="Times New Roman" w:hAnsi="Times New Roman" w:cs="Times New Roman"/>
          <w:sz w:val="24"/>
          <w:szCs w:val="24"/>
        </w:rPr>
        <w:t>ane prednje prisutnosti NATO-a, u okviru borbene skupine pod vodstvom Savezne Republike Njemačke, u Republiku Litvu u 202</w:t>
      </w:r>
      <w:r w:rsidR="003364AC">
        <w:rPr>
          <w:rFonts w:ascii="Times New Roman" w:hAnsi="Times New Roman" w:cs="Times New Roman"/>
          <w:sz w:val="24"/>
          <w:szCs w:val="24"/>
        </w:rPr>
        <w:t>3</w:t>
      </w:r>
      <w:r w:rsidRPr="00B0705B">
        <w:rPr>
          <w:rFonts w:ascii="Times New Roman" w:hAnsi="Times New Roman" w:cs="Times New Roman"/>
          <w:sz w:val="24"/>
          <w:szCs w:val="24"/>
        </w:rPr>
        <w:t xml:space="preserve">. godini upućuje se do 200 pripadnika Oružanih snaga Republike Hrvatske (pješačka mehanizirana satnija). </w:t>
      </w:r>
    </w:p>
    <w:p w14:paraId="324D0FD4" w14:textId="77777777" w:rsidR="00D977A1" w:rsidRDefault="00D977A1" w:rsidP="00C1382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MS Mincho" w:hAnsi="Times New Roman" w:cs="Times New Roman"/>
          <w:b/>
          <w:bCs/>
          <w:color w:val="000000"/>
          <w:sz w:val="24"/>
          <w:szCs w:val="24"/>
          <w:lang w:eastAsia="ja-JP" w:bidi="ta-IN"/>
        </w:rPr>
      </w:pPr>
    </w:p>
    <w:p w14:paraId="1FF4259C" w14:textId="3478B713" w:rsidR="000D593F" w:rsidRDefault="009D6A85" w:rsidP="00C1382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MS Mincho" w:hAnsi="Times New Roman" w:cs="Times New Roman"/>
          <w:b/>
          <w:bCs/>
          <w:color w:val="000000"/>
          <w:sz w:val="24"/>
          <w:szCs w:val="24"/>
          <w:lang w:eastAsia="ja-JP" w:bidi="ta-IN"/>
        </w:rPr>
      </w:pPr>
      <w:r w:rsidRPr="00A719D0">
        <w:rPr>
          <w:rFonts w:ascii="Times New Roman" w:eastAsia="MS Mincho" w:hAnsi="Times New Roman" w:cs="Times New Roman"/>
          <w:b/>
          <w:bCs/>
          <w:color w:val="000000"/>
          <w:sz w:val="24"/>
          <w:szCs w:val="24"/>
          <w:lang w:eastAsia="ja-JP" w:bidi="ta-IN"/>
        </w:rPr>
        <w:t xml:space="preserve">Točkom II. </w:t>
      </w:r>
      <w:r w:rsidR="000D593F">
        <w:rPr>
          <w:rFonts w:ascii="Times New Roman" w:eastAsia="MS Mincho" w:hAnsi="Times New Roman" w:cs="Times New Roman"/>
          <w:bCs/>
          <w:sz w:val="24"/>
          <w:szCs w:val="24"/>
          <w:lang w:eastAsia="ja-JP"/>
        </w:rPr>
        <w:t>utvrđuje</w:t>
      </w:r>
      <w:r w:rsidR="000D593F" w:rsidRPr="00F65F94">
        <w:rPr>
          <w:rFonts w:ascii="Times New Roman" w:eastAsia="MS Mincho" w:hAnsi="Times New Roman" w:cs="Times New Roman"/>
          <w:bCs/>
          <w:sz w:val="24"/>
          <w:szCs w:val="24"/>
          <w:lang w:eastAsia="ja-JP"/>
        </w:rPr>
        <w:t xml:space="preserve"> se</w:t>
      </w:r>
      <w:r w:rsidR="000D593F">
        <w:rPr>
          <w:rFonts w:ascii="Times New Roman" w:eastAsia="MS Mincho" w:hAnsi="Times New Roman" w:cs="Times New Roman"/>
          <w:bCs/>
          <w:sz w:val="24"/>
          <w:szCs w:val="24"/>
          <w:lang w:eastAsia="ja-JP"/>
        </w:rPr>
        <w:t xml:space="preserve"> da će izvješće o sudjelovanju Oružanih snaga Republike Hrvatske u aktivnosti iz točke I. ove Odluke biti dio Godišnjeg izvješća o obrani koje Vlada Republike Hrvatske podnosi Hrvatskome saboru.</w:t>
      </w:r>
    </w:p>
    <w:p w14:paraId="46554FE1" w14:textId="77777777" w:rsidR="000D593F" w:rsidRDefault="000D593F" w:rsidP="00821EF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MS Mincho" w:hAnsi="Times New Roman" w:cs="Times New Roman"/>
          <w:b/>
          <w:bCs/>
          <w:color w:val="000000"/>
          <w:sz w:val="24"/>
          <w:szCs w:val="24"/>
          <w:lang w:eastAsia="ja-JP" w:bidi="ta-IN"/>
        </w:rPr>
      </w:pPr>
    </w:p>
    <w:p w14:paraId="20FC8632" w14:textId="74539A59" w:rsidR="00821EFB" w:rsidRPr="00541CA8" w:rsidRDefault="00B0705B" w:rsidP="00C1382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541CA8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Točkom III.</w:t>
      </w:r>
      <w:r w:rsidRPr="00541CA8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821EFB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određuje se stupanje </w:t>
      </w:r>
      <w:r w:rsidR="00821EFB" w:rsidRPr="00541CA8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na snagu </w:t>
      </w:r>
      <w:r w:rsidR="00E622E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ove </w:t>
      </w:r>
      <w:r w:rsidR="00821EFB" w:rsidRPr="00541CA8">
        <w:rPr>
          <w:rFonts w:ascii="Times New Roman" w:eastAsia="Times New Roman" w:hAnsi="Times New Roman" w:cs="Times New Roman"/>
          <w:sz w:val="24"/>
          <w:szCs w:val="24"/>
          <w:lang w:eastAsia="hr-HR"/>
        </w:rPr>
        <w:t>Odluke.</w:t>
      </w:r>
    </w:p>
    <w:p w14:paraId="12B4FC7E" w14:textId="77777777" w:rsidR="00821EFB" w:rsidRPr="00541CA8" w:rsidRDefault="00821EFB" w:rsidP="00821EF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14:paraId="7EC359F5" w14:textId="1A32914A" w:rsidR="00B0705B" w:rsidRPr="00541CA8" w:rsidRDefault="00B0705B" w:rsidP="00B0705B">
      <w:pPr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275F0F5B" w14:textId="77777777" w:rsidR="00B0705B" w:rsidRPr="00B0705B" w:rsidRDefault="00B0705B" w:rsidP="00B0705B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B0705B" w:rsidRPr="00B0705B" w:rsidSect="00BC51AD">
      <w:footerReference w:type="default" r:id="rId13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24516B3" w14:textId="77777777" w:rsidR="003A48E9" w:rsidRDefault="003A48E9" w:rsidP="00D87E28">
      <w:pPr>
        <w:spacing w:after="0" w:line="240" w:lineRule="auto"/>
      </w:pPr>
      <w:r>
        <w:separator/>
      </w:r>
    </w:p>
  </w:endnote>
  <w:endnote w:type="continuationSeparator" w:id="0">
    <w:p w14:paraId="4D8AF01E" w14:textId="77777777" w:rsidR="003A48E9" w:rsidRDefault="003A48E9" w:rsidP="00D87E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0383552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188AA58" w14:textId="76F48F16" w:rsidR="00BC51AD" w:rsidRDefault="00BC51AD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172C1C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2C125F59" w14:textId="77777777" w:rsidR="00D87E28" w:rsidRDefault="00D87E2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4C34C79" w14:textId="77777777" w:rsidR="003A48E9" w:rsidRDefault="003A48E9" w:rsidP="00D87E28">
      <w:pPr>
        <w:spacing w:after="0" w:line="240" w:lineRule="auto"/>
      </w:pPr>
      <w:r>
        <w:separator/>
      </w:r>
    </w:p>
  </w:footnote>
  <w:footnote w:type="continuationSeparator" w:id="0">
    <w:p w14:paraId="0203FD8C" w14:textId="77777777" w:rsidR="003A48E9" w:rsidRDefault="003A48E9" w:rsidP="00D87E2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8915AEB"/>
    <w:multiLevelType w:val="hybridMultilevel"/>
    <w:tmpl w:val="E6A6F75C"/>
    <w:lvl w:ilvl="0" w:tplc="C9624CCE">
      <w:start w:val="1"/>
      <w:numFmt w:val="upperRoman"/>
      <w:lvlText w:val="%1."/>
      <w:lvlJc w:val="left"/>
      <w:pPr>
        <w:ind w:left="1428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3A67"/>
    <w:rsid w:val="0003260F"/>
    <w:rsid w:val="00034D58"/>
    <w:rsid w:val="00056952"/>
    <w:rsid w:val="00057957"/>
    <w:rsid w:val="00061E18"/>
    <w:rsid w:val="000709AD"/>
    <w:rsid w:val="00074F8F"/>
    <w:rsid w:val="000847D3"/>
    <w:rsid w:val="000972BE"/>
    <w:rsid w:val="000B0C2D"/>
    <w:rsid w:val="000B431E"/>
    <w:rsid w:val="000C158B"/>
    <w:rsid w:val="000D593F"/>
    <w:rsid w:val="000D69FD"/>
    <w:rsid w:val="000E79DE"/>
    <w:rsid w:val="00103295"/>
    <w:rsid w:val="00111AB8"/>
    <w:rsid w:val="00121819"/>
    <w:rsid w:val="0012599F"/>
    <w:rsid w:val="00151D31"/>
    <w:rsid w:val="00172C1C"/>
    <w:rsid w:val="00175BD7"/>
    <w:rsid w:val="001B1B82"/>
    <w:rsid w:val="001C3A03"/>
    <w:rsid w:val="001D2C61"/>
    <w:rsid w:val="001D3A01"/>
    <w:rsid w:val="001D7AD8"/>
    <w:rsid w:val="0021543D"/>
    <w:rsid w:val="00230DB5"/>
    <w:rsid w:val="00235DE8"/>
    <w:rsid w:val="00250940"/>
    <w:rsid w:val="00253D3F"/>
    <w:rsid w:val="0025751A"/>
    <w:rsid w:val="002C32AD"/>
    <w:rsid w:val="002D0D4E"/>
    <w:rsid w:val="002D2F2A"/>
    <w:rsid w:val="002D3029"/>
    <w:rsid w:val="002E1EEB"/>
    <w:rsid w:val="003002E0"/>
    <w:rsid w:val="003327AA"/>
    <w:rsid w:val="003364AC"/>
    <w:rsid w:val="003730F1"/>
    <w:rsid w:val="003A48E9"/>
    <w:rsid w:val="003D609E"/>
    <w:rsid w:val="003F5E62"/>
    <w:rsid w:val="003F624E"/>
    <w:rsid w:val="0040052E"/>
    <w:rsid w:val="00404814"/>
    <w:rsid w:val="0041002E"/>
    <w:rsid w:val="00410E93"/>
    <w:rsid w:val="00411974"/>
    <w:rsid w:val="00413990"/>
    <w:rsid w:val="004219A1"/>
    <w:rsid w:val="00423F25"/>
    <w:rsid w:val="00444B7F"/>
    <w:rsid w:val="004608E9"/>
    <w:rsid w:val="00477C16"/>
    <w:rsid w:val="00480D62"/>
    <w:rsid w:val="0048642E"/>
    <w:rsid w:val="00486723"/>
    <w:rsid w:val="004A09B0"/>
    <w:rsid w:val="004A0AE6"/>
    <w:rsid w:val="004A163B"/>
    <w:rsid w:val="004B5E4B"/>
    <w:rsid w:val="004D1237"/>
    <w:rsid w:val="004D1918"/>
    <w:rsid w:val="004D79CE"/>
    <w:rsid w:val="00511658"/>
    <w:rsid w:val="0052159F"/>
    <w:rsid w:val="00572626"/>
    <w:rsid w:val="00573569"/>
    <w:rsid w:val="005A1CFA"/>
    <w:rsid w:val="005C4440"/>
    <w:rsid w:val="005D1893"/>
    <w:rsid w:val="005E75B8"/>
    <w:rsid w:val="005F32A1"/>
    <w:rsid w:val="0061481B"/>
    <w:rsid w:val="00650AEE"/>
    <w:rsid w:val="00697CB0"/>
    <w:rsid w:val="006C15E9"/>
    <w:rsid w:val="006E3714"/>
    <w:rsid w:val="006F4014"/>
    <w:rsid w:val="00775F58"/>
    <w:rsid w:val="00775F9A"/>
    <w:rsid w:val="00786F9C"/>
    <w:rsid w:val="007939DC"/>
    <w:rsid w:val="007A55AB"/>
    <w:rsid w:val="007C3C7C"/>
    <w:rsid w:val="007C5334"/>
    <w:rsid w:val="007E55F0"/>
    <w:rsid w:val="00805849"/>
    <w:rsid w:val="00821937"/>
    <w:rsid w:val="00821EFB"/>
    <w:rsid w:val="00824ACC"/>
    <w:rsid w:val="00837CE3"/>
    <w:rsid w:val="00844C4F"/>
    <w:rsid w:val="00857262"/>
    <w:rsid w:val="0086381B"/>
    <w:rsid w:val="00874593"/>
    <w:rsid w:val="0087465E"/>
    <w:rsid w:val="0087586E"/>
    <w:rsid w:val="008931FB"/>
    <w:rsid w:val="008D5898"/>
    <w:rsid w:val="008E1494"/>
    <w:rsid w:val="008E2398"/>
    <w:rsid w:val="00904B14"/>
    <w:rsid w:val="009065E2"/>
    <w:rsid w:val="00940770"/>
    <w:rsid w:val="0096257B"/>
    <w:rsid w:val="009851D9"/>
    <w:rsid w:val="00986C54"/>
    <w:rsid w:val="009A2899"/>
    <w:rsid w:val="009D6A85"/>
    <w:rsid w:val="009F2988"/>
    <w:rsid w:val="00A03F4F"/>
    <w:rsid w:val="00A041DB"/>
    <w:rsid w:val="00A05FA9"/>
    <w:rsid w:val="00A37E75"/>
    <w:rsid w:val="00A4512A"/>
    <w:rsid w:val="00A511A4"/>
    <w:rsid w:val="00A719D0"/>
    <w:rsid w:val="00A72E68"/>
    <w:rsid w:val="00A83E06"/>
    <w:rsid w:val="00AB4D17"/>
    <w:rsid w:val="00B03A67"/>
    <w:rsid w:val="00B0705B"/>
    <w:rsid w:val="00B23133"/>
    <w:rsid w:val="00B5640C"/>
    <w:rsid w:val="00BC51AD"/>
    <w:rsid w:val="00BE010E"/>
    <w:rsid w:val="00BF6D0C"/>
    <w:rsid w:val="00C1382C"/>
    <w:rsid w:val="00C21A83"/>
    <w:rsid w:val="00C33288"/>
    <w:rsid w:val="00C33710"/>
    <w:rsid w:val="00C354BE"/>
    <w:rsid w:val="00C43C70"/>
    <w:rsid w:val="00C52C08"/>
    <w:rsid w:val="00C83DA7"/>
    <w:rsid w:val="00C94C2B"/>
    <w:rsid w:val="00CC0C6A"/>
    <w:rsid w:val="00CC2B0D"/>
    <w:rsid w:val="00CC77E0"/>
    <w:rsid w:val="00D042BF"/>
    <w:rsid w:val="00D104FD"/>
    <w:rsid w:val="00D21C04"/>
    <w:rsid w:val="00D40562"/>
    <w:rsid w:val="00D53F96"/>
    <w:rsid w:val="00D85970"/>
    <w:rsid w:val="00D87E28"/>
    <w:rsid w:val="00D977A1"/>
    <w:rsid w:val="00DA43DC"/>
    <w:rsid w:val="00DD328F"/>
    <w:rsid w:val="00DE2238"/>
    <w:rsid w:val="00DE38F8"/>
    <w:rsid w:val="00DE6B80"/>
    <w:rsid w:val="00DF3632"/>
    <w:rsid w:val="00E01EDF"/>
    <w:rsid w:val="00E31856"/>
    <w:rsid w:val="00E34C21"/>
    <w:rsid w:val="00E35722"/>
    <w:rsid w:val="00E371DC"/>
    <w:rsid w:val="00E50CF8"/>
    <w:rsid w:val="00E52F4A"/>
    <w:rsid w:val="00E622E5"/>
    <w:rsid w:val="00E80C2C"/>
    <w:rsid w:val="00E85EED"/>
    <w:rsid w:val="00EB6DCA"/>
    <w:rsid w:val="00EB7F41"/>
    <w:rsid w:val="00ED254A"/>
    <w:rsid w:val="00ED2571"/>
    <w:rsid w:val="00EF50A2"/>
    <w:rsid w:val="00F217F6"/>
    <w:rsid w:val="00F22BD3"/>
    <w:rsid w:val="00F561C3"/>
    <w:rsid w:val="00F67C9A"/>
    <w:rsid w:val="00F67EA9"/>
    <w:rsid w:val="00F712B2"/>
    <w:rsid w:val="00F751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F30583"/>
  <w15:docId w15:val="{E3EC96FE-961F-4BDE-A60E-52E2ED3A56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57356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7356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7356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7356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73569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7356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73569"/>
    <w:rPr>
      <w:rFonts w:ascii="Tahoma" w:hAnsi="Tahoma" w:cs="Tahoma"/>
      <w:sz w:val="16"/>
      <w:szCs w:val="16"/>
    </w:rPr>
  </w:style>
  <w:style w:type="paragraph" w:styleId="Revision">
    <w:name w:val="Revision"/>
    <w:hidden/>
    <w:uiPriority w:val="99"/>
    <w:semiHidden/>
    <w:rsid w:val="00775F58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D87E2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87E28"/>
  </w:style>
  <w:style w:type="paragraph" w:styleId="Footer">
    <w:name w:val="footer"/>
    <w:basedOn w:val="Normal"/>
    <w:link w:val="FooterChar"/>
    <w:uiPriority w:val="99"/>
    <w:unhideWhenUsed/>
    <w:rsid w:val="00D87E2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87E28"/>
  </w:style>
  <w:style w:type="paragraph" w:customStyle="1" w:styleId="t-9-8">
    <w:name w:val="t-9-8"/>
    <w:basedOn w:val="Normal"/>
    <w:rsid w:val="00C33710"/>
    <w:pPr>
      <w:spacing w:before="100" w:beforeAutospacing="1" w:after="100" w:afterAutospacing="1" w:line="240" w:lineRule="auto"/>
    </w:pPr>
    <w:rPr>
      <w:rFonts w:ascii="Times New Roman" w:eastAsia="MS Mincho" w:hAnsi="Times New Roman" w:cs="Times New Roman"/>
      <w:sz w:val="24"/>
      <w:szCs w:val="24"/>
      <w:lang w:eastAsia="ja-JP"/>
    </w:rPr>
  </w:style>
  <w:style w:type="paragraph" w:styleId="NormalWeb">
    <w:name w:val="Normal (Web)"/>
    <w:basedOn w:val="Normal"/>
    <w:rsid w:val="005E75B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ListParagraph">
    <w:name w:val="List Paragraph"/>
    <w:basedOn w:val="Normal"/>
    <w:uiPriority w:val="34"/>
    <w:qFormat/>
    <w:rsid w:val="000847D3"/>
    <w:pPr>
      <w:ind w:left="720"/>
      <w:contextualSpacing/>
    </w:pPr>
  </w:style>
  <w:style w:type="table" w:styleId="TableGrid">
    <w:name w:val="Table Grid"/>
    <w:basedOn w:val="TableNormal"/>
    <w:rsid w:val="005D189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8944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0312D8BAAF7624886BBB86C41A767E4" ma:contentTypeVersion="1" ma:contentTypeDescription="Stvaranje novog dokumenta." ma:contentTypeScope="" ma:versionID="c9b1ea03284e6e5981ddb441aa9ca51e">
  <xsd:schema xmlns:xsd="http://www.w3.org/2001/XMLSchema" xmlns:xs="http://www.w3.org/2001/XMLSchema" xmlns:p="http://schemas.microsoft.com/office/2006/metadata/properties" xmlns:ns2="a494813a-d0d8-4dad-94cb-0d196f36ba15" targetNamespace="http://schemas.microsoft.com/office/2006/metadata/properties" ma:root="true" ma:fieldsID="25e36e16aa46ebf14ca1525d3004cd09" ns2:_="">
    <xsd:import namespace="a494813a-d0d8-4dad-94cb-0d196f36ba15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494813a-d0d8-4dad-94cb-0d196f36ba15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Vrijednost ID-a dokumenta" ma:description="Vrijednost ID-a dokumenta dodijeljenog ovoj stavci." ma:internalName="_dlc_DocId" ma:readOnly="true">
      <xsd:simpleType>
        <xsd:restriction base="dms:Text"/>
      </xsd:simpleType>
    </xsd:element>
    <xsd:element name="_dlc_DocIdUrl" ma:index="9" nillable="true" ma:displayName="ID dokumenta" ma:description="Trajna veza do ovog dokumenta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1" nillable="true" ma:displayName="Zajednički se koristi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sadržaja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a494813a-d0d8-4dad-94cb-0d196f36ba15">AZJMDCZ6QSYZ-1335579144-13065</_dlc_DocId>
    <_dlc_DocIdUrl xmlns="a494813a-d0d8-4dad-94cb-0d196f36ba15">
      <Url>https://ekoordinacije.vlada.hr/_layouts/15/DocIdRedir.aspx?ID=AZJMDCZ6QSYZ-1335579144-13065</Url>
      <Description>AZJMDCZ6QSYZ-1335579144-13065</Description>
    </_dlc_DocIdUrl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77D5428-C946-4E2E-9D3D-0C44D3475608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E6DDF730-55D6-4DC6-9C5B-522691DC552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494813a-d0d8-4dad-94cb-0d196f36ba1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5D567C9-DEAA-41CD-B633-279F02AC15DF}">
  <ds:schemaRefs>
    <ds:schemaRef ds:uri="http://purl.org/dc/terms/"/>
    <ds:schemaRef ds:uri="http://schemas.openxmlformats.org/package/2006/metadata/core-properties"/>
    <ds:schemaRef ds:uri="a494813a-d0d8-4dad-94cb-0d196f36ba15"/>
    <ds:schemaRef ds:uri="http://purl.org/dc/dcmitype/"/>
    <ds:schemaRef ds:uri="http://schemas.microsoft.com/office/infopath/2007/PartnerControls"/>
    <ds:schemaRef ds:uri="http://schemas.microsoft.com/office/2006/documentManagement/types"/>
    <ds:schemaRef ds:uri="http://schemas.microsoft.com/office/2006/metadata/properties"/>
    <ds:schemaRef ds:uri="http://www.w3.org/XML/1998/namespace"/>
    <ds:schemaRef ds:uri="http://purl.org/dc/elements/1.1/"/>
  </ds:schemaRefs>
</ds:datastoreItem>
</file>

<file path=customXml/itemProps4.xml><?xml version="1.0" encoding="utf-8"?>
<ds:datastoreItem xmlns:ds="http://schemas.openxmlformats.org/officeDocument/2006/customXml" ds:itemID="{41744BC8-B989-4567-8521-793757BE32F5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B7132D1C-6B24-4909-808E-CF69ABF63F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6</Pages>
  <Words>1328</Words>
  <Characters>7573</Characters>
  <Application>Microsoft Office Word</Application>
  <DocSecurity>0</DocSecurity>
  <Lines>63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MO i OS RH</Company>
  <LinksUpToDate>false</LinksUpToDate>
  <CharactersWithSpaces>8884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DAVOR POHOVSKI</dc:creator>
  <cp:lastModifiedBy>Senada Džafović</cp:lastModifiedBy>
  <cp:revision>10</cp:revision>
  <cp:lastPrinted>2021-10-05T11:07:00Z</cp:lastPrinted>
  <dcterms:created xsi:type="dcterms:W3CDTF">2021-10-06T13:20:00Z</dcterms:created>
  <dcterms:modified xsi:type="dcterms:W3CDTF">2021-10-25T09:18:00Z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0x010100F0312D8BAAF7624886BBB86C41A767E4</vt:lpwstr>
  </property>
  <property fmtid="{D5CDD505-2E9C-101B-9397-08002B2CF9AE}" pid="3" name="_dlc_DocIdItemGuid">
    <vt:lpwstr>eb46aa01-abf2-4407-a87e-ea9850fa1cd9</vt:lpwstr>
  </property>
</Properties>
</file>