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55401" w14:textId="77777777" w:rsidR="00331BC5" w:rsidRPr="00331BC5" w:rsidRDefault="00331BC5" w:rsidP="00331BC5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31BC5">
        <w:rPr>
          <w:rFonts w:ascii="Times New Roman" w:eastAsia="Times New Roman" w:hAnsi="Times New Roman" w:cs="Times New Roman"/>
          <w:sz w:val="24"/>
          <w:szCs w:val="24"/>
          <w:lang w:eastAsia="hr-HR"/>
        </w:rPr>
        <w:drawing>
          <wp:inline distT="0" distB="0" distL="0" distR="0" wp14:anchorId="6C0F7489" wp14:editId="27F6A46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B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fldChar w:fldCharType="begin"/>
      </w:r>
      <w:r w:rsidRPr="00331B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331B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fldChar w:fldCharType="end"/>
      </w:r>
    </w:p>
    <w:p w14:paraId="25249177" w14:textId="77777777" w:rsidR="00331BC5" w:rsidRPr="00331BC5" w:rsidRDefault="00331BC5" w:rsidP="00331BC5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noProof w:val="0"/>
          <w:sz w:val="28"/>
          <w:szCs w:val="24"/>
          <w:lang w:eastAsia="hr-HR"/>
        </w:rPr>
      </w:pPr>
      <w:r w:rsidRPr="00331BC5">
        <w:rPr>
          <w:rFonts w:ascii="Times New Roman" w:eastAsia="Times New Roman" w:hAnsi="Times New Roman" w:cs="Times New Roman"/>
          <w:noProof w:val="0"/>
          <w:sz w:val="28"/>
          <w:szCs w:val="24"/>
          <w:lang w:eastAsia="hr-HR"/>
        </w:rPr>
        <w:t>VLADA REPUBLIKE HRVATSKE</w:t>
      </w:r>
    </w:p>
    <w:p w14:paraId="06ED59AD" w14:textId="77777777" w:rsidR="00331BC5" w:rsidRPr="00331BC5" w:rsidRDefault="00331BC5" w:rsidP="00331BC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A95F459" w14:textId="712426CC" w:rsidR="00331BC5" w:rsidRPr="00331BC5" w:rsidRDefault="00331BC5" w:rsidP="00331BC5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31B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Zagreb, 2</w:t>
      </w:r>
      <w:r w:rsidR="008D7CC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8</w:t>
      </w:r>
      <w:bookmarkStart w:id="0" w:name="_GoBack"/>
      <w:bookmarkEnd w:id="0"/>
      <w:r w:rsidRPr="00331B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listopada 2021.</w:t>
      </w:r>
    </w:p>
    <w:p w14:paraId="45CBE481" w14:textId="77777777" w:rsidR="00331BC5" w:rsidRPr="00331BC5" w:rsidRDefault="00331BC5" w:rsidP="00331BC5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A0A1177" w14:textId="77777777" w:rsidR="00331BC5" w:rsidRPr="00331BC5" w:rsidRDefault="00331BC5" w:rsidP="00331BC5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F4CCB96" w14:textId="77777777" w:rsidR="00331BC5" w:rsidRPr="00331BC5" w:rsidRDefault="00331BC5" w:rsidP="00331BC5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02B0CAA" w14:textId="77777777" w:rsidR="00331BC5" w:rsidRPr="00331BC5" w:rsidRDefault="00331BC5" w:rsidP="00331BC5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E91A10F" w14:textId="77777777" w:rsidR="00331BC5" w:rsidRPr="00331BC5" w:rsidRDefault="00331BC5" w:rsidP="00331BC5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3DCAB58" w14:textId="77777777" w:rsidR="00331BC5" w:rsidRPr="00331BC5" w:rsidRDefault="00331BC5" w:rsidP="00331BC5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3A62237" w14:textId="77777777" w:rsidR="00331BC5" w:rsidRPr="00331BC5" w:rsidRDefault="00331BC5" w:rsidP="00331BC5">
      <w:pPr>
        <w:spacing w:after="0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77B6A41" w14:textId="77777777" w:rsidR="00331BC5" w:rsidRPr="00331BC5" w:rsidRDefault="00331BC5" w:rsidP="00331BC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31B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331BC5" w:rsidRPr="00331BC5" w14:paraId="1CB2C0E1" w14:textId="77777777" w:rsidTr="00F51257">
        <w:tc>
          <w:tcPr>
            <w:tcW w:w="1951" w:type="dxa"/>
          </w:tcPr>
          <w:p w14:paraId="24A80406" w14:textId="77777777" w:rsidR="00331BC5" w:rsidRPr="00331BC5" w:rsidRDefault="00331BC5" w:rsidP="00331BC5">
            <w:pPr>
              <w:spacing w:line="360" w:lineRule="auto"/>
              <w:jc w:val="center"/>
              <w:rPr>
                <w:noProof w:val="0"/>
                <w:sz w:val="24"/>
                <w:szCs w:val="24"/>
              </w:rPr>
            </w:pPr>
            <w:r w:rsidRPr="00331BC5">
              <w:rPr>
                <w:b/>
                <w:smallCaps/>
                <w:noProof w:val="0"/>
                <w:sz w:val="24"/>
                <w:szCs w:val="24"/>
              </w:rPr>
              <w:t>Predlagatelj</w:t>
            </w:r>
            <w:r w:rsidRPr="00331BC5">
              <w:rPr>
                <w:b/>
                <w:noProof w:val="0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CAF2DCC" w14:textId="77777777" w:rsidR="00331BC5" w:rsidRPr="00331BC5" w:rsidRDefault="00331BC5" w:rsidP="00331BC5">
            <w:pPr>
              <w:rPr>
                <w:noProof w:val="0"/>
                <w:sz w:val="24"/>
                <w:szCs w:val="24"/>
              </w:rPr>
            </w:pPr>
            <w:r w:rsidRPr="00331BC5">
              <w:rPr>
                <w:noProof w:val="0"/>
                <w:sz w:val="24"/>
                <w:szCs w:val="24"/>
              </w:rPr>
              <w:t>Ministarstvo obrane</w:t>
            </w:r>
          </w:p>
          <w:p w14:paraId="477CE039" w14:textId="77777777" w:rsidR="00331BC5" w:rsidRPr="00331BC5" w:rsidRDefault="00331BC5" w:rsidP="00331BC5">
            <w:pPr>
              <w:rPr>
                <w:noProof w:val="0"/>
                <w:sz w:val="24"/>
                <w:szCs w:val="24"/>
              </w:rPr>
            </w:pPr>
          </w:p>
        </w:tc>
      </w:tr>
    </w:tbl>
    <w:p w14:paraId="109E26DF" w14:textId="77777777" w:rsidR="00331BC5" w:rsidRPr="00331BC5" w:rsidRDefault="00331BC5" w:rsidP="00331BC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31B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331BC5" w:rsidRPr="00331BC5" w14:paraId="7EC7EC58" w14:textId="77777777" w:rsidTr="00F51257">
        <w:tc>
          <w:tcPr>
            <w:tcW w:w="1951" w:type="dxa"/>
          </w:tcPr>
          <w:p w14:paraId="1E45F628" w14:textId="77777777" w:rsidR="00331BC5" w:rsidRPr="00331BC5" w:rsidRDefault="00331BC5" w:rsidP="00331BC5">
            <w:pPr>
              <w:spacing w:line="360" w:lineRule="auto"/>
              <w:rPr>
                <w:noProof w:val="0"/>
                <w:sz w:val="24"/>
                <w:szCs w:val="24"/>
              </w:rPr>
            </w:pPr>
            <w:r w:rsidRPr="00331BC5">
              <w:rPr>
                <w:b/>
                <w:smallCaps/>
                <w:noProof w:val="0"/>
                <w:sz w:val="24"/>
                <w:szCs w:val="24"/>
              </w:rPr>
              <w:t>Predmet</w:t>
            </w:r>
            <w:r w:rsidRPr="00331BC5">
              <w:rPr>
                <w:b/>
                <w:noProof w:val="0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D011865" w14:textId="77777777" w:rsidR="00733949" w:rsidRPr="00733949" w:rsidRDefault="00331BC5" w:rsidP="00733949">
            <w:pPr>
              <w:autoSpaceDE w:val="0"/>
              <w:autoSpaceDN w:val="0"/>
              <w:adjustRightInd w:val="0"/>
              <w:jc w:val="both"/>
              <w:rPr>
                <w:noProof w:val="0"/>
                <w:color w:val="000000" w:themeColor="text1"/>
                <w:sz w:val="24"/>
                <w:szCs w:val="24"/>
              </w:rPr>
            </w:pPr>
            <w:r w:rsidRPr="00331BC5">
              <w:rPr>
                <w:rFonts w:eastAsia="Calibri"/>
                <w:noProof w:val="0"/>
                <w:sz w:val="24"/>
                <w:szCs w:val="24"/>
              </w:rPr>
              <w:t xml:space="preserve">Nacrt </w:t>
            </w:r>
            <w:r w:rsidR="00733949" w:rsidRPr="00331BC5">
              <w:rPr>
                <w:rFonts w:eastAsia="Calibri"/>
                <w:noProof w:val="0"/>
                <w:sz w:val="24"/>
                <w:szCs w:val="24"/>
              </w:rPr>
              <w:t xml:space="preserve">prijedloga </w:t>
            </w:r>
            <w:r w:rsidR="00733949" w:rsidRPr="00733949">
              <w:rPr>
                <w:rFonts w:eastAsia="Calibri"/>
                <w:bCs/>
                <w:noProof w:val="0"/>
                <w:color w:val="000000" w:themeColor="text1"/>
                <w:sz w:val="24"/>
                <w:szCs w:val="24"/>
              </w:rPr>
              <w:t xml:space="preserve">odluke o sudjelovanju pripadnika </w:t>
            </w:r>
            <w:r w:rsidR="00733949">
              <w:rPr>
                <w:rFonts w:eastAsia="Calibri"/>
                <w:bCs/>
                <w:noProof w:val="0"/>
                <w:color w:val="000000" w:themeColor="text1"/>
                <w:sz w:val="24"/>
                <w:szCs w:val="24"/>
              </w:rPr>
              <w:t>O</w:t>
            </w:r>
            <w:r w:rsidR="00733949" w:rsidRPr="00733949">
              <w:rPr>
                <w:rFonts w:eastAsia="Calibri"/>
                <w:bCs/>
                <w:noProof w:val="0"/>
                <w:color w:val="000000" w:themeColor="text1"/>
                <w:sz w:val="24"/>
                <w:szCs w:val="24"/>
              </w:rPr>
              <w:t xml:space="preserve">ružanih snaga </w:t>
            </w:r>
            <w:r w:rsidR="00733949">
              <w:rPr>
                <w:rFonts w:eastAsia="Calibri"/>
                <w:bCs/>
                <w:noProof w:val="0"/>
                <w:color w:val="000000" w:themeColor="text1"/>
                <w:sz w:val="24"/>
                <w:szCs w:val="24"/>
              </w:rPr>
              <w:t>R</w:t>
            </w:r>
            <w:r w:rsidR="00733949" w:rsidRPr="00733949">
              <w:rPr>
                <w:rFonts w:eastAsia="Calibri"/>
                <w:bCs/>
                <w:noProof w:val="0"/>
                <w:color w:val="000000" w:themeColor="text1"/>
                <w:sz w:val="24"/>
                <w:szCs w:val="24"/>
              </w:rPr>
              <w:t xml:space="preserve">epublike </w:t>
            </w:r>
            <w:r w:rsidR="00733949">
              <w:rPr>
                <w:rFonts w:eastAsia="Calibri"/>
                <w:bCs/>
                <w:noProof w:val="0"/>
                <w:color w:val="000000" w:themeColor="text1"/>
                <w:sz w:val="24"/>
                <w:szCs w:val="24"/>
              </w:rPr>
              <w:t>H</w:t>
            </w:r>
            <w:r w:rsidR="00733949" w:rsidRPr="00733949">
              <w:rPr>
                <w:rFonts w:eastAsia="Calibri"/>
                <w:bCs/>
                <w:noProof w:val="0"/>
                <w:color w:val="000000" w:themeColor="text1"/>
                <w:sz w:val="24"/>
                <w:szCs w:val="24"/>
              </w:rPr>
              <w:t>rvatske u</w:t>
            </w:r>
            <w:r w:rsidR="00733949" w:rsidRPr="00733949">
              <w:rPr>
                <w:noProof w:val="0"/>
                <w:color w:val="000000" w:themeColor="text1"/>
                <w:sz w:val="24"/>
                <w:szCs w:val="24"/>
              </w:rPr>
              <w:t xml:space="preserve"> </w:t>
            </w:r>
            <w:r w:rsidR="00733949" w:rsidRPr="00733949">
              <w:rPr>
                <w:color w:val="231F20"/>
                <w:shd w:val="clear" w:color="auto" w:fill="FFFFFF"/>
              </w:rPr>
              <w:t> </w:t>
            </w:r>
            <w:r w:rsidR="00733949" w:rsidRPr="00733949">
              <w:rPr>
                <w:color w:val="231F20"/>
                <w:sz w:val="24"/>
                <w:szCs w:val="24"/>
                <w:shd w:val="clear" w:color="auto" w:fill="FFFFFF"/>
              </w:rPr>
              <w:t>misiji potpore miru „</w:t>
            </w:r>
            <w:r w:rsidR="00733949" w:rsidRPr="00733949">
              <w:rPr>
                <w:noProof w:val="0"/>
                <w:color w:val="000000" w:themeColor="text1"/>
                <w:sz w:val="24"/>
                <w:szCs w:val="24"/>
              </w:rPr>
              <w:t>NATO MISIJI U IRAKU“</w:t>
            </w:r>
          </w:p>
          <w:p w14:paraId="2E11DFEA" w14:textId="77777777" w:rsidR="00331BC5" w:rsidRPr="00331BC5" w:rsidRDefault="00331BC5" w:rsidP="00733949">
            <w:pPr>
              <w:jc w:val="both"/>
              <w:rPr>
                <w:bCs/>
                <w:noProof w:val="0"/>
                <w:sz w:val="24"/>
                <w:szCs w:val="24"/>
              </w:rPr>
            </w:pPr>
            <w:r w:rsidRPr="00331BC5">
              <w:rPr>
                <w:rFonts w:eastAsia="Calibri"/>
                <w:noProof w:val="0"/>
                <w:sz w:val="24"/>
                <w:szCs w:val="24"/>
              </w:rPr>
              <w:t xml:space="preserve"> </w:t>
            </w:r>
          </w:p>
        </w:tc>
      </w:tr>
    </w:tbl>
    <w:p w14:paraId="56C2F217" w14:textId="77777777" w:rsidR="00331BC5" w:rsidRPr="00331BC5" w:rsidRDefault="00331BC5" w:rsidP="00331BC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31B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__________________________________________________________________________</w:t>
      </w:r>
    </w:p>
    <w:p w14:paraId="0FCE3B98" w14:textId="77777777" w:rsidR="00331BC5" w:rsidRPr="00331BC5" w:rsidRDefault="00331BC5" w:rsidP="00331BC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5D0E485" w14:textId="77777777" w:rsidR="00331BC5" w:rsidRPr="00331BC5" w:rsidRDefault="00331BC5" w:rsidP="00331BC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9DBCC42" w14:textId="77777777" w:rsidR="00331BC5" w:rsidRPr="00331BC5" w:rsidRDefault="00331BC5" w:rsidP="00331BC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037E941" w14:textId="77777777" w:rsidR="00331BC5" w:rsidRPr="00331BC5" w:rsidRDefault="00331BC5" w:rsidP="00331BC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BFC1DF4" w14:textId="77777777" w:rsidR="00331BC5" w:rsidRPr="00331BC5" w:rsidRDefault="00331BC5" w:rsidP="00331BC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2161473" w14:textId="77777777" w:rsidR="00331BC5" w:rsidRPr="00331BC5" w:rsidRDefault="00331BC5" w:rsidP="00331BC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41B4E86" w14:textId="77777777" w:rsidR="00331BC5" w:rsidRPr="00331BC5" w:rsidRDefault="00331BC5" w:rsidP="00331BC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6A06737" w14:textId="77777777" w:rsidR="00331BC5" w:rsidRPr="00331BC5" w:rsidRDefault="00331BC5" w:rsidP="00331BC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31B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52A4581C" w14:textId="77777777" w:rsidR="00331BC5" w:rsidRPr="00331BC5" w:rsidRDefault="00331BC5" w:rsidP="00331BC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5D50DAE" w14:textId="77777777" w:rsidR="00331BC5" w:rsidRPr="00331BC5" w:rsidRDefault="00331BC5" w:rsidP="00331BC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97A8814" w14:textId="77777777" w:rsidR="00331BC5" w:rsidRDefault="00331BC5" w:rsidP="00331BC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CC34620" w14:textId="77777777" w:rsidR="00331BC5" w:rsidRDefault="00331BC5" w:rsidP="00331BC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A6611D0" w14:textId="77777777" w:rsidR="00331BC5" w:rsidRPr="00331BC5" w:rsidRDefault="00331BC5" w:rsidP="00331BC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8C650C0" w14:textId="77777777" w:rsidR="00331BC5" w:rsidRPr="00331BC5" w:rsidRDefault="00331BC5" w:rsidP="00331BC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B1496B7" w14:textId="77777777" w:rsidR="00331BC5" w:rsidRPr="00331BC5" w:rsidRDefault="00331BC5" w:rsidP="00331BC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FE6B076" w14:textId="77777777" w:rsidR="00331BC5" w:rsidRPr="00331BC5" w:rsidRDefault="00331BC5" w:rsidP="00331BC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00C91BB" w14:textId="77777777" w:rsidR="00331BC5" w:rsidRPr="00331BC5" w:rsidRDefault="00331BC5" w:rsidP="00331BC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D3F9E3B" w14:textId="77777777" w:rsidR="00331BC5" w:rsidRPr="00331BC5" w:rsidRDefault="00331BC5" w:rsidP="00331BC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CA61B77" w14:textId="77777777" w:rsidR="00331BC5" w:rsidRPr="00331BC5" w:rsidRDefault="00331BC5" w:rsidP="00331BC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B78A2DC" w14:textId="77777777" w:rsidR="00331BC5" w:rsidRPr="00331BC5" w:rsidRDefault="00331BC5" w:rsidP="00331BC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E0CAADD" w14:textId="77777777" w:rsidR="00331BC5" w:rsidRPr="00331BC5" w:rsidRDefault="00331BC5" w:rsidP="00331BC5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404040" w:themeColor="text1" w:themeTint="BF"/>
          <w:spacing w:val="20"/>
          <w:sz w:val="20"/>
          <w:szCs w:val="24"/>
          <w:lang w:eastAsia="hr-HR"/>
        </w:rPr>
      </w:pPr>
      <w:r w:rsidRPr="00331BC5">
        <w:rPr>
          <w:rFonts w:ascii="Times New Roman" w:eastAsia="Times New Roman" w:hAnsi="Times New Roman" w:cs="Times New Roman"/>
          <w:noProof w:val="0"/>
          <w:color w:val="404040" w:themeColor="text1" w:themeTint="BF"/>
          <w:spacing w:val="20"/>
          <w:sz w:val="20"/>
          <w:szCs w:val="24"/>
          <w:lang w:eastAsia="hr-HR"/>
        </w:rPr>
        <w:t xml:space="preserve">      Banski dvori | Trg Sv. Marka 2  | 10000 Zagreb | tel. 01 4569 222 | vlada.gov.hr</w:t>
      </w:r>
      <w:r w:rsidRPr="00331BC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6703AB10" w14:textId="77777777" w:rsidR="00331BC5" w:rsidRPr="00331BC5" w:rsidRDefault="00331BC5" w:rsidP="00331BC5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404040" w:themeColor="text1" w:themeTint="BF"/>
          <w:spacing w:val="20"/>
          <w:sz w:val="20"/>
          <w:szCs w:val="24"/>
          <w:lang w:eastAsia="hr-HR"/>
        </w:rPr>
      </w:pPr>
    </w:p>
    <w:p w14:paraId="12C6694B" w14:textId="77777777" w:rsidR="00401861" w:rsidRDefault="00401861" w:rsidP="00F16028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4"/>
          <w:szCs w:val="24"/>
          <w:lang w:eastAsia="hr-HR"/>
        </w:rPr>
      </w:pPr>
      <w:r w:rsidRPr="00B278AA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4"/>
          <w:szCs w:val="24"/>
          <w:lang w:eastAsia="hr-HR"/>
        </w:rPr>
        <w:lastRenderedPageBreak/>
        <w:t>VLADA REPUBLIKE HRVATSKE</w:t>
      </w:r>
    </w:p>
    <w:p w14:paraId="60C22BF9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141DE579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59F909A7" w14:textId="77777777" w:rsidR="00654E4B" w:rsidRPr="00B278AA" w:rsidRDefault="00654E4B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41F43C6F" w14:textId="77777777" w:rsidR="00654E4B" w:rsidRPr="00B278AA" w:rsidRDefault="00654E4B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51BF5653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345F8C7D" w14:textId="77777777" w:rsidR="002F2A8B" w:rsidRPr="002F2A8B" w:rsidRDefault="004E0AF7" w:rsidP="002F2A8B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 xml:space="preserve">N a c r t </w:t>
      </w:r>
    </w:p>
    <w:p w14:paraId="509D652F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413FAABE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42861FBA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2E7C0135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6647118A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4F78B951" w14:textId="77777777" w:rsidR="009E1F5C" w:rsidRPr="00B278AA" w:rsidRDefault="009E1F5C" w:rsidP="004018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656A3EA0" w14:textId="77777777" w:rsidR="009E1F5C" w:rsidRPr="00B278AA" w:rsidRDefault="009E1F5C" w:rsidP="004018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37F17709" w14:textId="77777777" w:rsidR="00401861" w:rsidRPr="00B278AA" w:rsidRDefault="008F7E0C" w:rsidP="008F7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  <w:r w:rsidRPr="00B278AA">
        <w:rPr>
          <w:rFonts w:ascii="Times New Roman" w:eastAsia="Calibri" w:hAnsi="Times New Roman" w:cs="Times New Roman"/>
          <w:b/>
          <w:bCs/>
          <w:noProof w:val="0"/>
          <w:color w:val="000000" w:themeColor="text1"/>
          <w:sz w:val="24"/>
          <w:szCs w:val="24"/>
        </w:rPr>
        <w:t xml:space="preserve">PRIJEDLOG ODLUKE O SUDJELOVANJU </w:t>
      </w:r>
      <w:r w:rsidR="001C2B28">
        <w:rPr>
          <w:rFonts w:ascii="Times New Roman" w:eastAsia="Calibri" w:hAnsi="Times New Roman" w:cs="Times New Roman"/>
          <w:b/>
          <w:bCs/>
          <w:noProof w:val="0"/>
          <w:color w:val="000000" w:themeColor="text1"/>
          <w:sz w:val="24"/>
          <w:szCs w:val="24"/>
        </w:rPr>
        <w:t xml:space="preserve">PRIPADNIKA </w:t>
      </w:r>
      <w:r w:rsidRPr="00B278AA">
        <w:rPr>
          <w:rFonts w:ascii="Times New Roman" w:eastAsia="Calibri" w:hAnsi="Times New Roman" w:cs="Times New Roman"/>
          <w:b/>
          <w:bCs/>
          <w:noProof w:val="0"/>
          <w:color w:val="000000" w:themeColor="text1"/>
          <w:sz w:val="24"/>
          <w:szCs w:val="24"/>
        </w:rPr>
        <w:t>ORUŽANIH SNAGA REPUBLIKE HRVATSKE U</w:t>
      </w:r>
      <w:r w:rsidRPr="00B278AA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 xml:space="preserve"> </w:t>
      </w:r>
      <w:r w:rsidR="004E0AF7">
        <w:rPr>
          <w:color w:val="231F20"/>
          <w:shd w:val="clear" w:color="auto" w:fill="FFFFFF"/>
        </w:rPr>
        <w:t> </w:t>
      </w:r>
      <w:r w:rsidR="004E0AF7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MISIJI</w:t>
      </w:r>
      <w:r w:rsidR="004E0AF7" w:rsidRPr="004E0AF7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 POTPORE MIRU „</w:t>
      </w:r>
      <w:r w:rsidR="00401861" w:rsidRPr="004E0AF7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>NATO MISIJ</w:t>
      </w:r>
      <w:r w:rsidR="00E12760" w:rsidRPr="004E0AF7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 xml:space="preserve">I </w:t>
      </w:r>
      <w:r w:rsidR="00401861" w:rsidRPr="004E0AF7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>U IRAKU</w:t>
      </w:r>
      <w:r w:rsidR="004E0AF7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>“</w:t>
      </w:r>
    </w:p>
    <w:p w14:paraId="45707839" w14:textId="77777777" w:rsidR="00401861" w:rsidRPr="00B278AA" w:rsidRDefault="00401861" w:rsidP="00E1276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06C10863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366B8419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55B78D85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7DBD0A5E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5843BD4B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39C1DDE8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5D6AEA31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69A73CA1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4FCDDCBB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2799CF85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52BAF622" w14:textId="77777777" w:rsidR="00E12760" w:rsidRPr="00B278AA" w:rsidRDefault="00E12760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698167DE" w14:textId="77777777" w:rsidR="00E12760" w:rsidRPr="00B278AA" w:rsidRDefault="00E12760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247A909C" w14:textId="77777777" w:rsidR="00E12760" w:rsidRPr="00B278AA" w:rsidRDefault="00E12760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0D0A65CD" w14:textId="77777777" w:rsidR="00E12760" w:rsidRPr="00B278AA" w:rsidRDefault="00E12760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62F014A1" w14:textId="77777777" w:rsidR="00590826" w:rsidRPr="00B278AA" w:rsidRDefault="00590826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2F54564E" w14:textId="77777777" w:rsidR="00E12760" w:rsidRPr="00B278AA" w:rsidRDefault="00E12760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517FC4CD" w14:textId="77777777" w:rsidR="00E12760" w:rsidRDefault="00E12760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2DADDDD7" w14:textId="77777777" w:rsidR="00347FA9" w:rsidRDefault="00347FA9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02245421" w14:textId="77777777" w:rsidR="00347FA9" w:rsidRDefault="00347FA9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46BC335B" w14:textId="77777777" w:rsidR="00347FA9" w:rsidRDefault="00347FA9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3D0AFAD6" w14:textId="77777777" w:rsidR="00347FA9" w:rsidRDefault="00347FA9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6945A6E0" w14:textId="77777777" w:rsidR="00347FA9" w:rsidRDefault="00347FA9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301FD5FD" w14:textId="77777777" w:rsidR="00F16028" w:rsidRPr="00B278AA" w:rsidRDefault="00F16028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506112FE" w14:textId="77777777" w:rsidR="00F16028" w:rsidRPr="00B278AA" w:rsidRDefault="00F16028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37226A13" w14:textId="77777777" w:rsidR="00E12760" w:rsidRPr="00B278AA" w:rsidRDefault="00E12760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3E4C1F89" w14:textId="77777777" w:rsidR="00401861" w:rsidRPr="000D6C51" w:rsidRDefault="00401861" w:rsidP="00F16028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 w:val="0"/>
          <w:color w:val="000000" w:themeColor="text1"/>
          <w:sz w:val="24"/>
          <w:szCs w:val="24"/>
          <w:lang w:eastAsia="hr-HR"/>
        </w:rPr>
      </w:pPr>
      <w:r w:rsidRPr="000D6C51">
        <w:rPr>
          <w:rFonts w:ascii="Times New Roman" w:eastAsia="Times New Roman" w:hAnsi="Times New Roman" w:cs="Times New Roman"/>
          <w:bCs/>
          <w:noProof w:val="0"/>
          <w:color w:val="000000" w:themeColor="text1"/>
          <w:sz w:val="24"/>
          <w:szCs w:val="24"/>
          <w:lang w:eastAsia="hr-HR"/>
        </w:rPr>
        <w:t xml:space="preserve">Zagreb, </w:t>
      </w:r>
      <w:r w:rsidR="002E3C22" w:rsidRPr="000D6C51">
        <w:rPr>
          <w:rFonts w:ascii="Times New Roman" w:eastAsia="Times New Roman" w:hAnsi="Times New Roman" w:cs="Times New Roman"/>
          <w:bCs/>
          <w:noProof w:val="0"/>
          <w:color w:val="000000" w:themeColor="text1"/>
          <w:sz w:val="24"/>
          <w:szCs w:val="24"/>
          <w:lang w:eastAsia="hr-HR"/>
        </w:rPr>
        <w:t>listopad</w:t>
      </w:r>
      <w:r w:rsidR="004E0AF7" w:rsidRPr="000D6C51">
        <w:rPr>
          <w:rFonts w:ascii="Times New Roman" w:eastAsia="Times New Roman" w:hAnsi="Times New Roman" w:cs="Times New Roman"/>
          <w:bCs/>
          <w:noProof w:val="0"/>
          <w:color w:val="000000" w:themeColor="text1"/>
          <w:sz w:val="24"/>
          <w:szCs w:val="24"/>
          <w:lang w:eastAsia="hr-HR"/>
        </w:rPr>
        <w:t xml:space="preserve"> </w:t>
      </w:r>
      <w:r w:rsidR="00114195" w:rsidRPr="000D6C51">
        <w:rPr>
          <w:rFonts w:ascii="Times New Roman" w:eastAsia="Times New Roman" w:hAnsi="Times New Roman" w:cs="Times New Roman"/>
          <w:bCs/>
          <w:noProof w:val="0"/>
          <w:color w:val="000000" w:themeColor="text1"/>
          <w:sz w:val="24"/>
          <w:szCs w:val="24"/>
          <w:lang w:eastAsia="hr-HR"/>
        </w:rPr>
        <w:t>20</w:t>
      </w:r>
      <w:r w:rsidR="004625E9" w:rsidRPr="000D6C51">
        <w:rPr>
          <w:rFonts w:ascii="Times New Roman" w:eastAsia="Times New Roman" w:hAnsi="Times New Roman" w:cs="Times New Roman"/>
          <w:bCs/>
          <w:noProof w:val="0"/>
          <w:color w:val="000000" w:themeColor="text1"/>
          <w:sz w:val="24"/>
          <w:szCs w:val="24"/>
          <w:lang w:eastAsia="hr-HR"/>
        </w:rPr>
        <w:t>21</w:t>
      </w:r>
      <w:r w:rsidRPr="000D6C51">
        <w:rPr>
          <w:rFonts w:ascii="Times New Roman" w:eastAsia="Times New Roman" w:hAnsi="Times New Roman" w:cs="Times New Roman"/>
          <w:bCs/>
          <w:noProof w:val="0"/>
          <w:color w:val="000000" w:themeColor="text1"/>
          <w:sz w:val="24"/>
          <w:szCs w:val="24"/>
          <w:lang w:eastAsia="hr-HR"/>
        </w:rPr>
        <w:t>.</w:t>
      </w:r>
    </w:p>
    <w:p w14:paraId="2A852CFF" w14:textId="77777777" w:rsidR="004E0AF7" w:rsidRPr="00B278AA" w:rsidRDefault="004E0AF7" w:rsidP="004E0AF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521C09ED" w14:textId="77777777" w:rsidR="004E0AF7" w:rsidRPr="00B278AA" w:rsidRDefault="004E0AF7" w:rsidP="004E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  <w:r w:rsidRPr="00B278AA">
        <w:rPr>
          <w:rFonts w:ascii="Times New Roman" w:eastAsia="Calibri" w:hAnsi="Times New Roman" w:cs="Times New Roman"/>
          <w:b/>
          <w:bCs/>
          <w:noProof w:val="0"/>
          <w:color w:val="000000" w:themeColor="text1"/>
          <w:sz w:val="24"/>
          <w:szCs w:val="24"/>
        </w:rPr>
        <w:t xml:space="preserve">PRIJEDLOG ODLUKE O SUDJELOVANJU </w:t>
      </w:r>
      <w:r w:rsidR="001C2B28">
        <w:rPr>
          <w:rFonts w:ascii="Times New Roman" w:eastAsia="Calibri" w:hAnsi="Times New Roman" w:cs="Times New Roman"/>
          <w:b/>
          <w:bCs/>
          <w:noProof w:val="0"/>
          <w:color w:val="000000" w:themeColor="text1"/>
          <w:sz w:val="24"/>
          <w:szCs w:val="24"/>
        </w:rPr>
        <w:t xml:space="preserve">PRIPADNIKA </w:t>
      </w:r>
      <w:r w:rsidRPr="00B278AA">
        <w:rPr>
          <w:rFonts w:ascii="Times New Roman" w:eastAsia="Calibri" w:hAnsi="Times New Roman" w:cs="Times New Roman"/>
          <w:b/>
          <w:bCs/>
          <w:noProof w:val="0"/>
          <w:color w:val="000000" w:themeColor="text1"/>
          <w:sz w:val="24"/>
          <w:szCs w:val="24"/>
        </w:rPr>
        <w:t>ORUŽANIH SNAGA REPUBLIKE HRVATSKE U</w:t>
      </w:r>
      <w:r w:rsidRPr="00B278AA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 xml:space="preserve"> </w:t>
      </w:r>
      <w:r>
        <w:rPr>
          <w:color w:val="231F20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MISIJI</w:t>
      </w:r>
      <w:r w:rsidRPr="004E0AF7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 POTPORE MIRU „</w:t>
      </w:r>
      <w:r w:rsidRPr="004E0AF7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>NATO MISIJI U IRAKU</w:t>
      </w:r>
      <w:r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>“</w:t>
      </w:r>
    </w:p>
    <w:p w14:paraId="18B5BA64" w14:textId="77777777" w:rsidR="004E0AF7" w:rsidRPr="00B278AA" w:rsidRDefault="004E0AF7" w:rsidP="004E0AF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0EBC5A62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6AE42316" w14:textId="77777777" w:rsidR="00401861" w:rsidRPr="00B278AA" w:rsidRDefault="00F726D7" w:rsidP="00F726D7">
      <w:pPr>
        <w:tabs>
          <w:tab w:val="left" w:pos="0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  <w:r w:rsidRPr="00B278AA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 xml:space="preserve">I. </w:t>
      </w:r>
      <w:r w:rsidR="00401861" w:rsidRPr="00B278AA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>USTAVNA OSNOVA ZA DONOŠENJE ODLUKE</w:t>
      </w:r>
    </w:p>
    <w:p w14:paraId="4D22F9C1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51D43735" w14:textId="16A57C19" w:rsidR="00401861" w:rsidRPr="00B278AA" w:rsidRDefault="003D16AB" w:rsidP="004018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 w:rsidRPr="00C657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7. stavka 5. Ustava Republike Hrvatske (Narodne novine, br. 85/10 – pročišćeni tekst i 5/14 – Odluka Ustavnog suda Republike Hrvatske) </w:t>
      </w:r>
      <w:r w:rsidR="00401861"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pokreće se postupak za donošenje Odluke o sudjelovanju </w:t>
      </w:r>
      <w:r w:rsidR="00AA6A52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pripadnika </w:t>
      </w:r>
      <w:r w:rsidR="00401861"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Oružanih snaga Republike Hrvatske u</w:t>
      </w:r>
      <w:r w:rsidR="002E3C22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misiji potpore miru</w:t>
      </w:r>
      <w:r w:rsidR="00401861"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</w:t>
      </w:r>
      <w:r w:rsidR="002E3C22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„</w:t>
      </w:r>
      <w:r w:rsidR="00401861"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N</w:t>
      </w:r>
      <w:r w:rsidR="002D0ADC"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ATO</w:t>
      </w:r>
      <w:r w:rsidR="00114195"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misiji u Iraku</w:t>
      </w:r>
      <w:r w:rsidR="002E3C22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“</w:t>
      </w:r>
      <w:r w:rsidR="00114195"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</w:t>
      </w:r>
      <w:r w:rsidR="004E0AF7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(u daljnjem tekstu</w:t>
      </w:r>
      <w:r w:rsidR="00AA6A52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Odluka)</w:t>
      </w:r>
    </w:p>
    <w:p w14:paraId="5556BAC7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7B484BEA" w14:textId="77777777" w:rsidR="00401861" w:rsidRPr="00B278AA" w:rsidRDefault="00401861" w:rsidP="00F726D7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  <w:r w:rsidRPr="00B278AA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>II.</w:t>
      </w:r>
      <w:r w:rsidR="00F726D7" w:rsidRPr="00B278AA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 xml:space="preserve"> </w:t>
      </w:r>
      <w:r w:rsidRPr="00B278AA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>OCJENA DOSADAŠNJEG STANJA</w:t>
      </w:r>
    </w:p>
    <w:p w14:paraId="1F95583B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</w:p>
    <w:p w14:paraId="3F668B9A" w14:textId="77777777" w:rsidR="002D0ADC" w:rsidRPr="00B278AA" w:rsidRDefault="00F16028" w:rsidP="002F483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NATO samitu u </w:t>
      </w:r>
      <w:r w:rsidR="006F2602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Bruxelesu</w:t>
      </w:r>
      <w:r w:rsidR="00B011CF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srpnju 2018., </w:t>
      </w:r>
      <w:r w:rsidR="00F360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države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članic</w:t>
      </w:r>
      <w:r w:rsidR="00F360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3D16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Saveza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07F2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donijel</w:t>
      </w:r>
      <w:r w:rsidR="00F360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A007F2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 na zahtjev iračke Vlade </w:t>
      </w:r>
      <w:r w:rsidR="002D0ADC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u suradnji sa Globalnom koalicijom za borbu protiv ISIS-a, </w:t>
      </w:r>
      <w:r w:rsidR="00A007F2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odluku o uspostavi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NATO misije u Iraku</w:t>
      </w:r>
      <w:r w:rsidR="002D0ADC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(NATO Mission Iraq </w:t>
      </w:r>
      <w:r w:rsidR="00750C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="002D0ADC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NMI)</w:t>
      </w:r>
      <w:r w:rsidR="00700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1443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mandatom </w:t>
      </w:r>
      <w:r w:rsidR="002D0ADC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potpori izgradnje obrambenih sposobnosti </w:t>
      </w:r>
      <w:r w:rsidR="00932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2D0ADC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napora</w:t>
      </w:r>
      <w:r w:rsidR="002D0ADC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iračk</w:t>
      </w:r>
      <w:r w:rsidR="00932B0F">
        <w:rPr>
          <w:rFonts w:ascii="Times New Roman" w:hAnsi="Times New Roman" w:cs="Times New Roman"/>
          <w:color w:val="000000" w:themeColor="text1"/>
          <w:sz w:val="24"/>
          <w:szCs w:val="24"/>
        </w:rPr>
        <w:t>e vlade u stabilizaciji zemlje i</w:t>
      </w:r>
      <w:r w:rsidR="002D0ADC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borbi</w:t>
      </w:r>
      <w:r w:rsidR="00151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protiv terorizma.</w:t>
      </w:r>
    </w:p>
    <w:p w14:paraId="5C066750" w14:textId="77777777" w:rsidR="00840709" w:rsidRDefault="002D0ADC" w:rsidP="002F483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 misija angažira</w:t>
      </w:r>
      <w:r w:rsidR="00932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 je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nekoliko stotina NATO instruktora u nadogradnji postojeće obuke i napora izgradnje sposobnosti koji su </w:t>
      </w:r>
      <w:r w:rsidR="00932B0F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Iraku 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dostignuti kroz NATO inicijativu obuke i izgradnje kapaciteta za Irak </w:t>
      </w:r>
      <w:r w:rsidR="00700005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(NATO Training and Capacity Building Iraq NTCB-I) 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 2017</w:t>
      </w:r>
      <w:r w:rsidR="003D16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00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</w:t>
      </w:r>
      <w:r w:rsidR="003D16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odine</w:t>
      </w:r>
      <w:r w:rsidR="00700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Uspostava misije </w:t>
      </w:r>
      <w:r w:rsidR="004545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 z</w:t>
      </w:r>
      <w:r w:rsidR="0045456C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apovjedništvo</w:t>
      </w:r>
      <w:r w:rsidR="004545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45456C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Bagdadu </w:t>
      </w:r>
      <w:r w:rsidR="004545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dovršena je 31</w:t>
      </w:r>
      <w:r w:rsidR="004009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listopada 2018.</w:t>
      </w:r>
      <w:r w:rsidR="00932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dok se obuka </w:t>
      </w:r>
      <w:r w:rsidR="00654978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iračkih Oružanih snaga</w:t>
      </w:r>
      <w:r w:rsidR="006549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2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provodila</w:t>
      </w:r>
      <w:r w:rsidR="00932B0F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dvije lokacije </w:t>
      </w:r>
      <w:r w:rsidR="00932B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blizini</w:t>
      </w:r>
      <w:r w:rsidR="00932B0F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Bagdada.</w:t>
      </w:r>
    </w:p>
    <w:p w14:paraId="7CB65621" w14:textId="77777777" w:rsidR="002D0ADC" w:rsidRPr="00B278AA" w:rsidRDefault="002D0ADC" w:rsidP="002F483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NATO misija Irak je </w:t>
      </w:r>
      <w:r w:rsidR="004545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uspostavljena kao 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neborbena misija dizajnirana radi daljnjeg jačanja iračkih snaga sigurnosti, kroz tehničko savjeto</w:t>
      </w:r>
      <w:r w:rsidR="003D16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vanje iračkih dužnosnika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Minis</w:t>
      </w:r>
      <w:r w:rsidR="003D16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tarstvu obrane i Uredu državnog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savjetnika za nacionalnu sigurnost te kroz obuku i savjetovanje iračkih instruktora na vojnim akademijama i institucijama na područjima protueksplozivnog djelovanja, civilno-vojnog planiranja, održava</w:t>
      </w:r>
      <w:r w:rsidR="008C3A50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nja oklopnih borbenih vozila i 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vojne medicine.  </w:t>
      </w:r>
    </w:p>
    <w:p w14:paraId="7A1329AB" w14:textId="77777777" w:rsidR="0067321B" w:rsidRDefault="0045456C" w:rsidP="00683C0F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Tijekom 2020. godine misija je privrem</w:t>
      </w:r>
      <w:r w:rsidR="000E1A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reducirana uslijed pogoršane sigurnosne situacije u Iraku </w:t>
      </w:r>
      <w:r w:rsidR="00E7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pandemije COVID-19 </w:t>
      </w:r>
      <w:r w:rsidR="00E7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zbog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 je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nekoliko mjeseci p</w:t>
      </w:r>
      <w:r w:rsidR="00E7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rekinuta izobrazba te sve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obučne aktivnosti</w:t>
      </w:r>
      <w:r w:rsidR="00E776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iračkih Oružanih snaga</w:t>
      </w:r>
      <w:r w:rsidR="000E1A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E3C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="000E1A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bog 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manjenj</w:t>
      </w:r>
      <w:r w:rsidR="000E1A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broja koalicijskih snaga </w:t>
      </w:r>
      <w:r w:rsidR="000E1A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Iraku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 zapovjedništvom </w:t>
      </w:r>
      <w:r w:rsidR="00700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0E1A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peracije „Inherent Resolve“</w:t>
      </w:r>
      <w:r w:rsidR="00151443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,</w:t>
      </w:r>
      <w:r w:rsidR="000E1A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napušteni su kampovi Taji i Besmaya u kojima j</w:t>
      </w:r>
      <w:r w:rsidR="00654978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e NMI provodio obuku</w:t>
      </w:r>
      <w:r w:rsidR="000E1A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iračkih Oružanih snaga. </w:t>
      </w:r>
      <w:r w:rsidR="00654978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Razdoblje redefiniranja misije završilo je direktivom Vijeća Sjever</w:t>
      </w:r>
      <w:r w:rsidR="00E776DB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n</w:t>
      </w:r>
      <w:r w:rsidR="00654978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o-</w:t>
      </w:r>
      <w:r w:rsidR="00E776DB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atlantskog</w:t>
      </w:r>
      <w:r w:rsidR="00654978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saveza iz listopada 2020. kojom se misija </w:t>
      </w:r>
      <w:r w:rsidR="001A1A5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značajno </w:t>
      </w:r>
      <w:r w:rsidR="00654978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proširuje (</w:t>
      </w:r>
      <w:r w:rsidR="0070000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Proširena NATO misija Irak) </w:t>
      </w:r>
      <w:r w:rsidR="002725B4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i prilagođava </w:t>
      </w:r>
      <w:r w:rsidR="00BA595D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novim zahtjevima iračke strane</w:t>
      </w:r>
      <w:r w:rsidR="0012752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po pitanju</w:t>
      </w:r>
      <w:r w:rsidR="009E587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</w:t>
      </w:r>
      <w:r w:rsidR="0012752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dodatnog</w:t>
      </w:r>
      <w:r w:rsidR="00151443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savjetovanja</w:t>
      </w:r>
      <w:r w:rsidR="009E587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na višim razinama.</w:t>
      </w:r>
    </w:p>
    <w:p w14:paraId="4C3284B9" w14:textId="060BE1CF" w:rsidR="004E0AF7" w:rsidRDefault="0067321B" w:rsidP="00683C0F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 w:rsidRPr="00670C1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U skladu s novim zahtjevima iračke vlade, </w:t>
      </w:r>
      <w:r w:rsidR="0070000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m</w:t>
      </w:r>
      <w:r w:rsidRPr="00670C1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inistri obrane </w:t>
      </w:r>
      <w:r w:rsidR="002E3C22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država članica</w:t>
      </w:r>
      <w:r w:rsidRPr="00670C1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</w:t>
      </w:r>
      <w:r w:rsidR="00026A40" w:rsidRPr="00670C1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NATO</w:t>
      </w:r>
      <w:r w:rsidR="00026A40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-a</w:t>
      </w:r>
      <w:r w:rsidR="00026A40" w:rsidRPr="00670C1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</w:t>
      </w:r>
      <w:r w:rsidRPr="00670C1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odlučili su u veljači 2021. dodatno proširiti misiju i povećati aktivnosti savjetovanja, obuke i izgradnje kapaciteta sveukupnih iračkih sigurnosnih institucija i snaga. </w:t>
      </w:r>
    </w:p>
    <w:p w14:paraId="491A93EF" w14:textId="77777777" w:rsidR="0067321B" w:rsidRDefault="009F5EE0" w:rsidP="00683C0F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lastRenderedPageBreak/>
        <w:t>Brojno stanje misije uvećat</w:t>
      </w:r>
      <w:r w:rsidR="0067321B" w:rsidRPr="00670C1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će se za nekoliko stotina pripadnika do kraja 2021. godine dok će se daljnje proširenje provoditi post</w:t>
      </w:r>
      <w:r w:rsidR="0067321B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upno</w:t>
      </w:r>
      <w:r w:rsidR="0067321B" w:rsidRPr="00670C1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u k</w:t>
      </w:r>
      <w:r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oordinaciji s iračkom stranom</w:t>
      </w:r>
      <w:r w:rsidR="0067321B" w:rsidRPr="00670C1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u skladu s mogućnostima i potrebam</w:t>
      </w:r>
      <w:r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a. NMI svoje aktivnosti trenutačno</w:t>
      </w:r>
      <w:r w:rsidR="0067321B" w:rsidRPr="00670C1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provodi unutar i izvan šireg područja Bagdada uz mogućnost da se u budućnosti te aktivnosti provode i na drugim lokacija</w:t>
      </w:r>
      <w:r w:rsidR="0070000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ma</w:t>
      </w:r>
      <w:r w:rsidR="0067321B" w:rsidRPr="00670C1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u Iraku, a što će potencijalno povećati brojno stanje pripadnika misije.</w:t>
      </w:r>
    </w:p>
    <w:p w14:paraId="1BAA12CA" w14:textId="77777777" w:rsidR="00683C0F" w:rsidRDefault="009E5870" w:rsidP="00683C0F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Proširena NATO</w:t>
      </w:r>
      <w:r w:rsidR="00BA595D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misija u Iraku tako će povećati aktivnosti savjetovanja, obuke i izgradnje kapaciteta sveukupnih iračkih sigurnosnih institucija i snaga u</w:t>
      </w:r>
      <w:r w:rsidR="009B3CEF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nutar/izvan</w:t>
      </w:r>
      <w:r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šire</w:t>
      </w:r>
      <w:r w:rsidR="009B3CEF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g</w:t>
      </w:r>
      <w:r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područj</w:t>
      </w:r>
      <w:r w:rsidR="009B3CEF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Bagdada</w:t>
      </w:r>
      <w:r w:rsidR="00151443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uz potporu i koordinaciju s iračkom vladom. </w:t>
      </w:r>
      <w:r w:rsidR="00683C0F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Težište je savjetovanje na višim razinama uz zadržavanje određenih oblika obuke na taktičkoj razini.</w:t>
      </w:r>
      <w:r w:rsidR="00683C0F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Aktivnosti NATO</w:t>
      </w:r>
      <w:r w:rsidR="00626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</w:t>
      </w:r>
      <w:r w:rsidR="00683C0F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3C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provode se isključivo sa sigurnosnim institucijama i snagama pod izravnim nadzorom iračke vlade koje je potrebno </w:t>
      </w:r>
      <w:r w:rsidR="001A1A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dodatno </w:t>
      </w:r>
      <w:r w:rsidR="00683C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osnažiti </w:t>
      </w:r>
      <w:r w:rsidR="00683C0F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 se mogu uspješno nositi sa sigurnos</w:t>
      </w:r>
      <w:r w:rsidR="00683C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nim izazovima u stabilizaciji zemlje</w:t>
      </w:r>
      <w:r w:rsidR="001A1A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69F967D" w14:textId="77777777" w:rsidR="00401861" w:rsidRPr="00B278AA" w:rsidRDefault="00401861" w:rsidP="002F483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NATO ima posebnu ulogu u </w:t>
      </w:r>
      <w:r w:rsidR="009E4C8D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smislu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obrambenog</w:t>
      </w:r>
      <w:r w:rsidR="0084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institucionalnog razvoja, reforme sigurnosnog sektora i </w:t>
      </w:r>
      <w:r w:rsidR="008407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osobito 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profesionalizacije Oružanih snaga Iraka jer je krajnji cilj iračkih obrambenih i sigurnosnih institucija i snaga imati sposobnost planiranja, vođenja operac</w:t>
      </w:r>
      <w:r w:rsidR="00A007F2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ija i </w:t>
      </w:r>
      <w:r w:rsidR="00683C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održavanja partnerst</w:t>
      </w:r>
      <w:r w:rsidR="00A007F2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35D21B7" w14:textId="77777777" w:rsidR="00BF12BF" w:rsidRDefault="00401861" w:rsidP="002F4837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NATO usklađuje aktivnosti s drugim međunarodnim akterima u Iraku, </w:t>
      </w:r>
      <w:r w:rsidR="007377DD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ponajprije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Globalnom koalicijom, </w:t>
      </w:r>
      <w:r w:rsidR="004B23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</w:t>
      </w:r>
      <w:r w:rsidR="00700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dinjenim narodima 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E</w:t>
      </w:r>
      <w:r w:rsidR="00A007F2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uropskom </w:t>
      </w:r>
      <w:r w:rsidR="009E4C8D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A007F2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nijom</w:t>
      </w:r>
      <w:r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kako ne bi došlo do </w:t>
      </w:r>
      <w:r w:rsidR="009E4C8D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udvostručavanja</w:t>
      </w:r>
      <w:r w:rsidR="008C3A50" w:rsidRPr="00B278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napora i resursa.</w:t>
      </w:r>
      <w:r w:rsidR="001A1A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Jedan od ciljeva NATO-a je i postizanje samoodrživosti misije obzirom na smanjenje koalicijskih snag</w:t>
      </w:r>
      <w:r w:rsidR="00BF12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u Iraku na koje se</w:t>
      </w:r>
      <w:r w:rsidR="001A1A5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12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700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ATO misija Irak </w:t>
      </w:r>
      <w:r w:rsidR="00BF12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logistički oslanja</w:t>
      </w:r>
      <w:r w:rsidR="007000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</w:t>
      </w:r>
      <w:r w:rsidR="00BF12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6E316F5" w14:textId="77777777" w:rsidR="00401861" w:rsidRDefault="00401861" w:rsidP="00401861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  <w:r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Republika Hrvatska sudjelovanjem u </w:t>
      </w:r>
      <w:r w:rsidR="00700005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NATO misiji u Iraku </w:t>
      </w:r>
      <w:r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pridonosi na</w:t>
      </w:r>
      <w:r w:rsidR="002F2A8B"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porima međunarodne zajednice u </w:t>
      </w:r>
      <w:r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izgradnji </w:t>
      </w: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stabilnosti Iraka jačajući sposobnosti iračkih institucija i sigurnosnih snaga u postizanju srednjoročne i dugoročne stabilizacije i sigurnosti</w:t>
      </w:r>
      <w:r w:rsidR="00ED2222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. Republika Hrvatska</w:t>
      </w:r>
      <w:r w:rsidR="00700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7DD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sudjelovanjem</w:t>
      </w:r>
      <w:r w:rsidR="00ED2222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07F2"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jača svoj ugled </w:t>
      </w:r>
      <w:r w:rsidR="00ED2222"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u okviru NATO-a, kao i </w:t>
      </w:r>
      <w:r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kod NATO i EU članica koje svojim s</w:t>
      </w:r>
      <w:r w:rsidR="00DD28B9"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nagama</w:t>
      </w:r>
      <w:r w:rsidR="007377DD"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aktivno pridonose m</w:t>
      </w:r>
      <w:r w:rsidR="00A9335B"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isiji u Iraku</w:t>
      </w:r>
      <w:r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.</w:t>
      </w:r>
    </w:p>
    <w:p w14:paraId="00F4BF07" w14:textId="77777777" w:rsidR="000B20B1" w:rsidRPr="00B278AA" w:rsidRDefault="000B20B1" w:rsidP="00401861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</w:p>
    <w:p w14:paraId="48511322" w14:textId="77777777" w:rsidR="00400905" w:rsidRDefault="000B20B1" w:rsidP="004E0AF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Hrvatski sabor 12. srpnja 2019</w:t>
      </w: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donio je Odluku o sudjelovanju pripadnika Oružanih snaga Republike Hrvatske u misiji potpore miru NATO misiji u Iraku</w:t>
      </w:r>
      <w:r w:rsidR="004E0A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(Narodne novine, br. 69/19</w:t>
      </w:r>
      <w:r w:rsidR="00CC7AB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kojom je u 2020. i 2021. godini omogućeno upućivanje do deset pripadnika Oružanih snaga Republike Hrvatske, uz mogućnost rotacije.</w:t>
      </w: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57E3E8" w14:textId="77777777" w:rsidR="004E0AF7" w:rsidRDefault="004E0AF7" w:rsidP="004E0AF7">
      <w:pPr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BCF1771" w14:textId="77777777" w:rsidR="00C70502" w:rsidRDefault="00C70502" w:rsidP="00654E4B">
      <w:pPr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2C333EE" w14:textId="77777777" w:rsidR="00C70502" w:rsidRDefault="00C70502" w:rsidP="00654E4B">
      <w:pPr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ABD7E7" w14:textId="77777777" w:rsidR="00347FA9" w:rsidRDefault="00347FA9" w:rsidP="00654E4B">
      <w:pPr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C86735C" w14:textId="77777777" w:rsidR="00B160A1" w:rsidRDefault="00B160A1" w:rsidP="00654E4B">
      <w:pPr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D049B57" w14:textId="77777777" w:rsidR="00347FA9" w:rsidRDefault="00347FA9" w:rsidP="00654E4B">
      <w:pPr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4C82974" w14:textId="77777777" w:rsidR="00337585" w:rsidRPr="004E0AF7" w:rsidRDefault="00401861" w:rsidP="004E0AF7">
      <w:pPr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278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III.</w:t>
      </w:r>
      <w:r w:rsidR="00F726D7" w:rsidRPr="00B278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278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RAZLOZI I CILJEVI DONOŠENJA ODLUKE</w:t>
      </w:r>
    </w:p>
    <w:p w14:paraId="4DEB209B" w14:textId="77777777" w:rsidR="00401861" w:rsidRPr="00B278AA" w:rsidRDefault="00DD28B9" w:rsidP="0075762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Godine </w:t>
      </w:r>
      <w:r w:rsidR="00401861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2017</w:t>
      </w:r>
      <w:r w:rsidR="002976A5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01861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7D01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provedena</w:t>
      </w:r>
      <w:r w:rsidR="00401861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="008919EE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sveobuhvatna analiza </w:t>
      </w:r>
      <w:r w:rsidR="00401861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situacije u Iraku koja je obuhvatila promjene sigurnosnog okružja te je </w:t>
      </w:r>
      <w:r w:rsidR="00A47D01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donesen zaključak</w:t>
      </w:r>
      <w:r w:rsidR="00401861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potrebi snažnijeg angažiranja Saveza. </w:t>
      </w:r>
      <w:r w:rsidR="008407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Predsjednik iračke vlade podnio je </w:t>
      </w:r>
      <w:r w:rsidR="00762A9F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401861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ahtjev za transformacijom NATO aktivnosti u Iraku u </w:t>
      </w:r>
      <w:r w:rsidR="00A47D01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neborbenu</w:t>
      </w:r>
      <w:r w:rsidR="008407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misiju.</w:t>
      </w:r>
    </w:p>
    <w:p w14:paraId="504EAF80" w14:textId="77777777" w:rsidR="00757622" w:rsidRPr="00B278AA" w:rsidRDefault="00401861" w:rsidP="0075762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Ustrojavanje NATO </w:t>
      </w:r>
      <w:r w:rsidR="00E44B2D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neborbene</w:t>
      </w: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misije u Iraku podrža</w:t>
      </w:r>
      <w:r w:rsidR="00337585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va</w:t>
      </w:r>
      <w:r w:rsidR="002976A5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ulogu NATO-a </w:t>
      </w: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u potpori</w:t>
      </w:r>
      <w:r w:rsidR="002976A5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Ministarstvu </w:t>
      </w: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obrane Iraka u razvoju profesi</w:t>
      </w:r>
      <w:r w:rsidR="008919EE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onalnog sustava vojne izobrazbe</w:t>
      </w:r>
      <w:r w:rsidR="00757622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</w:t>
      </w:r>
      <w:r w:rsidR="002976A5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u reformi iračkog sigurnosnog sektora</w:t>
      </w:r>
      <w:r w:rsidR="00757622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AFAF7E" w14:textId="77777777" w:rsidR="002F2A8B" w:rsidRPr="00B278AA" w:rsidRDefault="00757622" w:rsidP="002F2A8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Dosadašnje NATO aktivnosti izgradnje obrambenih kapaciteta Iraka poluč</w:t>
      </w:r>
      <w:r w:rsidR="00B160A1">
        <w:rPr>
          <w:rFonts w:ascii="Times New Roman" w:hAnsi="Times New Roman" w:cs="Times New Roman"/>
          <w:color w:val="000000" w:themeColor="text1"/>
          <w:sz w:val="24"/>
          <w:szCs w:val="24"/>
        </w:rPr>
        <w:t>ile su dobre rezultate. N</w:t>
      </w:r>
      <w:r w:rsidR="008919EE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proširenjem savjetodavnih i obučnih aktivnosti </w:t>
      </w:r>
      <w:r w:rsidR="007F715B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pridonijet</w:t>
      </w: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se daljnjoj </w:t>
      </w:r>
      <w:r w:rsidR="008919EE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učinkovitoj</w:t>
      </w: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izgradnji i učvrščivanju iračkih kapaciteta </w:t>
      </w:r>
      <w:r w:rsidR="007F715B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istodobno odaslati poruku potpore i odlučnosti.</w:t>
      </w:r>
      <w:r w:rsidR="002976A5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F715B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EC677C" w14:textId="77777777" w:rsidR="00A01AC2" w:rsidRDefault="00A01AC2" w:rsidP="002F2A8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Republika Hrvatska je kroz NATO sustav generiranja snaga dobila potvrdu i odgovornost za popunu sedam pozicija, od čega jednu brigadirsku i to savjetnika na razini Ministarstva obrane Iraka. Hrvatski časnici i dočasnici u NATO-ovoj misiji u Iraku obavljaju dužnosti savjetnika, obučavatelja </w:t>
      </w:r>
      <w:r w:rsidR="00B160A1">
        <w:rPr>
          <w:rFonts w:ascii="Times New Roman" w:hAnsi="Times New Roman" w:cs="Times New Roman"/>
          <w:color w:val="000000" w:themeColor="text1"/>
          <w:sz w:val="24"/>
          <w:szCs w:val="24"/>
        </w:rPr>
        <w:t>i mentora</w:t>
      </w: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</w:t>
      </w:r>
      <w:r w:rsidR="00BF12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stožerne i </w:t>
      </w: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potporne dužnosti.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4B03D8" w14:textId="77777777" w:rsidR="00F664C6" w:rsidRPr="00B278AA" w:rsidRDefault="00757622" w:rsidP="008E65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Slijedom navedenoga </w:t>
      </w:r>
      <w:r w:rsidR="00F664C6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predlaže</w:t>
      </w: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</w:t>
      </w:r>
      <w:r w:rsidR="00F664C6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2A8B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nastavak </w:t>
      </w:r>
      <w:r w:rsidR="00F664C6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sudjel</w:t>
      </w:r>
      <w:r w:rsidR="00337585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ovanj</w:t>
      </w:r>
      <w:r w:rsidR="002F2A8B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37585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pripadnika Oružanih snaga</w:t>
      </w:r>
      <w:r w:rsidR="00F664C6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Republike Hrvatske u</w:t>
      </w:r>
      <w:r w:rsidR="00B160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misiji potpore miru „</w:t>
      </w:r>
      <w:r w:rsidR="00F664C6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NATO </w:t>
      </w:r>
      <w:r w:rsidR="00A634FC">
        <w:rPr>
          <w:rFonts w:ascii="Times New Roman" w:hAnsi="Times New Roman" w:cs="Times New Roman"/>
          <w:color w:val="000000" w:themeColor="text1"/>
          <w:sz w:val="24"/>
          <w:szCs w:val="24"/>
        </w:rPr>
        <w:t>misiji</w:t>
      </w:r>
      <w:r w:rsidR="00F664C6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Iraku</w:t>
      </w:r>
      <w:r w:rsidR="00B160A1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F664C6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A63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mogućnošću upućivanja</w:t>
      </w:r>
      <w:r w:rsidR="00F664C6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deset pripadnika Oružanih snaga Republike Hrvatske, koji mogu biti </w:t>
      </w:r>
      <w:r w:rsidR="002F2A8B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razmješteni u Iraku tijekom 202</w:t>
      </w:r>
      <w:r w:rsidR="00A01AC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F2A8B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>. i 202</w:t>
      </w:r>
      <w:r w:rsidR="00A01AC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634FC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="00F664C6"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mogućnošću rotacije.</w:t>
      </w:r>
    </w:p>
    <w:p w14:paraId="67DF62C9" w14:textId="77777777" w:rsidR="00401861" w:rsidRPr="00B278AA" w:rsidRDefault="00401861" w:rsidP="0040186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DDB9BE" w14:textId="77777777" w:rsidR="00401861" w:rsidRPr="00B278AA" w:rsidRDefault="00401861" w:rsidP="00F664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2BB078" w14:textId="77777777" w:rsidR="00401861" w:rsidRPr="00B278AA" w:rsidRDefault="00401861" w:rsidP="004018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  <w:r w:rsidRPr="00B278AA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>IV.</w:t>
      </w:r>
      <w:r w:rsidR="00F726D7" w:rsidRPr="00B278AA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 xml:space="preserve"> </w:t>
      </w:r>
      <w:r w:rsidRPr="00B278AA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>POTREBNA FINANCIJSKA SREDSTVA</w:t>
      </w:r>
    </w:p>
    <w:p w14:paraId="3F1DF4F0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7B4A7313" w14:textId="77777777" w:rsidR="00AC7677" w:rsidRPr="00AC7677" w:rsidRDefault="00AC7677" w:rsidP="00AC767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76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Financijska sredstva za provedbu ove Odluke </w:t>
      </w:r>
      <w:r w:rsidR="004E0AF7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</w:t>
      </w:r>
      <w:r w:rsidR="008B3B3F">
        <w:rPr>
          <w:rFonts w:ascii="Times New Roman" w:eastAsia="Times New Roman" w:hAnsi="Times New Roman" w:cs="Times New Roman"/>
          <w:sz w:val="24"/>
          <w:szCs w:val="24"/>
          <w:lang w:eastAsia="hr-HR"/>
        </w:rPr>
        <w:t>t će se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državnom proračunu Republike Hrvatske za 2022. i 2023. </w:t>
      </w:r>
      <w:r w:rsidR="007065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godinu </w:t>
      </w:r>
      <w:r w:rsidRPr="00AC76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razdjelu Ministarstva obrane u skladu s predviđenim projekcijama financijskoga plana Ministarstva obrane za 2022. i 2023. godinu. </w:t>
      </w:r>
    </w:p>
    <w:p w14:paraId="722DA293" w14:textId="77777777" w:rsidR="003172ED" w:rsidRDefault="00AC7677" w:rsidP="00AC767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7677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</w:p>
    <w:p w14:paraId="5BC2D936" w14:textId="77777777" w:rsidR="003172ED" w:rsidRDefault="003172ED" w:rsidP="004018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13D78A" w14:textId="77777777" w:rsidR="003172ED" w:rsidRDefault="003172ED" w:rsidP="004018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40AAB0" w14:textId="77777777" w:rsidR="003172ED" w:rsidRDefault="003172ED" w:rsidP="004018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E10ED0" w14:textId="77777777" w:rsidR="003172ED" w:rsidRDefault="003172ED" w:rsidP="004018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01F21E" w14:textId="77777777" w:rsidR="003172ED" w:rsidRDefault="003172ED" w:rsidP="004018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B23758" w14:textId="77777777" w:rsidR="003172ED" w:rsidRDefault="003172ED" w:rsidP="004018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0231FE" w14:textId="77777777" w:rsidR="003172ED" w:rsidRDefault="003172ED" w:rsidP="004018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449D0A" w14:textId="77777777" w:rsidR="00347FA9" w:rsidRDefault="00347FA9" w:rsidP="004018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495236" w14:textId="77777777" w:rsidR="00347FA9" w:rsidRDefault="00347FA9" w:rsidP="004018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E3C9B1" w14:textId="77777777" w:rsidR="00347FA9" w:rsidRDefault="00347FA9" w:rsidP="004018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BD709B" w14:textId="77777777" w:rsidR="00347FA9" w:rsidRDefault="00347FA9" w:rsidP="004018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95B3F7" w14:textId="77777777" w:rsidR="00347FA9" w:rsidRDefault="00347FA9" w:rsidP="004018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25D36A" w14:textId="77777777" w:rsidR="00347FA9" w:rsidRDefault="003172ED" w:rsidP="004018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                                                                                                                       </w:t>
      </w:r>
      <w:r w:rsidR="003977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 w:rsidR="00347F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</w:t>
      </w:r>
    </w:p>
    <w:p w14:paraId="162C4454" w14:textId="77777777" w:rsidR="003172ED" w:rsidRPr="003172ED" w:rsidRDefault="00347FA9" w:rsidP="004018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        </w:t>
      </w:r>
      <w:r w:rsidR="003977F4" w:rsidRPr="003172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14:paraId="3B46148C" w14:textId="77777777" w:rsidR="003172ED" w:rsidRDefault="003172ED" w:rsidP="004018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8F0406" w14:textId="77777777" w:rsidR="00401861" w:rsidRPr="00B278AA" w:rsidRDefault="001847F8" w:rsidP="0040186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  <w:r w:rsidRPr="003B28D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54. stavka 2. Zakona o obrani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6571C">
        <w:rPr>
          <w:rFonts w:ascii="Times New Roman" w:hAnsi="Times New Roman" w:cs="Times New Roman"/>
          <w:color w:val="000000"/>
          <w:sz w:val="24"/>
          <w:szCs w:val="24"/>
        </w:rPr>
        <w:t>(Narodne novine, br. 73/13, 75/15, 27/16</w:t>
      </w:r>
      <w:r w:rsidRPr="00C6571C">
        <w:rPr>
          <w:rFonts w:ascii="Times New Roman" w:hAnsi="Times New Roman" w:cs="Times New Roman"/>
          <w:sz w:val="24"/>
          <w:szCs w:val="24"/>
        </w:rPr>
        <w:t>, 110/17 – Odluka Ustavnog suda Republike Hrvatske,</w:t>
      </w:r>
      <w:r w:rsidRPr="00C6571C">
        <w:rPr>
          <w:rFonts w:ascii="Times New Roman" w:hAnsi="Times New Roman" w:cs="Times New Roman"/>
          <w:color w:val="000000"/>
          <w:sz w:val="24"/>
          <w:szCs w:val="24"/>
        </w:rPr>
        <w:t xml:space="preserve"> 30/18</w:t>
      </w:r>
      <w:r w:rsidR="004E0A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71C">
        <w:rPr>
          <w:rFonts w:ascii="Times New Roman" w:hAnsi="Times New Roman" w:cs="Times New Roman"/>
          <w:sz w:val="24"/>
          <w:szCs w:val="24"/>
        </w:rPr>
        <w:t>i 70/19</w:t>
      </w:r>
      <w:r w:rsidRPr="00C6571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B28D1">
        <w:rPr>
          <w:rFonts w:ascii="Times New Roman" w:eastAsia="Times New Roman" w:hAnsi="Times New Roman" w:cs="Times New Roman"/>
          <w:sz w:val="24"/>
          <w:szCs w:val="24"/>
          <w:lang w:eastAsia="hr-HR"/>
        </w:rPr>
        <w:t>, na prijedlog Vlade Republike Hrvatske i uz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rethodnu suglasnost Predsjednika Republike Hrvatske</w:t>
      </w:r>
      <w:r w:rsidR="00267545" w:rsidRPr="00B278AA">
        <w:rPr>
          <w:rFonts w:ascii="Times New Roman" w:hAnsi="Times New Roman"/>
          <w:color w:val="000000" w:themeColor="text1"/>
          <w:sz w:val="24"/>
          <w:szCs w:val="24"/>
        </w:rPr>
        <w:t xml:space="preserve">, Hrvatski sabor </w:t>
      </w:r>
      <w:r w:rsidR="002F2A8B" w:rsidRPr="00B278AA">
        <w:rPr>
          <w:rFonts w:ascii="Times New Roman" w:hAnsi="Times New Roman"/>
          <w:color w:val="000000" w:themeColor="text1"/>
          <w:sz w:val="24"/>
          <w:szCs w:val="24"/>
        </w:rPr>
        <w:t>na sjednici _______________ 20</w:t>
      </w:r>
      <w:r w:rsidR="004625E9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267545" w:rsidRPr="00B278AA">
        <w:rPr>
          <w:rFonts w:ascii="Times New Roman" w:hAnsi="Times New Roman"/>
          <w:color w:val="000000" w:themeColor="text1"/>
          <w:sz w:val="24"/>
          <w:szCs w:val="24"/>
        </w:rPr>
        <w:t xml:space="preserve">. donio je </w:t>
      </w:r>
    </w:p>
    <w:p w14:paraId="2B9A0065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4E0DEE98" w14:textId="77777777" w:rsidR="004E0AF7" w:rsidRPr="004E0AF7" w:rsidRDefault="00401861" w:rsidP="004E0AF7">
      <w:pPr>
        <w:autoSpaceDE w:val="0"/>
        <w:autoSpaceDN w:val="0"/>
        <w:adjustRightInd w:val="0"/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4"/>
          <w:szCs w:val="24"/>
          <w:lang w:eastAsia="hr-HR"/>
        </w:rPr>
      </w:pPr>
      <w:r w:rsidRPr="00B278AA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4"/>
          <w:szCs w:val="24"/>
          <w:lang w:eastAsia="hr-HR"/>
        </w:rPr>
        <w:t>O D L U K U</w:t>
      </w:r>
    </w:p>
    <w:p w14:paraId="07871723" w14:textId="77777777" w:rsidR="004E0AF7" w:rsidRDefault="004E0AF7" w:rsidP="004E0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color w:val="000000" w:themeColor="text1"/>
          <w:sz w:val="24"/>
          <w:szCs w:val="24"/>
        </w:rPr>
      </w:pPr>
      <w:r w:rsidRPr="00B278AA">
        <w:rPr>
          <w:rFonts w:ascii="Times New Roman" w:eastAsia="Calibri" w:hAnsi="Times New Roman" w:cs="Times New Roman"/>
          <w:b/>
          <w:bCs/>
          <w:noProof w:val="0"/>
          <w:color w:val="000000" w:themeColor="text1"/>
          <w:sz w:val="24"/>
          <w:szCs w:val="24"/>
        </w:rPr>
        <w:t xml:space="preserve">O SUDJELOVANJU </w:t>
      </w:r>
      <w:r w:rsidR="001C2B28">
        <w:rPr>
          <w:rFonts w:ascii="Times New Roman" w:eastAsia="Calibri" w:hAnsi="Times New Roman" w:cs="Times New Roman"/>
          <w:b/>
          <w:bCs/>
          <w:noProof w:val="0"/>
          <w:color w:val="000000" w:themeColor="text1"/>
          <w:sz w:val="24"/>
          <w:szCs w:val="24"/>
        </w:rPr>
        <w:t xml:space="preserve">PRIPADNIKA </w:t>
      </w:r>
      <w:r w:rsidRPr="00B278AA">
        <w:rPr>
          <w:rFonts w:ascii="Times New Roman" w:eastAsia="Calibri" w:hAnsi="Times New Roman" w:cs="Times New Roman"/>
          <w:b/>
          <w:bCs/>
          <w:noProof w:val="0"/>
          <w:color w:val="000000" w:themeColor="text1"/>
          <w:sz w:val="24"/>
          <w:szCs w:val="24"/>
        </w:rPr>
        <w:t xml:space="preserve">ORUŽANIH SNAGA REPUBLIKE HRVATSKE </w:t>
      </w:r>
    </w:p>
    <w:p w14:paraId="648F4BFD" w14:textId="77777777" w:rsidR="004E0AF7" w:rsidRPr="00B278AA" w:rsidRDefault="004E0AF7" w:rsidP="004E0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  <w:r w:rsidRPr="00B278AA">
        <w:rPr>
          <w:rFonts w:ascii="Times New Roman" w:eastAsia="Calibri" w:hAnsi="Times New Roman" w:cs="Times New Roman"/>
          <w:b/>
          <w:bCs/>
          <w:noProof w:val="0"/>
          <w:color w:val="000000" w:themeColor="text1"/>
          <w:sz w:val="24"/>
          <w:szCs w:val="24"/>
        </w:rPr>
        <w:t>U</w:t>
      </w:r>
      <w:r w:rsidRPr="00B278AA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 xml:space="preserve"> </w:t>
      </w:r>
      <w:r>
        <w:rPr>
          <w:color w:val="231F20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>MISIJI</w:t>
      </w:r>
      <w:r w:rsidRPr="004E0AF7">
        <w:rPr>
          <w:rFonts w:ascii="Times New Roman" w:hAnsi="Times New Roman" w:cs="Times New Roman"/>
          <w:b/>
          <w:color w:val="231F20"/>
          <w:sz w:val="24"/>
          <w:szCs w:val="24"/>
          <w:shd w:val="clear" w:color="auto" w:fill="FFFFFF"/>
        </w:rPr>
        <w:t xml:space="preserve"> POTPORE MIRU „</w:t>
      </w:r>
      <w:r w:rsidRPr="004E0AF7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>NATO MISIJI U IRAKU</w:t>
      </w:r>
      <w:r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>“</w:t>
      </w:r>
    </w:p>
    <w:p w14:paraId="6863248A" w14:textId="77777777" w:rsidR="004E0AF7" w:rsidRPr="00B278AA" w:rsidRDefault="004E0AF7" w:rsidP="004E0AF7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3E7DB719" w14:textId="77777777" w:rsidR="00401861" w:rsidRPr="00B278AA" w:rsidRDefault="00401861" w:rsidP="00401861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  <w:r w:rsidRPr="00B278AA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>I.</w:t>
      </w:r>
    </w:p>
    <w:p w14:paraId="77E6024F" w14:textId="77777777" w:rsidR="00401861" w:rsidRPr="00B278AA" w:rsidRDefault="00401861" w:rsidP="0040186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 w:bidi="ta-IN"/>
        </w:rPr>
      </w:pPr>
      <w:r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/>
        </w:rPr>
        <w:tab/>
      </w:r>
      <w:r w:rsidR="002F2A8B"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 w:bidi="ta-IN"/>
        </w:rPr>
        <w:t xml:space="preserve">U </w:t>
      </w:r>
      <w:r w:rsidR="004E0AF7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 w:bidi="ta-IN"/>
        </w:rPr>
        <w:t xml:space="preserve"> misiju potpore miru „NATO MISIJI U IRAKU“</w:t>
      </w:r>
      <w:r w:rsidR="004E0AF7" w:rsidRPr="004E0AF7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 w:bidi="ta-IN"/>
        </w:rPr>
        <w:t xml:space="preserve"> </w:t>
      </w:r>
      <w:r w:rsidR="002F2A8B"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 w:bidi="ta-IN"/>
        </w:rPr>
        <w:t>u 202</w:t>
      </w:r>
      <w:r w:rsidR="004625E9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 w:bidi="ta-IN"/>
        </w:rPr>
        <w:t>2</w:t>
      </w:r>
      <w:r w:rsidR="002F2A8B"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 w:bidi="ta-IN"/>
        </w:rPr>
        <w:t>. i 202</w:t>
      </w:r>
      <w:r w:rsidR="004625E9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 w:bidi="ta-IN"/>
        </w:rPr>
        <w:t>3</w:t>
      </w:r>
      <w:r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 w:bidi="ta-IN"/>
        </w:rPr>
        <w:t>.</w:t>
      </w:r>
      <w:r w:rsidR="00C222FE"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 w:bidi="ta-IN"/>
        </w:rPr>
        <w:t xml:space="preserve"> </w:t>
      </w:r>
      <w:r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 w:bidi="ta-IN"/>
        </w:rPr>
        <w:t>godini upu</w:t>
      </w:r>
      <w:r w:rsidR="00A76F98"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 w:bidi="ta-IN"/>
        </w:rPr>
        <w:t>ćuje se</w:t>
      </w:r>
      <w:r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 w:bidi="ta-IN"/>
        </w:rPr>
        <w:t xml:space="preserve"> do deset pripadnika Oružanih snaga Republike Hrvatske, uz  mogućnost rotacije. </w:t>
      </w:r>
    </w:p>
    <w:p w14:paraId="4DF394CC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 w:bidi="ta-IN"/>
        </w:rPr>
      </w:pPr>
      <w:r w:rsidRPr="00B278AA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 w:bidi="ta-IN"/>
        </w:rPr>
        <w:t>II.</w:t>
      </w:r>
    </w:p>
    <w:p w14:paraId="14A038F1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 w:bidi="ta-IN"/>
        </w:rPr>
      </w:pPr>
    </w:p>
    <w:p w14:paraId="61B53F6E" w14:textId="7CA0B591" w:rsidR="00401861" w:rsidRPr="00B278AA" w:rsidRDefault="00401861" w:rsidP="00401861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 w:bidi="ta-IN"/>
        </w:rPr>
      </w:pPr>
      <w:r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  <w:tab/>
      </w:r>
      <w:r w:rsidR="006163E9" w:rsidRPr="006163E9">
        <w:rPr>
          <w:rFonts w:ascii="Times New Roman" w:hAnsi="Times New Roman" w:cs="Times New Roman"/>
          <w:color w:val="000000"/>
          <w:sz w:val="24"/>
          <w:szCs w:val="24"/>
        </w:rPr>
        <w:t xml:space="preserve">Izvješće o sudjelovanju </w:t>
      </w:r>
      <w:r w:rsidR="00394D51">
        <w:rPr>
          <w:rFonts w:ascii="Times New Roman" w:hAnsi="Times New Roman" w:cs="Times New Roman"/>
          <w:color w:val="000000"/>
          <w:sz w:val="24"/>
          <w:szCs w:val="24"/>
        </w:rPr>
        <w:t xml:space="preserve">pripadnika </w:t>
      </w:r>
      <w:r w:rsidR="006163E9" w:rsidRPr="006163E9">
        <w:rPr>
          <w:rFonts w:ascii="Times New Roman" w:hAnsi="Times New Roman" w:cs="Times New Roman"/>
          <w:color w:val="000000"/>
          <w:sz w:val="24"/>
          <w:szCs w:val="24"/>
        </w:rPr>
        <w:t xml:space="preserve">Oružanih snaga Republike Hrvatske u </w:t>
      </w:r>
      <w:r w:rsidR="004E0AF7">
        <w:rPr>
          <w:rFonts w:ascii="Times New Roman" w:hAnsi="Times New Roman" w:cs="Times New Roman"/>
          <w:color w:val="000000"/>
          <w:sz w:val="24"/>
          <w:szCs w:val="24"/>
        </w:rPr>
        <w:t xml:space="preserve">misiji potpore miru </w:t>
      </w:r>
      <w:r w:rsidR="006163E9" w:rsidRPr="006163E9">
        <w:rPr>
          <w:rFonts w:ascii="Times New Roman" w:hAnsi="Times New Roman" w:cs="Times New Roman"/>
          <w:color w:val="000000"/>
          <w:sz w:val="24"/>
          <w:szCs w:val="24"/>
        </w:rPr>
        <w:t>iz točke I. ove Odluke bit će dio Godišnjeg izvješća o obrani koje Vlada Republike Hrvatske podnosi Hrvatskome saboru.</w:t>
      </w:r>
    </w:p>
    <w:p w14:paraId="014F3C8D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</w:pPr>
    </w:p>
    <w:p w14:paraId="57D29BAD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  <w:r w:rsidRPr="00B278AA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>III.</w:t>
      </w:r>
    </w:p>
    <w:p w14:paraId="45AB2D5D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52F83535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</w:pPr>
      <w:r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 xml:space="preserve">             </w:t>
      </w:r>
      <w:r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  <w:t xml:space="preserve">Ova Odluka stupa na snagu osmoga dana od dana objave u </w:t>
      </w:r>
      <w:r w:rsidR="00267545"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  <w:t>Narodnim novinama</w:t>
      </w:r>
      <w:r w:rsidRPr="00B278AA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  <w:t>.</w:t>
      </w:r>
    </w:p>
    <w:p w14:paraId="171E05BA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</w:pPr>
    </w:p>
    <w:p w14:paraId="75CE7161" w14:textId="77777777" w:rsidR="00C51B25" w:rsidRDefault="00C51B25" w:rsidP="00C51B2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ab/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952"/>
        <w:gridCol w:w="1644"/>
        <w:gridCol w:w="1755"/>
        <w:gridCol w:w="674"/>
        <w:gridCol w:w="3447"/>
      </w:tblGrid>
      <w:tr w:rsidR="00C51B25" w:rsidRPr="00C51B25" w14:paraId="1B6A902E" w14:textId="77777777" w:rsidTr="004E0AF7">
        <w:trPr>
          <w:trHeight w:val="665"/>
        </w:trPr>
        <w:tc>
          <w:tcPr>
            <w:tcW w:w="2711" w:type="dxa"/>
            <w:gridSpan w:val="2"/>
            <w:shd w:val="clear" w:color="auto" w:fill="auto"/>
          </w:tcPr>
          <w:p w14:paraId="0BE09B04" w14:textId="77777777" w:rsidR="00C51B25" w:rsidRPr="004E0AF7" w:rsidDel="00EE4DAE" w:rsidRDefault="00C51B25" w:rsidP="004E0AF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19" w:type="dxa"/>
            <w:gridSpan w:val="2"/>
            <w:shd w:val="clear" w:color="auto" w:fill="auto"/>
          </w:tcPr>
          <w:p w14:paraId="42A796D5" w14:textId="77777777" w:rsidR="00C51B25" w:rsidRPr="004E0AF7" w:rsidDel="00EE4DAE" w:rsidRDefault="00C51B25" w:rsidP="00D41CF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3573" w:type="dxa"/>
            <w:shd w:val="clear" w:color="auto" w:fill="auto"/>
          </w:tcPr>
          <w:p w14:paraId="325253EE" w14:textId="77777777" w:rsidR="00C51B25" w:rsidRPr="004E0AF7" w:rsidDel="00EE4DAE" w:rsidRDefault="00C51B25" w:rsidP="00D41CF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</w:tr>
      <w:tr w:rsidR="00C51B25" w:rsidRPr="00C51B25" w14:paraId="2FAA3AE7" w14:textId="77777777" w:rsidTr="00D41CF1">
        <w:tc>
          <w:tcPr>
            <w:tcW w:w="992" w:type="dxa"/>
            <w:shd w:val="clear" w:color="auto" w:fill="auto"/>
          </w:tcPr>
          <w:p w14:paraId="6229E975" w14:textId="77777777" w:rsidR="00C51B25" w:rsidRPr="004E0AF7" w:rsidDel="00EE4DAE" w:rsidRDefault="00C51B25" w:rsidP="00D41C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811" w:type="dxa"/>
            <w:gridSpan w:val="4"/>
            <w:shd w:val="clear" w:color="auto" w:fill="auto"/>
          </w:tcPr>
          <w:p w14:paraId="7CEE28E8" w14:textId="77777777" w:rsidR="004E0AF7" w:rsidRDefault="004E0AF7" w:rsidP="004E0AF7">
            <w:pPr>
              <w:pStyle w:val="NormalWeb"/>
              <w:spacing w:before="0" w:beforeAutospacing="0" w:after="12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</w:t>
            </w:r>
            <w:r w:rsidR="00C51B25" w:rsidRPr="004E0AF7">
              <w:rPr>
                <w:b/>
                <w:color w:val="000000"/>
              </w:rPr>
              <w:t>HRVATSKI SABOR</w:t>
            </w:r>
          </w:p>
          <w:p w14:paraId="57A452B4" w14:textId="77777777" w:rsidR="004E0AF7" w:rsidRDefault="004E0AF7" w:rsidP="004E0AF7">
            <w:pPr>
              <w:pStyle w:val="NormalWeb"/>
              <w:spacing w:before="0" w:beforeAutospacing="0" w:after="120" w:afterAutospacing="0"/>
              <w:rPr>
                <w:b/>
                <w:color w:val="000000"/>
              </w:rPr>
            </w:pPr>
          </w:p>
          <w:p w14:paraId="56059822" w14:textId="77777777" w:rsidR="004E0AF7" w:rsidRPr="004E0AF7" w:rsidRDefault="004E0AF7" w:rsidP="004E0AF7">
            <w:pPr>
              <w:pStyle w:val="NormalWeb"/>
              <w:spacing w:before="0" w:beforeAutospacing="0" w:after="120" w:afterAutospacing="0"/>
              <w:rPr>
                <w:b/>
                <w:color w:val="000000"/>
              </w:rPr>
            </w:pPr>
          </w:p>
        </w:tc>
      </w:tr>
      <w:tr w:rsidR="00C51B25" w:rsidRPr="00C51B25" w14:paraId="4441597A" w14:textId="77777777" w:rsidTr="00D41CF1">
        <w:tc>
          <w:tcPr>
            <w:tcW w:w="2711" w:type="dxa"/>
            <w:gridSpan w:val="2"/>
            <w:shd w:val="clear" w:color="auto" w:fill="auto"/>
          </w:tcPr>
          <w:p w14:paraId="30A26EA2" w14:textId="77777777" w:rsidR="00C51B25" w:rsidRPr="00C51B25" w:rsidRDefault="00C51B25" w:rsidP="00D41CF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1825" w:type="dxa"/>
            <w:shd w:val="clear" w:color="auto" w:fill="auto"/>
          </w:tcPr>
          <w:p w14:paraId="627B17F6" w14:textId="77777777" w:rsidR="00C51B25" w:rsidRPr="00C51B25" w:rsidRDefault="00C51B25" w:rsidP="00D41CF1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75333C7" w14:textId="77777777" w:rsidR="00547B6E" w:rsidRDefault="00C51B25" w:rsidP="004E0AF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E0AF7">
              <w:rPr>
                <w:b/>
                <w:color w:val="000000"/>
              </w:rPr>
              <w:t xml:space="preserve">Predsjednik </w:t>
            </w:r>
          </w:p>
          <w:p w14:paraId="3DF612FD" w14:textId="77777777" w:rsidR="00C51B25" w:rsidRPr="004E0AF7" w:rsidRDefault="00C51B25" w:rsidP="004E0AF7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4E0AF7">
              <w:rPr>
                <w:b/>
                <w:color w:val="000000"/>
              </w:rPr>
              <w:t xml:space="preserve">Hrvatskoga sabora </w:t>
            </w:r>
          </w:p>
          <w:p w14:paraId="24434882" w14:textId="77777777" w:rsidR="00C51B25" w:rsidRPr="00C51B25" w:rsidRDefault="00C51B25" w:rsidP="00D41CF1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C51B25">
              <w:rPr>
                <w:b/>
                <w:color w:val="000000"/>
              </w:rPr>
              <w:t>Gordan Jandroković</w:t>
            </w:r>
            <w:r w:rsidRPr="00C51B25">
              <w:rPr>
                <w:color w:val="000000"/>
              </w:rPr>
              <w:br/>
            </w:r>
          </w:p>
        </w:tc>
      </w:tr>
    </w:tbl>
    <w:p w14:paraId="1A126448" w14:textId="77777777" w:rsidR="003977F4" w:rsidRDefault="003977F4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4E9DD228" w14:textId="77777777" w:rsidR="004E0AF7" w:rsidRPr="00547B6E" w:rsidRDefault="004E0AF7" w:rsidP="004E0AF7">
      <w:pPr>
        <w:spacing w:after="12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7B6E">
        <w:rPr>
          <w:rFonts w:ascii="Times New Roman" w:hAnsi="Times New Roman" w:cs="Times New Roman"/>
          <w:b/>
          <w:color w:val="000000"/>
          <w:sz w:val="24"/>
          <w:szCs w:val="24"/>
        </w:rPr>
        <w:t>Klasa:</w:t>
      </w:r>
    </w:p>
    <w:p w14:paraId="1794249F" w14:textId="77777777" w:rsidR="004E0AF7" w:rsidRPr="00547B6E" w:rsidRDefault="004E0AF7" w:rsidP="004E0AF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7B6E">
        <w:rPr>
          <w:rFonts w:ascii="Times New Roman" w:hAnsi="Times New Roman" w:cs="Times New Roman"/>
          <w:b/>
          <w:color w:val="000000"/>
          <w:sz w:val="24"/>
          <w:szCs w:val="24"/>
        </w:rPr>
        <w:t>Zagreb,</w:t>
      </w:r>
    </w:p>
    <w:p w14:paraId="294DA44E" w14:textId="77777777" w:rsidR="003977F4" w:rsidRDefault="003977F4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22A51530" w14:textId="77777777" w:rsidR="00347FA9" w:rsidRDefault="00347FA9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322A858A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  <w:r w:rsidRPr="00B278AA"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  <w:t>O B R A Z L O Ž E NJ E</w:t>
      </w:r>
    </w:p>
    <w:p w14:paraId="2451D454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</w:p>
    <w:p w14:paraId="724B6225" w14:textId="77777777" w:rsidR="00401861" w:rsidRPr="00B278AA" w:rsidRDefault="00401861" w:rsidP="00401861">
      <w:pPr>
        <w:autoSpaceDE w:val="0"/>
        <w:autoSpaceDN w:val="0"/>
        <w:adjustRightInd w:val="0"/>
        <w:spacing w:before="100" w:beforeAutospacing="1" w:after="100" w:afterAutospacing="1"/>
        <w:ind w:firstLine="708"/>
        <w:jc w:val="both"/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</w:pPr>
      <w:r w:rsidRPr="00B278AA">
        <w:rPr>
          <w:rFonts w:ascii="Times New Roman" w:eastAsia="MS Mincho" w:hAnsi="Times New Roman" w:cs="Times New Roman"/>
          <w:b/>
          <w:bCs/>
          <w:noProof w:val="0"/>
          <w:color w:val="000000" w:themeColor="text1"/>
          <w:sz w:val="24"/>
          <w:szCs w:val="24"/>
          <w:lang w:eastAsia="ja-JP"/>
        </w:rPr>
        <w:t>Točkom I.</w:t>
      </w:r>
      <w:r w:rsidRPr="00B278AA">
        <w:rPr>
          <w:rFonts w:ascii="Times New Roman" w:eastAsia="MS Mincho" w:hAnsi="Times New Roman" w:cs="Times New Roman"/>
          <w:bCs/>
          <w:noProof w:val="0"/>
          <w:color w:val="000000" w:themeColor="text1"/>
          <w:sz w:val="24"/>
          <w:szCs w:val="24"/>
          <w:lang w:eastAsia="ja-JP"/>
        </w:rPr>
        <w:t xml:space="preserve"> o</w:t>
      </w:r>
      <w:r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/>
        </w:rPr>
        <w:t xml:space="preserve">dređuje se da Hrvatski sabor </w:t>
      </w:r>
      <w:r w:rsidR="00F65534"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/>
        </w:rPr>
        <w:t>don</w:t>
      </w:r>
      <w:r w:rsidR="00F65534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/>
        </w:rPr>
        <w:t>osi</w:t>
      </w:r>
      <w:r w:rsidR="00F65534"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/>
        </w:rPr>
        <w:t xml:space="preserve"> </w:t>
      </w:r>
      <w:r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/>
        </w:rPr>
        <w:t>Odluku o sudjelovanju Oružanih snaga Republike Hrvatske u</w:t>
      </w:r>
      <w:r w:rsidR="00ED2222"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/>
        </w:rPr>
        <w:t xml:space="preserve"> </w:t>
      </w:r>
      <w:r w:rsidR="004E0AF7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/>
        </w:rPr>
        <w:t>misiji potpore miru „</w:t>
      </w:r>
      <w:r w:rsidR="004E0AF7"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/>
        </w:rPr>
        <w:t>NATO MISIJI U IRAKU</w:t>
      </w:r>
      <w:r w:rsidR="004E0AF7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/>
        </w:rPr>
        <w:t>“</w:t>
      </w:r>
      <w:r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/>
        </w:rPr>
        <w:t xml:space="preserve">. </w:t>
      </w:r>
      <w:r w:rsidR="006163E9" w:rsidRPr="00541CA8">
        <w:rPr>
          <w:rFonts w:ascii="Times New Roman" w:eastAsia="MS Mincho" w:hAnsi="Times New Roman" w:cs="Times New Roman"/>
          <w:sz w:val="24"/>
          <w:szCs w:val="24"/>
          <w:lang w:eastAsia="ja-JP"/>
        </w:rPr>
        <w:t>Pravni temelj za donošenje Odluke Hrvatskoga sabora je članak 7. stavak 5. Ustava Republike Hrvatske (Narodne novine, br. 85/10 – pročišćeni tekst i 5/14 – Odluka Ustavnog suda Republike Hrvatske</w:t>
      </w:r>
      <w:r w:rsidR="006163E9" w:rsidRPr="009F3756"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  <w:r w:rsidR="006163E9" w:rsidRPr="00541CA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koji propisuje da Oružane snage Republike Hrvatske mogu prijeći njezine granice ili djelovati preko njezinih granica na temelju Odluke Hrvatskoga sabora, koju predlaže Vlada Republike Hrvatske, uz p</w:t>
      </w:r>
      <w:r w:rsidR="006163E9">
        <w:rPr>
          <w:rFonts w:ascii="Times New Roman" w:eastAsia="MS Mincho" w:hAnsi="Times New Roman" w:cs="Times New Roman"/>
          <w:sz w:val="24"/>
          <w:szCs w:val="24"/>
          <w:lang w:eastAsia="ja-JP"/>
        </w:rPr>
        <w:t>rethodnu suglasnost Predsjednika</w:t>
      </w:r>
      <w:r w:rsidR="006163E9" w:rsidRPr="00541CA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Republike Hrvatske. Zakon o obrani </w:t>
      </w:r>
      <w:r w:rsidR="006163E9" w:rsidRPr="00C6571C">
        <w:rPr>
          <w:rFonts w:ascii="Times New Roman" w:hAnsi="Times New Roman" w:cs="Times New Roman"/>
          <w:color w:val="000000"/>
          <w:sz w:val="24"/>
          <w:szCs w:val="24"/>
        </w:rPr>
        <w:t>(Narodne novine, br. 73/13, 75/15, 27/16</w:t>
      </w:r>
      <w:r w:rsidR="006163E9" w:rsidRPr="00C6571C">
        <w:rPr>
          <w:rFonts w:ascii="Times New Roman" w:hAnsi="Times New Roman" w:cs="Times New Roman"/>
          <w:sz w:val="24"/>
          <w:szCs w:val="24"/>
        </w:rPr>
        <w:t>, 110/17 – Odluka Ustavnog suda Republike Hrvatske,</w:t>
      </w:r>
      <w:r w:rsidR="006163E9" w:rsidRPr="00C6571C">
        <w:rPr>
          <w:rFonts w:ascii="Times New Roman" w:hAnsi="Times New Roman" w:cs="Times New Roman"/>
          <w:color w:val="000000"/>
          <w:sz w:val="24"/>
          <w:szCs w:val="24"/>
        </w:rPr>
        <w:t xml:space="preserve"> 30/18</w:t>
      </w:r>
      <w:r w:rsidR="006163E9" w:rsidRPr="00C6571C">
        <w:rPr>
          <w:rFonts w:ascii="Times New Roman" w:hAnsi="Times New Roman" w:cs="Times New Roman"/>
          <w:sz w:val="24"/>
          <w:szCs w:val="24"/>
        </w:rPr>
        <w:t xml:space="preserve"> i 70/19</w:t>
      </w:r>
      <w:r w:rsidR="006163E9" w:rsidRPr="00C6571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163E9" w:rsidRPr="00541CA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u članku 54. stavku 2. na istovje</w:t>
      </w:r>
      <w:r w:rsidR="006163E9">
        <w:rPr>
          <w:rFonts w:ascii="Times New Roman" w:eastAsia="MS Mincho" w:hAnsi="Times New Roman" w:cs="Times New Roman"/>
          <w:sz w:val="24"/>
          <w:szCs w:val="24"/>
          <w:lang w:eastAsia="ja-JP"/>
        </w:rPr>
        <w:t>tan način uređuje ovo područje.</w:t>
      </w:r>
      <w:r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/>
        </w:rPr>
        <w:t xml:space="preserve"> </w:t>
      </w:r>
      <w:r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  <w:t xml:space="preserve">U </w:t>
      </w:r>
      <w:r w:rsidR="004E0AF7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/>
        </w:rPr>
        <w:t>misiji potpore miru „</w:t>
      </w:r>
      <w:r w:rsidR="004E0AF7"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/>
        </w:rPr>
        <w:t>NATO MISIJI U IRAKU</w:t>
      </w:r>
      <w:r w:rsidR="004E0AF7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/>
        </w:rPr>
        <w:t xml:space="preserve">“ </w:t>
      </w:r>
      <w:r w:rsidR="00A76F98"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  <w:t>upućuje se</w:t>
      </w:r>
      <w:r w:rsidR="002F2A8B"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  <w:t xml:space="preserve"> u 202</w:t>
      </w:r>
      <w:r w:rsidR="004625E9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  <w:t>2</w:t>
      </w:r>
      <w:r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  <w:t>.</w:t>
      </w:r>
      <w:r w:rsidR="008D394D"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  <w:t xml:space="preserve"> </w:t>
      </w:r>
      <w:r w:rsidR="002F2A8B"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  <w:t>i 202</w:t>
      </w:r>
      <w:r w:rsidR="004625E9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  <w:t>3</w:t>
      </w:r>
      <w:r w:rsidR="00F664C6"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  <w:t>.</w:t>
      </w:r>
      <w:r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  <w:t xml:space="preserve"> godini do deset pripadnika Oružanih snaga Republike Hrvatske, uz mogućnost rotacije. </w:t>
      </w:r>
      <w:r w:rsidR="008D394D"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  <w:t xml:space="preserve"> </w:t>
      </w:r>
    </w:p>
    <w:p w14:paraId="51011828" w14:textId="76F8C882" w:rsidR="00401861" w:rsidRPr="00B278AA" w:rsidRDefault="00401861" w:rsidP="004E0A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 w:bidi="ta-IN"/>
        </w:rPr>
      </w:pPr>
      <w:r w:rsidRPr="00B278AA">
        <w:rPr>
          <w:rFonts w:ascii="Times New Roman" w:eastAsia="Times New Roman" w:hAnsi="Times New Roman" w:cs="Times New Roman"/>
          <w:b/>
          <w:bCs/>
          <w:noProof w:val="0"/>
          <w:color w:val="000000" w:themeColor="text1"/>
          <w:sz w:val="24"/>
          <w:szCs w:val="24"/>
          <w:lang w:eastAsia="hr-HR"/>
        </w:rPr>
        <w:t>Točkom II.</w:t>
      </w:r>
      <w:r w:rsidRPr="00B278AA">
        <w:rPr>
          <w:rFonts w:ascii="Times New Roman" w:eastAsia="Times New Roman" w:hAnsi="Times New Roman" w:cs="Times New Roman"/>
          <w:bCs/>
          <w:noProof w:val="0"/>
          <w:color w:val="000000" w:themeColor="text1"/>
          <w:sz w:val="24"/>
          <w:szCs w:val="24"/>
          <w:lang w:eastAsia="hr-HR"/>
        </w:rPr>
        <w:t xml:space="preserve"> </w:t>
      </w:r>
      <w:r w:rsidR="00CD72A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utvrđuje</w:t>
      </w:r>
      <w:r w:rsidR="00CD72A4" w:rsidRPr="00F65F9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se</w:t>
      </w:r>
      <w:r w:rsidR="00CD72A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da će izvješće o sudjelovanju </w:t>
      </w:r>
      <w:r w:rsidR="00394D51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pripadnika </w:t>
      </w:r>
      <w:r w:rsidR="00CD72A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Oružanih snaga</w:t>
      </w:r>
      <w:r w:rsidR="004E0AF7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Republike Hrvatske u misiji </w:t>
      </w:r>
      <w:r w:rsidR="00CD72A4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potpore miru iz točke I. ove Odluke biti dio Godišnjeg izvješća o obrani koje Vlada Republike Hrvatske podnosi Hrvatskome saboru.</w:t>
      </w:r>
    </w:p>
    <w:p w14:paraId="320893F8" w14:textId="77777777" w:rsidR="00401861" w:rsidRPr="00B278AA" w:rsidRDefault="00401861" w:rsidP="00401861">
      <w:pPr>
        <w:autoSpaceDE w:val="0"/>
        <w:autoSpaceDN w:val="0"/>
        <w:adjustRightInd w:val="0"/>
        <w:spacing w:after="0"/>
        <w:jc w:val="both"/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hr-HR" w:bidi="ta-IN"/>
        </w:rPr>
      </w:pPr>
    </w:p>
    <w:p w14:paraId="0E2157FB" w14:textId="77777777" w:rsidR="00401861" w:rsidRPr="00B278AA" w:rsidRDefault="00401861" w:rsidP="004E0AF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/>
        </w:rPr>
      </w:pPr>
      <w:r w:rsidRPr="00B278AA">
        <w:rPr>
          <w:rFonts w:ascii="Times New Roman" w:eastAsia="MS Mincho" w:hAnsi="Times New Roman" w:cs="Times New Roman"/>
          <w:b/>
          <w:noProof w:val="0"/>
          <w:color w:val="000000" w:themeColor="text1"/>
          <w:sz w:val="24"/>
          <w:szCs w:val="24"/>
          <w:lang w:eastAsia="ja-JP"/>
        </w:rPr>
        <w:t>Točkom III.</w:t>
      </w:r>
      <w:r w:rsidRPr="00B278AA">
        <w:rPr>
          <w:rFonts w:ascii="Times New Roman" w:eastAsia="MS Mincho" w:hAnsi="Times New Roman" w:cs="Times New Roman"/>
          <w:noProof w:val="0"/>
          <w:color w:val="000000" w:themeColor="text1"/>
          <w:sz w:val="24"/>
          <w:szCs w:val="24"/>
          <w:lang w:eastAsia="ja-JP"/>
        </w:rPr>
        <w:t xml:space="preserve"> </w:t>
      </w:r>
      <w:r w:rsidR="0086745C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određuje</w:t>
      </w:r>
      <w:r w:rsidR="0086745C"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="0086745C">
        <w:rPr>
          <w:rFonts w:ascii="Times New Roman" w:eastAsia="Times New Roman" w:hAnsi="Times New Roman" w:cs="Times New Roman"/>
          <w:sz w:val="24"/>
          <w:szCs w:val="24"/>
          <w:lang w:eastAsia="hr-HR"/>
        </w:rPr>
        <w:t>stupanje</w:t>
      </w:r>
      <w:r w:rsidR="0086745C"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snagu</w:t>
      </w:r>
      <w:r w:rsidR="008674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ove</w:t>
      </w:r>
      <w:r w:rsidR="0086745C" w:rsidRPr="00541C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Odluke.</w:t>
      </w:r>
    </w:p>
    <w:sectPr w:rsidR="00401861" w:rsidRPr="00B278AA" w:rsidSect="00347FA9">
      <w:headerReference w:type="even" r:id="rId13"/>
      <w:footerReference w:type="even" r:id="rId14"/>
      <w:footerReference w:type="default" r:id="rId15"/>
      <w:pgSz w:w="11907" w:h="16839" w:code="9"/>
      <w:pgMar w:top="1417" w:right="1417" w:bottom="1417" w:left="1417" w:header="720" w:footer="720" w:gutter="0"/>
      <w:cols w:space="720"/>
      <w:noEndnote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26107" w14:textId="77777777" w:rsidR="0065150D" w:rsidRDefault="0065150D" w:rsidP="00401861">
      <w:pPr>
        <w:spacing w:after="0" w:line="240" w:lineRule="auto"/>
      </w:pPr>
      <w:r>
        <w:separator/>
      </w:r>
    </w:p>
  </w:endnote>
  <w:endnote w:type="continuationSeparator" w:id="0">
    <w:p w14:paraId="12013717" w14:textId="77777777" w:rsidR="0065150D" w:rsidRDefault="0065150D" w:rsidP="0040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D6FDE" w14:textId="77777777" w:rsidR="008D23ED" w:rsidRDefault="00E45E26" w:rsidP="00020AED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299DD8" w14:textId="77777777" w:rsidR="008D23ED" w:rsidRDefault="008D7CCA" w:rsidP="00020A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5339968"/>
      <w:docPartObj>
        <w:docPartGallery w:val="Page Numbers (Bottom of Page)"/>
        <w:docPartUnique/>
      </w:docPartObj>
    </w:sdtPr>
    <w:sdtEndPr>
      <w:rPr>
        <w:b w:val="0"/>
        <w:i w:val="0"/>
        <w:noProof/>
      </w:rPr>
    </w:sdtEndPr>
    <w:sdtContent>
      <w:p w14:paraId="3742B02A" w14:textId="5B091757" w:rsidR="00D638AA" w:rsidRPr="00D638AA" w:rsidRDefault="00D638AA">
        <w:pPr>
          <w:pStyle w:val="Footer"/>
          <w:jc w:val="right"/>
          <w:rPr>
            <w:b w:val="0"/>
            <w:i w:val="0"/>
          </w:rPr>
        </w:pPr>
        <w:r w:rsidRPr="00D638AA">
          <w:rPr>
            <w:b w:val="0"/>
            <w:i w:val="0"/>
          </w:rPr>
          <w:fldChar w:fldCharType="begin"/>
        </w:r>
        <w:r w:rsidRPr="00D638AA">
          <w:rPr>
            <w:b w:val="0"/>
            <w:i w:val="0"/>
          </w:rPr>
          <w:instrText xml:space="preserve"> PAGE   \* MERGEFORMAT </w:instrText>
        </w:r>
        <w:r w:rsidRPr="00D638AA">
          <w:rPr>
            <w:b w:val="0"/>
            <w:i w:val="0"/>
          </w:rPr>
          <w:fldChar w:fldCharType="separate"/>
        </w:r>
        <w:r w:rsidR="008D7CCA">
          <w:rPr>
            <w:b w:val="0"/>
            <w:i w:val="0"/>
            <w:noProof/>
          </w:rPr>
          <w:t>2</w:t>
        </w:r>
        <w:r w:rsidRPr="00D638AA">
          <w:rPr>
            <w:b w:val="0"/>
            <w:i w:val="0"/>
            <w:noProof/>
          </w:rPr>
          <w:fldChar w:fldCharType="end"/>
        </w:r>
      </w:p>
    </w:sdtContent>
  </w:sdt>
  <w:p w14:paraId="146CFD1F" w14:textId="77777777" w:rsidR="00D638AA" w:rsidRDefault="00D638AA">
    <w:pPr>
      <w:pStyle w:val="Footer"/>
    </w:pPr>
  </w:p>
  <w:p w14:paraId="34375B24" w14:textId="77777777" w:rsidR="0059257A" w:rsidRDefault="005925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0357D" w14:textId="77777777" w:rsidR="0065150D" w:rsidRDefault="0065150D" w:rsidP="00401861">
      <w:pPr>
        <w:spacing w:after="0" w:line="240" w:lineRule="auto"/>
      </w:pPr>
      <w:r>
        <w:separator/>
      </w:r>
    </w:p>
  </w:footnote>
  <w:footnote w:type="continuationSeparator" w:id="0">
    <w:p w14:paraId="6500EC34" w14:textId="77777777" w:rsidR="0065150D" w:rsidRDefault="0065150D" w:rsidP="00401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1DA80" w14:textId="77777777" w:rsidR="008D23ED" w:rsidRDefault="00E45E26" w:rsidP="008D23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C81F24" w14:textId="77777777" w:rsidR="008D23ED" w:rsidRDefault="008D7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00C4"/>
    <w:multiLevelType w:val="hybridMultilevel"/>
    <w:tmpl w:val="918ACA14"/>
    <w:lvl w:ilvl="0" w:tplc="4FAAC55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14242E"/>
    <w:multiLevelType w:val="hybridMultilevel"/>
    <w:tmpl w:val="B296C570"/>
    <w:lvl w:ilvl="0" w:tplc="3CB0A18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C43DA7"/>
    <w:multiLevelType w:val="hybridMultilevel"/>
    <w:tmpl w:val="6AC23098"/>
    <w:lvl w:ilvl="0" w:tplc="5028A8E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61"/>
    <w:rsid w:val="000257B5"/>
    <w:rsid w:val="00026A40"/>
    <w:rsid w:val="000667A1"/>
    <w:rsid w:val="000874E3"/>
    <w:rsid w:val="000B20B1"/>
    <w:rsid w:val="000C6736"/>
    <w:rsid w:val="000C774C"/>
    <w:rsid w:val="000D4EA2"/>
    <w:rsid w:val="000D6C51"/>
    <w:rsid w:val="000E1AAA"/>
    <w:rsid w:val="000E2FB9"/>
    <w:rsid w:val="00110872"/>
    <w:rsid w:val="00112B5D"/>
    <w:rsid w:val="00114195"/>
    <w:rsid w:val="00126DEA"/>
    <w:rsid w:val="00127525"/>
    <w:rsid w:val="001402D3"/>
    <w:rsid w:val="0014205F"/>
    <w:rsid w:val="00151443"/>
    <w:rsid w:val="00164EEA"/>
    <w:rsid w:val="001847F8"/>
    <w:rsid w:val="001A1A5A"/>
    <w:rsid w:val="001B78D8"/>
    <w:rsid w:val="001C2B28"/>
    <w:rsid w:val="001E73D2"/>
    <w:rsid w:val="001F3D89"/>
    <w:rsid w:val="002518C1"/>
    <w:rsid w:val="00262189"/>
    <w:rsid w:val="00267545"/>
    <w:rsid w:val="002725B4"/>
    <w:rsid w:val="00283EB2"/>
    <w:rsid w:val="002976A5"/>
    <w:rsid w:val="002C236D"/>
    <w:rsid w:val="002D0ADC"/>
    <w:rsid w:val="002E0E50"/>
    <w:rsid w:val="002E3C22"/>
    <w:rsid w:val="002F2A8B"/>
    <w:rsid w:val="002F4058"/>
    <w:rsid w:val="002F4837"/>
    <w:rsid w:val="003043EF"/>
    <w:rsid w:val="003172ED"/>
    <w:rsid w:val="00326121"/>
    <w:rsid w:val="00331BC5"/>
    <w:rsid w:val="00337585"/>
    <w:rsid w:val="00347FA9"/>
    <w:rsid w:val="00394D51"/>
    <w:rsid w:val="003977F4"/>
    <w:rsid w:val="003A0602"/>
    <w:rsid w:val="003B1F1F"/>
    <w:rsid w:val="003D16AB"/>
    <w:rsid w:val="00400905"/>
    <w:rsid w:val="00401861"/>
    <w:rsid w:val="004139FA"/>
    <w:rsid w:val="00416509"/>
    <w:rsid w:val="00436F81"/>
    <w:rsid w:val="0044616D"/>
    <w:rsid w:val="0045456C"/>
    <w:rsid w:val="004625E9"/>
    <w:rsid w:val="00472365"/>
    <w:rsid w:val="004A16BE"/>
    <w:rsid w:val="004A3A7E"/>
    <w:rsid w:val="004B234B"/>
    <w:rsid w:val="004E0AF7"/>
    <w:rsid w:val="004E4953"/>
    <w:rsid w:val="004E69FC"/>
    <w:rsid w:val="00524B4E"/>
    <w:rsid w:val="005421B3"/>
    <w:rsid w:val="00547B6E"/>
    <w:rsid w:val="00590826"/>
    <w:rsid w:val="0059257A"/>
    <w:rsid w:val="005A2475"/>
    <w:rsid w:val="005E59AD"/>
    <w:rsid w:val="00603F53"/>
    <w:rsid w:val="0061091A"/>
    <w:rsid w:val="00616007"/>
    <w:rsid w:val="006163E9"/>
    <w:rsid w:val="00626FFD"/>
    <w:rsid w:val="006419CE"/>
    <w:rsid w:val="0065150D"/>
    <w:rsid w:val="00654978"/>
    <w:rsid w:val="00654E4B"/>
    <w:rsid w:val="0066576F"/>
    <w:rsid w:val="0067321B"/>
    <w:rsid w:val="00683C0F"/>
    <w:rsid w:val="006A7D39"/>
    <w:rsid w:val="006D2B8D"/>
    <w:rsid w:val="006D61CF"/>
    <w:rsid w:val="006F2602"/>
    <w:rsid w:val="00700005"/>
    <w:rsid w:val="00706500"/>
    <w:rsid w:val="00727714"/>
    <w:rsid w:val="0073097C"/>
    <w:rsid w:val="00733949"/>
    <w:rsid w:val="007377DD"/>
    <w:rsid w:val="00742F6B"/>
    <w:rsid w:val="00750CAA"/>
    <w:rsid w:val="00757622"/>
    <w:rsid w:val="00762A9F"/>
    <w:rsid w:val="007A4CE3"/>
    <w:rsid w:val="007B30FC"/>
    <w:rsid w:val="007B672B"/>
    <w:rsid w:val="007D7DE3"/>
    <w:rsid w:val="007F715B"/>
    <w:rsid w:val="00815A1D"/>
    <w:rsid w:val="00823268"/>
    <w:rsid w:val="008263E2"/>
    <w:rsid w:val="00840709"/>
    <w:rsid w:val="008612C9"/>
    <w:rsid w:val="0086745C"/>
    <w:rsid w:val="008919EE"/>
    <w:rsid w:val="008B3B3F"/>
    <w:rsid w:val="008C1AC2"/>
    <w:rsid w:val="008C3A50"/>
    <w:rsid w:val="008D394D"/>
    <w:rsid w:val="008D7CCA"/>
    <w:rsid w:val="008E0053"/>
    <w:rsid w:val="008E655B"/>
    <w:rsid w:val="008F164A"/>
    <w:rsid w:val="008F7E0C"/>
    <w:rsid w:val="00932B0F"/>
    <w:rsid w:val="00932FFE"/>
    <w:rsid w:val="009345F3"/>
    <w:rsid w:val="00956914"/>
    <w:rsid w:val="00957A39"/>
    <w:rsid w:val="00972308"/>
    <w:rsid w:val="00992CDA"/>
    <w:rsid w:val="00996222"/>
    <w:rsid w:val="009A52FE"/>
    <w:rsid w:val="009B3CEF"/>
    <w:rsid w:val="009C70AF"/>
    <w:rsid w:val="009D4807"/>
    <w:rsid w:val="009E1F5C"/>
    <w:rsid w:val="009E4C8D"/>
    <w:rsid w:val="009E5870"/>
    <w:rsid w:val="009F47CD"/>
    <w:rsid w:val="009F5EE0"/>
    <w:rsid w:val="00A007F2"/>
    <w:rsid w:val="00A01AC2"/>
    <w:rsid w:val="00A31AD5"/>
    <w:rsid w:val="00A47D01"/>
    <w:rsid w:val="00A634FC"/>
    <w:rsid w:val="00A76F98"/>
    <w:rsid w:val="00A8131D"/>
    <w:rsid w:val="00A9335B"/>
    <w:rsid w:val="00AA0DB2"/>
    <w:rsid w:val="00AA175B"/>
    <w:rsid w:val="00AA6A52"/>
    <w:rsid w:val="00AC12C1"/>
    <w:rsid w:val="00AC29CF"/>
    <w:rsid w:val="00AC7677"/>
    <w:rsid w:val="00AD4685"/>
    <w:rsid w:val="00AE1F82"/>
    <w:rsid w:val="00B011CF"/>
    <w:rsid w:val="00B018D8"/>
    <w:rsid w:val="00B10841"/>
    <w:rsid w:val="00B160A1"/>
    <w:rsid w:val="00B278AA"/>
    <w:rsid w:val="00B56983"/>
    <w:rsid w:val="00B925CE"/>
    <w:rsid w:val="00BA595D"/>
    <w:rsid w:val="00BA5976"/>
    <w:rsid w:val="00BB7722"/>
    <w:rsid w:val="00BF12BF"/>
    <w:rsid w:val="00BF2D2E"/>
    <w:rsid w:val="00C222FE"/>
    <w:rsid w:val="00C366EB"/>
    <w:rsid w:val="00C450F6"/>
    <w:rsid w:val="00C51B25"/>
    <w:rsid w:val="00C70502"/>
    <w:rsid w:val="00C856D7"/>
    <w:rsid w:val="00C90175"/>
    <w:rsid w:val="00CC7ABF"/>
    <w:rsid w:val="00CD72A4"/>
    <w:rsid w:val="00D1481D"/>
    <w:rsid w:val="00D14C83"/>
    <w:rsid w:val="00D32463"/>
    <w:rsid w:val="00D638AA"/>
    <w:rsid w:val="00DA6141"/>
    <w:rsid w:val="00DC44B9"/>
    <w:rsid w:val="00DD28B9"/>
    <w:rsid w:val="00E12760"/>
    <w:rsid w:val="00E44B2D"/>
    <w:rsid w:val="00E45E26"/>
    <w:rsid w:val="00E55463"/>
    <w:rsid w:val="00E71E7D"/>
    <w:rsid w:val="00E776DB"/>
    <w:rsid w:val="00EA17A3"/>
    <w:rsid w:val="00EA4923"/>
    <w:rsid w:val="00EB2F57"/>
    <w:rsid w:val="00ED2222"/>
    <w:rsid w:val="00EE71DD"/>
    <w:rsid w:val="00F0369E"/>
    <w:rsid w:val="00F0655D"/>
    <w:rsid w:val="00F16028"/>
    <w:rsid w:val="00F24DBA"/>
    <w:rsid w:val="00F36097"/>
    <w:rsid w:val="00F36A54"/>
    <w:rsid w:val="00F411DB"/>
    <w:rsid w:val="00F65534"/>
    <w:rsid w:val="00F664C6"/>
    <w:rsid w:val="00F726D7"/>
    <w:rsid w:val="00F7552F"/>
    <w:rsid w:val="00F82B8F"/>
    <w:rsid w:val="00F86EB4"/>
    <w:rsid w:val="00FB218F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F538"/>
  <w15:docId w15:val="{E5B91ACB-3DD6-476A-9762-1D63CF15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86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018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1861"/>
    <w:rPr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401861"/>
    <w:pPr>
      <w:tabs>
        <w:tab w:val="center" w:pos="4536"/>
        <w:tab w:val="right" w:pos="9072"/>
      </w:tabs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"/>
      <w:b/>
      <w:i/>
      <w:noProof w:val="0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401861"/>
    <w:rPr>
      <w:rFonts w:ascii="Times New Roman" w:eastAsia="Times New Roman" w:hAnsi="Times New Roman" w:cs="Times New Roman"/>
      <w:b/>
      <w:i/>
      <w:sz w:val="24"/>
      <w:szCs w:val="24"/>
      <w:lang w:eastAsia="hr-HR"/>
    </w:rPr>
  </w:style>
  <w:style w:type="character" w:styleId="PageNumber">
    <w:name w:val="page number"/>
    <w:rsid w:val="00401861"/>
    <w:rPr>
      <w:rFonts w:cs="Times New Roman"/>
    </w:rPr>
  </w:style>
  <w:style w:type="character" w:styleId="FootnoteReference">
    <w:name w:val="footnote reference"/>
    <w:semiHidden/>
    <w:rsid w:val="00401861"/>
    <w:rPr>
      <w:vertAlign w:val="superscript"/>
    </w:rPr>
  </w:style>
  <w:style w:type="paragraph" w:styleId="Header">
    <w:name w:val="header"/>
    <w:basedOn w:val="Normal"/>
    <w:link w:val="HeaderChar"/>
    <w:rsid w:val="00401861"/>
    <w:pPr>
      <w:tabs>
        <w:tab w:val="center" w:pos="4536"/>
        <w:tab w:val="right" w:pos="9072"/>
      </w:tabs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"/>
      <w:b/>
      <w:i/>
      <w:noProof w:val="0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401861"/>
    <w:rPr>
      <w:rFonts w:ascii="Times New Roman" w:eastAsia="Times New Roman" w:hAnsi="Times New Roman" w:cs="Times New Roman"/>
      <w:b/>
      <w:i/>
      <w:sz w:val="24"/>
      <w:szCs w:val="24"/>
      <w:lang w:eastAsia="hr-HR"/>
    </w:rPr>
  </w:style>
  <w:style w:type="paragraph" w:styleId="NormalWeb">
    <w:name w:val="Normal (Web)"/>
    <w:basedOn w:val="Normal"/>
    <w:rsid w:val="0040186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4C6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654E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14195"/>
  </w:style>
  <w:style w:type="character" w:styleId="CommentReference">
    <w:name w:val="annotation reference"/>
    <w:basedOn w:val="DefaultParagraphFont"/>
    <w:uiPriority w:val="99"/>
    <w:semiHidden/>
    <w:unhideWhenUsed/>
    <w:rsid w:val="00867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4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45C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45C"/>
    <w:rPr>
      <w:b/>
      <w:bCs/>
      <w:noProof/>
      <w:sz w:val="20"/>
      <w:szCs w:val="20"/>
    </w:rPr>
  </w:style>
  <w:style w:type="table" w:styleId="TableGrid">
    <w:name w:val="Table Grid"/>
    <w:basedOn w:val="TableNormal"/>
    <w:rsid w:val="00331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AZJMDCZ6QSYZ-1335579144-13102</_dlc_DocId>
    <_dlc_DocIdUrl xmlns="a494813a-d0d8-4dad-94cb-0d196f36ba15">
      <Url>https://ekoordinacije.vlada.hr/_layouts/15/DocIdRedir.aspx?ID=AZJMDCZ6QSYZ-1335579144-13102</Url>
      <Description>AZJMDCZ6QSYZ-1335579144-13102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554D6-7E47-4183-8945-D461432E8C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3CB52D-6E77-4C04-937F-84DBAFDE5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EE5A5-E42B-43A0-8BFF-13E7EBE0E3F7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D365577-472D-4935-B67F-1DF7A9AE9AB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D79743-B8FC-438F-9283-3F09832D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mdundovgalli</dc:creator>
  <cp:lastModifiedBy>Senada Džafović</cp:lastModifiedBy>
  <cp:revision>11</cp:revision>
  <cp:lastPrinted>2021-10-05T11:57:00Z</cp:lastPrinted>
  <dcterms:created xsi:type="dcterms:W3CDTF">2021-10-06T13:20:00Z</dcterms:created>
  <dcterms:modified xsi:type="dcterms:W3CDTF">2021-10-25T09:19:00Z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ba29e510-79ca-453c-960a-35c365ff07b3</vt:lpwstr>
  </property>
</Properties>
</file>