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C3CBC" w14:textId="77777777" w:rsidR="000A16E1" w:rsidRPr="000A16E1" w:rsidRDefault="000A16E1" w:rsidP="000A16E1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0A16E1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1ACC3D08" wp14:editId="1ACC3D09">
            <wp:extent cx="504825" cy="685800"/>
            <wp:effectExtent l="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E1">
        <w:rPr>
          <w:rFonts w:ascii="Calibri" w:eastAsia="Calibri" w:hAnsi="Calibri" w:cs="Times New Roman"/>
          <w:sz w:val="24"/>
          <w:szCs w:val="24"/>
        </w:rPr>
        <w:fldChar w:fldCharType="begin"/>
      </w:r>
      <w:r w:rsidRPr="000A16E1">
        <w:rPr>
          <w:rFonts w:ascii="Calibri" w:eastAsia="Calibri" w:hAnsi="Calibri" w:cs="Times New Roman"/>
          <w:sz w:val="24"/>
          <w:szCs w:val="24"/>
        </w:rPr>
        <w:instrText xml:space="preserve"> INCLUDEPICTURE "http://www.inet.hr/~box/images/grb-rh.gif" \* MERGEFORMATINET </w:instrText>
      </w:r>
      <w:r w:rsidRPr="000A16E1">
        <w:rPr>
          <w:rFonts w:ascii="Calibri" w:eastAsia="Calibri" w:hAnsi="Calibri" w:cs="Times New Roman"/>
          <w:sz w:val="24"/>
          <w:szCs w:val="24"/>
        </w:rPr>
        <w:fldChar w:fldCharType="end"/>
      </w:r>
    </w:p>
    <w:p w14:paraId="1ACC3CBD" w14:textId="77777777" w:rsidR="000A16E1" w:rsidRPr="000A16E1" w:rsidRDefault="000A16E1" w:rsidP="000A16E1">
      <w:pPr>
        <w:spacing w:before="60" w:after="168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A16E1">
        <w:rPr>
          <w:rFonts w:ascii="Times New Roman" w:eastAsia="Calibri" w:hAnsi="Times New Roman" w:cs="Times New Roman"/>
          <w:sz w:val="28"/>
          <w:szCs w:val="24"/>
        </w:rPr>
        <w:t>VLADA REPUBLIKE HRVATSKE</w:t>
      </w:r>
    </w:p>
    <w:p w14:paraId="1ACC3CBE" w14:textId="77777777" w:rsidR="000A16E1" w:rsidRPr="000A16E1" w:rsidRDefault="000A16E1" w:rsidP="000A1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CC3CBF" w14:textId="77777777" w:rsidR="000A16E1" w:rsidRPr="000A16E1" w:rsidRDefault="000A16E1" w:rsidP="000A16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16E1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87A79">
        <w:rPr>
          <w:rFonts w:ascii="Times New Roman" w:eastAsia="Calibri" w:hAnsi="Times New Roman" w:cs="Times New Roman"/>
          <w:sz w:val="24"/>
          <w:szCs w:val="24"/>
        </w:rPr>
        <w:t>1</w:t>
      </w:r>
      <w:r w:rsidRPr="000A16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ožujka 2021</w:t>
      </w:r>
      <w:r w:rsidRPr="000A16E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CC3CC0" w14:textId="77777777" w:rsidR="000A16E1" w:rsidRPr="000A16E1" w:rsidRDefault="000A16E1" w:rsidP="000A16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CC3CC1" w14:textId="77777777" w:rsidR="000A16E1" w:rsidRPr="000A16E1" w:rsidRDefault="000A16E1" w:rsidP="000A16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CC3CC2" w14:textId="77777777" w:rsidR="000A16E1" w:rsidRPr="000A16E1" w:rsidRDefault="000A16E1" w:rsidP="000A16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CC3CC3" w14:textId="77777777" w:rsidR="000A16E1" w:rsidRPr="000A16E1" w:rsidRDefault="000A16E1" w:rsidP="000A16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CC3CC4" w14:textId="77777777" w:rsidR="000A16E1" w:rsidRPr="000A16E1" w:rsidRDefault="000A16E1" w:rsidP="000A16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CC3CC5" w14:textId="77777777" w:rsidR="000A16E1" w:rsidRPr="000A16E1" w:rsidRDefault="000A16E1" w:rsidP="000A16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CC3CC6" w14:textId="77777777" w:rsidR="000A16E1" w:rsidRPr="000A16E1" w:rsidRDefault="000A16E1" w:rsidP="000A16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CC3CC7" w14:textId="77777777" w:rsidR="000A16E1" w:rsidRPr="000A16E1" w:rsidRDefault="000A16E1" w:rsidP="000A16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CC3CC8" w14:textId="77777777" w:rsidR="000A16E1" w:rsidRPr="000A16E1" w:rsidRDefault="000A16E1" w:rsidP="000A1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6E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0A16E1" w:rsidRPr="000A16E1" w14:paraId="1ACC3CCB" w14:textId="77777777" w:rsidTr="004B3CAF">
        <w:tc>
          <w:tcPr>
            <w:tcW w:w="1951" w:type="dxa"/>
            <w:shd w:val="clear" w:color="auto" w:fill="auto"/>
          </w:tcPr>
          <w:p w14:paraId="1ACC3CC9" w14:textId="77777777" w:rsidR="000A16E1" w:rsidRPr="000A16E1" w:rsidRDefault="000A16E1" w:rsidP="000A16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A16E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Predlagatelj</w:t>
            </w:r>
            <w:r w:rsidRPr="000A16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ACC3CCA" w14:textId="77777777" w:rsidR="000A16E1" w:rsidRPr="000A16E1" w:rsidRDefault="000A16E1" w:rsidP="000A16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14:paraId="1ACC3CCC" w14:textId="77777777" w:rsidR="000A16E1" w:rsidRPr="000A16E1" w:rsidRDefault="000A16E1" w:rsidP="000A1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16E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0A16E1" w:rsidRPr="000A16E1" w14:paraId="1ACC3CD0" w14:textId="77777777" w:rsidTr="004B3CAF">
        <w:tc>
          <w:tcPr>
            <w:tcW w:w="1951" w:type="dxa"/>
            <w:shd w:val="clear" w:color="auto" w:fill="auto"/>
          </w:tcPr>
          <w:p w14:paraId="1ACC3CCD" w14:textId="77777777" w:rsidR="000A16E1" w:rsidRPr="000A16E1" w:rsidRDefault="000A16E1" w:rsidP="000A16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6E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Predmet</w:t>
            </w:r>
            <w:r w:rsidRPr="000A16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ACC3CCE" w14:textId="60F4F654" w:rsidR="000A16E1" w:rsidRPr="000A16E1" w:rsidRDefault="00987A79" w:rsidP="000A1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87A79">
              <w:rPr>
                <w:rFonts w:ascii="Times New Roman" w:eastAsia="Times New Roman" w:hAnsi="Times New Roman" w:cs="Times New Roman"/>
                <w:sz w:val="24"/>
                <w:szCs w:val="24"/>
              </w:rPr>
              <w:t>Izvješće</w:t>
            </w:r>
            <w:r w:rsidR="000A16E1" w:rsidRPr="00987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vladavini prava u Republici Hrvatskoj za potrebe izrade Godišnjeg izvješća Europske komisije o vladavini prava u državama članicama Europske unije</w:t>
            </w:r>
            <w:bookmarkStart w:id="0" w:name="_GoBack"/>
            <w:bookmarkEnd w:id="0"/>
          </w:p>
          <w:p w14:paraId="1ACC3CCF" w14:textId="77777777" w:rsidR="000A16E1" w:rsidRPr="000A16E1" w:rsidRDefault="000A16E1" w:rsidP="000A16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ACC3CD1" w14:textId="77777777" w:rsidR="000A16E1" w:rsidRPr="000A16E1" w:rsidRDefault="000A16E1" w:rsidP="000A1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6E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1ACC3CD2" w14:textId="77777777" w:rsidR="000A16E1" w:rsidRPr="000A16E1" w:rsidRDefault="000A16E1" w:rsidP="000A1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CC3CD3" w14:textId="77777777" w:rsidR="000A16E1" w:rsidRPr="000A16E1" w:rsidRDefault="000A16E1" w:rsidP="000A1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CC3CD4" w14:textId="77777777" w:rsidR="000A16E1" w:rsidRPr="000A16E1" w:rsidRDefault="000A16E1" w:rsidP="000A1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CC3CD5" w14:textId="77777777" w:rsidR="000A16E1" w:rsidRPr="000A16E1" w:rsidRDefault="000A16E1" w:rsidP="000A1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CC3CD6" w14:textId="77777777" w:rsidR="000A16E1" w:rsidRPr="000A16E1" w:rsidRDefault="000A16E1" w:rsidP="000A16E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ACC3CD7" w14:textId="77777777" w:rsidR="000A16E1" w:rsidRPr="000A16E1" w:rsidRDefault="000A16E1" w:rsidP="000A16E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ACC3CD8" w14:textId="77777777" w:rsidR="000A16E1" w:rsidRPr="000A16E1" w:rsidRDefault="000A16E1" w:rsidP="000A16E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ACC3CD9" w14:textId="77777777" w:rsidR="000A16E1" w:rsidRPr="000A16E1" w:rsidRDefault="000A16E1" w:rsidP="000A16E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ACC3CDA" w14:textId="77777777" w:rsidR="000A16E1" w:rsidRPr="000A16E1" w:rsidRDefault="000A16E1" w:rsidP="000A16E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ACC3CDB" w14:textId="77777777" w:rsidR="000A16E1" w:rsidRPr="000A16E1" w:rsidRDefault="000A16E1" w:rsidP="000A16E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ACC3CDC" w14:textId="77777777" w:rsidR="000A16E1" w:rsidRPr="000A16E1" w:rsidRDefault="000A16E1" w:rsidP="000A16E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ACC3CDD" w14:textId="77777777" w:rsidR="000A16E1" w:rsidRPr="000A16E1" w:rsidRDefault="000A16E1" w:rsidP="000A16E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ACC3CDE" w14:textId="77777777" w:rsidR="000A16E1" w:rsidRPr="000A16E1" w:rsidRDefault="000A16E1" w:rsidP="000A16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ACC3CDF" w14:textId="77777777" w:rsidR="000A16E1" w:rsidRPr="000A16E1" w:rsidRDefault="000A16E1" w:rsidP="000A16E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ACC3CE0" w14:textId="77777777" w:rsidR="000A16E1" w:rsidRPr="000A16E1" w:rsidRDefault="000A16E1" w:rsidP="000A16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ACC3CE1" w14:textId="77777777" w:rsidR="000A16E1" w:rsidRPr="000A16E1" w:rsidRDefault="000A16E1" w:rsidP="000A16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ACC3CE2" w14:textId="77777777" w:rsidR="000A16E1" w:rsidRPr="000A16E1" w:rsidRDefault="000A16E1" w:rsidP="000A16E1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4"/>
        </w:rPr>
      </w:pPr>
      <w:r w:rsidRPr="000A16E1">
        <w:rPr>
          <w:rFonts w:ascii="Times New Roman" w:eastAsia="Calibri" w:hAnsi="Times New Roman" w:cs="Times New Roman"/>
          <w:color w:val="404040"/>
          <w:spacing w:val="20"/>
          <w:sz w:val="20"/>
          <w:szCs w:val="24"/>
        </w:rPr>
        <w:t>Banski dvori | Trg Sv. Marka 2  | 10000 Zagreb | tel. 01 4569 222 | vlada.gov.hr</w:t>
      </w:r>
      <w:r>
        <w:rPr>
          <w:rFonts w:ascii="Times New Roman" w:eastAsia="Calibri" w:hAnsi="Times New Roman" w:cs="Times New Roman"/>
          <w:color w:val="404040"/>
          <w:spacing w:val="20"/>
          <w:sz w:val="20"/>
          <w:szCs w:val="24"/>
        </w:rPr>
        <w:tab/>
      </w:r>
    </w:p>
    <w:p w14:paraId="1ACC3CE3" w14:textId="77777777" w:rsidR="000A16E1" w:rsidRPr="000A16E1" w:rsidRDefault="000A16E1" w:rsidP="000A1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16E1">
        <w:rPr>
          <w:rFonts w:ascii="Times New Roman" w:eastAsia="Times New Roman" w:hAnsi="Times New Roman" w:cs="Times New Roman"/>
          <w:i/>
          <w:sz w:val="24"/>
          <w:szCs w:val="24"/>
        </w:rPr>
        <w:tab/>
        <w:t>P R I J E D L O G</w:t>
      </w:r>
    </w:p>
    <w:p w14:paraId="1ACC3CE4" w14:textId="77777777" w:rsid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C3CE5" w14:textId="77777777" w:rsidR="00987A79" w:rsidRDefault="00987A79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C3CE6" w14:textId="77777777" w:rsidR="008D3619" w:rsidRP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>Na temelju članka 31. stavka 3. Zakona o Vladi Republike Hrvatske (Narodne novine, br. 150/11, 119/14, 93/16 i 116/18), Vlada Republike H</w:t>
      </w:r>
      <w:r w:rsidR="000A16E1">
        <w:rPr>
          <w:rFonts w:ascii="Times New Roman" w:hAnsi="Times New Roman" w:cs="Times New Roman"/>
          <w:sz w:val="24"/>
          <w:szCs w:val="24"/>
        </w:rPr>
        <w:t>rvatske je na sjednici održanoj</w:t>
      </w:r>
      <w:r w:rsidRPr="00B86F0E">
        <w:rPr>
          <w:rFonts w:ascii="Times New Roman" w:hAnsi="Times New Roman" w:cs="Times New Roman"/>
          <w:sz w:val="24"/>
          <w:szCs w:val="24"/>
        </w:rPr>
        <w:t xml:space="preserve"> _____ </w:t>
      </w:r>
      <w:r w:rsidR="000A16E1">
        <w:rPr>
          <w:rFonts w:ascii="Times New Roman" w:hAnsi="Times New Roman" w:cs="Times New Roman"/>
          <w:sz w:val="24"/>
          <w:szCs w:val="24"/>
        </w:rPr>
        <w:t>2021.</w:t>
      </w:r>
      <w:r w:rsidRPr="00B86F0E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1ACC3CE7" w14:textId="77777777" w:rsidR="00B86F0E" w:rsidRP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C3CE8" w14:textId="77777777" w:rsidR="00B86F0E" w:rsidRDefault="00B86F0E" w:rsidP="00B8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F0E">
        <w:rPr>
          <w:rFonts w:ascii="Times New Roman" w:hAnsi="Times New Roman" w:cs="Times New Roman"/>
          <w:b/>
          <w:sz w:val="24"/>
          <w:szCs w:val="24"/>
        </w:rPr>
        <w:t>Z</w:t>
      </w:r>
      <w:r w:rsidR="00584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F0E">
        <w:rPr>
          <w:rFonts w:ascii="Times New Roman" w:hAnsi="Times New Roman" w:cs="Times New Roman"/>
          <w:b/>
          <w:sz w:val="24"/>
          <w:szCs w:val="24"/>
        </w:rPr>
        <w:t>A</w:t>
      </w:r>
      <w:r w:rsidR="00584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F0E">
        <w:rPr>
          <w:rFonts w:ascii="Times New Roman" w:hAnsi="Times New Roman" w:cs="Times New Roman"/>
          <w:b/>
          <w:sz w:val="24"/>
          <w:szCs w:val="24"/>
        </w:rPr>
        <w:t>K</w:t>
      </w:r>
      <w:r w:rsidR="00584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F0E">
        <w:rPr>
          <w:rFonts w:ascii="Times New Roman" w:hAnsi="Times New Roman" w:cs="Times New Roman"/>
          <w:b/>
          <w:sz w:val="24"/>
          <w:szCs w:val="24"/>
        </w:rPr>
        <w:t>L</w:t>
      </w:r>
      <w:r w:rsidR="00584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F0E">
        <w:rPr>
          <w:rFonts w:ascii="Times New Roman" w:hAnsi="Times New Roman" w:cs="Times New Roman"/>
          <w:b/>
          <w:sz w:val="24"/>
          <w:szCs w:val="24"/>
        </w:rPr>
        <w:t>J</w:t>
      </w:r>
      <w:r w:rsidR="00584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F0E">
        <w:rPr>
          <w:rFonts w:ascii="Times New Roman" w:hAnsi="Times New Roman" w:cs="Times New Roman"/>
          <w:b/>
          <w:sz w:val="24"/>
          <w:szCs w:val="24"/>
        </w:rPr>
        <w:t>U</w:t>
      </w:r>
      <w:r w:rsidR="00584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F0E">
        <w:rPr>
          <w:rFonts w:ascii="Times New Roman" w:hAnsi="Times New Roman" w:cs="Times New Roman"/>
          <w:b/>
          <w:sz w:val="24"/>
          <w:szCs w:val="24"/>
        </w:rPr>
        <w:t>Č</w:t>
      </w:r>
      <w:r w:rsidR="00584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F0E">
        <w:rPr>
          <w:rFonts w:ascii="Times New Roman" w:hAnsi="Times New Roman" w:cs="Times New Roman"/>
          <w:b/>
          <w:sz w:val="24"/>
          <w:szCs w:val="24"/>
        </w:rPr>
        <w:t>A</w:t>
      </w:r>
      <w:r w:rsidR="00584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F0E">
        <w:rPr>
          <w:rFonts w:ascii="Times New Roman" w:hAnsi="Times New Roman" w:cs="Times New Roman"/>
          <w:b/>
          <w:sz w:val="24"/>
          <w:szCs w:val="24"/>
        </w:rPr>
        <w:t>K</w:t>
      </w:r>
    </w:p>
    <w:p w14:paraId="1ACC3CE9" w14:textId="77777777" w:rsidR="00B86F0E" w:rsidRDefault="00B86F0E" w:rsidP="00B86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C3CEA" w14:textId="77777777" w:rsidR="00B86F0E" w:rsidRPr="00B86F0E" w:rsidRDefault="00B86F0E" w:rsidP="00B67A73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 xml:space="preserve">Usvaja se Izvješće o vladavini prava u Republici Hrvatskoj za potrebe izrade Godišnjeg izvješća Europske komisije o vladavini prava u državama članicama Europske unije, slijedom poziva Europske komisije od </w:t>
      </w:r>
      <w:r w:rsidR="00AE5C5D">
        <w:rPr>
          <w:rFonts w:ascii="Times New Roman" w:hAnsi="Times New Roman" w:cs="Times New Roman"/>
          <w:sz w:val="24"/>
          <w:szCs w:val="24"/>
        </w:rPr>
        <w:t>29. siječnja 2021.</w:t>
      </w:r>
      <w:r w:rsidRPr="00B86F0E">
        <w:rPr>
          <w:rFonts w:ascii="Times New Roman" w:hAnsi="Times New Roman" w:cs="Times New Roman"/>
          <w:sz w:val="24"/>
          <w:szCs w:val="24"/>
        </w:rPr>
        <w:t>, u tekstu koji je dostavilo Ministarstvo vanjskih i europskih poslova aktom</w:t>
      </w:r>
      <w:r w:rsidR="00C264C9">
        <w:rPr>
          <w:rFonts w:ascii="Times New Roman" w:hAnsi="Times New Roman" w:cs="Times New Roman"/>
          <w:sz w:val="24"/>
          <w:szCs w:val="24"/>
        </w:rPr>
        <w:t>, KLASA</w:t>
      </w:r>
      <w:r w:rsidRPr="00B86F0E">
        <w:rPr>
          <w:rFonts w:ascii="Times New Roman" w:hAnsi="Times New Roman" w:cs="Times New Roman"/>
          <w:sz w:val="24"/>
          <w:szCs w:val="24"/>
        </w:rPr>
        <w:t xml:space="preserve">: </w:t>
      </w:r>
      <w:r w:rsidR="00B92EDB">
        <w:rPr>
          <w:rFonts w:ascii="Times New Roman" w:hAnsi="Times New Roman" w:cs="Times New Roman"/>
          <w:sz w:val="24"/>
          <w:szCs w:val="24"/>
        </w:rPr>
        <w:t>018-03/21-05/2</w:t>
      </w:r>
      <w:r w:rsidR="00C264C9">
        <w:rPr>
          <w:rFonts w:ascii="Times New Roman" w:hAnsi="Times New Roman" w:cs="Times New Roman"/>
          <w:sz w:val="24"/>
          <w:szCs w:val="24"/>
        </w:rPr>
        <w:t>, URBROJ</w:t>
      </w:r>
      <w:r w:rsidRPr="00B86F0E">
        <w:rPr>
          <w:rFonts w:ascii="Times New Roman" w:hAnsi="Times New Roman" w:cs="Times New Roman"/>
          <w:sz w:val="24"/>
          <w:szCs w:val="24"/>
        </w:rPr>
        <w:t xml:space="preserve">: </w:t>
      </w:r>
      <w:r w:rsidR="00B92EDB">
        <w:rPr>
          <w:rFonts w:ascii="Times New Roman" w:hAnsi="Times New Roman" w:cs="Times New Roman"/>
          <w:sz w:val="24"/>
          <w:szCs w:val="24"/>
        </w:rPr>
        <w:t>521-I-02-01-21-3</w:t>
      </w:r>
      <w:r w:rsidR="00D71C0C">
        <w:rPr>
          <w:rFonts w:ascii="Times New Roman" w:hAnsi="Times New Roman" w:cs="Times New Roman"/>
          <w:sz w:val="24"/>
          <w:szCs w:val="24"/>
        </w:rPr>
        <w:t>,</w:t>
      </w:r>
      <w:r w:rsidRPr="00B86F0E">
        <w:rPr>
          <w:rFonts w:ascii="Times New Roman" w:hAnsi="Times New Roman" w:cs="Times New Roman"/>
          <w:sz w:val="24"/>
          <w:szCs w:val="24"/>
        </w:rPr>
        <w:t xml:space="preserve"> od </w:t>
      </w:r>
      <w:r w:rsidR="00B92EDB">
        <w:rPr>
          <w:rFonts w:ascii="Times New Roman" w:hAnsi="Times New Roman" w:cs="Times New Roman"/>
          <w:sz w:val="24"/>
          <w:szCs w:val="24"/>
        </w:rPr>
        <w:t>3.</w:t>
      </w:r>
      <w:r w:rsidR="000A16E1">
        <w:rPr>
          <w:rFonts w:ascii="Times New Roman" w:hAnsi="Times New Roman" w:cs="Times New Roman"/>
          <w:sz w:val="24"/>
          <w:szCs w:val="24"/>
        </w:rPr>
        <w:t xml:space="preserve"> ožujka 2021</w:t>
      </w:r>
      <w:r w:rsidRPr="00B86F0E">
        <w:rPr>
          <w:rFonts w:ascii="Times New Roman" w:hAnsi="Times New Roman" w:cs="Times New Roman"/>
          <w:sz w:val="24"/>
          <w:szCs w:val="24"/>
        </w:rPr>
        <w:t>.</w:t>
      </w:r>
    </w:p>
    <w:p w14:paraId="1ACC3CEB" w14:textId="77777777" w:rsidR="00B86F0E" w:rsidRPr="00B86F0E" w:rsidRDefault="00B86F0E" w:rsidP="00B86F0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CC3CEC" w14:textId="77777777" w:rsidR="00B86F0E" w:rsidRDefault="00B86F0E" w:rsidP="00B86F0E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>Ministarstvo vanjskih i europskih poslova zadužuje se dostaviti Izvješće iz točke 1. ovoga Zaključka Europskoj komisiji, uz suglasnost za objavu nacionalnog doprinosa Republike Hrvatske na web-stranicama Europske komisije.</w:t>
      </w:r>
    </w:p>
    <w:p w14:paraId="1ACC3CED" w14:textId="77777777" w:rsidR="00987A79" w:rsidRDefault="00987A79" w:rsidP="00987A79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ACC3CEE" w14:textId="77777777" w:rsidR="00987A79" w:rsidRPr="00987A79" w:rsidRDefault="00987A79" w:rsidP="00987A79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ACC3CEF" w14:textId="77777777" w:rsidR="00B86F0E" w:rsidRPr="00B86F0E" w:rsidRDefault="000A16E1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B86F0E" w:rsidRPr="00B86F0E">
        <w:rPr>
          <w:rFonts w:ascii="Times New Roman" w:hAnsi="Times New Roman" w:cs="Times New Roman"/>
          <w:sz w:val="24"/>
          <w:szCs w:val="24"/>
        </w:rPr>
        <w:t>:</w:t>
      </w:r>
    </w:p>
    <w:p w14:paraId="1ACC3CF0" w14:textId="77777777" w:rsidR="00B86F0E" w:rsidRDefault="000A16E1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B86F0E" w:rsidRPr="00B86F0E">
        <w:rPr>
          <w:rFonts w:ascii="Times New Roman" w:hAnsi="Times New Roman" w:cs="Times New Roman"/>
          <w:sz w:val="24"/>
          <w:szCs w:val="24"/>
        </w:rPr>
        <w:t>:</w:t>
      </w:r>
    </w:p>
    <w:p w14:paraId="1ACC3CF1" w14:textId="77777777" w:rsidR="00B86F0E" w:rsidRDefault="00B86F0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CC3CF2" w14:textId="77777777" w:rsidR="00987A79" w:rsidRPr="00B86F0E" w:rsidRDefault="00987A79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CC3CF3" w14:textId="77777777" w:rsidR="00AE5C5D" w:rsidRDefault="00987A79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_______ </w:t>
      </w:r>
      <w:r w:rsidR="00B86F0E" w:rsidRPr="00B86F0E">
        <w:rPr>
          <w:rFonts w:ascii="Times New Roman" w:hAnsi="Times New Roman" w:cs="Times New Roman"/>
          <w:sz w:val="24"/>
          <w:szCs w:val="24"/>
        </w:rPr>
        <w:t xml:space="preserve">2021. </w:t>
      </w:r>
    </w:p>
    <w:p w14:paraId="1ACC3CF4" w14:textId="77777777" w:rsidR="00987A79" w:rsidRPr="00987A79" w:rsidRDefault="00987A79" w:rsidP="00987A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C3CF5" w14:textId="77777777" w:rsidR="00987A79" w:rsidRPr="00987A79" w:rsidRDefault="00987A79" w:rsidP="00987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C3CF6" w14:textId="77777777" w:rsidR="00987A79" w:rsidRPr="00987A79" w:rsidRDefault="00987A79" w:rsidP="00987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PREDSJEDNI</w:t>
      </w:r>
      <w:r w:rsidRPr="00987A79">
        <w:rPr>
          <w:rFonts w:ascii="Times New Roman" w:hAnsi="Times New Roman" w:cs="Times New Roman"/>
          <w:sz w:val="24"/>
          <w:szCs w:val="24"/>
        </w:rPr>
        <w:t>K</w:t>
      </w:r>
    </w:p>
    <w:p w14:paraId="1ACC3CF7" w14:textId="77777777" w:rsidR="00987A79" w:rsidRPr="00987A79" w:rsidRDefault="00987A79" w:rsidP="00987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C3CF8" w14:textId="77777777" w:rsidR="00987A79" w:rsidRPr="00987A79" w:rsidRDefault="00987A79" w:rsidP="00987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79">
        <w:rPr>
          <w:rFonts w:ascii="Times New Roman" w:hAnsi="Times New Roman" w:cs="Times New Roman"/>
          <w:sz w:val="24"/>
          <w:szCs w:val="24"/>
        </w:rPr>
        <w:tab/>
      </w:r>
      <w:r w:rsidRPr="00987A79">
        <w:rPr>
          <w:rFonts w:ascii="Times New Roman" w:hAnsi="Times New Roman" w:cs="Times New Roman"/>
          <w:sz w:val="24"/>
          <w:szCs w:val="24"/>
        </w:rPr>
        <w:tab/>
      </w:r>
      <w:r w:rsidRPr="00987A79">
        <w:rPr>
          <w:rFonts w:ascii="Times New Roman" w:hAnsi="Times New Roman" w:cs="Times New Roman"/>
          <w:sz w:val="24"/>
          <w:szCs w:val="24"/>
        </w:rPr>
        <w:tab/>
      </w:r>
      <w:r w:rsidRPr="00987A79">
        <w:rPr>
          <w:rFonts w:ascii="Times New Roman" w:hAnsi="Times New Roman" w:cs="Times New Roman"/>
          <w:sz w:val="24"/>
          <w:szCs w:val="24"/>
        </w:rPr>
        <w:tab/>
      </w:r>
      <w:r w:rsidRPr="00987A79">
        <w:rPr>
          <w:rFonts w:ascii="Times New Roman" w:hAnsi="Times New Roman" w:cs="Times New Roman"/>
          <w:sz w:val="24"/>
          <w:szCs w:val="24"/>
        </w:rPr>
        <w:tab/>
      </w:r>
      <w:r w:rsidRPr="00987A79">
        <w:rPr>
          <w:rFonts w:ascii="Times New Roman" w:hAnsi="Times New Roman" w:cs="Times New Roman"/>
          <w:sz w:val="24"/>
          <w:szCs w:val="24"/>
        </w:rPr>
        <w:tab/>
      </w:r>
      <w:r w:rsidRPr="00987A79">
        <w:rPr>
          <w:rFonts w:ascii="Times New Roman" w:hAnsi="Times New Roman" w:cs="Times New Roman"/>
          <w:sz w:val="24"/>
          <w:szCs w:val="24"/>
        </w:rPr>
        <w:tab/>
      </w:r>
      <w:r w:rsidRPr="00987A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7A79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1ACC3CF9" w14:textId="77777777" w:rsidR="00987A79" w:rsidRDefault="00987A79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C3CFA" w14:textId="77777777" w:rsidR="00987A79" w:rsidRDefault="00987A79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C3CFB" w14:textId="77777777" w:rsidR="00987A79" w:rsidRDefault="00AE5C5D" w:rsidP="0098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CC3CFC" w14:textId="77777777" w:rsidR="00AE5C5D" w:rsidRDefault="00AE5C5D">
      <w:pPr>
        <w:rPr>
          <w:rFonts w:ascii="Times New Roman" w:hAnsi="Times New Roman" w:cs="Times New Roman"/>
          <w:sz w:val="24"/>
          <w:szCs w:val="24"/>
        </w:rPr>
      </w:pPr>
    </w:p>
    <w:p w14:paraId="1ACC3CFD" w14:textId="77777777" w:rsidR="000A16E1" w:rsidRDefault="00AE5C5D" w:rsidP="000A16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1ACC3CFE" w14:textId="77777777" w:rsidR="00987A79" w:rsidRDefault="00987A79" w:rsidP="000A16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CC3CFF" w14:textId="77777777" w:rsidR="00AE5C5D" w:rsidRDefault="00AE5C5D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Pozivom Europske komisije od 29. siječnja 2021. upućenom </w:t>
      </w:r>
      <w:r w:rsidR="00FF1F5F">
        <w:rPr>
          <w:rFonts w:ascii="Times New Roman" w:hAnsi="Times New Roman" w:cs="Times New Roman"/>
          <w:sz w:val="24"/>
          <w:szCs w:val="24"/>
        </w:rPr>
        <w:t xml:space="preserve">Republici Hrvatskoj i </w:t>
      </w:r>
      <w:r>
        <w:rPr>
          <w:rFonts w:ascii="Times New Roman" w:hAnsi="Times New Roman" w:cs="Times New Roman"/>
          <w:sz w:val="24"/>
          <w:szCs w:val="24"/>
        </w:rPr>
        <w:t>svim državama članicama Europske unije, zatražen</w:t>
      </w:r>
      <w:r w:rsidR="00FF1F5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 dostava nacionalnog doprinosa u svrhu oblikovanja Godišnjeg izvješća Europske komisije o vladavini prava u državama članicama Europske unije</w:t>
      </w:r>
      <w:r w:rsidR="00A02569">
        <w:rPr>
          <w:rFonts w:ascii="Times New Roman" w:hAnsi="Times New Roman" w:cs="Times New Roman"/>
          <w:sz w:val="24"/>
          <w:szCs w:val="24"/>
        </w:rPr>
        <w:t>, čije se usvajanje očekuje u srpnju</w:t>
      </w:r>
      <w:r>
        <w:rPr>
          <w:rFonts w:ascii="Times New Roman" w:hAnsi="Times New Roman" w:cs="Times New Roman"/>
          <w:sz w:val="24"/>
          <w:szCs w:val="24"/>
        </w:rPr>
        <w:t xml:space="preserve"> 2021. godin</w:t>
      </w:r>
      <w:r w:rsidR="00A0256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CC3D00" w14:textId="77777777" w:rsidR="0002037F" w:rsidRDefault="00AE5C5D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 je o novom mehanizmu izvješćivanja, uvedenome 2020., koji je uspostavljen kao dio sveobuhvatnog Europskog mehanizma vladavine prava. </w:t>
      </w:r>
      <w:r w:rsidR="00353690">
        <w:rPr>
          <w:rFonts w:ascii="Times New Roman" w:hAnsi="Times New Roman" w:cs="Times New Roman"/>
          <w:sz w:val="24"/>
          <w:szCs w:val="24"/>
        </w:rPr>
        <w:t>Godišnje i</w:t>
      </w:r>
      <w:r w:rsidR="0002037F">
        <w:rPr>
          <w:rFonts w:ascii="Times New Roman" w:hAnsi="Times New Roman" w:cs="Times New Roman"/>
          <w:sz w:val="24"/>
          <w:szCs w:val="24"/>
        </w:rPr>
        <w:t xml:space="preserve">zvješće </w:t>
      </w:r>
      <w:r w:rsidR="00353690">
        <w:rPr>
          <w:rFonts w:ascii="Times New Roman" w:hAnsi="Times New Roman" w:cs="Times New Roman"/>
          <w:sz w:val="24"/>
          <w:szCs w:val="24"/>
        </w:rPr>
        <w:t xml:space="preserve">Europske komisije </w:t>
      </w:r>
      <w:r w:rsidR="0002037F">
        <w:rPr>
          <w:rFonts w:ascii="Times New Roman" w:hAnsi="Times New Roman" w:cs="Times New Roman"/>
          <w:sz w:val="24"/>
          <w:szCs w:val="24"/>
        </w:rPr>
        <w:t>obuhvaća četiri tematska stupa: pravosudni sustav</w:t>
      </w:r>
      <w:r w:rsidR="00353690">
        <w:rPr>
          <w:rFonts w:ascii="Times New Roman" w:hAnsi="Times New Roman" w:cs="Times New Roman"/>
          <w:sz w:val="24"/>
          <w:szCs w:val="24"/>
        </w:rPr>
        <w:t>,</w:t>
      </w:r>
      <w:r w:rsidR="0002037F">
        <w:rPr>
          <w:rFonts w:ascii="Times New Roman" w:hAnsi="Times New Roman" w:cs="Times New Roman"/>
          <w:sz w:val="24"/>
          <w:szCs w:val="24"/>
        </w:rPr>
        <w:t xml:space="preserve"> okvir za borbu protiv korupcije</w:t>
      </w:r>
      <w:r w:rsidR="00353690">
        <w:rPr>
          <w:rFonts w:ascii="Times New Roman" w:hAnsi="Times New Roman" w:cs="Times New Roman"/>
          <w:sz w:val="24"/>
          <w:szCs w:val="24"/>
        </w:rPr>
        <w:t xml:space="preserve">, </w:t>
      </w:r>
      <w:r w:rsidR="0002037F">
        <w:rPr>
          <w:rFonts w:ascii="Times New Roman" w:hAnsi="Times New Roman" w:cs="Times New Roman"/>
          <w:sz w:val="24"/>
          <w:szCs w:val="24"/>
        </w:rPr>
        <w:t>pluralizam medija</w:t>
      </w:r>
      <w:r w:rsidR="00FF1F5F">
        <w:rPr>
          <w:rFonts w:ascii="Times New Roman" w:hAnsi="Times New Roman" w:cs="Times New Roman"/>
          <w:sz w:val="24"/>
          <w:szCs w:val="24"/>
        </w:rPr>
        <w:t>, te</w:t>
      </w:r>
      <w:r w:rsidR="0002037F">
        <w:rPr>
          <w:rFonts w:ascii="Times New Roman" w:hAnsi="Times New Roman" w:cs="Times New Roman"/>
          <w:sz w:val="24"/>
          <w:szCs w:val="24"/>
        </w:rPr>
        <w:t xml:space="preserve"> ostala institucionalna pitanja vezana uz podjelu vlasti. U svrhu pripreme izvješća, Europska komisija pripremila je i državama članicama dostavila upitnik s 46 pitanja. Dostavljene odgovore Europska komisija koristit će pri oblikovanju prosudbi u Godišnjem izvješću za 2021. godinu, zajedno s informacijama prikupljenim iz drugih izvora. </w:t>
      </w:r>
    </w:p>
    <w:p w14:paraId="1ACC3D01" w14:textId="77777777" w:rsidR="0002037F" w:rsidRDefault="0002037F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 aktivno je sudjelovala u pripremi, kao i u raspravi o prvom Godišnjem izvješću Europske komisije u 2020. godini. U sklopu Vijeća za opće poslove Europske unije, održane su rasprave o horizontalnim nalazima Godišnjeg izvješća, kao i rasprave o nalazima sadržanim u nacionalnim poglavljima za prvih pet država članica (Belgija, Bugarska, Češka, Danska i Estonija). </w:t>
      </w:r>
    </w:p>
    <w:p w14:paraId="1ACC3D02" w14:textId="77777777" w:rsidR="00AE5C5D" w:rsidRDefault="0002037F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Rasprava o nalazima Godišnjeg izvješća Europske komisije nastavit će se u 2021., pri čemu će nacionalna poglavlja biti raspravljana u skupinama od pet država, čiji je redoslijed utvrđen protokolarnim abecednim redom država članica Europske unije. Sukladno tome rotacijskom ključu, rasprava o nalazima za Republiku Hrvatsku, koj</w:t>
      </w:r>
      <w:r w:rsidR="003536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će se temeljiti kako na izvješću Europske komisije za 2020., tako i na izvješću za 2021., trebala bi se održati u posljednjem tromjesečju 2021..</w:t>
      </w:r>
    </w:p>
    <w:p w14:paraId="1ACC3D03" w14:textId="77777777" w:rsidR="0002037F" w:rsidRDefault="00FF1F5F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</w:t>
      </w:r>
      <w:r w:rsidR="0002037F">
        <w:rPr>
          <w:rFonts w:ascii="Times New Roman" w:hAnsi="Times New Roman" w:cs="Times New Roman"/>
          <w:sz w:val="24"/>
          <w:szCs w:val="24"/>
        </w:rPr>
        <w:t xml:space="preserve"> vanjskih i </w:t>
      </w:r>
      <w:r>
        <w:rPr>
          <w:rFonts w:ascii="Times New Roman" w:hAnsi="Times New Roman" w:cs="Times New Roman"/>
          <w:sz w:val="24"/>
          <w:szCs w:val="24"/>
        </w:rPr>
        <w:t>europskih</w:t>
      </w:r>
      <w:r w:rsidR="0002037F">
        <w:rPr>
          <w:rFonts w:ascii="Times New Roman" w:hAnsi="Times New Roman" w:cs="Times New Roman"/>
          <w:sz w:val="24"/>
          <w:szCs w:val="24"/>
        </w:rPr>
        <w:t xml:space="preserve"> poslova, </w:t>
      </w:r>
      <w:r w:rsidR="0090312B">
        <w:rPr>
          <w:rFonts w:ascii="Times New Roman" w:hAnsi="Times New Roman" w:cs="Times New Roman"/>
          <w:sz w:val="24"/>
          <w:szCs w:val="24"/>
        </w:rPr>
        <w:t xml:space="preserve">koje </w:t>
      </w:r>
      <w:r w:rsidR="0002037F">
        <w:rPr>
          <w:rFonts w:ascii="Times New Roman" w:hAnsi="Times New Roman" w:cs="Times New Roman"/>
          <w:sz w:val="24"/>
          <w:szCs w:val="24"/>
        </w:rPr>
        <w:t xml:space="preserve">obavlja ulogu nacionalne kontaktne točke za vladavinu prava, </w:t>
      </w:r>
      <w:r w:rsidR="00353690">
        <w:rPr>
          <w:rFonts w:ascii="Times New Roman" w:hAnsi="Times New Roman" w:cs="Times New Roman"/>
          <w:sz w:val="24"/>
          <w:szCs w:val="24"/>
        </w:rPr>
        <w:t xml:space="preserve">oblikovalo je cjelovito Izvješće Republike Hrvatske kao odgovor na upitnik Europske komisije, </w:t>
      </w:r>
      <w:r>
        <w:rPr>
          <w:rFonts w:ascii="Times New Roman" w:hAnsi="Times New Roman" w:cs="Times New Roman"/>
          <w:sz w:val="24"/>
          <w:szCs w:val="24"/>
        </w:rPr>
        <w:t>temeljem</w:t>
      </w:r>
      <w:r w:rsidR="0002037F">
        <w:rPr>
          <w:rFonts w:ascii="Times New Roman" w:hAnsi="Times New Roman" w:cs="Times New Roman"/>
          <w:sz w:val="24"/>
          <w:szCs w:val="24"/>
        </w:rPr>
        <w:t xml:space="preserve"> očitovanja koj</w:t>
      </w:r>
      <w:r w:rsidR="0090312B">
        <w:rPr>
          <w:rFonts w:ascii="Times New Roman" w:hAnsi="Times New Roman" w:cs="Times New Roman"/>
          <w:sz w:val="24"/>
          <w:szCs w:val="24"/>
        </w:rPr>
        <w:t>a</w:t>
      </w:r>
      <w:r w:rsidR="0002037F">
        <w:rPr>
          <w:rFonts w:ascii="Times New Roman" w:hAnsi="Times New Roman" w:cs="Times New Roman"/>
          <w:sz w:val="24"/>
          <w:szCs w:val="24"/>
        </w:rPr>
        <w:t xml:space="preserve"> su pripremili Ministarstvo pravosuđa i uprave, Ministarstvo kulture i medija, Ured Vlade Republike Hrvatske za zakonodavstvo, Ured Vlade Republike </w:t>
      </w:r>
      <w:r>
        <w:rPr>
          <w:rFonts w:ascii="Times New Roman" w:hAnsi="Times New Roman" w:cs="Times New Roman"/>
          <w:sz w:val="24"/>
          <w:szCs w:val="24"/>
        </w:rPr>
        <w:t>Hrvatske</w:t>
      </w:r>
      <w:r w:rsidR="0002037F">
        <w:rPr>
          <w:rFonts w:ascii="Times New Roman" w:hAnsi="Times New Roman" w:cs="Times New Roman"/>
          <w:sz w:val="24"/>
          <w:szCs w:val="24"/>
        </w:rPr>
        <w:t xml:space="preserve"> za udruge, te Hrvatski sabor, svaki iz područja svoje nadležnosti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CC3D04" w14:textId="77777777" w:rsidR="00FF1F5F" w:rsidRDefault="00FF1F5F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Zaključkom stoga se usvaja Izvješće o vladavini prava u Republici Hrvatskoj za potrebe izrade Godišnjeg izvješća Europske komisije o vladavini prava u državama članicama Europske unije. </w:t>
      </w:r>
    </w:p>
    <w:p w14:paraId="1ACC3D05" w14:textId="77777777" w:rsidR="00FF1F5F" w:rsidRDefault="00FF1F5F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ovim se Zaključkom zadužuje </w:t>
      </w:r>
      <w:r w:rsidRPr="00B86F0E">
        <w:rPr>
          <w:rFonts w:ascii="Times New Roman" w:hAnsi="Times New Roman" w:cs="Times New Roman"/>
          <w:sz w:val="24"/>
          <w:szCs w:val="24"/>
        </w:rPr>
        <w:t xml:space="preserve">Ministarstvo vanjskih i europskih poslova dostaviti Izvješće iz točke 1. ovoga Zaključka Europskoj komisiji, uz suglasnost za objavu nacionalnog </w:t>
      </w:r>
      <w:r w:rsidR="00353690">
        <w:rPr>
          <w:rFonts w:ascii="Times New Roman" w:hAnsi="Times New Roman" w:cs="Times New Roman"/>
          <w:sz w:val="24"/>
          <w:szCs w:val="24"/>
        </w:rPr>
        <w:t>Izvješća</w:t>
      </w:r>
      <w:r w:rsidRPr="00B86F0E">
        <w:rPr>
          <w:rFonts w:ascii="Times New Roman" w:hAnsi="Times New Roman" w:cs="Times New Roman"/>
          <w:sz w:val="24"/>
          <w:szCs w:val="24"/>
        </w:rPr>
        <w:t xml:space="preserve"> Republike Hrvatske na web-stranicama Europske komisije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CC3D06" w14:textId="77777777" w:rsidR="00FF1F5F" w:rsidRDefault="00FF1F5F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Provedba ovog Zaključka neće iziskivati dodatna sredstva iz Državnog proračuna. </w:t>
      </w:r>
    </w:p>
    <w:p w14:paraId="1ACC3D07" w14:textId="77777777" w:rsidR="0002037F" w:rsidRPr="00B86F0E" w:rsidRDefault="0002037F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37F" w:rsidRPr="00B8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5507"/>
    <w:multiLevelType w:val="hybridMultilevel"/>
    <w:tmpl w:val="93940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C7065"/>
    <w:multiLevelType w:val="hybridMultilevel"/>
    <w:tmpl w:val="9CD2C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0E"/>
    <w:rsid w:val="0002037F"/>
    <w:rsid w:val="000A16E1"/>
    <w:rsid w:val="0014632D"/>
    <w:rsid w:val="00353690"/>
    <w:rsid w:val="00584B7B"/>
    <w:rsid w:val="008D3619"/>
    <w:rsid w:val="0090312B"/>
    <w:rsid w:val="00987A79"/>
    <w:rsid w:val="00A02569"/>
    <w:rsid w:val="00AE5C5D"/>
    <w:rsid w:val="00B67A73"/>
    <w:rsid w:val="00B86F0E"/>
    <w:rsid w:val="00B92EDB"/>
    <w:rsid w:val="00C264C9"/>
    <w:rsid w:val="00D71C0C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3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AZJMDCZ6QSYZ-1335579144-346</_dlc_DocId>
    <_dlc_DocIdUrl xmlns="a494813a-d0d8-4dad-94cb-0d196f36ba15">
      <Url>https://ekoordinacije.vlada.hr/_layouts/15/DocIdRedir.aspx?ID=AZJMDCZ6QSYZ-1335579144-346</Url>
      <Description>AZJMDCZ6QSYZ-1335579144-346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EF80C-230C-442B-A5D5-D09CC50EAC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40BCF2-8DFD-49E5-969A-9FAE38D35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F5E45-3004-4515-BBB9-507F5964E314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a494813a-d0d8-4dad-94cb-0d196f36ba15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AF37A73-1AA8-4E3C-B9E2-942D45AD21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Mladen Duvnjak</cp:lastModifiedBy>
  <cp:revision>13</cp:revision>
  <cp:lastPrinted>2021-03-03T10:49:00Z</cp:lastPrinted>
  <dcterms:created xsi:type="dcterms:W3CDTF">2021-03-02T12:02:00Z</dcterms:created>
  <dcterms:modified xsi:type="dcterms:W3CDTF">2021-03-09T14:47:00Z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b8974d9f-ad80-4429-89cc-b0a81f4c60d7</vt:lpwstr>
  </property>
</Properties>
</file>