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102F2" w14:textId="77777777" w:rsidR="00560748" w:rsidRPr="00364721" w:rsidRDefault="00560748" w:rsidP="00560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1AB164" w14:textId="77777777" w:rsidR="00560748" w:rsidRDefault="00560748" w:rsidP="00560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141B00" w14:textId="77777777" w:rsidR="00560748" w:rsidRPr="00C208B8" w:rsidRDefault="00560748" w:rsidP="00560748">
      <w:pPr>
        <w:jc w:val="center"/>
      </w:pPr>
      <w:r>
        <w:rPr>
          <w:noProof/>
          <w:lang w:eastAsia="hr-HR"/>
        </w:rPr>
        <w:drawing>
          <wp:inline distT="0" distB="0" distL="0" distR="0" wp14:anchorId="78BB2078" wp14:editId="3DD992B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765CA863" w14:textId="77777777" w:rsidR="00560748" w:rsidRPr="00E14F24" w:rsidRDefault="00560748" w:rsidP="00560748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5BB4D28D" w14:textId="77777777" w:rsidR="00560748" w:rsidRPr="00E14F24" w:rsidRDefault="00560748" w:rsidP="00560748">
      <w:pPr>
        <w:rPr>
          <w:rFonts w:ascii="Times New Roman" w:hAnsi="Times New Roman" w:cs="Times New Roman"/>
          <w:sz w:val="24"/>
          <w:szCs w:val="24"/>
        </w:rPr>
      </w:pPr>
    </w:p>
    <w:p w14:paraId="42FE5D57" w14:textId="5182FEB9" w:rsidR="00560748" w:rsidRPr="00E14F24" w:rsidRDefault="00C472FE" w:rsidP="00C472FE">
      <w:pPr>
        <w:tabs>
          <w:tab w:val="center" w:pos="4536"/>
          <w:tab w:val="right" w:pos="9072"/>
        </w:tabs>
        <w:spacing w:after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668E">
        <w:rPr>
          <w:rFonts w:ascii="Times New Roman" w:hAnsi="Times New Roman" w:cs="Times New Roman"/>
          <w:sz w:val="24"/>
          <w:szCs w:val="24"/>
        </w:rPr>
        <w:t xml:space="preserve">Zagreb, </w:t>
      </w:r>
      <w:r w:rsidR="00E242E0">
        <w:rPr>
          <w:rFonts w:ascii="Times New Roman" w:hAnsi="Times New Roman" w:cs="Times New Roman"/>
          <w:sz w:val="24"/>
          <w:szCs w:val="24"/>
        </w:rPr>
        <w:t xml:space="preserve">18. ožujka </w:t>
      </w:r>
      <w:r w:rsidR="00560748" w:rsidRPr="00F23A41">
        <w:rPr>
          <w:rFonts w:ascii="Times New Roman" w:hAnsi="Times New Roman" w:cs="Times New Roman"/>
          <w:sz w:val="24"/>
          <w:szCs w:val="24"/>
        </w:rPr>
        <w:t>202</w:t>
      </w:r>
      <w:r w:rsidR="00D6026F">
        <w:rPr>
          <w:rFonts w:ascii="Times New Roman" w:hAnsi="Times New Roman" w:cs="Times New Roman"/>
          <w:sz w:val="24"/>
          <w:szCs w:val="24"/>
        </w:rPr>
        <w:t>1</w:t>
      </w:r>
      <w:r w:rsidR="00560748" w:rsidRPr="00F23A41">
        <w:rPr>
          <w:rFonts w:ascii="Times New Roman" w:hAnsi="Times New Roman" w:cs="Times New Roman"/>
          <w:sz w:val="24"/>
          <w:szCs w:val="24"/>
        </w:rPr>
        <w:t>.</w:t>
      </w:r>
    </w:p>
    <w:p w14:paraId="334F9E95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0839B04" w14:textId="77777777" w:rsidR="00560748" w:rsidRPr="00E14F24" w:rsidRDefault="00560748" w:rsidP="00560748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560748" w:rsidRPr="00E14F24" w:rsidSect="00BA6C85">
          <w:footerReference w:type="default" r:id="rId13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560748" w:rsidRPr="00E14F24" w14:paraId="3FC65281" w14:textId="77777777" w:rsidTr="00040CBF">
        <w:tc>
          <w:tcPr>
            <w:tcW w:w="1942" w:type="dxa"/>
          </w:tcPr>
          <w:p w14:paraId="23DE969C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Predlagatelj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2D44B451" w14:textId="36A06154" w:rsidR="00560748" w:rsidRPr="00E14F24" w:rsidRDefault="008D6CAF" w:rsidP="00040C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gospodarstva i održivog razvoja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560748" w:rsidRPr="00E14F24" w14:paraId="13265786" w14:textId="77777777" w:rsidTr="00040CBF">
        <w:tc>
          <w:tcPr>
            <w:tcW w:w="1937" w:type="dxa"/>
          </w:tcPr>
          <w:p w14:paraId="3657F8DA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Predmet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625C89FB" w14:textId="1A3E8D12" w:rsidR="00560748" w:rsidRPr="00E14F24" w:rsidRDefault="00560748" w:rsidP="00F62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364721">
              <w:rPr>
                <w:sz w:val="24"/>
                <w:szCs w:val="24"/>
              </w:rPr>
              <w:t xml:space="preserve">Prijedlog </w:t>
            </w:r>
            <w:r w:rsidR="00271ABB">
              <w:rPr>
                <w:sz w:val="24"/>
                <w:szCs w:val="24"/>
              </w:rPr>
              <w:t>o</w:t>
            </w:r>
            <w:r w:rsidR="00F23A41">
              <w:rPr>
                <w:sz w:val="24"/>
                <w:szCs w:val="24"/>
              </w:rPr>
              <w:t xml:space="preserve">dluke </w:t>
            </w:r>
            <w:r>
              <w:rPr>
                <w:sz w:val="24"/>
                <w:szCs w:val="24"/>
              </w:rPr>
              <w:t xml:space="preserve">o </w:t>
            </w:r>
            <w:r w:rsidR="00D6026F" w:rsidRPr="00D6026F">
              <w:rPr>
                <w:sz w:val="24"/>
                <w:szCs w:val="24"/>
              </w:rPr>
              <w:t xml:space="preserve">davanju suglasnosti na </w:t>
            </w:r>
            <w:r w:rsidR="00D6026F">
              <w:rPr>
                <w:sz w:val="24"/>
                <w:szCs w:val="24"/>
              </w:rPr>
              <w:t>I</w:t>
            </w:r>
            <w:r w:rsidR="00D6026F" w:rsidRPr="00D6026F">
              <w:rPr>
                <w:sz w:val="24"/>
                <w:szCs w:val="24"/>
              </w:rPr>
              <w:t xml:space="preserve">zmjenu </w:t>
            </w:r>
            <w:r w:rsidR="00D6026F">
              <w:rPr>
                <w:sz w:val="24"/>
                <w:szCs w:val="24"/>
              </w:rPr>
              <w:t>S</w:t>
            </w:r>
            <w:r w:rsidR="00D6026F" w:rsidRPr="00D6026F">
              <w:rPr>
                <w:sz w:val="24"/>
                <w:szCs w:val="24"/>
              </w:rPr>
              <w:t xml:space="preserve">tatuta </w:t>
            </w:r>
            <w:r w:rsidR="00D6026F">
              <w:rPr>
                <w:sz w:val="24"/>
                <w:szCs w:val="24"/>
              </w:rPr>
              <w:t>H</w:t>
            </w:r>
            <w:r w:rsidR="00D6026F" w:rsidRPr="00D6026F">
              <w:rPr>
                <w:sz w:val="24"/>
                <w:szCs w:val="24"/>
              </w:rPr>
              <w:t>rvatske agencije za malo gospodarstvo, inovacije i investicije</w:t>
            </w:r>
          </w:p>
        </w:tc>
      </w:tr>
    </w:tbl>
    <w:p w14:paraId="40F87464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695E976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02A1223" w14:textId="09BF55C8" w:rsidR="00CB44D7" w:rsidRDefault="00CB44D7" w:rsidP="00CC06B8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9067A05" w14:textId="77777777" w:rsidR="00CB44D7" w:rsidRPr="004C2A12" w:rsidRDefault="00CB44D7" w:rsidP="00CC06B8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83D939" w14:textId="553D4C90" w:rsidR="00CC06B8" w:rsidRDefault="00CC06B8" w:rsidP="005466CB">
      <w:pPr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2. Zakona o Vladi Republike Hrvatske (Narodne novine, br. 150/11, 119/14, 93/16 i 116/18)</w:t>
      </w:r>
      <w:r w:rsidR="00D6026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6026F" w:rsidRPr="00D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u vezi s člankom 18. točkom 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poticanju razvoja malog gospodarstva (Narodne novine, br. 29/02, 63/07, 53/12, 56/13 i 121/16), Vlada Republike Hrvatske je na sjednici održanoj </w:t>
      </w:r>
      <w:r w:rsidR="003A0F3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</w:t>
      </w:r>
      <w:r w:rsidR="005466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6026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466C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donijela </w:t>
      </w:r>
    </w:p>
    <w:p w14:paraId="05313D85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11DAAD" w14:textId="77777777" w:rsidR="00CC06B8" w:rsidRDefault="00CC06B8" w:rsidP="00CC06B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0FF0400" w14:textId="77777777" w:rsidR="00CC06B8" w:rsidRDefault="00CC06B8" w:rsidP="00CC06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12495616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FAE6F7" w14:textId="62E3AB97" w:rsidR="00CC06B8" w:rsidRDefault="00D6026F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602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DAVANJU SUGLASNOSTI NA IZMJENU STATUTA HRVATSKE AGENCIJE ZA MALO GOSPODARSTVO, INOVACIJE I INVESTICIJE</w:t>
      </w:r>
    </w:p>
    <w:p w14:paraId="7C5E6631" w14:textId="42F16E90" w:rsidR="005466CB" w:rsidRDefault="005466CB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2B6D85" w14:textId="77777777" w:rsidR="00D6026F" w:rsidRDefault="00D6026F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7B687F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0864B704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790C02" w14:textId="6BEC1B83" w:rsidR="00CC06B8" w:rsidRDefault="00D6026F" w:rsidP="00D6026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026F">
        <w:rPr>
          <w:rFonts w:ascii="Times New Roman" w:eastAsia="Times New Roman" w:hAnsi="Times New Roman" w:cs="Times New Roman"/>
          <w:sz w:val="24"/>
          <w:szCs w:val="24"/>
          <w:lang w:eastAsia="hr-HR"/>
        </w:rPr>
        <w:t>Daje se suglasnost na Izmjenu Statuta Hrvatske agencije za malo gospodarstvo, inovacije i investicije koju je Upravni odbor Hrvatske agencije za malo gospodarstvo, inov</w:t>
      </w:r>
      <w:r w:rsidR="003E4FC0">
        <w:rPr>
          <w:rFonts w:ascii="Times New Roman" w:eastAsia="Times New Roman" w:hAnsi="Times New Roman" w:cs="Times New Roman"/>
          <w:sz w:val="24"/>
          <w:szCs w:val="24"/>
          <w:lang w:eastAsia="hr-HR"/>
        </w:rPr>
        <w:t>acije i investicije donio na</w:t>
      </w:r>
      <w:bookmarkStart w:id="0" w:name="_GoBack"/>
      <w:bookmarkEnd w:id="0"/>
      <w:r w:rsidRPr="00D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</w:t>
      </w:r>
      <w:r w:rsidR="00A206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ržanoj 18. veljače 2020. godine, a potvrdio na sjednici Upravnog odbora 4. ožujka 2021. </w:t>
      </w:r>
    </w:p>
    <w:p w14:paraId="343B76C6" w14:textId="74154DAC" w:rsidR="00D6026F" w:rsidRDefault="00D6026F" w:rsidP="00D60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51AED3" w14:textId="77777777" w:rsidR="00D6026F" w:rsidRDefault="00D6026F" w:rsidP="00D60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CE632C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76BF5C88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454A43" w14:textId="6CD805B1" w:rsidR="00CC06B8" w:rsidRDefault="00D6026F" w:rsidP="00D6026F">
      <w:pPr>
        <w:spacing w:after="0" w:line="240" w:lineRule="auto"/>
        <w:ind w:firstLine="141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60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Ova Odluka stupa na snagu danom donošenja.</w:t>
      </w:r>
    </w:p>
    <w:p w14:paraId="25DBF3C4" w14:textId="1B77A583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815447E" w14:textId="77777777" w:rsidR="00D6026F" w:rsidRDefault="00D6026F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2237F99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26E2B872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62CAB92B" w14:textId="24DFFDC0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14:paraId="40167CC0" w14:textId="39BCAEF6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690EBB6" w14:textId="50AF5E83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2C9A6AC" w14:textId="3D0C0195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0A57697" w14:textId="36C340F1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B9F3F54" w14:textId="77777777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C6FE2F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14:paraId="151226A5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4614C0C" w14:textId="72AF19CF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mr. sc. Andrej Plenković</w:t>
      </w:r>
    </w:p>
    <w:p w14:paraId="427E0845" w14:textId="274D7B4B" w:rsidR="00224211" w:rsidRDefault="00224211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27FB6CC" w14:textId="5894A60C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9B2F073" w14:textId="40BF60AA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8EC4163" w14:textId="6A952E75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82420E2" w14:textId="1D0E6AE6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D27C981" w14:textId="11DDAFB1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0A9D8C5" w14:textId="77777777" w:rsidR="00B105C3" w:rsidRDefault="00B105C3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7AA71A2" w14:textId="33600915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FB6BE57" w14:textId="77777777" w:rsidR="00361584" w:rsidRPr="00F31B80" w:rsidRDefault="00361584" w:rsidP="00361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1" w:name="_Hlk57205394"/>
    </w:p>
    <w:bookmarkEnd w:id="1"/>
    <w:p w14:paraId="09A3550C" w14:textId="77777777" w:rsidR="005C6C67" w:rsidRDefault="005C6C67" w:rsidP="005C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F95DDB3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366C6F7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8EBA848" w14:textId="3CB7CA63" w:rsidR="00345F2F" w:rsidRDefault="00345F2F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1DC1C71" w14:textId="243C0B25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4F0209F" w14:textId="77777777" w:rsidR="003A0492" w:rsidRDefault="003A0492" w:rsidP="003A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OBRAZLOŽENJE</w:t>
      </w:r>
    </w:p>
    <w:p w14:paraId="0B202A77" w14:textId="77777777" w:rsidR="003A0492" w:rsidRDefault="003A0492" w:rsidP="003A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C09BB45" w14:textId="77777777" w:rsidR="003A0492" w:rsidRDefault="003A0492" w:rsidP="003A0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D8E2082" w14:textId="55A64365" w:rsidR="003A0492" w:rsidRDefault="00D6026F" w:rsidP="00D602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02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 obzirom na to </w:t>
      </w:r>
      <w:r w:rsidR="008D6C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kako</w:t>
      </w:r>
      <w:r w:rsidRPr="00D602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 temelji unutarnjeg ustrojstva te organizacijske jedinice Agencije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602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uređeni Statutom, ovom Izmjenom statuta mijenja se članak 9. na način da se ustrojavaju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602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nove organizacijske jedinice, a sve u cilju ostvarenja pretpostavki za uspješnu provedbu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Pr="00D602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D602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apsorpcij</w:t>
      </w:r>
      <w:r w:rsidR="008D6C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D602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sredstava iz </w:t>
      </w:r>
      <w:r w:rsidR="008D6CAF" w:rsidRPr="008D6C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aktualnih programa OPKK, a osobito </w:t>
      </w:r>
      <w:r w:rsidR="001F72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novog</w:t>
      </w:r>
      <w:r w:rsidR="008D6CAF" w:rsidRPr="008D6C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160C9" w:rsidRPr="008160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Višegodišnjeg financijskog okvira i Nacionalnog plana oporavka i otpornosti.</w:t>
      </w:r>
      <w:r w:rsidR="003A0492"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787B268F" w14:textId="77777777" w:rsidR="00D6026F" w:rsidRPr="00740A19" w:rsidRDefault="00D6026F" w:rsidP="00D602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167E2A6" w14:textId="058C9422" w:rsidR="001F1597" w:rsidRDefault="00D6026F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02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Prema važećem Statutu Agencija ima 4 sektora, 14 službi, 23 odjela i 2 ureda, prema prijedlogu Izmjene Statuta broj sektora se povećava sa dosadašnjih 4 na 5 sektora, broj službi se povećava sa dosadašnjih 14 na 17 službi, broj odjela se povećava sa dosadašnjih 23 na 39 odjela, broj ureda se smanjuje sa dosadašnjih 2 na 1 ured.</w:t>
      </w:r>
    </w:p>
    <w:p w14:paraId="7D1B870F" w14:textId="77777777" w:rsidR="00D6026F" w:rsidRPr="00740A19" w:rsidRDefault="00D6026F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21CE196" w14:textId="4BC84815" w:rsidR="008D6CAF" w:rsidRDefault="008D6CAF" w:rsidP="008D6C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6C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Ukida se Ured Uprave, a ustrojava se Služba za poslove Uprave s 4 odjela, od kojih je jedan već postojeći (Odjel za opće poslove), a novi su Odjel za ljudske potencijale, Odjel za odnose s javnošću i protokol, Odjel za javnu nabavu.</w:t>
      </w:r>
    </w:p>
    <w:p w14:paraId="4E1CC7F7" w14:textId="77777777" w:rsidR="008D6CAF" w:rsidRDefault="008D6CAF" w:rsidP="008D6C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47489E0" w14:textId="145E1741" w:rsidR="008D6CAF" w:rsidRDefault="008D6CAF" w:rsidP="008D6C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6C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Postojeća 2 sektora: Sektor za bespovratne potpore – Poduzetništvo i Sektor za bespovratne potpore – Istraživanje, razvoj i inovacije (IRI), preoblikuju se u 3 sektora: Sektor za praćenje i provedbe projekata – Poduzetništvo, Sektor za praćenje provedbe projekata - Istraživanje, razvoj i inovacije (IRI) i Sektor za vrednovanje i ugovaranje projekata. </w:t>
      </w:r>
    </w:p>
    <w:p w14:paraId="78AEC232" w14:textId="77777777" w:rsidR="008D6CAF" w:rsidRPr="008D6CAF" w:rsidRDefault="008D6CAF" w:rsidP="008D6C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5DA1CF5" w14:textId="635CF119" w:rsidR="008D6CAF" w:rsidRDefault="008D6CAF" w:rsidP="008D6C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6C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sastavu novoosnovanog Sektora za praćenje i provedbu projekata – Poduzetništvo ustrojava se nova Služba za praćenje provedbe projekata – II sa 4 odjela od kojih su 2 postojeća. </w:t>
      </w:r>
    </w:p>
    <w:p w14:paraId="7F9A2C83" w14:textId="77777777" w:rsidR="008D6CAF" w:rsidRPr="008D6CAF" w:rsidRDefault="008D6CAF" w:rsidP="008D6C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B95D7E5" w14:textId="58AA9506" w:rsidR="008D6CAF" w:rsidRDefault="008D6CAF" w:rsidP="008D6C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6C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sastavu novoosnovanog Sektora za praćenje i provedbu projekata - Istraživanje, razvoj i inovacije (IRI) ustrojava se 1 novi Odjel u koji bi se preraspodjeli zaposlenici iz dosadašnja 2 Odjela za provedbu. </w:t>
      </w:r>
    </w:p>
    <w:p w14:paraId="2323F5B3" w14:textId="77777777" w:rsidR="008D6CAF" w:rsidRPr="008D6CAF" w:rsidRDefault="008D6CAF" w:rsidP="008D6C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E882D75" w14:textId="718D1020" w:rsidR="008D6CAF" w:rsidRDefault="008D6CAF" w:rsidP="008D6C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6C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U sastavu novoosnovanog Sektora za vrednovanje i ugovaranje projekata, pored postojećih 4 Odjel</w:t>
      </w:r>
      <w:r w:rsidR="00E068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a, ustrojavaju se 4 nova Odjela.</w:t>
      </w:r>
    </w:p>
    <w:p w14:paraId="49C6149F" w14:textId="77777777" w:rsidR="008D6CAF" w:rsidRPr="008D6CAF" w:rsidRDefault="008D6CAF" w:rsidP="008D6C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9449CFF" w14:textId="4F1200A9" w:rsidR="008D6CAF" w:rsidRDefault="008D6CAF" w:rsidP="008D6C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6C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Ustrojava se Služba za kontrolu kvalitete i strateško upravljanje koja se sastoji od 1 postojećeg i 2 nova odjela. Novi odjeli su Odjel za unapređenje kvalitete sustava, Odjel za analizu i izvještavanje. </w:t>
      </w:r>
    </w:p>
    <w:p w14:paraId="00B038A0" w14:textId="77777777" w:rsidR="008D6CAF" w:rsidRPr="008D6CAF" w:rsidRDefault="008D6CAF" w:rsidP="008D6C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14BE6CB" w14:textId="02B21A5E" w:rsidR="008D6CAF" w:rsidRDefault="008D6CAF" w:rsidP="008D6C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6C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sastavu Službe za pravne poslove ustrojava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</w:t>
      </w:r>
      <w:r w:rsidRPr="008D6C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Odjela za naplatu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AC99DC9" w14:textId="63B70275" w:rsidR="008D6CAF" w:rsidRDefault="008D6CAF" w:rsidP="008D6C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0351C7D" w14:textId="620DB67E" w:rsidR="008D6CAF" w:rsidRDefault="008D6CAF" w:rsidP="008D6C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6C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sastavu Sektora za financijske instrumente ustrojavaju se 4 nova Odjela. Odjel za ruralni razvoj, Odjel za portfeljna jamstva, Odjel za namjensku kontrolu zajmova i Odjel za namjensku kontrolu jamstava. </w:t>
      </w:r>
    </w:p>
    <w:p w14:paraId="431EE49C" w14:textId="77777777" w:rsidR="008D6CAF" w:rsidRPr="008D6CAF" w:rsidRDefault="008D6CAF" w:rsidP="008D6C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EE6258E" w14:textId="10929292" w:rsidR="008D6CAF" w:rsidRDefault="008D6CAF" w:rsidP="008D6C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6C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sastavu Sektora za podršku i razvoj poduzetništva, koordinaciju i međunarodnu suradnju ustrojava se Služba za koordinaciju u kojoj bi bili zaposleni djelatnici koji bi radili u ispostavama Agencije po županijama (EU projekt BOND).</w:t>
      </w:r>
    </w:p>
    <w:p w14:paraId="000E55C2" w14:textId="77777777" w:rsidR="008D6CAF" w:rsidRDefault="008D6CAF" w:rsidP="008D6C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A17BFCE" w14:textId="2444BA91" w:rsidR="001B3E16" w:rsidRDefault="001B3E16" w:rsidP="001B3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zaposlenika na </w:t>
      </w:r>
      <w:r w:rsidRPr="00382FF7">
        <w:rPr>
          <w:rFonts w:ascii="Times New Roman" w:hAnsi="Times New Roman" w:cs="Times New Roman"/>
          <w:sz w:val="24"/>
          <w:szCs w:val="24"/>
        </w:rPr>
        <w:t>dan 22. veljače 2021.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FF7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>, čime su u bitnome iscrpljene sve formalne mogućnosti postojeće sistematizacije radnih mjesta.</w:t>
      </w:r>
    </w:p>
    <w:p w14:paraId="4188B764" w14:textId="77777777" w:rsidR="001B3E16" w:rsidRDefault="001B3E16" w:rsidP="008D6C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375F42E" w14:textId="55E5EEEC" w:rsidR="001F1597" w:rsidRPr="00740A19" w:rsidRDefault="008D6CAF" w:rsidP="008D6C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6C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Člankom 18. točkom 1. Zakona o poticanju razvoja malog gospodarstva (Narodne novine br.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D6C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29/02, 63/07, 53/12, 56/13, 121/16) propisano je </w:t>
      </w:r>
      <w:r w:rsidR="007304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kako</w:t>
      </w:r>
      <w:r w:rsidRPr="008D6C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Statut donosi Upravni odbor Hrvatske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D6C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agencije za malo gospodarstvo, inovacije i investicije uz suglasnost Vlade Republike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D6C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Hrvatske.</w:t>
      </w:r>
    </w:p>
    <w:p w14:paraId="21948EC0" w14:textId="77777777" w:rsidR="008D6CAF" w:rsidRDefault="008D6CAF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5805FA6" w14:textId="0AF31AE5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Slijedom navedenog, predlaže se donošenje Odluke o </w:t>
      </w:r>
      <w:r w:rsidR="008D6CAF" w:rsidRPr="008D6C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davanju suglasnosti na </w:t>
      </w:r>
      <w:r w:rsidR="008D6C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8D6CAF" w:rsidRPr="008D6C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zmjenu </w:t>
      </w:r>
      <w:r w:rsidR="008D6C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8D6CAF" w:rsidRPr="008D6C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tatuta </w:t>
      </w: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Hrvatske agencije za malo gospodarstvo, inovacije i investicije.</w:t>
      </w:r>
    </w:p>
    <w:p w14:paraId="18E23ADC" w14:textId="77777777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9F8DA19" w14:textId="77777777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6C7C781" w14:textId="77777777" w:rsidR="003A0492" w:rsidRDefault="003A0492" w:rsidP="003A0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7D5EC24" w14:textId="77777777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4D109E7" w14:textId="77777777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F2E27D7" w14:textId="4478EED6" w:rsidR="00CB44D7" w:rsidRDefault="00CB44D7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6E6F6BFE" w14:textId="438EF0D3" w:rsidR="004D1FB0" w:rsidRDefault="004D1FB0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5DB9AABD" w14:textId="36D7F791" w:rsidR="004D1FB0" w:rsidRDefault="004D1FB0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16414687" w14:textId="613B5C24" w:rsidR="004D1FB0" w:rsidRDefault="004D1FB0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3D4ACCA3" w14:textId="799950D8" w:rsidR="004D1FB0" w:rsidRDefault="004D1FB0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09BF6130" w14:textId="0E002583" w:rsidR="004D1FB0" w:rsidRDefault="004D1FB0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36ABD979" w14:textId="79C2CA59" w:rsidR="004D1FB0" w:rsidRDefault="004D1FB0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40D9BEE7" w14:textId="7C7D8672" w:rsidR="004D1FB0" w:rsidRDefault="004D1FB0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769BBE25" w14:textId="4FDA7FA9" w:rsidR="004D1FB0" w:rsidRDefault="004D1FB0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0C6057BB" w14:textId="67125289" w:rsidR="004D1FB0" w:rsidRDefault="004D1FB0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44F5350D" w14:textId="0E01010D" w:rsidR="004D1FB0" w:rsidRDefault="004D1FB0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57921495" w14:textId="1A2C6F33" w:rsidR="004D1FB0" w:rsidRDefault="004D1FB0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35B2AD8D" w14:textId="22B8D2A4" w:rsidR="004D1FB0" w:rsidRDefault="004D1FB0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27759DF1" w14:textId="66390183" w:rsidR="004D1FB0" w:rsidRDefault="004D1FB0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33FBEC10" w14:textId="629BE3BF" w:rsidR="004D1FB0" w:rsidRDefault="004D1FB0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117D1099" w14:textId="05F27AE1" w:rsidR="004D1FB0" w:rsidRDefault="004D1FB0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4260AD2E" w14:textId="11E09455" w:rsidR="004D1FB0" w:rsidRDefault="004D1FB0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6FA73374" w14:textId="7C6DDA47" w:rsidR="004D1FB0" w:rsidRDefault="004D1FB0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1D5BE0CA" w14:textId="68CB56C2" w:rsidR="004D1FB0" w:rsidRDefault="004D1FB0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5BCC4537" w14:textId="468828AB" w:rsidR="004D1FB0" w:rsidRDefault="004D1FB0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708D1238" w14:textId="6F00CFF9" w:rsidR="004D1FB0" w:rsidRDefault="004D1FB0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0D377760" w14:textId="23EB515A" w:rsidR="004D1FB0" w:rsidRDefault="004D1FB0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159CBB5F" w14:textId="38CCDE8A" w:rsidR="004D1FB0" w:rsidRDefault="004D1FB0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2682225C" w14:textId="696CEF2C" w:rsidR="004D1FB0" w:rsidRDefault="004D1FB0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13205D54" w14:textId="5BA91A09" w:rsidR="004D1FB0" w:rsidRDefault="004D1FB0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01589FCB" w14:textId="3FF6DE07" w:rsidR="004D1FB0" w:rsidRDefault="004D1FB0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7CB07D9E" w14:textId="19D02238" w:rsidR="004D1FB0" w:rsidRDefault="004D1FB0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60BD6FB8" w14:textId="5E73DA95" w:rsidR="004D1FB0" w:rsidRDefault="004D1FB0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0EA2C195" w14:textId="0CF69814" w:rsidR="004D1FB0" w:rsidRPr="004D1FB0" w:rsidRDefault="004D1FB0" w:rsidP="00D90A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D1FB0" w:rsidRPr="004D1FB0" w:rsidSect="00CB44D7">
      <w:pgSz w:w="11906" w:h="16838"/>
      <w:pgMar w:top="1252" w:right="1417" w:bottom="1276" w:left="1417" w:header="56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ABB5D" w14:textId="77777777" w:rsidR="007548CF" w:rsidRDefault="007548CF" w:rsidP="00F23A41">
      <w:pPr>
        <w:spacing w:after="0" w:line="240" w:lineRule="auto"/>
      </w:pPr>
      <w:r>
        <w:separator/>
      </w:r>
    </w:p>
  </w:endnote>
  <w:endnote w:type="continuationSeparator" w:id="0">
    <w:p w14:paraId="175851E5" w14:textId="77777777" w:rsidR="007548CF" w:rsidRDefault="007548CF" w:rsidP="00F2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8124" w14:textId="77777777" w:rsidR="003731FD" w:rsidRPr="00CE78D1" w:rsidRDefault="00DC261E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65F1FD1F" w14:textId="77777777" w:rsidR="003731FD" w:rsidRPr="00E14F24" w:rsidRDefault="003E4FC0" w:rsidP="00E1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723A7" w14:textId="77777777" w:rsidR="007548CF" w:rsidRDefault="007548CF" w:rsidP="00F23A41">
      <w:pPr>
        <w:spacing w:after="0" w:line="240" w:lineRule="auto"/>
      </w:pPr>
      <w:r>
        <w:separator/>
      </w:r>
    </w:p>
  </w:footnote>
  <w:footnote w:type="continuationSeparator" w:id="0">
    <w:p w14:paraId="7F6CA053" w14:textId="77777777" w:rsidR="007548CF" w:rsidRDefault="007548CF" w:rsidP="00F2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944"/>
    <w:multiLevelType w:val="hybridMultilevel"/>
    <w:tmpl w:val="01F689B2"/>
    <w:lvl w:ilvl="0" w:tplc="94FE6B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5E2F"/>
    <w:multiLevelType w:val="hybridMultilevel"/>
    <w:tmpl w:val="F982A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33478"/>
    <w:multiLevelType w:val="hybridMultilevel"/>
    <w:tmpl w:val="D3B42E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41F4A"/>
    <w:multiLevelType w:val="hybridMultilevel"/>
    <w:tmpl w:val="CFBAAEFC"/>
    <w:lvl w:ilvl="0" w:tplc="165ADD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48"/>
    <w:rsid w:val="00001E25"/>
    <w:rsid w:val="00015B47"/>
    <w:rsid w:val="000247A8"/>
    <w:rsid w:val="00086902"/>
    <w:rsid w:val="00095787"/>
    <w:rsid w:val="000B3C44"/>
    <w:rsid w:val="000C7475"/>
    <w:rsid w:val="000F689F"/>
    <w:rsid w:val="001065D7"/>
    <w:rsid w:val="001B3E16"/>
    <w:rsid w:val="001D63A7"/>
    <w:rsid w:val="001F1597"/>
    <w:rsid w:val="001F60DD"/>
    <w:rsid w:val="001F72A6"/>
    <w:rsid w:val="00224211"/>
    <w:rsid w:val="002344BA"/>
    <w:rsid w:val="00271ABB"/>
    <w:rsid w:val="0027360F"/>
    <w:rsid w:val="0028340D"/>
    <w:rsid w:val="00290891"/>
    <w:rsid w:val="003433A7"/>
    <w:rsid w:val="00345F2F"/>
    <w:rsid w:val="00361584"/>
    <w:rsid w:val="00376F2E"/>
    <w:rsid w:val="00382FF7"/>
    <w:rsid w:val="00383F00"/>
    <w:rsid w:val="003954A2"/>
    <w:rsid w:val="003A0492"/>
    <w:rsid w:val="003A0F3F"/>
    <w:rsid w:val="003A30D3"/>
    <w:rsid w:val="003E4FC0"/>
    <w:rsid w:val="0041371C"/>
    <w:rsid w:val="00461F54"/>
    <w:rsid w:val="004B54FC"/>
    <w:rsid w:val="004C0B43"/>
    <w:rsid w:val="004D053E"/>
    <w:rsid w:val="004D1FB0"/>
    <w:rsid w:val="004E7881"/>
    <w:rsid w:val="004F3C90"/>
    <w:rsid w:val="005101FC"/>
    <w:rsid w:val="00512407"/>
    <w:rsid w:val="005466CB"/>
    <w:rsid w:val="00560748"/>
    <w:rsid w:val="0057161B"/>
    <w:rsid w:val="005C6C67"/>
    <w:rsid w:val="005D05F7"/>
    <w:rsid w:val="005F5DC8"/>
    <w:rsid w:val="0062537B"/>
    <w:rsid w:val="00656820"/>
    <w:rsid w:val="0068296C"/>
    <w:rsid w:val="006B7D97"/>
    <w:rsid w:val="006D1C7E"/>
    <w:rsid w:val="006D1D3C"/>
    <w:rsid w:val="006D52FE"/>
    <w:rsid w:val="006E4129"/>
    <w:rsid w:val="007001F8"/>
    <w:rsid w:val="0073045A"/>
    <w:rsid w:val="00740A19"/>
    <w:rsid w:val="007548CF"/>
    <w:rsid w:val="007627BC"/>
    <w:rsid w:val="00775603"/>
    <w:rsid w:val="00777894"/>
    <w:rsid w:val="0078645C"/>
    <w:rsid w:val="007D3246"/>
    <w:rsid w:val="0080148B"/>
    <w:rsid w:val="008160C9"/>
    <w:rsid w:val="00816CE4"/>
    <w:rsid w:val="00850B64"/>
    <w:rsid w:val="0087018C"/>
    <w:rsid w:val="008867AA"/>
    <w:rsid w:val="008976C8"/>
    <w:rsid w:val="008A505C"/>
    <w:rsid w:val="008D6CAF"/>
    <w:rsid w:val="00984EFC"/>
    <w:rsid w:val="00A00F2F"/>
    <w:rsid w:val="00A01E3D"/>
    <w:rsid w:val="00A07485"/>
    <w:rsid w:val="00A2063B"/>
    <w:rsid w:val="00A7668E"/>
    <w:rsid w:val="00A823FC"/>
    <w:rsid w:val="00A93952"/>
    <w:rsid w:val="00AB033F"/>
    <w:rsid w:val="00AE431D"/>
    <w:rsid w:val="00B105C3"/>
    <w:rsid w:val="00B15D2D"/>
    <w:rsid w:val="00B27FDD"/>
    <w:rsid w:val="00B44B00"/>
    <w:rsid w:val="00B936CB"/>
    <w:rsid w:val="00BC2311"/>
    <w:rsid w:val="00BE0CA0"/>
    <w:rsid w:val="00C15723"/>
    <w:rsid w:val="00C472FE"/>
    <w:rsid w:val="00C76430"/>
    <w:rsid w:val="00CA0F49"/>
    <w:rsid w:val="00CA3BA6"/>
    <w:rsid w:val="00CB44D7"/>
    <w:rsid w:val="00CC06B8"/>
    <w:rsid w:val="00CC2C0A"/>
    <w:rsid w:val="00CF0459"/>
    <w:rsid w:val="00CF3298"/>
    <w:rsid w:val="00D0151C"/>
    <w:rsid w:val="00D03138"/>
    <w:rsid w:val="00D25A8A"/>
    <w:rsid w:val="00D566EF"/>
    <w:rsid w:val="00D56FE0"/>
    <w:rsid w:val="00D6026F"/>
    <w:rsid w:val="00D66ED9"/>
    <w:rsid w:val="00D90AF7"/>
    <w:rsid w:val="00DA7D97"/>
    <w:rsid w:val="00DC261E"/>
    <w:rsid w:val="00DD638F"/>
    <w:rsid w:val="00DD6AA3"/>
    <w:rsid w:val="00DE2C2F"/>
    <w:rsid w:val="00DF7EDD"/>
    <w:rsid w:val="00E0680E"/>
    <w:rsid w:val="00E135D0"/>
    <w:rsid w:val="00E14CE5"/>
    <w:rsid w:val="00E16A25"/>
    <w:rsid w:val="00E242E0"/>
    <w:rsid w:val="00E61117"/>
    <w:rsid w:val="00E755FE"/>
    <w:rsid w:val="00E8666E"/>
    <w:rsid w:val="00E94A96"/>
    <w:rsid w:val="00ED7D5A"/>
    <w:rsid w:val="00EE2993"/>
    <w:rsid w:val="00EE674F"/>
    <w:rsid w:val="00F038AC"/>
    <w:rsid w:val="00F20466"/>
    <w:rsid w:val="00F23A41"/>
    <w:rsid w:val="00F31B80"/>
    <w:rsid w:val="00F36858"/>
    <w:rsid w:val="00F6269B"/>
    <w:rsid w:val="00F91B6D"/>
    <w:rsid w:val="00FA0B51"/>
    <w:rsid w:val="00FC6374"/>
    <w:rsid w:val="00FE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DEE1F9"/>
  <w15:docId w15:val="{91A96E89-02A0-4A65-AC6C-9ADD9E94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7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48"/>
  </w:style>
  <w:style w:type="paragraph" w:styleId="Footer">
    <w:name w:val="footer"/>
    <w:basedOn w:val="Normal"/>
    <w:link w:val="Foot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48"/>
  </w:style>
  <w:style w:type="table" w:styleId="TableGrid">
    <w:name w:val="Table Grid"/>
    <w:basedOn w:val="TableNormal"/>
    <w:uiPriority w:val="59"/>
    <w:rsid w:val="0056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BB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6253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x463034">
    <w:name w:val="box_463034"/>
    <w:basedOn w:val="Normal"/>
    <w:rsid w:val="0078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AZJMDCZ6QSYZ-1849078857-3165</_dlc_DocId>
    <_dlc_DocIdUrl xmlns="a494813a-d0d8-4dad-94cb-0d196f36ba15">
      <Url>https://ekoordinacije.vlada.hr/koordinacija-gospodarstvo/_layouts/15/DocIdRedir.aspx?ID=AZJMDCZ6QSYZ-1849078857-3165</Url>
      <Description>AZJMDCZ6QSYZ-1849078857-3165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2563-D480-479A-B53F-71A28A56158E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8A0323A-D95E-4CDC-A7BE-A21806545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06562-4C4C-4F0F-B594-AC4582AF35A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90970A-4BB3-4C02-A4CB-664E3A15D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BCB012-B557-4699-9F4C-C2D0F64D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Fočić Jelaković</dc:creator>
  <cp:keywords/>
  <dc:description/>
  <cp:lastModifiedBy>Ines Uglešić</cp:lastModifiedBy>
  <cp:revision>4</cp:revision>
  <cp:lastPrinted>2020-03-16T14:35:00Z</cp:lastPrinted>
  <dcterms:created xsi:type="dcterms:W3CDTF">2021-03-10T10:48:00Z</dcterms:created>
  <dcterms:modified xsi:type="dcterms:W3CDTF">2021-03-17T14:21:00Z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63766c15-c15e-4b41-82c5-b6a6e3cd2ac2</vt:lpwstr>
  </property>
</Properties>
</file>