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72784" w14:textId="77777777" w:rsidR="00024D97" w:rsidRPr="00086B98" w:rsidRDefault="00024D97" w:rsidP="00024D97">
      <w:pPr>
        <w:jc w:val="center"/>
      </w:pPr>
      <w:r>
        <w:rPr>
          <w:color w:val="000000"/>
        </w:rPr>
        <w:t xml:space="preserve">    </w:t>
      </w:r>
      <w:r w:rsidRPr="00086B98">
        <w:t xml:space="preserve"> </w:t>
      </w:r>
      <w:r w:rsidRPr="007E729D">
        <w:rPr>
          <w:noProof/>
        </w:rPr>
        <w:drawing>
          <wp:inline distT="0" distB="0" distL="0" distR="0" wp14:anchorId="598C69DC" wp14:editId="7AC60EBC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B98">
        <w:fldChar w:fldCharType="begin"/>
      </w:r>
      <w:r w:rsidRPr="00086B98">
        <w:instrText xml:space="preserve"> INCLUDEPICTURE "http://www.inet.hr/~box/images/grb-rh.gif" \* MERGEFORMATINET </w:instrText>
      </w:r>
      <w:r w:rsidRPr="00086B98">
        <w:fldChar w:fldCharType="end"/>
      </w:r>
    </w:p>
    <w:p w14:paraId="4803E6F1" w14:textId="77777777" w:rsidR="00024D97" w:rsidRPr="00086B98" w:rsidRDefault="00024D97" w:rsidP="00024D97">
      <w:pPr>
        <w:spacing w:before="60" w:after="1680"/>
        <w:jc w:val="center"/>
        <w:rPr>
          <w:sz w:val="28"/>
        </w:rPr>
      </w:pPr>
      <w:r w:rsidRPr="00086B98">
        <w:rPr>
          <w:sz w:val="28"/>
        </w:rPr>
        <w:t>VLADA REPUBLIKE HRVATSKE</w:t>
      </w:r>
    </w:p>
    <w:p w14:paraId="58BF8C48" w14:textId="77777777" w:rsidR="00024D97" w:rsidRPr="00086B98" w:rsidRDefault="00024D97" w:rsidP="00024D97"/>
    <w:p w14:paraId="4775931A" w14:textId="29DF5178" w:rsidR="00024D97" w:rsidRPr="00086B98" w:rsidRDefault="00024D97" w:rsidP="00024D97">
      <w:pPr>
        <w:spacing w:after="2400"/>
        <w:jc w:val="right"/>
      </w:pPr>
      <w:r>
        <w:t xml:space="preserve">Zagreb, </w:t>
      </w:r>
      <w:r w:rsidR="0009098A">
        <w:t>25</w:t>
      </w:r>
      <w:r w:rsidR="00D410F3">
        <w:t>. ožujka 2021</w:t>
      </w:r>
      <w:r w:rsidRPr="00C1619A">
        <w:t>.</w:t>
      </w:r>
    </w:p>
    <w:p w14:paraId="04992A56" w14:textId="77777777" w:rsidR="00024D97" w:rsidRPr="00086B98" w:rsidRDefault="00024D97" w:rsidP="00024D97">
      <w:pPr>
        <w:spacing w:line="360" w:lineRule="auto"/>
      </w:pPr>
      <w:r w:rsidRPr="00086B9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7127"/>
      </w:tblGrid>
      <w:tr w:rsidR="00024D97" w:rsidRPr="00086B98" w14:paraId="3F57EDFA" w14:textId="77777777" w:rsidTr="009F4ED4">
        <w:tc>
          <w:tcPr>
            <w:tcW w:w="1945" w:type="dxa"/>
            <w:shd w:val="clear" w:color="auto" w:fill="auto"/>
          </w:tcPr>
          <w:p w14:paraId="02F9C936" w14:textId="77777777" w:rsidR="00024D97" w:rsidRPr="00086B98" w:rsidRDefault="00024D97" w:rsidP="009F4ED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086B98">
              <w:rPr>
                <w:b/>
                <w:smallCaps/>
                <w:sz w:val="20"/>
                <w:szCs w:val="20"/>
              </w:rPr>
              <w:t>Predlagatelj</w:t>
            </w:r>
            <w:r w:rsidRPr="00086B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27" w:type="dxa"/>
            <w:shd w:val="clear" w:color="auto" w:fill="auto"/>
          </w:tcPr>
          <w:p w14:paraId="43A8D749" w14:textId="77777777" w:rsidR="00024D97" w:rsidRPr="00086B98" w:rsidRDefault="008779D5" w:rsidP="009F4E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turizma i sporta</w:t>
            </w:r>
          </w:p>
        </w:tc>
      </w:tr>
    </w:tbl>
    <w:p w14:paraId="2B51743A" w14:textId="77777777" w:rsidR="00024D97" w:rsidRPr="00086B98" w:rsidRDefault="00024D97" w:rsidP="00024D97">
      <w:pPr>
        <w:spacing w:line="360" w:lineRule="auto"/>
      </w:pPr>
      <w:r w:rsidRPr="00086B9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3"/>
        <w:gridCol w:w="7139"/>
      </w:tblGrid>
      <w:tr w:rsidR="00024D97" w:rsidRPr="00086B98" w14:paraId="478AEF71" w14:textId="77777777" w:rsidTr="009F4ED4">
        <w:tc>
          <w:tcPr>
            <w:tcW w:w="1951" w:type="dxa"/>
            <w:shd w:val="clear" w:color="auto" w:fill="auto"/>
          </w:tcPr>
          <w:p w14:paraId="6EE497D4" w14:textId="77777777" w:rsidR="00024D97" w:rsidRPr="00086B98" w:rsidRDefault="00024D97" w:rsidP="009F4ED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086B98">
              <w:rPr>
                <w:b/>
                <w:smallCaps/>
                <w:sz w:val="20"/>
                <w:szCs w:val="20"/>
              </w:rPr>
              <w:t>Predmet</w:t>
            </w:r>
            <w:r w:rsidRPr="00086B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2A19A26" w14:textId="77777777" w:rsidR="009543FC" w:rsidRDefault="008779D5" w:rsidP="009543FC">
            <w:pPr>
              <w:pStyle w:val="ePar-0"/>
              <w:spacing w:before="0" w:after="0"/>
              <w:ind w:left="1646" w:hanging="1646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Prijedlog zakona o izmjeni i dopuni Zakona o turis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tičkoj pristojbi (predlagatelj:</w:t>
            </w:r>
          </w:p>
          <w:p w14:paraId="1CA380A5" w14:textId="77777777" w:rsidR="00024D97" w:rsidRPr="008779D5" w:rsidRDefault="008779D5" w:rsidP="009543FC">
            <w:pPr>
              <w:pStyle w:val="ePar-0"/>
              <w:spacing w:before="0" w:after="0"/>
              <w:ind w:left="1646" w:hanging="1646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Klub Zastupnika Hrvatskih suverenista u Hrvats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kome saboru) </w:t>
            </w:r>
            <w:r w:rsidR="00024D97" w:rsidRPr="00086B98">
              <w:rPr>
                <w:sz w:val="20"/>
                <w:szCs w:val="20"/>
              </w:rPr>
              <w:t xml:space="preserve"> </w:t>
            </w:r>
            <w:r w:rsidR="00024D97" w:rsidRPr="008779D5">
              <w:rPr>
                <w:rFonts w:ascii="Times New Roman" w:hAnsi="Times New Roman" w:cs="Times New Roman"/>
                <w:sz w:val="20"/>
                <w:szCs w:val="20"/>
              </w:rPr>
              <w:t>– mišljenje Vlade</w:t>
            </w:r>
            <w:r w:rsidR="00024D97" w:rsidRPr="00086B98">
              <w:rPr>
                <w:sz w:val="20"/>
                <w:szCs w:val="20"/>
              </w:rPr>
              <w:t xml:space="preserve"> </w:t>
            </w:r>
          </w:p>
        </w:tc>
      </w:tr>
    </w:tbl>
    <w:p w14:paraId="3810900D" w14:textId="77777777" w:rsidR="00024D97" w:rsidRPr="00086B98" w:rsidRDefault="00024D97" w:rsidP="00024D97">
      <w:pPr>
        <w:tabs>
          <w:tab w:val="left" w:pos="1843"/>
        </w:tabs>
        <w:spacing w:line="360" w:lineRule="auto"/>
        <w:ind w:left="1843" w:hanging="1843"/>
      </w:pPr>
      <w:r w:rsidRPr="00086B98">
        <w:t>__________________________________________________________________________</w:t>
      </w:r>
    </w:p>
    <w:p w14:paraId="6E731FEE" w14:textId="77777777" w:rsidR="00024D97" w:rsidRPr="00086B98" w:rsidRDefault="00024D97" w:rsidP="00024D97">
      <w:pPr>
        <w:tabs>
          <w:tab w:val="left" w:pos="1995"/>
        </w:tabs>
        <w:spacing w:line="360" w:lineRule="auto"/>
        <w:ind w:left="1843" w:hanging="1843"/>
        <w:rPr>
          <w:color w:val="000000"/>
        </w:rPr>
      </w:pPr>
      <w:r w:rsidRPr="00086B98">
        <w:rPr>
          <w:b/>
          <w:smallCaps/>
        </w:rPr>
        <w:tab/>
      </w:r>
    </w:p>
    <w:p w14:paraId="519CEC2A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0C1CE718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4BDA4368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0F58D5C2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5E0D394F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3C5C70A1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41599DAA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2602600C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442B654E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4FDA3CF9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0261FBEB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040A2996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14EA105A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72820148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00782BBF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1D32EE91" w14:textId="77777777" w:rsidR="00024D97" w:rsidRPr="00086B98" w:rsidRDefault="00024D97" w:rsidP="00024D97">
      <w:pPr>
        <w:pBdr>
          <w:top w:val="single" w:sz="4" w:space="1" w:color="404040"/>
        </w:pBdr>
        <w:tabs>
          <w:tab w:val="center" w:pos="4536"/>
          <w:tab w:val="right" w:pos="9072"/>
        </w:tabs>
        <w:ind w:left="122" w:firstLine="4"/>
        <w:jc w:val="center"/>
        <w:rPr>
          <w:color w:val="404040"/>
          <w:spacing w:val="20"/>
          <w:sz w:val="20"/>
          <w:szCs w:val="22"/>
        </w:rPr>
      </w:pPr>
      <w:r w:rsidRPr="00086B98">
        <w:rPr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45F702A6" w14:textId="77777777" w:rsidR="00024D97" w:rsidRPr="00086B98" w:rsidRDefault="00024D97" w:rsidP="00024D97">
      <w:pPr>
        <w:spacing w:line="360" w:lineRule="auto"/>
      </w:pPr>
    </w:p>
    <w:p w14:paraId="302D74B5" w14:textId="77777777" w:rsidR="00024D97" w:rsidRPr="00086B98" w:rsidRDefault="00024D97" w:rsidP="00024D9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24D97" w:rsidRPr="00086B98" w:rsidSect="00400CBA">
          <w:pgSz w:w="11906" w:h="16838"/>
          <w:pgMar w:top="993" w:right="1417" w:bottom="1276" w:left="1417" w:header="709" w:footer="658" w:gutter="0"/>
          <w:cols w:space="708"/>
          <w:docGrid w:linePitch="360"/>
        </w:sectPr>
      </w:pPr>
    </w:p>
    <w:p w14:paraId="5AE3102E" w14:textId="77CC2672" w:rsidR="00024D97" w:rsidRPr="00086B98" w:rsidRDefault="005960BA" w:rsidP="00024D9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  <w:r>
        <w:rPr>
          <w:b/>
          <w:snapToGrid w:val="0"/>
          <w:spacing w:val="-3"/>
          <w:lang w:eastAsia="en-US"/>
        </w:rPr>
        <w:lastRenderedPageBreak/>
        <w:tab/>
      </w:r>
      <w:r>
        <w:rPr>
          <w:b/>
          <w:snapToGrid w:val="0"/>
          <w:spacing w:val="-3"/>
          <w:lang w:eastAsia="en-US"/>
        </w:rPr>
        <w:tab/>
      </w:r>
      <w:r>
        <w:rPr>
          <w:b/>
          <w:snapToGrid w:val="0"/>
          <w:spacing w:val="-3"/>
          <w:lang w:eastAsia="en-US"/>
        </w:rPr>
        <w:tab/>
      </w:r>
      <w:r>
        <w:rPr>
          <w:b/>
          <w:snapToGrid w:val="0"/>
          <w:spacing w:val="-3"/>
          <w:lang w:eastAsia="en-US"/>
        </w:rPr>
        <w:tab/>
      </w:r>
      <w:r>
        <w:rPr>
          <w:b/>
          <w:snapToGrid w:val="0"/>
          <w:spacing w:val="-3"/>
          <w:lang w:eastAsia="en-US"/>
        </w:rPr>
        <w:tab/>
      </w:r>
      <w:r>
        <w:rPr>
          <w:b/>
          <w:snapToGrid w:val="0"/>
          <w:spacing w:val="-3"/>
          <w:lang w:eastAsia="en-US"/>
        </w:rPr>
        <w:tab/>
      </w:r>
      <w:r>
        <w:rPr>
          <w:b/>
          <w:snapToGrid w:val="0"/>
          <w:spacing w:val="-3"/>
          <w:lang w:eastAsia="en-US"/>
        </w:rPr>
        <w:tab/>
      </w:r>
      <w:r>
        <w:rPr>
          <w:b/>
          <w:snapToGrid w:val="0"/>
          <w:spacing w:val="-3"/>
          <w:lang w:eastAsia="en-US"/>
        </w:rPr>
        <w:tab/>
      </w:r>
      <w:r>
        <w:rPr>
          <w:b/>
          <w:snapToGrid w:val="0"/>
          <w:spacing w:val="-3"/>
          <w:lang w:eastAsia="en-US"/>
        </w:rPr>
        <w:tab/>
      </w:r>
      <w:r>
        <w:rPr>
          <w:b/>
          <w:snapToGrid w:val="0"/>
          <w:spacing w:val="-3"/>
          <w:lang w:eastAsia="en-US"/>
        </w:rPr>
        <w:tab/>
        <w:t>PRIJEDLOG</w:t>
      </w:r>
    </w:p>
    <w:p w14:paraId="53F0990A" w14:textId="77777777" w:rsidR="00024D97" w:rsidRPr="006D02BE" w:rsidRDefault="004F5D8E" w:rsidP="00024D97">
      <w:pPr>
        <w:widowControl w:val="0"/>
        <w:suppressAutoHyphens/>
        <w:jc w:val="both"/>
        <w:rPr>
          <w:snapToGrid w:val="0"/>
          <w:spacing w:val="-3"/>
          <w:lang w:eastAsia="en-US"/>
        </w:rPr>
      </w:pPr>
      <w:r w:rsidRPr="006D02BE">
        <w:rPr>
          <w:snapToGrid w:val="0"/>
          <w:spacing w:val="-3"/>
          <w:lang w:eastAsia="en-US"/>
        </w:rPr>
        <w:t>KLASA:</w:t>
      </w:r>
      <w:r w:rsidRPr="006D02BE">
        <w:rPr>
          <w:snapToGrid w:val="0"/>
          <w:spacing w:val="-3"/>
          <w:lang w:eastAsia="en-US"/>
        </w:rPr>
        <w:tab/>
      </w:r>
      <w:r w:rsidRPr="006D02BE">
        <w:rPr>
          <w:snapToGrid w:val="0"/>
          <w:spacing w:val="-3"/>
          <w:lang w:eastAsia="en-US"/>
        </w:rPr>
        <w:tab/>
      </w:r>
    </w:p>
    <w:p w14:paraId="41A77B46" w14:textId="218AB165" w:rsidR="00024D97" w:rsidRPr="006D02BE" w:rsidRDefault="004F5D8E" w:rsidP="008C3B7D">
      <w:pPr>
        <w:widowControl w:val="0"/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napToGrid w:val="0"/>
          <w:spacing w:val="-3"/>
          <w:lang w:eastAsia="en-US"/>
        </w:rPr>
      </w:pPr>
      <w:r w:rsidRPr="006D02BE">
        <w:rPr>
          <w:snapToGrid w:val="0"/>
          <w:spacing w:val="-3"/>
          <w:lang w:eastAsia="en-US"/>
        </w:rPr>
        <w:t>URBROJ:</w:t>
      </w:r>
      <w:r w:rsidRPr="006D02BE">
        <w:rPr>
          <w:snapToGrid w:val="0"/>
          <w:spacing w:val="-3"/>
          <w:lang w:eastAsia="en-US"/>
        </w:rPr>
        <w:tab/>
      </w:r>
    </w:p>
    <w:p w14:paraId="513108BE" w14:textId="77777777" w:rsidR="00024D97" w:rsidRPr="00086B98" w:rsidRDefault="00024D97" w:rsidP="00024D9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  <w:r w:rsidRPr="006D02BE">
        <w:rPr>
          <w:snapToGrid w:val="0"/>
          <w:spacing w:val="-3"/>
          <w:lang w:eastAsia="en-US"/>
        </w:rPr>
        <w:t>Zagreb,</w:t>
      </w:r>
      <w:r w:rsidRPr="006D02BE">
        <w:rPr>
          <w:snapToGrid w:val="0"/>
          <w:spacing w:val="-3"/>
          <w:lang w:eastAsia="en-US"/>
        </w:rPr>
        <w:tab/>
      </w:r>
      <w:r w:rsidRPr="00086B98">
        <w:rPr>
          <w:snapToGrid w:val="0"/>
          <w:spacing w:val="-3"/>
          <w:lang w:eastAsia="en-US"/>
        </w:rPr>
        <w:tab/>
      </w:r>
      <w:r w:rsidRPr="00086B98">
        <w:rPr>
          <w:snapToGrid w:val="0"/>
          <w:spacing w:val="-3"/>
          <w:lang w:eastAsia="en-US"/>
        </w:rPr>
        <w:tab/>
      </w:r>
      <w:r w:rsidRPr="00086B98">
        <w:rPr>
          <w:snapToGrid w:val="0"/>
          <w:spacing w:val="-3"/>
          <w:lang w:eastAsia="en-US"/>
        </w:rPr>
        <w:tab/>
      </w:r>
      <w:r w:rsidRPr="00086B98">
        <w:rPr>
          <w:snapToGrid w:val="0"/>
          <w:spacing w:val="-3"/>
          <w:lang w:eastAsia="en-US"/>
        </w:rPr>
        <w:tab/>
      </w:r>
    </w:p>
    <w:p w14:paraId="04821072" w14:textId="711AE93B" w:rsidR="00024D97" w:rsidRPr="00086B98" w:rsidRDefault="00024D97" w:rsidP="008C3B7D"/>
    <w:p w14:paraId="0CBD99A4" w14:textId="77777777" w:rsidR="00024D97" w:rsidRPr="00086B98" w:rsidRDefault="00024D97" w:rsidP="00024D97">
      <w:pPr>
        <w:ind w:left="4253"/>
        <w:jc w:val="both"/>
        <w:rPr>
          <w:b/>
        </w:rPr>
      </w:pPr>
      <w:r w:rsidRPr="00086B98">
        <w:rPr>
          <w:b/>
        </w:rPr>
        <w:t>PREDSJEDNIKU HRVATSKOGA SABORA</w:t>
      </w:r>
    </w:p>
    <w:p w14:paraId="256E0ECC" w14:textId="66D2D54A" w:rsidR="00024D97" w:rsidRPr="00086B98" w:rsidRDefault="00024D97" w:rsidP="008C3B7D">
      <w:pPr>
        <w:jc w:val="both"/>
        <w:rPr>
          <w:b/>
        </w:rPr>
      </w:pPr>
    </w:p>
    <w:p w14:paraId="0A3A7A16" w14:textId="77777777" w:rsidR="00024D97" w:rsidRPr="00086B98" w:rsidRDefault="00024D97" w:rsidP="00024D97">
      <w:pPr>
        <w:ind w:left="4253"/>
        <w:jc w:val="both"/>
        <w:rPr>
          <w:b/>
        </w:rPr>
      </w:pPr>
    </w:p>
    <w:p w14:paraId="006A4688" w14:textId="77777777" w:rsidR="00024D97" w:rsidRPr="00086B98" w:rsidRDefault="004F5D8E" w:rsidP="00024D97">
      <w:pPr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 w:rsidRPr="00086B98">
        <w:rPr>
          <w:color w:val="000000"/>
        </w:rPr>
        <w:t>PREDMET:</w:t>
      </w:r>
      <w:r w:rsidR="00024D97" w:rsidRPr="00086B98">
        <w:rPr>
          <w:color w:val="000000"/>
        </w:rPr>
        <w:tab/>
      </w:r>
      <w:r w:rsidR="00024D97" w:rsidRPr="00086B98">
        <w:t>Prije</w:t>
      </w:r>
      <w:r w:rsidR="008779D5">
        <w:t xml:space="preserve">dlog zakona o izmjeni i dopuni Zakona o turističkoj pristojbi </w:t>
      </w:r>
      <w:r w:rsidR="00024D97" w:rsidRPr="00086B98">
        <w:t xml:space="preserve">(predlagatelj: </w:t>
      </w:r>
      <w:r w:rsidR="006D02BE">
        <w:t>Klub z</w:t>
      </w:r>
      <w:r w:rsidR="008779D5">
        <w:t>astupnika Hrvatskih suverenista u Hrvatskome saboru</w:t>
      </w:r>
      <w:r w:rsidR="00024D97" w:rsidRPr="00086B98">
        <w:t>) – mišljenje Vlade</w:t>
      </w:r>
    </w:p>
    <w:p w14:paraId="08208D27" w14:textId="77777777" w:rsidR="00024D97" w:rsidRPr="00086B98" w:rsidRDefault="00024D97" w:rsidP="00024D97">
      <w:pPr>
        <w:autoSpaceDE w:val="0"/>
        <w:autoSpaceDN w:val="0"/>
        <w:adjustRightInd w:val="0"/>
        <w:jc w:val="both"/>
        <w:rPr>
          <w:color w:val="000000"/>
        </w:rPr>
      </w:pPr>
    </w:p>
    <w:p w14:paraId="4C48E0D7" w14:textId="494539FA" w:rsidR="00024D97" w:rsidRPr="00086B98" w:rsidRDefault="00024D97" w:rsidP="008C3B7D">
      <w:pPr>
        <w:autoSpaceDE w:val="0"/>
        <w:autoSpaceDN w:val="0"/>
        <w:adjustRightInd w:val="0"/>
        <w:ind w:left="1418" w:hanging="1418"/>
        <w:jc w:val="both"/>
      </w:pPr>
      <w:r w:rsidRPr="00086B98">
        <w:rPr>
          <w:color w:val="000000"/>
        </w:rPr>
        <w:t>Veza:</w:t>
      </w:r>
      <w:r w:rsidRPr="00086B98">
        <w:rPr>
          <w:color w:val="000000"/>
        </w:rPr>
        <w:tab/>
      </w:r>
      <w:r w:rsidRPr="00FC5167">
        <w:t>Pis</w:t>
      </w:r>
      <w:r w:rsidR="00FC5167" w:rsidRPr="00FC5167">
        <w:t xml:space="preserve">mo Hrvatskoga sabora, KLASA: </w:t>
      </w:r>
      <w:r w:rsidR="00FC5167" w:rsidRPr="00CD0767">
        <w:t>412-01/21-01/01</w:t>
      </w:r>
      <w:r w:rsidRPr="00CD0767">
        <w:t>, URBROJ: 65</w:t>
      </w:r>
      <w:r w:rsidR="00FC5167" w:rsidRPr="00CD0767">
        <w:t>-21-03, od 18. veljače 2021</w:t>
      </w:r>
      <w:r w:rsidR="006D02BE" w:rsidRPr="00CD0767">
        <w:t>.</w:t>
      </w:r>
      <w:r w:rsidRPr="00FC5167">
        <w:t xml:space="preserve"> </w:t>
      </w:r>
    </w:p>
    <w:p w14:paraId="22E681E8" w14:textId="77777777" w:rsidR="00024D97" w:rsidRPr="00086B98" w:rsidRDefault="00024D97" w:rsidP="00024D97">
      <w:pPr>
        <w:autoSpaceDE w:val="0"/>
        <w:autoSpaceDN w:val="0"/>
        <w:adjustRightInd w:val="0"/>
      </w:pPr>
    </w:p>
    <w:p w14:paraId="5D07C897" w14:textId="0AE3C00A" w:rsidR="00024D97" w:rsidRPr="00086B98" w:rsidRDefault="00024D97" w:rsidP="008C3B7D">
      <w:pPr>
        <w:autoSpaceDE w:val="0"/>
        <w:autoSpaceDN w:val="0"/>
        <w:adjustRightInd w:val="0"/>
        <w:ind w:firstLine="1418"/>
        <w:jc w:val="both"/>
      </w:pPr>
      <w:r w:rsidRPr="00086B98">
        <w:t>Na temelju članka 122. stavka 2. Poslovnika Hrvatskoga sabora („Narodne novine“, br. 81/13</w:t>
      </w:r>
      <w:r w:rsidR="001132FA">
        <w:t>.</w:t>
      </w:r>
      <w:r w:rsidRPr="00086B98">
        <w:t>, 113/16</w:t>
      </w:r>
      <w:r w:rsidR="001132FA">
        <w:t>.</w:t>
      </w:r>
      <w:r w:rsidRPr="00086B98">
        <w:t>, 69/17</w:t>
      </w:r>
      <w:r w:rsidR="001132FA">
        <w:t>.</w:t>
      </w:r>
      <w:r>
        <w:rPr>
          <w:color w:val="000000"/>
        </w:rPr>
        <w:t xml:space="preserve">, </w:t>
      </w:r>
      <w:r w:rsidRPr="00086B98">
        <w:rPr>
          <w:color w:val="000000"/>
        </w:rPr>
        <w:t>29/18</w:t>
      </w:r>
      <w:r w:rsidR="001132FA">
        <w:rPr>
          <w:color w:val="000000"/>
        </w:rPr>
        <w:t xml:space="preserve">., </w:t>
      </w:r>
      <w:r>
        <w:rPr>
          <w:color w:val="000000"/>
        </w:rPr>
        <w:t>53/20</w:t>
      </w:r>
      <w:r w:rsidR="001132FA">
        <w:rPr>
          <w:color w:val="000000"/>
        </w:rPr>
        <w:t>., 119/20. - Odluka Ustavnog suda Republike Hrvatske i 123/20.</w:t>
      </w:r>
      <w:r w:rsidRPr="00086B98">
        <w:t>), Vlada Republike Hrvatske o Prijedlog</w:t>
      </w:r>
      <w:r w:rsidR="0028411E">
        <w:t>u</w:t>
      </w:r>
      <w:r w:rsidRPr="00086B98">
        <w:t xml:space="preserve"> zakona </w:t>
      </w:r>
      <w:r w:rsidR="0028411E">
        <w:t xml:space="preserve">o izmjeni i dopuni Zakona o turističkoj pristojbi </w:t>
      </w:r>
      <w:r w:rsidRPr="00086B98">
        <w:t xml:space="preserve">(predlagatelj: </w:t>
      </w:r>
      <w:r w:rsidR="001132FA">
        <w:t>Klub z</w:t>
      </w:r>
      <w:r w:rsidR="0028411E">
        <w:t xml:space="preserve">astupnika Hrvatskih suverenista </w:t>
      </w:r>
      <w:r w:rsidRPr="00086B98">
        <w:t>u Hrvatskome saboru) daje sljedeće</w:t>
      </w:r>
    </w:p>
    <w:p w14:paraId="0EA74085" w14:textId="77777777" w:rsidR="00024D97" w:rsidRPr="00086B98" w:rsidRDefault="00024D97" w:rsidP="00024D97">
      <w:pPr>
        <w:autoSpaceDE w:val="0"/>
        <w:autoSpaceDN w:val="0"/>
        <w:adjustRightInd w:val="0"/>
        <w:jc w:val="center"/>
        <w:rPr>
          <w:b/>
          <w:bCs/>
        </w:rPr>
      </w:pPr>
    </w:p>
    <w:p w14:paraId="4162F280" w14:textId="77777777" w:rsidR="00024D97" w:rsidRPr="00086B98" w:rsidRDefault="00024D97" w:rsidP="00024D97">
      <w:pPr>
        <w:autoSpaceDE w:val="0"/>
        <w:autoSpaceDN w:val="0"/>
        <w:adjustRightInd w:val="0"/>
        <w:jc w:val="center"/>
      </w:pPr>
      <w:r w:rsidRPr="00086B98">
        <w:rPr>
          <w:b/>
          <w:bCs/>
        </w:rPr>
        <w:t>M I Š L J E N J E</w:t>
      </w:r>
    </w:p>
    <w:p w14:paraId="0BFDFD95" w14:textId="77777777" w:rsidR="001132FA" w:rsidRDefault="001132FA" w:rsidP="00024D97">
      <w:pPr>
        <w:jc w:val="both"/>
      </w:pPr>
    </w:p>
    <w:p w14:paraId="29F5F1E1" w14:textId="77777777" w:rsidR="001132FA" w:rsidRDefault="00024D97" w:rsidP="008C3B7D">
      <w:pPr>
        <w:ind w:firstLine="1418"/>
        <w:jc w:val="both"/>
      </w:pPr>
      <w:r w:rsidRPr="00874B2C">
        <w:t xml:space="preserve">Vlada Republike Hrvatske predlaže Hrvatskome saboru da ne prihvati Prijedlog zakona o </w:t>
      </w:r>
      <w:r w:rsidR="0028411E">
        <w:t>izmjeni i dopuni Zakona o turističkoj pristojbi</w:t>
      </w:r>
      <w:r w:rsidRPr="00874B2C">
        <w:t xml:space="preserve"> (u daljnjem tekstu: Prijedlog zakona) koji je predsjedniku Hrvatskoga sabora podnio </w:t>
      </w:r>
      <w:r w:rsidR="001132FA">
        <w:t>Klub z</w:t>
      </w:r>
      <w:r w:rsidR="0028411E">
        <w:t>astupnika Hrvatskih suverenista u</w:t>
      </w:r>
      <w:r w:rsidRPr="00874B2C">
        <w:t xml:space="preserve"> Hrvatskome saboru, </w:t>
      </w:r>
      <w:r w:rsidRPr="00FC5167">
        <w:t xml:space="preserve">aktom </w:t>
      </w:r>
      <w:r w:rsidR="00FC5167" w:rsidRPr="00FC5167">
        <w:t xml:space="preserve">od </w:t>
      </w:r>
      <w:r w:rsidR="00FC5167" w:rsidRPr="00A355FE">
        <w:t>17. veljače 2021</w:t>
      </w:r>
      <w:r w:rsidR="001132FA" w:rsidRPr="00A355FE">
        <w:t>.</w:t>
      </w:r>
      <w:r w:rsidRPr="00A355FE">
        <w:t>, iz sljedećih</w:t>
      </w:r>
      <w:r w:rsidRPr="00874B2C">
        <w:t xml:space="preserve"> razloga:</w:t>
      </w:r>
    </w:p>
    <w:p w14:paraId="5B4D19C8" w14:textId="77777777" w:rsidR="001132FA" w:rsidRDefault="001132FA" w:rsidP="008C3B7D">
      <w:pPr>
        <w:ind w:firstLine="1418"/>
        <w:jc w:val="both"/>
      </w:pPr>
    </w:p>
    <w:p w14:paraId="37E2EDB7" w14:textId="77777777" w:rsidR="008C74D0" w:rsidRDefault="001132FA" w:rsidP="008C3B7D">
      <w:pPr>
        <w:ind w:firstLine="1418"/>
        <w:jc w:val="both"/>
      </w:pPr>
      <w:r>
        <w:t>Predlagatelj</w:t>
      </w:r>
      <w:r w:rsidR="0028411E" w:rsidRPr="001132FA">
        <w:t xml:space="preserve"> </w:t>
      </w:r>
      <w:r>
        <w:t>predlaže</w:t>
      </w:r>
      <w:r w:rsidR="0028411E" w:rsidRPr="001132FA">
        <w:t xml:space="preserve"> da se u Zakonu o turističkoj pristojbi </w:t>
      </w:r>
      <w:r w:rsidR="008C74D0">
        <w:t xml:space="preserve">(„Narodne novine“, br. 52/19., 32/20. i 42/20.) </w:t>
      </w:r>
      <w:r w:rsidR="0028411E" w:rsidRPr="001132FA">
        <w:t xml:space="preserve">promijeni odredba članka </w:t>
      </w:r>
      <w:r w:rsidR="008C74D0">
        <w:t>14.a</w:t>
      </w:r>
      <w:r w:rsidR="0028411E" w:rsidRPr="001132FA">
        <w:t xml:space="preserve"> stavka 1. na način da se tom odredbom propiše da se zbog posebnih okolnosti osobe koje pružaju ugostiteljske usluge u domaćinstvu i na obiteljskom poljoprivrednom gospodarstvu oslobode plaćanja pola iznosa godišnjeg paušalnog iznosa turističke pristojbe za glavni krevet i smještajnu jedinicu u kampu i kamp-odmorištu odnosno prema kapacitetu u </w:t>
      </w:r>
      <w:r w:rsidR="008C74D0">
        <w:t>objektu za robinzonski smještaj</w:t>
      </w:r>
      <w:r w:rsidR="0028411E" w:rsidRPr="001132FA">
        <w:t xml:space="preserve"> te da se iza stavka 2. doda stavak 3., kojim bi se definirale sve buduće “posebne okolnosti” na način da posebne okolnosti podrazumijevaju i pad prihoda u iznosu većem od 50</w:t>
      </w:r>
      <w:r w:rsidR="008C74D0">
        <w:t xml:space="preserve"> </w:t>
      </w:r>
      <w:r w:rsidR="0028411E" w:rsidRPr="001132FA">
        <w:t>% u odnosu na zadnju godinu u kojoj nisu bile proglašene posebne okolnosti. Ujedno</w:t>
      </w:r>
      <w:r w:rsidR="008C74D0">
        <w:t>, predlaže</w:t>
      </w:r>
      <w:r w:rsidR="0028411E" w:rsidRPr="001132FA">
        <w:t xml:space="preserve"> </w:t>
      </w:r>
      <w:r w:rsidR="008C74D0">
        <w:t xml:space="preserve">se </w:t>
      </w:r>
      <w:r w:rsidR="0028411E" w:rsidRPr="001132FA">
        <w:t xml:space="preserve">iz dosadašnjeg stavka 3. koji </w:t>
      </w:r>
      <w:r w:rsidR="0028411E" w:rsidRPr="001132FA">
        <w:lastRenderedPageBreak/>
        <w:t>bi trebao postati stavak 4., brisati riječi: „na mjestu izvršenja prekršaja za obveznike navedene u pravilniku iz stavka 1. ovoga članka“.</w:t>
      </w:r>
    </w:p>
    <w:p w14:paraId="17C65A14" w14:textId="77777777" w:rsidR="008C74D0" w:rsidRDefault="008C74D0" w:rsidP="008C3B7D">
      <w:pPr>
        <w:ind w:firstLine="1418"/>
        <w:jc w:val="both"/>
      </w:pPr>
    </w:p>
    <w:p w14:paraId="2F7A6784" w14:textId="1CE93915" w:rsidR="0028411E" w:rsidRPr="008C74D0" w:rsidRDefault="008C74D0" w:rsidP="008C3B7D">
      <w:pPr>
        <w:ind w:firstLine="1418"/>
        <w:jc w:val="both"/>
      </w:pPr>
      <w:r>
        <w:t>Predlagatelj</w:t>
      </w:r>
      <w:r w:rsidR="0028411E" w:rsidRPr="008C74D0">
        <w:t xml:space="preserve"> smatra da se oslobođenje koje je utvrđeno Pravilnikom o odgodi ili oslobađanju od plaćanja turističke pristojbe za osobe koje pružaju ugostiteljske usluge u domaćinstvu ili na obiteljskom poljoprivrednom gospodarstvu (</w:t>
      </w:r>
      <w:r>
        <w:t>„Narodne novine“, br.</w:t>
      </w:r>
      <w:r w:rsidR="0028411E" w:rsidRPr="008C74D0">
        <w:t xml:space="preserve"> 36/20</w:t>
      </w:r>
      <w:r>
        <w:t>.</w:t>
      </w:r>
      <w:r w:rsidR="0028411E" w:rsidRPr="008C74D0">
        <w:t xml:space="preserve"> i 105/20</w:t>
      </w:r>
      <w:r w:rsidR="00AA4224">
        <w:t>.,</w:t>
      </w:r>
      <w:r w:rsidR="0028411E" w:rsidRPr="008C74D0">
        <w:t xml:space="preserve"> u daljnjem tekstu: Pravilnik)</w:t>
      </w:r>
      <w:r>
        <w:t xml:space="preserve"> </w:t>
      </w:r>
      <w:r w:rsidR="0028411E" w:rsidRPr="008C74D0">
        <w:t>u uvjetima po</w:t>
      </w:r>
      <w:r>
        <w:t>sebnih okolnosti za 2020.</w:t>
      </w:r>
      <w:r w:rsidR="0028411E" w:rsidRPr="008C74D0">
        <w:t>, treba na predloženi način propisati Zakonom o turističkoj pristojbi kako bi se predloženo oslobođenje primjenjivalo automatizmom u slučaju posebnih okolnosti kad je pad prometa veći od 50</w:t>
      </w:r>
      <w:r>
        <w:t xml:space="preserve"> </w:t>
      </w:r>
      <w:r w:rsidR="0028411E" w:rsidRPr="008C74D0">
        <w:t xml:space="preserve">%. </w:t>
      </w:r>
    </w:p>
    <w:p w14:paraId="05E1F9EA" w14:textId="77777777" w:rsidR="0031102B" w:rsidRDefault="0031102B" w:rsidP="008C3B7D">
      <w:pPr>
        <w:pStyle w:val="ePar-0"/>
        <w:spacing w:before="0" w:after="0" w:line="240" w:lineRule="auto"/>
        <w:ind w:firstLine="720"/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14:paraId="493D3A02" w14:textId="77777777" w:rsidR="008B0EF4" w:rsidRDefault="0028411E" w:rsidP="008C3B7D">
      <w:pPr>
        <w:ind w:firstLine="1418"/>
        <w:jc w:val="both"/>
      </w:pPr>
      <w:r>
        <w:t>Člankom 12. Zakona o turističkoj pristojbi propisano je da osobe koje pružaju</w:t>
      </w:r>
      <w:r w:rsidRPr="001B3FE3">
        <w:t xml:space="preserve"> </w:t>
      </w:r>
      <w:r>
        <w:t>ugostiteljske usluge u domaćinstvu ili na obiteljskom poljoprivrednom gospodarstvu, plaćaju godišnji paušalni iznos turističke pristojbe za svaki krevet (glavni i pomoćni) i smještajnu jedinicu u kampu ili kamp odmorištu, odnosno prema kapacitetu u objektu za robinzonski smještaj, koji se koriste za pružanje usluga smještaja sukladno posebnom propisu kojim se uređuje obavljanje ugostiteljske djelatnosti.</w:t>
      </w:r>
    </w:p>
    <w:p w14:paraId="4CE73AD0" w14:textId="77777777" w:rsidR="0028411E" w:rsidRDefault="0028411E" w:rsidP="008C3B7D">
      <w:pPr>
        <w:ind w:firstLine="720"/>
        <w:jc w:val="both"/>
      </w:pPr>
    </w:p>
    <w:p w14:paraId="5DC82077" w14:textId="270917F3" w:rsidR="008B0EF4" w:rsidRDefault="0028411E" w:rsidP="008C3B7D">
      <w:pPr>
        <w:ind w:firstLine="1418"/>
        <w:jc w:val="both"/>
      </w:pPr>
      <w:r>
        <w:t>Pravilnikom</w:t>
      </w:r>
      <w:r w:rsidRPr="0034052D">
        <w:t xml:space="preserve"> </w:t>
      </w:r>
      <w:r w:rsidR="00A00430">
        <w:t xml:space="preserve">je </w:t>
      </w:r>
      <w:r>
        <w:t>pr</w:t>
      </w:r>
      <w:r w:rsidR="00A00430">
        <w:t xml:space="preserve">opisano </w:t>
      </w:r>
      <w:r>
        <w:t>da se osobe koje pružaju ugostiteljske usluge u domaćinstvu i na obiteljskom poljoprivrednom gospodarstvu, oslobađaju plaćanja pola iznosa godišnjeg paušalnog iznosa turističke pristojbe za glavni krevet i smještajnu jedinicu u kampu i kamp-odmorištu odnosno prema kapacitetu u objektu</w:t>
      </w:r>
      <w:r w:rsidR="0056050C">
        <w:t xml:space="preserve"> za robinzonski smještaj, dok se</w:t>
      </w:r>
      <w:r>
        <w:t xml:space="preserve"> u cijelosti oslobađaju plaćanja godišnjeg paušalnog iznosa turističke pristojbe za pomoćne krevete</w:t>
      </w:r>
      <w:r w:rsidRPr="00D244CF">
        <w:t xml:space="preserve"> </w:t>
      </w:r>
      <w:r w:rsidR="00C4257A">
        <w:t>za 2020</w:t>
      </w:r>
      <w:r w:rsidRPr="00C4257A">
        <w:t>.</w:t>
      </w:r>
      <w:r w:rsidR="00EA6564">
        <w:t xml:space="preserve"> godinu.</w:t>
      </w:r>
    </w:p>
    <w:p w14:paraId="61926C71" w14:textId="77777777" w:rsidR="0028411E" w:rsidRDefault="0028411E" w:rsidP="008C3B7D">
      <w:pPr>
        <w:ind w:firstLine="720"/>
        <w:jc w:val="both"/>
      </w:pPr>
    </w:p>
    <w:p w14:paraId="49570484" w14:textId="171C9331" w:rsidR="0028411E" w:rsidRDefault="00333EA8" w:rsidP="008C3B7D">
      <w:pPr>
        <w:ind w:firstLine="1418"/>
        <w:jc w:val="both"/>
      </w:pPr>
      <w:r>
        <w:t>Predloženim izmjenama, namjera je unijeti u tekst Zakona drugačije uređenje ovih pitanja u slučaju izvanrednih okolnosti.</w:t>
      </w:r>
    </w:p>
    <w:p w14:paraId="2A551126" w14:textId="77777777" w:rsidR="008B0EF4" w:rsidRDefault="008B0EF4" w:rsidP="008C3B7D">
      <w:pPr>
        <w:ind w:firstLine="720"/>
        <w:jc w:val="both"/>
      </w:pPr>
    </w:p>
    <w:p w14:paraId="1F340EC1" w14:textId="1E6328A2" w:rsidR="00C2755F" w:rsidRPr="00090E7A" w:rsidRDefault="00C2755F" w:rsidP="008C3B7D">
      <w:pPr>
        <w:ind w:firstLine="1418"/>
        <w:jc w:val="both"/>
      </w:pPr>
      <w:r>
        <w:t>Sukladno odredbi članka 14.a</w:t>
      </w:r>
      <w:r w:rsidR="0028411E" w:rsidRPr="00090E7A">
        <w:t xml:space="preserve"> stavka 1. Zakona o turističkoj pristojbi, ovlašten je ministar nadležan za turizam, pravilnikom, u uvjetima posebnih okolnosti, propisati odgodu ili oslobođenje od plaćanja turističke pristojbe za obveznike plaćanja turističke pristojbe, iz čega proizlazi da propisano ovlaštenje šire definira i daje mogućnost većeg oslobađanja od plaćanja turističke pristojbe </w:t>
      </w:r>
      <w:r w:rsidR="00706809">
        <w:t xml:space="preserve">nego odredba kojom se predlaže </w:t>
      </w:r>
      <w:r w:rsidR="0028411E" w:rsidRPr="00090E7A">
        <w:t>oslobađanje plaćanja pola godišnjeg paušalnog iznosa turističke pristojbe.</w:t>
      </w:r>
    </w:p>
    <w:p w14:paraId="6820E30A" w14:textId="77777777" w:rsidR="003E2B93" w:rsidRPr="00090E7A" w:rsidRDefault="003E2B93" w:rsidP="008C3B7D"/>
    <w:p w14:paraId="50B2D3FE" w14:textId="47E57939" w:rsidR="0028411E" w:rsidRDefault="0028411E" w:rsidP="008C3B7D">
      <w:pPr>
        <w:ind w:firstLine="1418"/>
        <w:jc w:val="both"/>
      </w:pPr>
      <w:r w:rsidRPr="00090E7A">
        <w:t>Naved</w:t>
      </w:r>
      <w:r w:rsidR="0037354C">
        <w:t>eno potvrđuje da je predmetnim</w:t>
      </w:r>
      <w:r w:rsidRPr="00090E7A">
        <w:t xml:space="preserve"> Pravilnikom propisano da su osobe, kojima je utvrđen prestanak pružanja ugostiteljskih usluga u domaćinstvu ili na obiteljskom poljoprivrednom gospodarstvu ili im je utvrđeno smanjenje broja kreveta ili kapaciteta objekta, oslobođene plaćanja godišnjeg paušalnog iznosa turi</w:t>
      </w:r>
      <w:r w:rsidR="0037354C">
        <w:t>stičke pristojbe za 2020.</w:t>
      </w:r>
      <w:r w:rsidR="00EA6564">
        <w:t xml:space="preserve"> godinu</w:t>
      </w:r>
      <w:r w:rsidRPr="00090E7A">
        <w:t>, do dospijeća drugog obroka turističke pristojbe i ako u objektima na koje se smanjenje odnosi, prema podacima iz sustava e-Visitor nije bilo evidentirano n</w:t>
      </w:r>
      <w:r w:rsidR="0037354C">
        <w:t>iti jedno noćenje u 2020.</w:t>
      </w:r>
      <w:r w:rsidR="00EA6564">
        <w:t xml:space="preserve"> godini</w:t>
      </w:r>
      <w:r w:rsidRPr="00090E7A">
        <w:t>, dok su iznajmljivači čiji su objekti stradali u potresu, označeni crvenom ili žutom oznakom, oslobođeni plaćanja godišnjeg paušalnog iznosa turi</w:t>
      </w:r>
      <w:r w:rsidR="0037354C">
        <w:t>stičke pristojbe za 2020</w:t>
      </w:r>
      <w:r w:rsidRPr="00090E7A">
        <w:t>.</w:t>
      </w:r>
      <w:r w:rsidR="00EA6564">
        <w:t xml:space="preserve"> godinu.</w:t>
      </w:r>
    </w:p>
    <w:p w14:paraId="777B9D8C" w14:textId="77777777" w:rsidR="00155B9B" w:rsidRPr="00090E7A" w:rsidRDefault="00155B9B" w:rsidP="008C3B7D"/>
    <w:p w14:paraId="5C5801BD" w14:textId="30A7E1CE" w:rsidR="0028411E" w:rsidRDefault="0028411E" w:rsidP="008C3B7D">
      <w:pPr>
        <w:ind w:firstLine="1418"/>
        <w:jc w:val="both"/>
      </w:pPr>
      <w:r>
        <w:lastRenderedPageBreak/>
        <w:t>Ujedno je Pravilnikom</w:t>
      </w:r>
      <w:r w:rsidRPr="00531235">
        <w:t xml:space="preserve"> o dopuni Pravilnika o godišn</w:t>
      </w:r>
      <w:r>
        <w:t>je</w:t>
      </w:r>
      <w:r w:rsidRPr="00531235">
        <w:t>m paušalnom iznosu članarine za</w:t>
      </w:r>
      <w:r>
        <w:t xml:space="preserve"> </w:t>
      </w:r>
      <w:r w:rsidRPr="00531235">
        <w:t>osobe koje pružaju ugostiteljske</w:t>
      </w:r>
      <w:r>
        <w:t xml:space="preserve"> usluge u domaćinstvu i na obit</w:t>
      </w:r>
      <w:r w:rsidRPr="00531235">
        <w:t>e</w:t>
      </w:r>
      <w:r>
        <w:t>l</w:t>
      </w:r>
      <w:r w:rsidRPr="00531235">
        <w:t>jskom poljoprivrednom gospodarstvu i o obra</w:t>
      </w:r>
      <w:r>
        <w:t>s</w:t>
      </w:r>
      <w:r w:rsidRPr="00531235">
        <w:t>cima</w:t>
      </w:r>
      <w:r>
        <w:t xml:space="preserve"> TZ za plaćanje članarine tur</w:t>
      </w:r>
      <w:r w:rsidRPr="00531235">
        <w:t>ističkoj zajednici (</w:t>
      </w:r>
      <w:r>
        <w:t>„</w:t>
      </w:r>
      <w:r w:rsidRPr="00531235">
        <w:t>Narodne novine</w:t>
      </w:r>
      <w:r>
        <w:t>“</w:t>
      </w:r>
      <w:r w:rsidRPr="00531235">
        <w:t>, br</w:t>
      </w:r>
      <w:r>
        <w:t>oj 88/20</w:t>
      </w:r>
      <w:r w:rsidR="0037354C">
        <w:t>.</w:t>
      </w:r>
      <w:r w:rsidRPr="00531235">
        <w:t>) visina god</w:t>
      </w:r>
      <w:r>
        <w:t>išnjeg pauš</w:t>
      </w:r>
      <w:r w:rsidRPr="00531235">
        <w:t>a</w:t>
      </w:r>
      <w:r>
        <w:t>l</w:t>
      </w:r>
      <w:r w:rsidRPr="00531235">
        <w:t xml:space="preserve">nog </w:t>
      </w:r>
      <w:r>
        <w:t>iznosa članarine u 2020.</w:t>
      </w:r>
      <w:r w:rsidR="00EA6564">
        <w:t xml:space="preserve"> godini</w:t>
      </w:r>
      <w:r>
        <w:t xml:space="preserve"> </w:t>
      </w:r>
      <w:r w:rsidR="00BD4F11">
        <w:t xml:space="preserve">umanjena </w:t>
      </w:r>
      <w:r w:rsidRPr="00531235">
        <w:t>za 50</w:t>
      </w:r>
      <w:r w:rsidR="00BD4F11">
        <w:t xml:space="preserve"> </w:t>
      </w:r>
      <w:r w:rsidRPr="00531235">
        <w:t xml:space="preserve">% te </w:t>
      </w:r>
      <w:r>
        <w:t xml:space="preserve">su ove osobe </w:t>
      </w:r>
      <w:r w:rsidRPr="00531235">
        <w:t>os</w:t>
      </w:r>
      <w:r>
        <w:t>l</w:t>
      </w:r>
      <w:r w:rsidRPr="00531235">
        <w:t>obođ</w:t>
      </w:r>
      <w:r>
        <w:t xml:space="preserve">ene </w:t>
      </w:r>
      <w:r w:rsidRPr="00531235">
        <w:t xml:space="preserve">i </w:t>
      </w:r>
      <w:r>
        <w:t xml:space="preserve">plaćanja </w:t>
      </w:r>
      <w:r w:rsidRPr="00531235">
        <w:t>godišn</w:t>
      </w:r>
      <w:r>
        <w:t>jeg pauš</w:t>
      </w:r>
      <w:r w:rsidRPr="00531235">
        <w:t>alnog izno</w:t>
      </w:r>
      <w:r>
        <w:t>sa članarine za pomoćne ležajeve</w:t>
      </w:r>
      <w:r w:rsidRPr="00531235">
        <w:t>.</w:t>
      </w:r>
    </w:p>
    <w:p w14:paraId="37478F7F" w14:textId="77777777" w:rsidR="00155B9B" w:rsidRPr="00875E52" w:rsidRDefault="00155B9B" w:rsidP="008C3B7D"/>
    <w:p w14:paraId="4F58BAD3" w14:textId="74CC7AAF" w:rsidR="0028411E" w:rsidRDefault="0028411E" w:rsidP="008C3B7D">
      <w:pPr>
        <w:ind w:firstLine="1418"/>
        <w:jc w:val="both"/>
      </w:pPr>
      <w:r>
        <w:t>Iz navedenog</w:t>
      </w:r>
      <w:r w:rsidR="00C2755F">
        <w:t>a</w:t>
      </w:r>
      <w:r>
        <w:t xml:space="preserve"> je razvidno da se predmetno oslobođenje odnosi na uvjete posebnih okolnosti nastale pandemijom/epidemijom</w:t>
      </w:r>
      <w:r w:rsidRPr="00531235">
        <w:t xml:space="preserve"> bolesti COVID-19</w:t>
      </w:r>
      <w:r w:rsidRPr="00671082">
        <w:t xml:space="preserve"> </w:t>
      </w:r>
      <w:r w:rsidR="00C2755F">
        <w:t>u 2020.</w:t>
      </w:r>
      <w:r>
        <w:t xml:space="preserve">, zbog koje je </w:t>
      </w:r>
      <w:r w:rsidRPr="00531235">
        <w:t>Vlada</w:t>
      </w:r>
      <w:r>
        <w:t xml:space="preserve"> Republike Hrvatske poduzela </w:t>
      </w:r>
      <w:r w:rsidRPr="00531235">
        <w:t xml:space="preserve">niz mjera </w:t>
      </w:r>
      <w:r>
        <w:t xml:space="preserve">kako bi se u okviru financijskih mogućnosti stvorili što normalniji uvjeti života i rada </w:t>
      </w:r>
      <w:r w:rsidR="00C2755F">
        <w:t>svih građana i poduzetnika, kao</w:t>
      </w:r>
      <w:r>
        <w:t xml:space="preserve"> i osoba koje pružaju ugostiteljske usluge u domaćinstvu ili na</w:t>
      </w:r>
      <w:r w:rsidRPr="00D244CF">
        <w:t xml:space="preserve"> </w:t>
      </w:r>
      <w:r>
        <w:t>obiteljskom poljoprivrednom gospodarstvu.</w:t>
      </w:r>
    </w:p>
    <w:p w14:paraId="1A0419A1" w14:textId="77777777" w:rsidR="00F46673" w:rsidRDefault="00F46673" w:rsidP="008C3B7D"/>
    <w:p w14:paraId="2A57FB53" w14:textId="00092AA5" w:rsidR="0028411E" w:rsidRDefault="0028411E" w:rsidP="008C3B7D">
      <w:pPr>
        <w:ind w:firstLine="1418"/>
        <w:jc w:val="both"/>
      </w:pPr>
      <w:r>
        <w:t>Iz dostavljenog obrazloženja nisu razvidni razlozi zbog kojih bi posebne okolnosti, definirane člankom 14.a stavkom 2. Zakona o turističkoj pristojbi</w:t>
      </w:r>
      <w:r w:rsidRPr="00F77899">
        <w:t>, predstavljale i pad prihoda veći od 50</w:t>
      </w:r>
      <w:r w:rsidR="00C2755F">
        <w:t xml:space="preserve"> </w:t>
      </w:r>
      <w:r w:rsidRPr="00F77899">
        <w:t>% u odnosu na zadnju godinu u kojoj nisu bile proglašene posebne okolnosti, a zbog nastalih posebnih okolnosti, odnosno je li pad prihoda veći od 50</w:t>
      </w:r>
      <w:r w:rsidR="00C2755F">
        <w:t xml:space="preserve"> </w:t>
      </w:r>
      <w:r w:rsidRPr="00F77899">
        <w:t>% posebna okolnost ili posljedica posebnih okolnosti u kojima je došlo do smanjenja prihoda osoba koje pružaju ugostiteljske usluge u domaćinstvu ili na obiteljskom poljoprivrednom gospodarstvu. U uvjetima mogućeg ponavljanja posebnih okolnosti, upitno je i predloženo određivanje godine u odnosu na koju bi se mjerio pad prihoda od 50</w:t>
      </w:r>
      <w:r w:rsidR="00C2755F">
        <w:t xml:space="preserve"> </w:t>
      </w:r>
      <w:r w:rsidRPr="00F77899">
        <w:t>%, s obzirom na mogućnost da takva godina bude prihodovno nepovoljna zbog posljedica godine posebnih okolnosti, što bi dodatno moglo otežati položaj ovih osoba.</w:t>
      </w:r>
    </w:p>
    <w:p w14:paraId="0C515DB9" w14:textId="77777777" w:rsidR="008B0EF4" w:rsidRDefault="008B0EF4" w:rsidP="008C3B7D">
      <w:pPr>
        <w:ind w:firstLine="720"/>
        <w:jc w:val="both"/>
      </w:pPr>
    </w:p>
    <w:p w14:paraId="28852906" w14:textId="6558E38E" w:rsidR="008B0EF4" w:rsidRDefault="0028411E" w:rsidP="008C3B7D">
      <w:pPr>
        <w:ind w:firstLine="1418"/>
        <w:jc w:val="both"/>
      </w:pPr>
      <w:r w:rsidRPr="0042245B">
        <w:t>Nadalje, iz dostavljenog obrazloženja nisu razvidni niti razlozi zbog kojih bi se predloženo smanjenje turističke pristojbe trebalo primjenjivati kao automatizam u slučaju po</w:t>
      </w:r>
      <w:r w:rsidR="00BD4F11">
        <w:t>sebnih okolnosti iz članka 14.a</w:t>
      </w:r>
      <w:r w:rsidRPr="0042245B">
        <w:t xml:space="preserve"> stavka 2. Zakona o turističkoj pristojbi, niti je definirano kada će se predloženo oslobođenje utvrđivati, je li to prestanak posebnih okolnosti ili kalendarska godina, s obzirom na rokove uplate turističke pristojbe turističkoj zajednici propisane člankom 17. stavkom 2. Zakona o turističkoj pristojbi (jednokratno u punom iznosu do 31. srpnja tekuće godine ili u tri jednaka obroka koji dospijevaju 31. srpnja, 31. kolovoza i 30 rujna tekuće godine), imajući u vidu da posebne okolnosti mogu trajati i duže od godinu dana, kao primjerice pandemija/epidemija bolesti COVID-19.</w:t>
      </w:r>
    </w:p>
    <w:p w14:paraId="1783821B" w14:textId="3286488F" w:rsidR="0028411E" w:rsidRDefault="0028411E" w:rsidP="008C3B7D">
      <w:pPr>
        <w:ind w:firstLine="720"/>
        <w:jc w:val="both"/>
      </w:pPr>
    </w:p>
    <w:p w14:paraId="2B22FEC1" w14:textId="52FF9A01" w:rsidR="0028411E" w:rsidRDefault="0028411E" w:rsidP="008C3B7D">
      <w:pPr>
        <w:ind w:firstLine="1418"/>
        <w:jc w:val="both"/>
      </w:pPr>
      <w:r>
        <w:t>Nije osnovan prijedlog da se iz</w:t>
      </w:r>
      <w:r w:rsidRPr="006328C8">
        <w:t xml:space="preserve"> </w:t>
      </w:r>
      <w:r>
        <w:t>do</w:t>
      </w:r>
      <w:r w:rsidR="00BD4F11">
        <w:t>sadašnjeg stavka 3. članka 14.a</w:t>
      </w:r>
      <w:r>
        <w:t xml:space="preserve"> koji bi trebao postati stavak 4., brišu riječi: „na mjestu izvršenja prekršaja za obveznike navedene u pravilniku iz stavka 1. ovoga članka“, s obzirom </w:t>
      </w:r>
      <w:r w:rsidR="00954F68">
        <w:t xml:space="preserve">na to </w:t>
      </w:r>
      <w:r>
        <w:t>da se radi o naplati novčane kazne na mjestu počinjenja prekršaja propisanoj člankom 28. stavkom 3. Zakona o turističkoj pristojbi, slijedom čega za predloženo brisanje ne postoje razlozi, niti je u prijedlogu za to dano obrazloženje.</w:t>
      </w:r>
    </w:p>
    <w:p w14:paraId="78940DBF" w14:textId="77777777" w:rsidR="008B0EF4" w:rsidRDefault="008B0EF4" w:rsidP="008C3B7D">
      <w:pPr>
        <w:ind w:firstLine="720"/>
        <w:jc w:val="both"/>
      </w:pPr>
    </w:p>
    <w:p w14:paraId="62E05E35" w14:textId="7D3BEA26" w:rsidR="008B0EF4" w:rsidRDefault="0028411E" w:rsidP="008C3B7D">
      <w:pPr>
        <w:ind w:firstLine="1418"/>
        <w:jc w:val="both"/>
      </w:pPr>
      <w:r>
        <w:lastRenderedPageBreak/>
        <w:t xml:space="preserve">S </w:t>
      </w:r>
      <w:r w:rsidRPr="009F03BA">
        <w:t xml:space="preserve">obzirom </w:t>
      </w:r>
      <w:r w:rsidR="00954F68">
        <w:t xml:space="preserve">na to </w:t>
      </w:r>
      <w:r w:rsidRPr="009F03BA">
        <w:t>da uvjeti posebnih okolnosti mogu nastati zbog različitih uzroka te tako izazvati uzroku svoj</w:t>
      </w:r>
      <w:r w:rsidR="00BD4F11">
        <w:t>stvene posljedice, smatramo da P</w:t>
      </w:r>
      <w:r w:rsidRPr="009F03BA">
        <w:t>rijedlog</w:t>
      </w:r>
      <w:r w:rsidR="00BD4F11">
        <w:t xml:space="preserve"> zakona</w:t>
      </w:r>
      <w:r w:rsidRPr="009F03BA">
        <w:t xml:space="preserve"> ne sadrži razloge niti dostatno obrazloženje da bi se mogla podržati predložena izmjena članka 14.a Zakona o turisti</w:t>
      </w:r>
      <w:r w:rsidR="00BD4F11">
        <w:t>čkoj pristojbi, osobito što se P</w:t>
      </w:r>
      <w:r w:rsidRPr="009F03BA">
        <w:t>rijedlog</w:t>
      </w:r>
      <w:r w:rsidR="00BD4F11">
        <w:t xml:space="preserve"> zakona</w:t>
      </w:r>
      <w:r w:rsidRPr="009F03BA">
        <w:t xml:space="preserve"> odnosi na izuzetne situacije u uvjetima posebnih okolnosti, za koje se odluka </w:t>
      </w:r>
      <w:r w:rsidR="006E042A">
        <w:t>o potrebnim</w:t>
      </w:r>
      <w:r w:rsidRPr="009F03BA">
        <w:t xml:space="preserve"> mjera</w:t>
      </w:r>
      <w:r w:rsidR="006E042A">
        <w:t>ma</w:t>
      </w:r>
      <w:r w:rsidRPr="009F03BA">
        <w:t>, s obzirom na različite uzroke i posljedice ugroza, treba donositi ovisno o nastalim uvjetima posebnih okolnosti, koja se svrha ne postiže predloženim načinom.</w:t>
      </w:r>
    </w:p>
    <w:p w14:paraId="548B00FA" w14:textId="49570486" w:rsidR="0028411E" w:rsidRPr="009F03BA" w:rsidRDefault="0028411E" w:rsidP="008C3B7D">
      <w:pPr>
        <w:ind w:firstLine="720"/>
        <w:jc w:val="both"/>
      </w:pPr>
    </w:p>
    <w:p w14:paraId="73B15BF8" w14:textId="19ECAB14" w:rsidR="0028411E" w:rsidRDefault="00BD4F11" w:rsidP="008C3B7D">
      <w:pPr>
        <w:ind w:firstLine="1418"/>
        <w:jc w:val="both"/>
      </w:pPr>
      <w:r>
        <w:t>Vlada Republike Hrvatske n</w:t>
      </w:r>
      <w:r w:rsidR="0028411E" w:rsidRPr="009F03BA">
        <w:t>apominje da je Zakonom o dopuni Zakona o turističkoj pristojbi („Narodne novine“, broj 42/20</w:t>
      </w:r>
      <w:r>
        <w:t>.</w:t>
      </w:r>
      <w:r w:rsidR="0028411E" w:rsidRPr="009F03BA">
        <w:t>) ovlaštena da u uvjetima posebnih okolnosti uredbom drugačije odredi pitanja koja se odnose na visinu turističke pristojbe, odredi rokove uplate turističke pristojbe turističkoj zajednici, namjenu i način raspodjele sredstava Fonda za turistički nedovoljno razvijena područja i kontinent i Fonda za udružene turističke zajednice te da je propisano da za vrijeme trajanja posebnih okolnosti iz članka 14.a stavka 2. Zakona o turističkoj pristojbi nadležni inspektori neće podnositi optužne prijedloge za pokretanje prekršajnih postupaka odnosno izdavanje prekršajnih naloga, niti naplaćivati novčanu kaznu na mjestu izvršenja prekršaja.</w:t>
      </w:r>
    </w:p>
    <w:p w14:paraId="76224189" w14:textId="77777777" w:rsidR="008B0EF4" w:rsidRPr="009F03BA" w:rsidRDefault="008B0EF4" w:rsidP="008C3B7D">
      <w:pPr>
        <w:ind w:firstLine="720"/>
        <w:jc w:val="both"/>
      </w:pPr>
    </w:p>
    <w:p w14:paraId="1B391C22" w14:textId="741A57DB" w:rsidR="0028411E" w:rsidRDefault="00BD4F11" w:rsidP="008C3B7D">
      <w:pPr>
        <w:ind w:firstLine="1418"/>
        <w:jc w:val="both"/>
      </w:pPr>
      <w:r>
        <w:t>Zbog svega navedenoga Vlada Republike Hrvatske smatra</w:t>
      </w:r>
      <w:r w:rsidR="0028411E" w:rsidRPr="009F03BA">
        <w:t xml:space="preserve"> da se </w:t>
      </w:r>
      <w:r w:rsidR="0028411E">
        <w:t>važećim Zakonom</w:t>
      </w:r>
      <w:r w:rsidR="0028411E" w:rsidRPr="009F03BA">
        <w:t xml:space="preserve"> o turističkoj pristojbi pitanje plaćanja turističke pristojbe u uvjetima</w:t>
      </w:r>
      <w:r w:rsidR="0028411E">
        <w:t xml:space="preserve"> posebnih okolnosti </w:t>
      </w:r>
      <w:r w:rsidRPr="00BD4F11">
        <w:t xml:space="preserve">može </w:t>
      </w:r>
      <w:r w:rsidR="0028411E" w:rsidRPr="009F03BA">
        <w:t>riješi</w:t>
      </w:r>
      <w:r w:rsidR="0028411E">
        <w:t>ti na način koji je efikasniji</w:t>
      </w:r>
      <w:r w:rsidR="0028411E" w:rsidRPr="009F03BA">
        <w:t xml:space="preserve"> i primjeren</w:t>
      </w:r>
      <w:r w:rsidR="0028411E">
        <w:t>iji</w:t>
      </w:r>
      <w:r w:rsidR="0028411E" w:rsidRPr="009F03BA">
        <w:t xml:space="preserve"> konkretnoj situaciji uvjeta posebnih okolnosti</w:t>
      </w:r>
      <w:r w:rsidR="0028411E">
        <w:t xml:space="preserve"> te da predstavlja kvalitetnije n</w:t>
      </w:r>
      <w:r>
        <w:t>ormativno rješenje u odnosu na P</w:t>
      </w:r>
      <w:r w:rsidR="0028411E">
        <w:t>rijedlog</w:t>
      </w:r>
      <w:r>
        <w:t xml:space="preserve"> zakona</w:t>
      </w:r>
      <w:r w:rsidR="0028411E">
        <w:t>.</w:t>
      </w:r>
    </w:p>
    <w:p w14:paraId="04537A27" w14:textId="31A972D5" w:rsidR="0028411E" w:rsidRDefault="0028411E" w:rsidP="008C3B7D"/>
    <w:p w14:paraId="1181EE6E" w14:textId="3C7F1EAA" w:rsidR="00155B9B" w:rsidRPr="008B0EF4" w:rsidRDefault="0028411E" w:rsidP="008C3B7D">
      <w:pPr>
        <w:ind w:firstLine="1418"/>
        <w:jc w:val="both"/>
      </w:pPr>
      <w:r w:rsidRPr="00A460C2">
        <w:t xml:space="preserve">Za svoje </w:t>
      </w:r>
      <w:r>
        <w:t xml:space="preserve">predstavnike, koji će u vezi s </w:t>
      </w:r>
      <w:r w:rsidRPr="00A460C2">
        <w:t>iznesenim mišljenjem biti nazočni na sjednicama Hrvatskoga sabora i njegovih radni</w:t>
      </w:r>
      <w:r>
        <w:t xml:space="preserve">h tijela, Vlada je odredila </w:t>
      </w:r>
      <w:r w:rsidR="00BD4F11">
        <w:t xml:space="preserve">ministricu turizma i sporta dr. sc. Nikolinu Brnjac i državne tajnike </w:t>
      </w:r>
      <w:r w:rsidR="00B50896">
        <w:t>Sandru Herman, Tončija</w:t>
      </w:r>
      <w:r w:rsidR="00155B9B" w:rsidRPr="008B0EF4">
        <w:t xml:space="preserve"> Glavinu i Tomislava Družaka.</w:t>
      </w:r>
    </w:p>
    <w:p w14:paraId="40A4B7A5" w14:textId="77777777" w:rsidR="00155B9B" w:rsidRDefault="00155B9B" w:rsidP="008C3B7D">
      <w:pPr>
        <w:rPr>
          <w:color w:val="FF0000"/>
        </w:rPr>
      </w:pPr>
    </w:p>
    <w:p w14:paraId="0A260BF0" w14:textId="77777777" w:rsidR="00024D97" w:rsidRDefault="00024D97" w:rsidP="00024D97">
      <w:pPr>
        <w:jc w:val="both"/>
        <w:rPr>
          <w:color w:val="000000"/>
        </w:rPr>
      </w:pPr>
    </w:p>
    <w:p w14:paraId="70A4A53D" w14:textId="77777777" w:rsidR="0028411E" w:rsidRDefault="0028411E" w:rsidP="00024D97">
      <w:pPr>
        <w:jc w:val="both"/>
        <w:rPr>
          <w:color w:val="000000"/>
        </w:rPr>
      </w:pPr>
    </w:p>
    <w:p w14:paraId="7764180F" w14:textId="77777777" w:rsidR="0028411E" w:rsidRPr="00086B98" w:rsidRDefault="0028411E" w:rsidP="00024D97">
      <w:pPr>
        <w:jc w:val="both"/>
        <w:rPr>
          <w:color w:val="000000"/>
        </w:rPr>
      </w:pPr>
    </w:p>
    <w:p w14:paraId="55FBDDE0" w14:textId="77777777" w:rsidR="00024D97" w:rsidRPr="00086B98" w:rsidRDefault="00024D97" w:rsidP="00024D97">
      <w:pPr>
        <w:widowControl w:val="0"/>
        <w:jc w:val="both"/>
        <w:rPr>
          <w:snapToGrid w:val="0"/>
          <w:lang w:val="en-GB" w:eastAsia="en-US"/>
        </w:rPr>
      </w:pPr>
      <w:r w:rsidRPr="00086B98">
        <w:rPr>
          <w:snapToGrid w:val="0"/>
          <w:lang w:eastAsia="en-US"/>
        </w:rPr>
        <w:tab/>
      </w:r>
      <w:r w:rsidRPr="00086B98">
        <w:rPr>
          <w:snapToGrid w:val="0"/>
          <w:lang w:eastAsia="en-US"/>
        </w:rPr>
        <w:tab/>
      </w:r>
      <w:r w:rsidRPr="00086B98">
        <w:rPr>
          <w:snapToGrid w:val="0"/>
          <w:lang w:eastAsia="en-US"/>
        </w:rPr>
        <w:tab/>
      </w:r>
      <w:r w:rsidRPr="00086B98">
        <w:rPr>
          <w:snapToGrid w:val="0"/>
          <w:lang w:eastAsia="en-US"/>
        </w:rPr>
        <w:tab/>
      </w:r>
      <w:r w:rsidRPr="00086B98">
        <w:rPr>
          <w:snapToGrid w:val="0"/>
          <w:lang w:eastAsia="en-US"/>
        </w:rPr>
        <w:tab/>
      </w:r>
      <w:r w:rsidRPr="00086B98">
        <w:rPr>
          <w:snapToGrid w:val="0"/>
          <w:lang w:eastAsia="en-US"/>
        </w:rPr>
        <w:tab/>
      </w:r>
      <w:r w:rsidRPr="00086B98">
        <w:rPr>
          <w:snapToGrid w:val="0"/>
          <w:lang w:eastAsia="en-US"/>
        </w:rPr>
        <w:tab/>
      </w:r>
      <w:r w:rsidRPr="00086B98">
        <w:rPr>
          <w:snapToGrid w:val="0"/>
          <w:lang w:eastAsia="en-US"/>
        </w:rPr>
        <w:tab/>
      </w:r>
      <w:r w:rsidRPr="00086B98">
        <w:rPr>
          <w:snapToGrid w:val="0"/>
          <w:lang w:eastAsia="en-US"/>
        </w:rPr>
        <w:tab/>
        <w:t xml:space="preserve">         </w:t>
      </w:r>
      <w:r w:rsidRPr="00086B98">
        <w:rPr>
          <w:snapToGrid w:val="0"/>
          <w:lang w:val="en-GB" w:eastAsia="en-US"/>
        </w:rPr>
        <w:t>PREDSJEDNIK</w:t>
      </w:r>
    </w:p>
    <w:p w14:paraId="3A7BBFE7" w14:textId="77777777" w:rsidR="00024D97" w:rsidRPr="00086B98" w:rsidRDefault="00024D97" w:rsidP="00024D97">
      <w:pPr>
        <w:widowControl w:val="0"/>
        <w:jc w:val="both"/>
        <w:rPr>
          <w:snapToGrid w:val="0"/>
          <w:lang w:val="en-GB" w:eastAsia="en-US"/>
        </w:rPr>
      </w:pPr>
    </w:p>
    <w:p w14:paraId="387DDF7A" w14:textId="77777777" w:rsidR="00024D97" w:rsidRPr="00086B98" w:rsidRDefault="00024D97" w:rsidP="00024D97">
      <w:pPr>
        <w:widowControl w:val="0"/>
        <w:jc w:val="both"/>
        <w:rPr>
          <w:snapToGrid w:val="0"/>
          <w:lang w:val="en-GB" w:eastAsia="en-US"/>
        </w:rPr>
      </w:pPr>
    </w:p>
    <w:p w14:paraId="6CECF553" w14:textId="29DF4FA4" w:rsidR="00D22C77" w:rsidRPr="008C3B7D" w:rsidRDefault="00024D97" w:rsidP="008C3B7D">
      <w:pPr>
        <w:widowControl w:val="0"/>
        <w:jc w:val="both"/>
        <w:rPr>
          <w:snapToGrid w:val="0"/>
          <w:lang w:val="en-GB" w:eastAsia="en-US"/>
        </w:rPr>
      </w:pPr>
      <w:r w:rsidRPr="00086B98">
        <w:rPr>
          <w:snapToGrid w:val="0"/>
          <w:lang w:val="en-GB" w:eastAsia="en-US"/>
        </w:rPr>
        <w:tab/>
      </w:r>
      <w:r w:rsidRPr="00086B98">
        <w:rPr>
          <w:snapToGrid w:val="0"/>
          <w:lang w:val="en-GB" w:eastAsia="en-US"/>
        </w:rPr>
        <w:tab/>
      </w:r>
      <w:r w:rsidRPr="00086B98">
        <w:rPr>
          <w:snapToGrid w:val="0"/>
          <w:lang w:val="en-GB" w:eastAsia="en-US"/>
        </w:rPr>
        <w:tab/>
      </w:r>
      <w:r w:rsidRPr="00086B98">
        <w:rPr>
          <w:snapToGrid w:val="0"/>
          <w:lang w:val="en-GB" w:eastAsia="en-US"/>
        </w:rPr>
        <w:tab/>
      </w:r>
      <w:r w:rsidRPr="00086B98">
        <w:rPr>
          <w:snapToGrid w:val="0"/>
          <w:lang w:val="en-GB" w:eastAsia="en-US"/>
        </w:rPr>
        <w:tab/>
      </w:r>
      <w:r w:rsidRPr="00086B98">
        <w:rPr>
          <w:snapToGrid w:val="0"/>
          <w:lang w:val="en-GB" w:eastAsia="en-US"/>
        </w:rPr>
        <w:tab/>
      </w:r>
      <w:r w:rsidRPr="00086B98">
        <w:rPr>
          <w:snapToGrid w:val="0"/>
          <w:lang w:val="en-GB" w:eastAsia="en-US"/>
        </w:rPr>
        <w:tab/>
      </w:r>
      <w:r w:rsidRPr="00086B98">
        <w:rPr>
          <w:snapToGrid w:val="0"/>
          <w:lang w:val="en-GB" w:eastAsia="en-US"/>
        </w:rPr>
        <w:tab/>
      </w:r>
      <w:r w:rsidRPr="00086B98">
        <w:rPr>
          <w:snapToGrid w:val="0"/>
          <w:lang w:val="en-GB" w:eastAsia="en-US"/>
        </w:rPr>
        <w:tab/>
        <w:t xml:space="preserve">  </w:t>
      </w:r>
      <w:r w:rsidR="008C3B7D">
        <w:rPr>
          <w:snapToGrid w:val="0"/>
          <w:lang w:val="en-GB" w:eastAsia="en-US"/>
        </w:rPr>
        <w:t>mr. sc. Andrej Plenković</w:t>
      </w:r>
      <w:bookmarkStart w:id="0" w:name="_GoBack"/>
      <w:bookmarkEnd w:id="0"/>
    </w:p>
    <w:sectPr w:rsidR="00D22C77" w:rsidRPr="008C3B7D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97"/>
    <w:rsid w:val="00024D97"/>
    <w:rsid w:val="0009098A"/>
    <w:rsid w:val="00090E7A"/>
    <w:rsid w:val="001132FA"/>
    <w:rsid w:val="00155B9B"/>
    <w:rsid w:val="00191FB4"/>
    <w:rsid w:val="001C66D1"/>
    <w:rsid w:val="002734C3"/>
    <w:rsid w:val="0028411E"/>
    <w:rsid w:val="00292D23"/>
    <w:rsid w:val="0031102B"/>
    <w:rsid w:val="00333EA8"/>
    <w:rsid w:val="0037354C"/>
    <w:rsid w:val="0038239C"/>
    <w:rsid w:val="003E2B93"/>
    <w:rsid w:val="004F5C35"/>
    <w:rsid w:val="004F5D8E"/>
    <w:rsid w:val="0056050C"/>
    <w:rsid w:val="005960BA"/>
    <w:rsid w:val="006C294F"/>
    <w:rsid w:val="006D02BE"/>
    <w:rsid w:val="006E042A"/>
    <w:rsid w:val="00706809"/>
    <w:rsid w:val="0077660D"/>
    <w:rsid w:val="008779D5"/>
    <w:rsid w:val="008B0EF4"/>
    <w:rsid w:val="008C3B7D"/>
    <w:rsid w:val="008C74D0"/>
    <w:rsid w:val="00907489"/>
    <w:rsid w:val="009543FC"/>
    <w:rsid w:val="00954F68"/>
    <w:rsid w:val="00A00430"/>
    <w:rsid w:val="00A355FE"/>
    <w:rsid w:val="00AA30D6"/>
    <w:rsid w:val="00AA4224"/>
    <w:rsid w:val="00B50896"/>
    <w:rsid w:val="00B80709"/>
    <w:rsid w:val="00BD1DA9"/>
    <w:rsid w:val="00BD4F11"/>
    <w:rsid w:val="00C05E3D"/>
    <w:rsid w:val="00C2755F"/>
    <w:rsid w:val="00C4257A"/>
    <w:rsid w:val="00CD0767"/>
    <w:rsid w:val="00CF2983"/>
    <w:rsid w:val="00D22C77"/>
    <w:rsid w:val="00D410F3"/>
    <w:rsid w:val="00D6158D"/>
    <w:rsid w:val="00E24E39"/>
    <w:rsid w:val="00EA6564"/>
    <w:rsid w:val="00F46673"/>
    <w:rsid w:val="00F61113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30DA"/>
  <w15:chartTrackingRefBased/>
  <w15:docId w15:val="{6F1D4973-A3A1-484E-A320-2F07D1A8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Par-0Char">
    <w:name w:val="ePar-0 Char"/>
    <w:link w:val="ePar-0"/>
    <w:locked/>
    <w:rsid w:val="008779D5"/>
    <w:rPr>
      <w:rFonts w:ascii="Arial Narrow" w:hAnsi="Arial Narrow" w:cs="Arial"/>
      <w:spacing w:val="6"/>
      <w:lang w:val="hr-HR" w:eastAsia="hr-HR"/>
    </w:rPr>
  </w:style>
  <w:style w:type="paragraph" w:customStyle="1" w:styleId="ePar-0">
    <w:name w:val="ePar-0"/>
    <w:link w:val="ePar-0Char"/>
    <w:qFormat/>
    <w:rsid w:val="008779D5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  <w:lang w:val="hr-HR" w:eastAsia="hr-HR"/>
    </w:rPr>
  </w:style>
  <w:style w:type="paragraph" w:customStyle="1" w:styleId="box463023">
    <w:name w:val="box_463023"/>
    <w:basedOn w:val="Normal"/>
    <w:rsid w:val="0028411E"/>
    <w:pPr>
      <w:spacing w:before="100" w:beforeAutospacing="1" w:after="100" w:afterAutospacing="1"/>
    </w:pPr>
    <w:rPr>
      <w:lang w:val="en-US" w:eastAsia="en-US"/>
    </w:rPr>
  </w:style>
  <w:style w:type="character" w:customStyle="1" w:styleId="kurziv">
    <w:name w:val="kurziv"/>
    <w:basedOn w:val="DefaultParagraphFont"/>
    <w:rsid w:val="0028411E"/>
  </w:style>
  <w:style w:type="character" w:styleId="CommentReference">
    <w:name w:val="annotation reference"/>
    <w:basedOn w:val="DefaultParagraphFont"/>
    <w:uiPriority w:val="99"/>
    <w:semiHidden/>
    <w:unhideWhenUsed/>
    <w:rsid w:val="00A00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43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430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30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AZJMDCZ6QSYZ-1849078857-3392</_dlc_DocId>
    <_dlc_DocIdUrl xmlns="a494813a-d0d8-4dad-94cb-0d196f36ba15">
      <Url>https://ekoordinacije.vlada.hr/koordinacija-gospodarstvo/_layouts/15/DocIdRedir.aspx?ID=AZJMDCZ6QSYZ-1849078857-3392</Url>
      <Description>AZJMDCZ6QSYZ-1849078857-3392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2DBE8-5CB5-442E-AC12-89764A231B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E2F82B-7DAD-4E8C-B97A-E7B93ED46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6295B-D96C-45DA-8019-521173599ED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FD7761-36C3-44E7-A629-B76E01C95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Berghaus</dc:creator>
  <cp:keywords/>
  <dc:description/>
  <cp:lastModifiedBy>Ines Uglešić</cp:lastModifiedBy>
  <cp:revision>8</cp:revision>
  <dcterms:created xsi:type="dcterms:W3CDTF">2021-03-15T12:07:00Z</dcterms:created>
  <dcterms:modified xsi:type="dcterms:W3CDTF">2021-03-23T11:53:00Z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241e79c9-b9c0-4749-aa79-6b4e3208b3f7</vt:lpwstr>
  </property>
</Properties>
</file>