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C2255" w14:textId="77777777" w:rsidR="0071734E" w:rsidRPr="00800462" w:rsidRDefault="0071734E" w:rsidP="0071734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4C0D281E" wp14:editId="2FC8D8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03DE09C" w14:textId="77777777" w:rsidR="0071734E" w:rsidRPr="00800462" w:rsidRDefault="0071734E" w:rsidP="0071734E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50DE9052" w14:textId="77777777" w:rsidR="0071734E" w:rsidRPr="00800462" w:rsidRDefault="0071734E" w:rsidP="0071734E">
      <w:pPr>
        <w:jc w:val="both"/>
      </w:pPr>
    </w:p>
    <w:p w14:paraId="055376DB" w14:textId="77777777" w:rsidR="0071734E" w:rsidRPr="00800462" w:rsidRDefault="0071734E" w:rsidP="0071734E">
      <w:pPr>
        <w:jc w:val="right"/>
      </w:pPr>
      <w:r w:rsidRPr="00692A6C">
        <w:t xml:space="preserve">Zagreb, </w:t>
      </w:r>
      <w:r>
        <w:t>1. travnja 2021.</w:t>
      </w:r>
    </w:p>
    <w:p w14:paraId="6E035399" w14:textId="77777777" w:rsidR="0071734E" w:rsidRPr="00800462" w:rsidRDefault="0071734E" w:rsidP="0071734E">
      <w:pPr>
        <w:jc w:val="right"/>
      </w:pPr>
    </w:p>
    <w:p w14:paraId="10AAFC96" w14:textId="77777777" w:rsidR="0071734E" w:rsidRPr="00800462" w:rsidRDefault="0071734E" w:rsidP="0071734E">
      <w:pPr>
        <w:jc w:val="right"/>
      </w:pPr>
    </w:p>
    <w:p w14:paraId="0AA8BE78" w14:textId="77777777" w:rsidR="0071734E" w:rsidRPr="00800462" w:rsidRDefault="0071734E" w:rsidP="0071734E">
      <w:pPr>
        <w:jc w:val="right"/>
      </w:pPr>
    </w:p>
    <w:p w14:paraId="069FA903" w14:textId="77777777" w:rsidR="0071734E" w:rsidRPr="00800462" w:rsidRDefault="0071734E" w:rsidP="0071734E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1734E" w:rsidRPr="00800462" w14:paraId="3F99644F" w14:textId="77777777" w:rsidTr="00EB1E68">
        <w:tc>
          <w:tcPr>
            <w:tcW w:w="1951" w:type="dxa"/>
          </w:tcPr>
          <w:p w14:paraId="36237A09" w14:textId="77777777" w:rsidR="0071734E" w:rsidRPr="00800462" w:rsidRDefault="0071734E" w:rsidP="00EB1E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A0D699D" w14:textId="77777777" w:rsidR="0071734E" w:rsidRPr="00800462" w:rsidRDefault="0071734E" w:rsidP="00EB1E68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pravosuđa i uprave</w:t>
            </w:r>
          </w:p>
        </w:tc>
      </w:tr>
    </w:tbl>
    <w:p w14:paraId="7AA9EDFB" w14:textId="77777777" w:rsidR="0071734E" w:rsidRPr="00800462" w:rsidRDefault="0071734E" w:rsidP="0071734E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1734E" w:rsidRPr="00800462" w14:paraId="6411B522" w14:textId="77777777" w:rsidTr="00EB1E68">
        <w:tc>
          <w:tcPr>
            <w:tcW w:w="1951" w:type="dxa"/>
          </w:tcPr>
          <w:p w14:paraId="641BBABB" w14:textId="77777777" w:rsidR="0071734E" w:rsidRPr="00800462" w:rsidRDefault="0071734E" w:rsidP="00EB1E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6D77E37" w14:textId="77777777" w:rsidR="0071734E" w:rsidRPr="0071734E" w:rsidRDefault="0071734E" w:rsidP="00EB1E68">
            <w:pPr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71734E">
              <w:rPr>
                <w:bCs/>
                <w:sz w:val="24"/>
                <w:szCs w:val="24"/>
              </w:rPr>
              <w:t>Prijedlog odluke o visini naknade predsjednicima, potpredsjednicima i članovima izbornih povjerenstava za provedbu lokalnih izbora</w:t>
            </w:r>
          </w:p>
        </w:tc>
      </w:tr>
    </w:tbl>
    <w:p w14:paraId="165EB930" w14:textId="77777777" w:rsidR="0071734E" w:rsidRPr="00800462" w:rsidRDefault="0071734E" w:rsidP="0071734E">
      <w:pPr>
        <w:jc w:val="both"/>
      </w:pPr>
      <w:r w:rsidRPr="00800462">
        <w:t>__________________________________________________________________________</w:t>
      </w:r>
    </w:p>
    <w:p w14:paraId="4AF32620" w14:textId="77777777" w:rsidR="0071734E" w:rsidRDefault="0071734E" w:rsidP="0071734E">
      <w:pPr>
        <w:jc w:val="both"/>
      </w:pPr>
    </w:p>
    <w:p w14:paraId="6D0A8299" w14:textId="77777777" w:rsidR="0071734E" w:rsidRDefault="0071734E" w:rsidP="0071734E">
      <w:pPr>
        <w:jc w:val="both"/>
      </w:pPr>
    </w:p>
    <w:p w14:paraId="474113C7" w14:textId="77777777" w:rsidR="0071734E" w:rsidRDefault="0071734E" w:rsidP="0071734E">
      <w:pPr>
        <w:jc w:val="both"/>
      </w:pPr>
    </w:p>
    <w:p w14:paraId="26A09E39" w14:textId="77777777" w:rsidR="0071734E" w:rsidRDefault="0071734E" w:rsidP="0071734E">
      <w:pPr>
        <w:jc w:val="both"/>
      </w:pPr>
    </w:p>
    <w:p w14:paraId="7AE2BDE1" w14:textId="77777777" w:rsidR="0071734E" w:rsidRDefault="0071734E" w:rsidP="0071734E">
      <w:pPr>
        <w:jc w:val="both"/>
      </w:pPr>
    </w:p>
    <w:p w14:paraId="679B6463" w14:textId="77777777" w:rsidR="0071734E" w:rsidRDefault="0071734E" w:rsidP="0071734E">
      <w:pPr>
        <w:jc w:val="both"/>
      </w:pPr>
    </w:p>
    <w:p w14:paraId="4F670959" w14:textId="77777777" w:rsidR="0071734E" w:rsidRDefault="0071734E" w:rsidP="0071734E">
      <w:pPr>
        <w:jc w:val="both"/>
      </w:pPr>
    </w:p>
    <w:p w14:paraId="3EDE7DF0" w14:textId="77777777" w:rsidR="0071734E" w:rsidRPr="00800462" w:rsidRDefault="0071734E" w:rsidP="0071734E">
      <w:pPr>
        <w:jc w:val="both"/>
      </w:pPr>
    </w:p>
    <w:p w14:paraId="78923B86" w14:textId="77777777" w:rsidR="0071734E" w:rsidRDefault="0071734E" w:rsidP="0071734E">
      <w:pPr>
        <w:pStyle w:val="Footer"/>
      </w:pPr>
    </w:p>
    <w:p w14:paraId="1D026DA1" w14:textId="77777777" w:rsidR="0071734E" w:rsidRDefault="0071734E" w:rsidP="0071734E"/>
    <w:p w14:paraId="01348D56" w14:textId="77777777" w:rsidR="0071734E" w:rsidRDefault="0071734E" w:rsidP="0071734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581ED988" w14:textId="77777777" w:rsidR="0071734E" w:rsidRDefault="0071734E" w:rsidP="000E3D6A">
      <w:pPr>
        <w:spacing w:after="0" w:line="240" w:lineRule="auto"/>
        <w:jc w:val="right"/>
        <w:rPr>
          <w:rFonts w:eastAsia="Times New Roman"/>
          <w:b/>
          <w:i/>
          <w:spacing w:val="50"/>
          <w:lang w:eastAsia="hr-HR"/>
        </w:rPr>
      </w:pPr>
    </w:p>
    <w:p w14:paraId="328C2694" w14:textId="77777777" w:rsidR="00B929D5" w:rsidRPr="00481189" w:rsidRDefault="00B929D5" w:rsidP="00B929D5">
      <w:pPr>
        <w:spacing w:after="0" w:line="240" w:lineRule="auto"/>
        <w:jc w:val="right"/>
        <w:rPr>
          <w:rFonts w:eastAsia="Times New Roman"/>
          <w:i/>
          <w:spacing w:val="50"/>
          <w:lang w:eastAsia="hr-HR"/>
        </w:rPr>
      </w:pPr>
      <w:r w:rsidRPr="00481189">
        <w:rPr>
          <w:rFonts w:eastAsia="Times New Roman"/>
          <w:b/>
          <w:i/>
          <w:spacing w:val="50"/>
          <w:lang w:eastAsia="hr-HR"/>
        </w:rPr>
        <w:t>PRIJEDLOG</w:t>
      </w:r>
    </w:p>
    <w:p w14:paraId="45B0B77C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</w:p>
    <w:p w14:paraId="277BE0F9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</w:p>
    <w:p w14:paraId="56726A87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</w:p>
    <w:p w14:paraId="7E6D8E1D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Na temelju članka 46. stavka 3. Zakona o lokalnim izborima („Narodne novine“, br. 144/2012, 121/2016, 98/2019, 42/2020 i 144/2020), Vlada Republike Hrvatske je na sjednici održanoj ____ travnja 2021. godine donijela</w:t>
      </w:r>
    </w:p>
    <w:p w14:paraId="4BF1DCE7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</w:p>
    <w:p w14:paraId="18B47930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</w:p>
    <w:p w14:paraId="5E99F629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b/>
          <w:bCs/>
          <w:lang w:eastAsia="hr-HR"/>
        </w:rPr>
      </w:pPr>
    </w:p>
    <w:p w14:paraId="538566EC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b/>
          <w:bCs/>
          <w:lang w:eastAsia="hr-HR"/>
        </w:rPr>
      </w:pPr>
      <w:r w:rsidRPr="00481189">
        <w:rPr>
          <w:rFonts w:ascii="Minion Pro" w:eastAsia="Times New Roman" w:hAnsi="Minion Pro"/>
          <w:b/>
          <w:bCs/>
          <w:lang w:eastAsia="hr-HR"/>
        </w:rPr>
        <w:t>ODLUKU</w:t>
      </w:r>
    </w:p>
    <w:p w14:paraId="3FCA5861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b/>
          <w:bCs/>
          <w:lang w:eastAsia="hr-HR"/>
        </w:rPr>
      </w:pPr>
      <w:r w:rsidRPr="00481189">
        <w:rPr>
          <w:rFonts w:ascii="Minion Pro" w:eastAsia="Times New Roman" w:hAnsi="Minion Pro"/>
          <w:b/>
          <w:bCs/>
          <w:lang w:eastAsia="hr-HR"/>
        </w:rPr>
        <w:t>O VISINI NAKNADE PREDSJEDNICIMA, POTPREDSJEDNICIMA I ČLANOVIMA IZBORNIH POVJERENSTAVA ZA PROVEDBU LOKALNIH IZBORA</w:t>
      </w:r>
    </w:p>
    <w:p w14:paraId="50AD699D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b/>
          <w:bCs/>
          <w:lang w:eastAsia="hr-HR"/>
        </w:rPr>
      </w:pPr>
    </w:p>
    <w:p w14:paraId="27B986DA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b/>
          <w:bCs/>
          <w:lang w:eastAsia="hr-HR"/>
        </w:rPr>
      </w:pPr>
    </w:p>
    <w:p w14:paraId="1377125E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b/>
          <w:bCs/>
          <w:lang w:eastAsia="hr-HR"/>
        </w:rPr>
      </w:pPr>
    </w:p>
    <w:p w14:paraId="5A086A54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I.</w:t>
      </w:r>
    </w:p>
    <w:p w14:paraId="0FE3EB9D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</w:p>
    <w:p w14:paraId="35D2AA5F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 xml:space="preserve">Ovom Odlukom utvrđuje se visina naknade za rad predsjednicima, potpredsjednicima i članovima izbornih povjerenstava za provedbu lokalnih izbora, i to izbora za članove predstavničkih tijela jedinica lokalne i </w:t>
      </w:r>
      <w:r w:rsidRPr="00481189">
        <w:rPr>
          <w:rFonts w:ascii="Minion Pro" w:eastAsia="Times New Roman" w:hAnsi="Minion Pro"/>
          <w:lang w:eastAsia="hr-HR"/>
        </w:rPr>
        <w:lastRenderedPageBreak/>
        <w:t>područne (regionalne) samouprave, izbora za općinskog načelnika, gradonačelnika, župana i njihovog zamjenika te izbora za zamjenike općinskih načelnika, gradonačelnika i župana iz reda pripadnika nacionalnih manjina, odnosno iz reda pripadnika hrvatskog naroda.</w:t>
      </w:r>
    </w:p>
    <w:p w14:paraId="6DDECB29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</w:p>
    <w:p w14:paraId="1724DD22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II.</w:t>
      </w:r>
    </w:p>
    <w:p w14:paraId="7C4410ED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</w:p>
    <w:p w14:paraId="5A4A6169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Predsjedniku, potpredsjedniku i članovima stalnog sastava županijskih izbornih povjerenstava, Izbornog povjerenstva Grada Zagreba te izbornih povjerenstava gradova sa 101 i više biračkih mjesta određuje se naknada u iznosu od 6.000,00 kuna neto po osobi.</w:t>
      </w:r>
    </w:p>
    <w:p w14:paraId="7287E929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</w:p>
    <w:p w14:paraId="6308B8F0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III.</w:t>
      </w:r>
    </w:p>
    <w:p w14:paraId="60ABB085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</w:p>
    <w:p w14:paraId="359FB648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Predsjedniku, potpredsjedniku i članovima stalnog sastava izbornih povjerenstava gradova s 51 do 100 biračkih mjesta određuje se naknada u iznosu od 4.000,00 kuna neto po osobi.</w:t>
      </w:r>
    </w:p>
    <w:p w14:paraId="4B20CB70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</w:p>
    <w:p w14:paraId="44295503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IV.</w:t>
      </w:r>
    </w:p>
    <w:p w14:paraId="00AF3F51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</w:p>
    <w:p w14:paraId="5E1CB721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Predsjedniku, potpredsjedniku i članovima stalnog sastava izbornih povjerenstava gradova i općina s 26 do 50 biračkih mjesta određuje se naknada u iznosu od 3.000,00 kuna neto po osobi.</w:t>
      </w:r>
    </w:p>
    <w:p w14:paraId="0EAA4961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</w:p>
    <w:p w14:paraId="35CDCBC1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V.</w:t>
      </w:r>
    </w:p>
    <w:p w14:paraId="330E89D3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</w:p>
    <w:p w14:paraId="4FCA2DE8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Predsjedniku, potpredsjedniku i članovima stalnog sastava izbornih povjerenstava gradova i općina s 1 do 25 biračkih mjesta određuje se naknada u iznosu od 2.000,00 kuna neto po osobi.</w:t>
      </w:r>
    </w:p>
    <w:p w14:paraId="1A4FF759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</w:p>
    <w:p w14:paraId="08D0D18D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</w:p>
    <w:p w14:paraId="4E03B4E3" w14:textId="77777777" w:rsidR="00B929D5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</w:p>
    <w:p w14:paraId="7F3F37CF" w14:textId="77777777" w:rsidR="00B929D5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</w:p>
    <w:p w14:paraId="374D0E1D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</w:p>
    <w:p w14:paraId="22234993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</w:p>
    <w:p w14:paraId="3ECA5A7A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VI.</w:t>
      </w:r>
    </w:p>
    <w:p w14:paraId="73FDDE7F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</w:p>
    <w:p w14:paraId="6D4DA8B8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Članovima proširenog sastava izbornih povjerenstava određuje se naknada u visini od 50% iznosa naknade iz točaka II., III. IV. i V. ove Odluke.</w:t>
      </w:r>
    </w:p>
    <w:p w14:paraId="574E7AFA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</w:p>
    <w:p w14:paraId="78D0A474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VII.</w:t>
      </w:r>
    </w:p>
    <w:p w14:paraId="7741FBF6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</w:p>
    <w:p w14:paraId="396BF617" w14:textId="3DC53136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Za održavanje drugog, odnosno trećeg kruga glasovanja za izbor općinskog načelnika, gradonačelnika, odnosno župana i njihovih zamjenika, predsjedniku, potpredsjedniku i članovima stalnog i proširenog sastava izbornih povjerenstava određuje se naknada u visini od 60% iznosa naknade utvrđene točkama II.</w:t>
      </w:r>
      <w:r w:rsidR="00477C45">
        <w:rPr>
          <w:rFonts w:ascii="Minion Pro" w:eastAsia="Times New Roman" w:hAnsi="Minion Pro"/>
          <w:lang w:eastAsia="hr-HR"/>
        </w:rPr>
        <w:t xml:space="preserve">, III., IV., V. i VI. </w:t>
      </w:r>
      <w:bookmarkStart w:id="0" w:name="_GoBack"/>
      <w:bookmarkEnd w:id="0"/>
      <w:r w:rsidRPr="00481189">
        <w:rPr>
          <w:rFonts w:ascii="Minion Pro" w:eastAsia="Times New Roman" w:hAnsi="Minion Pro"/>
          <w:lang w:eastAsia="hr-HR"/>
        </w:rPr>
        <w:t>ove Odluke.</w:t>
      </w:r>
    </w:p>
    <w:p w14:paraId="7DCCB595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</w:p>
    <w:p w14:paraId="315EFE2E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VIII.</w:t>
      </w:r>
    </w:p>
    <w:p w14:paraId="2449F7AA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</w:p>
    <w:p w14:paraId="44AEFD23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Sredstva za pokriće troškova izbora pojedine jedinice, a time i troškova naknade za rad predsjednika, potpredsjednika i članova izbornog povjerenstva jedinice, osiguravaju se u proračunu te jedinice.</w:t>
      </w:r>
    </w:p>
    <w:p w14:paraId="08321364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</w:p>
    <w:p w14:paraId="041E977B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Sredstvima za provedbu izbora raspolaže izborno povjerenstvo jedinice, koje je odgovorno za raspodjelu i trošenje sredstava te dodjelu odgovarajućih sredstava izbornim tijelima.</w:t>
      </w:r>
    </w:p>
    <w:p w14:paraId="24A60D59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</w:p>
    <w:p w14:paraId="115AC3A3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IX.</w:t>
      </w:r>
    </w:p>
    <w:p w14:paraId="620FEF72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</w:p>
    <w:p w14:paraId="1861E134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Kada se istodobno održavaju izbori za tijela jedinica lokalne samouprave i tijela jedinica područne (regionalne) samouprave svaka jedinica lokalne, odnosno područne (regionalne) samouprave snosi troškove naknade za svoje izborno povjerenstvo i svoja stručna tijela i osobe.</w:t>
      </w:r>
    </w:p>
    <w:p w14:paraId="7E0933DF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</w:p>
    <w:p w14:paraId="4217E3C1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X.</w:t>
      </w:r>
    </w:p>
    <w:p w14:paraId="298932C4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</w:p>
    <w:p w14:paraId="0F6D3FE7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Izborna povjerenstva jedinica objavit će cjelovito izvješće o visini troškova izbora i načinu njihova korištenja, u roku 30 dana od dana objave službenih rezultata izbora.</w:t>
      </w:r>
    </w:p>
    <w:p w14:paraId="6D394B52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</w:p>
    <w:p w14:paraId="4A0B70CA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XI.</w:t>
      </w:r>
    </w:p>
    <w:p w14:paraId="33F2D3B8" w14:textId="77777777" w:rsidR="00B929D5" w:rsidRPr="00481189" w:rsidRDefault="00B929D5" w:rsidP="00B929D5">
      <w:pPr>
        <w:spacing w:after="0" w:line="240" w:lineRule="auto"/>
        <w:jc w:val="center"/>
        <w:textAlignment w:val="baseline"/>
        <w:rPr>
          <w:rFonts w:ascii="Minion Pro" w:eastAsia="Times New Roman" w:hAnsi="Minion Pro"/>
          <w:lang w:eastAsia="hr-HR"/>
        </w:rPr>
      </w:pPr>
    </w:p>
    <w:p w14:paraId="05B107A0" w14:textId="77777777" w:rsidR="00B929D5" w:rsidRPr="00481189" w:rsidRDefault="00B929D5" w:rsidP="00B929D5">
      <w:pPr>
        <w:spacing w:after="0" w:line="240" w:lineRule="auto"/>
        <w:jc w:val="both"/>
        <w:textAlignment w:val="baseline"/>
        <w:rPr>
          <w:rFonts w:ascii="Minion Pro" w:eastAsia="Times New Roman" w:hAnsi="Minion Pro"/>
          <w:lang w:eastAsia="hr-HR"/>
        </w:rPr>
      </w:pPr>
      <w:r w:rsidRPr="00481189">
        <w:rPr>
          <w:rFonts w:ascii="Minion Pro" w:eastAsia="Times New Roman" w:hAnsi="Minion Pro"/>
          <w:lang w:eastAsia="hr-HR"/>
        </w:rPr>
        <w:t>Ova Odluka stupa na snagu danom donošenja, a objavit će se u „Narodnim novinama“.</w:t>
      </w:r>
    </w:p>
    <w:p w14:paraId="737E2711" w14:textId="77777777" w:rsidR="00B929D5" w:rsidRPr="00481189" w:rsidRDefault="00B929D5" w:rsidP="00B929D5">
      <w:pPr>
        <w:spacing w:after="0" w:line="240" w:lineRule="auto"/>
        <w:rPr>
          <w:rFonts w:asciiTheme="minorHAnsi" w:hAnsiTheme="minorHAnsi" w:cstheme="minorBidi"/>
          <w:sz w:val="22"/>
          <w:szCs w:val="22"/>
        </w:rPr>
      </w:pPr>
    </w:p>
    <w:p w14:paraId="49AD9BE1" w14:textId="77777777" w:rsidR="00B929D5" w:rsidRPr="00481189" w:rsidRDefault="00B929D5" w:rsidP="00B929D5">
      <w:pPr>
        <w:suppressAutoHyphens/>
        <w:spacing w:after="0" w:line="240" w:lineRule="auto"/>
        <w:jc w:val="both"/>
        <w:rPr>
          <w:rFonts w:eastAsia="Times New Roman"/>
          <w:lang w:eastAsia="hr-HR"/>
        </w:rPr>
      </w:pPr>
    </w:p>
    <w:p w14:paraId="2441E560" w14:textId="77777777" w:rsidR="00B929D5" w:rsidRPr="00481189" w:rsidRDefault="00B929D5" w:rsidP="00B929D5">
      <w:pPr>
        <w:suppressAutoHyphens/>
        <w:spacing w:after="0" w:line="240" w:lineRule="auto"/>
        <w:jc w:val="both"/>
        <w:rPr>
          <w:rFonts w:eastAsia="Times New Roman"/>
          <w:b/>
          <w:lang w:eastAsia="hr-HR"/>
        </w:rPr>
      </w:pPr>
    </w:p>
    <w:tbl>
      <w:tblPr>
        <w:tblpPr w:leftFromText="180" w:rightFromText="180" w:vertAnchor="page" w:horzAnchor="margin" w:tblpXSpec="right" w:tblpY="12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B929D5" w:rsidRPr="00481189" w14:paraId="74619E14" w14:textId="77777777" w:rsidTr="00EB1E6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9572A" w14:textId="77777777" w:rsidR="00B929D5" w:rsidRPr="00481189" w:rsidRDefault="00B929D5" w:rsidP="00EB1E68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val="en-US" w:eastAsia="hr-HR"/>
              </w:rPr>
            </w:pPr>
            <w:r w:rsidRPr="00481189">
              <w:rPr>
                <w:rFonts w:eastAsia="Times New Roman"/>
                <w:b/>
                <w:spacing w:val="30"/>
                <w:lang w:val="en-US" w:eastAsia="hr-HR"/>
              </w:rPr>
              <w:t xml:space="preserve">PREDSJEDNIK </w:t>
            </w:r>
          </w:p>
        </w:tc>
      </w:tr>
      <w:tr w:rsidR="00B929D5" w:rsidRPr="00481189" w14:paraId="202E0B25" w14:textId="77777777" w:rsidTr="00EB1E68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A4B77" w14:textId="77777777" w:rsidR="00B929D5" w:rsidRPr="00481189" w:rsidRDefault="00B929D5" w:rsidP="00EB1E68">
            <w:pPr>
              <w:spacing w:after="0" w:line="240" w:lineRule="auto"/>
              <w:rPr>
                <w:rFonts w:eastAsia="Times New Roman"/>
                <w:b/>
                <w:lang w:val="en-US" w:eastAsia="hr-HR"/>
              </w:rPr>
            </w:pPr>
          </w:p>
        </w:tc>
      </w:tr>
      <w:tr w:rsidR="00B929D5" w:rsidRPr="00481189" w14:paraId="1ECE4096" w14:textId="77777777" w:rsidTr="00EB1E68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E4809" w14:textId="77777777" w:rsidR="00B929D5" w:rsidRPr="00481189" w:rsidRDefault="00B929D5" w:rsidP="00EB1E68">
            <w:pPr>
              <w:spacing w:after="0" w:line="240" w:lineRule="auto"/>
              <w:jc w:val="center"/>
              <w:rPr>
                <w:rFonts w:eastAsia="Times New Roman"/>
                <w:b/>
                <w:spacing w:val="4"/>
                <w:lang w:val="en-US" w:eastAsia="hr-HR"/>
              </w:rPr>
            </w:pPr>
            <w:r w:rsidRPr="00481189">
              <w:rPr>
                <w:rFonts w:eastAsia="Times New Roman"/>
                <w:b/>
                <w:spacing w:val="4"/>
                <w:lang w:val="en-US" w:eastAsia="hr-HR"/>
              </w:rPr>
              <w:t xml:space="preserve">mr. sc. Andrej Plenković  </w:t>
            </w:r>
          </w:p>
        </w:tc>
      </w:tr>
    </w:tbl>
    <w:p w14:paraId="6990809F" w14:textId="77777777" w:rsidR="00B929D5" w:rsidRPr="00481189" w:rsidRDefault="00B929D5" w:rsidP="00B929D5">
      <w:pPr>
        <w:suppressAutoHyphens/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67A35490" w14:textId="77777777" w:rsidR="00B929D5" w:rsidRPr="00481189" w:rsidRDefault="00B929D5" w:rsidP="00B929D5">
      <w:pPr>
        <w:suppressAutoHyphens/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7FEFFB5D" w14:textId="77777777" w:rsidR="00B929D5" w:rsidRPr="00481189" w:rsidRDefault="00B929D5" w:rsidP="00B929D5">
      <w:pPr>
        <w:suppressAutoHyphens/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348B23EF" w14:textId="77777777" w:rsidR="00B929D5" w:rsidRPr="00481189" w:rsidRDefault="00B929D5" w:rsidP="00B929D5">
      <w:pPr>
        <w:suppressAutoHyphens/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58EE591F" w14:textId="77777777" w:rsidR="00B929D5" w:rsidRPr="00481189" w:rsidRDefault="00B929D5" w:rsidP="00B929D5">
      <w:pPr>
        <w:suppressAutoHyphens/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4ADDD72C" w14:textId="77777777" w:rsidR="00B929D5" w:rsidRPr="00481189" w:rsidRDefault="00B929D5" w:rsidP="00B929D5">
      <w:pPr>
        <w:suppressAutoHyphens/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3B9495D1" w14:textId="77777777" w:rsidR="00B929D5" w:rsidRPr="00481189" w:rsidRDefault="00B929D5" w:rsidP="00B929D5">
      <w:pPr>
        <w:suppressAutoHyphens/>
        <w:spacing w:after="0" w:line="240" w:lineRule="auto"/>
        <w:jc w:val="both"/>
        <w:rPr>
          <w:rFonts w:eastAsia="Times New Roman"/>
          <w:b/>
          <w:lang w:eastAsia="hr-HR"/>
        </w:rPr>
      </w:pPr>
      <w:r w:rsidRPr="00481189">
        <w:rPr>
          <w:rFonts w:eastAsia="Times New Roman"/>
          <w:b/>
          <w:lang w:eastAsia="hr-HR"/>
        </w:rPr>
        <w:t>KLASA:</w:t>
      </w:r>
    </w:p>
    <w:p w14:paraId="4E443CCE" w14:textId="77777777" w:rsidR="00B929D5" w:rsidRPr="00481189" w:rsidRDefault="00B929D5" w:rsidP="00B929D5">
      <w:pPr>
        <w:suppressAutoHyphens/>
        <w:spacing w:after="0" w:line="240" w:lineRule="auto"/>
        <w:jc w:val="both"/>
        <w:rPr>
          <w:rFonts w:eastAsia="Times New Roman"/>
          <w:b/>
          <w:lang w:eastAsia="hr-HR"/>
        </w:rPr>
      </w:pPr>
      <w:r w:rsidRPr="00481189">
        <w:rPr>
          <w:rFonts w:eastAsia="Times New Roman"/>
          <w:b/>
          <w:lang w:eastAsia="hr-HR"/>
        </w:rPr>
        <w:t>URBROJ:</w:t>
      </w:r>
    </w:p>
    <w:p w14:paraId="2ADD886C" w14:textId="77777777" w:rsidR="00B929D5" w:rsidRPr="00481189" w:rsidRDefault="00B929D5" w:rsidP="00B929D5">
      <w:pPr>
        <w:suppressAutoHyphens/>
        <w:spacing w:before="120" w:after="0" w:line="240" w:lineRule="auto"/>
        <w:jc w:val="both"/>
        <w:rPr>
          <w:rFonts w:eastAsia="Times New Roman"/>
          <w:b/>
          <w:lang w:eastAsia="hr-HR"/>
        </w:rPr>
      </w:pPr>
      <w:r w:rsidRPr="00481189">
        <w:rPr>
          <w:rFonts w:eastAsia="Times New Roman"/>
          <w:b/>
          <w:lang w:eastAsia="hr-HR"/>
        </w:rPr>
        <w:t>Zagreb,</w:t>
      </w:r>
    </w:p>
    <w:p w14:paraId="0FC76C0E" w14:textId="77777777" w:rsidR="00B929D5" w:rsidRPr="00481189" w:rsidRDefault="00B929D5" w:rsidP="00B929D5">
      <w:pPr>
        <w:suppressAutoHyphens/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7089203D" w14:textId="77777777" w:rsidR="00B929D5" w:rsidRPr="00481189" w:rsidRDefault="00B929D5" w:rsidP="00B929D5">
      <w:pPr>
        <w:suppressAutoHyphens/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57A6A51E" w14:textId="77777777" w:rsidR="00B929D5" w:rsidRDefault="00B929D5" w:rsidP="00B929D5">
      <w:pPr>
        <w:jc w:val="center"/>
        <w:rPr>
          <w:rFonts w:eastAsia="Times New Roman"/>
          <w:b/>
          <w:spacing w:val="50"/>
          <w:lang w:eastAsia="hr-HR"/>
        </w:rPr>
      </w:pPr>
    </w:p>
    <w:p w14:paraId="2F194B89" w14:textId="77777777" w:rsidR="00B929D5" w:rsidRPr="00481189" w:rsidRDefault="00B929D5" w:rsidP="00B929D5">
      <w:pPr>
        <w:jc w:val="center"/>
        <w:rPr>
          <w:rFonts w:eastAsia="Times New Roman"/>
          <w:b/>
          <w:spacing w:val="50"/>
          <w:lang w:eastAsia="hr-HR"/>
        </w:rPr>
      </w:pPr>
      <w:r w:rsidRPr="00481189">
        <w:rPr>
          <w:rFonts w:eastAsia="Times New Roman"/>
          <w:b/>
          <w:spacing w:val="50"/>
          <w:lang w:eastAsia="hr-HR"/>
        </w:rPr>
        <w:t>Obrazloženje</w:t>
      </w:r>
    </w:p>
    <w:p w14:paraId="7873A63A" w14:textId="77777777" w:rsidR="00B929D5" w:rsidRPr="00481189" w:rsidRDefault="00B929D5" w:rsidP="00B929D5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07BCE8A6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  <w:r w:rsidRPr="00481189">
        <w:rPr>
          <w:rFonts w:eastAsia="Times New Roman"/>
          <w:lang w:eastAsia="hr-HR"/>
        </w:rPr>
        <w:t xml:space="preserve">Redovni izbori za članove predstavničkih tijela jedinica lokalne i područne (regionalne) samouprave te izbori za općinskog načelnika, gradonačelnika i župana i njihove zamjenike održavaju se, temeljem odredbe članka 7. stavka 1. Zakona o lokalnim izborima („Narodne novine“, br. 144/2012, 121/2016, 98/2019, 42/2020 i 144/2020), istovremeno, treće nedjelje u svibnju svake četvrte godine. </w:t>
      </w:r>
    </w:p>
    <w:p w14:paraId="7535D93B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</w:p>
    <w:p w14:paraId="2DDB9DBA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  <w:r w:rsidRPr="00481189">
        <w:rPr>
          <w:rFonts w:eastAsia="Times New Roman"/>
          <w:lang w:eastAsia="hr-HR"/>
        </w:rPr>
        <w:t xml:space="preserve">Temeljem članka 112. Zakona istovremeno, na isti način i po istom postupku kao i općinski načelnik, gradonačelnik, odnosno župan bira se i zamjenik općinskog načelnika, gradonačelnika, odnosno župana iz reda pripadnika nacionalnih manjina, kao i zamjenik iz reda pripadnika hrvatskog naroda temeljem članka 117. Zakona. </w:t>
      </w:r>
    </w:p>
    <w:p w14:paraId="5D3EB49F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</w:p>
    <w:p w14:paraId="49A41F9D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  <w:r w:rsidRPr="00481189">
        <w:rPr>
          <w:rFonts w:eastAsia="Times New Roman"/>
          <w:lang w:eastAsia="hr-HR"/>
        </w:rPr>
        <w:t xml:space="preserve">Odredbom članka 39. stavka 1. Zakona o lokalnim izborima propisano je da su uz Državno izborno povjerenstvo Republike Hrvatske, tijela za provedbu izbora: Izborno povjerenstvo Grada Zagreba, županijska, gradska i općinska izborna povjerenstva te birački odbori. </w:t>
      </w:r>
    </w:p>
    <w:p w14:paraId="385D9A6F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</w:p>
    <w:p w14:paraId="79FA6A57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  <w:r w:rsidRPr="00481189">
        <w:rPr>
          <w:rFonts w:eastAsia="Times New Roman"/>
          <w:lang w:eastAsia="hr-HR"/>
        </w:rPr>
        <w:t xml:space="preserve">Odredbama članka 41. navedenog Zakona propisano je da Izborno povjerenstvo Grada Zagreba, županijska, gradska i općinska izborna povjerenstva imaju stalni i prošireni sastav. Stalni sastav izbornog povjerenstva čine predsjednik, potpredsjednik i četiri člana, a prošireni sastav izbornog povjerenstva čine tri predstavnika većinske političke stranke, odnosno političkih stranaka i tri dogovorno predložena predstavnika oporbenih političkih stranaka. </w:t>
      </w:r>
    </w:p>
    <w:p w14:paraId="16CE7987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</w:p>
    <w:p w14:paraId="0A18F581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  <w:r w:rsidRPr="00481189">
        <w:rPr>
          <w:rFonts w:eastAsia="Times New Roman"/>
          <w:lang w:eastAsia="hr-HR"/>
        </w:rPr>
        <w:lastRenderedPageBreak/>
        <w:t xml:space="preserve">Temeljem članka 46. stavka 1. Zakona o lokalnim izborima članovi izbornih povjerenstava i biračkih odbora imaju pravo na naknadu za svoj rad. </w:t>
      </w:r>
    </w:p>
    <w:p w14:paraId="7A8F17F2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</w:p>
    <w:p w14:paraId="5E96A70F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  <w:r w:rsidRPr="00481189">
        <w:rPr>
          <w:rFonts w:eastAsia="Times New Roman"/>
          <w:lang w:eastAsia="hr-HR"/>
        </w:rPr>
        <w:t xml:space="preserve">Sukladno članku 46. stavcima 2. i 3. istog Zakona mjerila za određivanje naknade ovisno o vrsti i složenosti izbornog postupka utvrđuje Državno izborno povjerenstvo, na način da su vidljivi kriteriji vrednovanja rada te vrsta i složenost pojedinih izbornih postupaka, a Vlada Republike Hrvatske određuje visinu naknade za predsjednike, potpredsjednike i članove izbornih povjerenstava i biračkih odbora. </w:t>
      </w:r>
    </w:p>
    <w:p w14:paraId="5493C5F0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</w:p>
    <w:p w14:paraId="441D59B6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  <w:r w:rsidRPr="00481189">
        <w:rPr>
          <w:rFonts w:eastAsia="Times New Roman"/>
          <w:lang w:eastAsia="hr-HR"/>
        </w:rPr>
        <w:t xml:space="preserve">Državno izborno povjerenstvo Republike Hrvatske odredilo je mjerila za određivanje naknade za rad članovima izbornih povjerenstava i biračkih odbora na lokalnim izborima ovisno o broju biračkih mjesta i broju izbora koje izborna povjerenstva provode te je ujedno, ukazalo na posebne okolnosti rada izbornih tijela glede osiguranja provedbe epidemioloških mjera na biračkim mjestima uslijed epidemije bolesti COVID-19.  </w:t>
      </w:r>
    </w:p>
    <w:p w14:paraId="35076692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</w:p>
    <w:p w14:paraId="77F6C581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  <w:r w:rsidRPr="00481189">
        <w:rPr>
          <w:rFonts w:eastAsia="Times New Roman"/>
          <w:lang w:eastAsia="hr-HR"/>
        </w:rPr>
        <w:t xml:space="preserve">Nadalje, slijedom odredaba članka 126. Zakona o lokalnim izborima, sredstva za pokriće troškova izbora pojedine jedinice osiguravaju se u proračunu te jedinice. Kada se istodobno održavaju izbori za tijela jedinica lokalne samouprave i tijela jedinica područne (regionalne) samouprave svaka jedinica lokalne, odnosno područne (regionalne) samouprave snosi troškove naknade za svoje izborno povjerenstvo i svoja stručna tijela i osobe. </w:t>
      </w:r>
    </w:p>
    <w:p w14:paraId="5103D73B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</w:p>
    <w:p w14:paraId="1B64C588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  <w:r w:rsidRPr="00481189">
        <w:rPr>
          <w:rFonts w:eastAsia="Times New Roman"/>
          <w:lang w:eastAsia="hr-HR"/>
        </w:rPr>
        <w:t>Jedinice su dužne osigurati sredstava za provedbu izbora u financijskom planiranju i izradi proračuna za kalendarsku godinu u kojoj se održavaju redoviti izbori. Sredstvima za provedbu izbora raspolaže izborno povjerenstvo jedinice. Izborno povjerenstvo jedinice odgovorno je za raspodjelu i trošenje sredstava te dodjelu odgovarajućih sredstava izbornim tijelima koja obuhvaćaju i sredstva za naknadu obavljanja administrativnih i stručnih poslova. Izborna povjerenstva jedinica objavit će cjelovito izvješće o visini troškova izbora i načinu njihova korištenja, u roku od 30 dana od dana objave službenih rezultata izbora, na internetskim stranicama jedinica.</w:t>
      </w:r>
    </w:p>
    <w:p w14:paraId="03FAB6BF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</w:p>
    <w:p w14:paraId="444163AD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  <w:r w:rsidRPr="00481189">
        <w:rPr>
          <w:rFonts w:eastAsia="Times New Roman"/>
          <w:lang w:eastAsia="hr-HR"/>
        </w:rPr>
        <w:t>S obzirom na trenutna fiskalna opterećenja, naknade za rad predsjednicima, potpredsjednicima i članovima izbornih povjerenstava za provedbu lokalnih izbora 2021. godine određene su u iznosima kakvi su bili utvrđeni na lokalnim izborima 2017. godine.</w:t>
      </w:r>
    </w:p>
    <w:p w14:paraId="1B99B6B9" w14:textId="77777777" w:rsidR="00B929D5" w:rsidRPr="00481189" w:rsidRDefault="00B929D5" w:rsidP="00B929D5">
      <w:pPr>
        <w:spacing w:after="0" w:line="240" w:lineRule="auto"/>
        <w:ind w:firstLine="709"/>
        <w:jc w:val="both"/>
        <w:rPr>
          <w:rFonts w:eastAsia="Times New Roman"/>
          <w:lang w:eastAsia="hr-HR"/>
        </w:rPr>
      </w:pPr>
    </w:p>
    <w:p w14:paraId="730386A2" w14:textId="77777777" w:rsidR="00B929D5" w:rsidRPr="00481189" w:rsidRDefault="00B929D5" w:rsidP="00B929D5">
      <w:pPr>
        <w:spacing w:after="0" w:line="240" w:lineRule="auto"/>
        <w:ind w:firstLine="709"/>
        <w:jc w:val="both"/>
      </w:pPr>
      <w:r w:rsidRPr="00481189">
        <w:rPr>
          <w:rFonts w:eastAsia="Times New Roman"/>
          <w:lang w:eastAsia="hr-HR"/>
        </w:rPr>
        <w:t xml:space="preserve">Na temelju svega navedenog Vlada Republike Hrvatske donijela je odluku kao u izreci. </w:t>
      </w:r>
    </w:p>
    <w:p w14:paraId="6950F43A" w14:textId="77777777" w:rsidR="00B30B35" w:rsidRDefault="00B30B35" w:rsidP="00B929D5">
      <w:pPr>
        <w:spacing w:after="0" w:line="240" w:lineRule="auto"/>
        <w:jc w:val="right"/>
      </w:pPr>
    </w:p>
    <w:sectPr w:rsidR="00B30B35" w:rsidSect="00291F29">
      <w:head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7D14" w14:textId="77777777" w:rsidR="00CF7E43" w:rsidRDefault="00CF7E43">
      <w:pPr>
        <w:spacing w:after="0" w:line="240" w:lineRule="auto"/>
      </w:pPr>
      <w:r>
        <w:separator/>
      </w:r>
    </w:p>
  </w:endnote>
  <w:endnote w:type="continuationSeparator" w:id="0">
    <w:p w14:paraId="2C7B390A" w14:textId="77777777" w:rsidR="00CF7E43" w:rsidRDefault="00CF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54248" w14:textId="77777777" w:rsidR="00CF7E43" w:rsidRDefault="00CF7E43">
      <w:pPr>
        <w:spacing w:after="0" w:line="240" w:lineRule="auto"/>
      </w:pPr>
      <w:r>
        <w:separator/>
      </w:r>
    </w:p>
  </w:footnote>
  <w:footnote w:type="continuationSeparator" w:id="0">
    <w:p w14:paraId="2BEC972E" w14:textId="77777777" w:rsidR="00CF7E43" w:rsidRDefault="00CF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8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54FBB7" w14:textId="475D3E52" w:rsidR="00FC4ADA" w:rsidRPr="00FC4ADA" w:rsidRDefault="000E3D6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4A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4A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4A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7C4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C4A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94971F3" w14:textId="77777777" w:rsidR="00FC4ADA" w:rsidRDefault="00477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D4B"/>
    <w:multiLevelType w:val="hybridMultilevel"/>
    <w:tmpl w:val="5EE6FD1C"/>
    <w:lvl w:ilvl="0" w:tplc="1F30F0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873F6"/>
    <w:multiLevelType w:val="hybridMultilevel"/>
    <w:tmpl w:val="E6DAEC6A"/>
    <w:lvl w:ilvl="0" w:tplc="E40A12E2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6A"/>
    <w:rsid w:val="000169C7"/>
    <w:rsid w:val="000B2822"/>
    <w:rsid w:val="000C1B23"/>
    <w:rsid w:val="000E3D6A"/>
    <w:rsid w:val="001F3824"/>
    <w:rsid w:val="002F1E14"/>
    <w:rsid w:val="00462FA9"/>
    <w:rsid w:val="00477C45"/>
    <w:rsid w:val="004A2136"/>
    <w:rsid w:val="004B255E"/>
    <w:rsid w:val="0071734E"/>
    <w:rsid w:val="007D4E03"/>
    <w:rsid w:val="00845843"/>
    <w:rsid w:val="00880235"/>
    <w:rsid w:val="008B10CF"/>
    <w:rsid w:val="00940DC9"/>
    <w:rsid w:val="00B30B35"/>
    <w:rsid w:val="00B929D5"/>
    <w:rsid w:val="00C0564E"/>
    <w:rsid w:val="00CF7E43"/>
    <w:rsid w:val="00E96E1B"/>
    <w:rsid w:val="00EB21D9"/>
    <w:rsid w:val="00F558B9"/>
    <w:rsid w:val="00F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CECE"/>
  <w15:docId w15:val="{E488A04A-55B2-4A70-9ABC-2BDEC24A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D6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E3D6A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B28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734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734E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71734E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AZJMDCZ6QSYZ-7492995-2838</_dlc_DocId>
    <_dlc_DocIdUrl xmlns="a494813a-d0d8-4dad-94cb-0d196f36ba15">
      <Url>https://ekoordinacije.vlada.hr/unutarnja-vanjska-politika/_layouts/15/DocIdRedir.aspx?ID=AZJMDCZ6QSYZ-7492995-2838</Url>
      <Description>AZJMDCZ6QSYZ-7492995-2838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D6D8F-5C69-4A09-B5D9-2623F6BA0120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F8F58890-6961-459E-9C45-B05435C98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CC19E-0ED4-45AA-9C24-D83E866CC4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E711FB-7755-4435-B7A7-D68EA30C0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01_Prijedlog odluke </dc:title>
  <dc:creator>Katarina Serdar</dc:creator>
  <cp:lastModifiedBy>Sanja Duspara</cp:lastModifiedBy>
  <cp:revision>5</cp:revision>
  <dcterms:created xsi:type="dcterms:W3CDTF">2021-03-18T14:37:00Z</dcterms:created>
  <dcterms:modified xsi:type="dcterms:W3CDTF">2021-03-25T14:45:00Z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506560dd-ca2b-4197-ab94-90c6b7dd571a</vt:lpwstr>
  </property>
  <property fmtid="{D5CDD505-2E9C-101B-9397-08002B2CF9AE}" pid="3" name="ContentTypeId">
    <vt:lpwstr>0x010100B067BDC0524608488A6F0AA2AC437412</vt:lpwstr>
  </property>
</Properties>
</file>