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22232" w14:textId="77777777" w:rsidR="00537E63" w:rsidRPr="00800462" w:rsidRDefault="00537E63" w:rsidP="00537E63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7FE95D9A" wp14:editId="36B8CC8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32B6C5A3" w14:textId="77777777" w:rsidR="00537E63" w:rsidRPr="00800462" w:rsidRDefault="00537E63" w:rsidP="00537E63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28C8C027" w14:textId="77777777" w:rsidR="00537E63" w:rsidRPr="00800462" w:rsidRDefault="00537E63" w:rsidP="00537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806C03" w14:textId="77777777" w:rsidR="00537E63" w:rsidRPr="00800462" w:rsidRDefault="00537E63" w:rsidP="00537E63">
      <w:pPr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>1. travnja 2021</w:t>
      </w:r>
      <w:r w:rsidRPr="00800462">
        <w:rPr>
          <w:rFonts w:ascii="Times New Roman" w:hAnsi="Times New Roman" w:cs="Times New Roman"/>
          <w:sz w:val="24"/>
          <w:szCs w:val="24"/>
        </w:rPr>
        <w:t>.</w:t>
      </w:r>
    </w:p>
    <w:p w14:paraId="31BC92BF" w14:textId="77777777" w:rsidR="00537E63" w:rsidRPr="00800462" w:rsidRDefault="00537E63" w:rsidP="00537E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567331" w14:textId="77777777" w:rsidR="00537E63" w:rsidRPr="00800462" w:rsidRDefault="00537E63" w:rsidP="00537E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8DF56B" w14:textId="77777777" w:rsidR="00537E63" w:rsidRPr="00800462" w:rsidRDefault="00537E63" w:rsidP="00537E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0CE2CF" w14:textId="77777777" w:rsidR="00537E63" w:rsidRPr="00800462" w:rsidRDefault="00537E63" w:rsidP="00537E63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37E63" w:rsidRPr="00800462" w14:paraId="7DC21BB8" w14:textId="77777777" w:rsidTr="00F32419">
        <w:tc>
          <w:tcPr>
            <w:tcW w:w="1951" w:type="dxa"/>
          </w:tcPr>
          <w:p w14:paraId="5F661057" w14:textId="77777777" w:rsidR="00537E63" w:rsidRPr="008972F8" w:rsidRDefault="00537E63" w:rsidP="00F3241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972F8">
              <w:rPr>
                <w:sz w:val="24"/>
                <w:szCs w:val="24"/>
              </w:rPr>
              <w:t xml:space="preserve"> </w:t>
            </w:r>
            <w:r w:rsidRPr="008972F8">
              <w:rPr>
                <w:b/>
                <w:smallCaps/>
                <w:sz w:val="24"/>
                <w:szCs w:val="24"/>
              </w:rPr>
              <w:t>Predlagatelj</w:t>
            </w:r>
            <w:r w:rsidRPr="008972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98DBE15" w14:textId="77777777" w:rsidR="00537E63" w:rsidRPr="008972F8" w:rsidRDefault="00537E63" w:rsidP="00F324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Sigurnosno-obavještajna agencija </w:t>
            </w:r>
          </w:p>
        </w:tc>
      </w:tr>
    </w:tbl>
    <w:p w14:paraId="1AAE57DC" w14:textId="77777777" w:rsidR="00537E63" w:rsidRPr="00800462" w:rsidRDefault="00537E63" w:rsidP="00537E63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537E63" w:rsidRPr="00800462" w14:paraId="777F1483" w14:textId="77777777" w:rsidTr="00F32419">
        <w:tc>
          <w:tcPr>
            <w:tcW w:w="1951" w:type="dxa"/>
          </w:tcPr>
          <w:p w14:paraId="2D6D49B2" w14:textId="77777777" w:rsidR="00537E63" w:rsidRPr="008972F8" w:rsidRDefault="00537E63" w:rsidP="00F3241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972F8">
              <w:rPr>
                <w:b/>
                <w:smallCaps/>
                <w:sz w:val="24"/>
                <w:szCs w:val="24"/>
              </w:rPr>
              <w:t>Predmet</w:t>
            </w:r>
            <w:r w:rsidRPr="008972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4B10309" w14:textId="77777777" w:rsidR="00537E63" w:rsidRPr="00537E63" w:rsidRDefault="00537E63" w:rsidP="00F324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odluke </w:t>
            </w:r>
            <w:r w:rsidRPr="00537E63">
              <w:rPr>
                <w:rFonts w:eastAsia="Calibri"/>
                <w:sz w:val="24"/>
                <w:szCs w:val="24"/>
                <w:lang w:eastAsia="zh-CN"/>
              </w:rPr>
              <w:t>o mjerama i aktivnostima za podizanje nacionalnih sposobnosti pravovremenog otkrivanja i zaštite od državno sponzoriranih kibernetičkih napada, Advanced Persistent Threat (APT) kampanja te drugih kibernetičkih ugroza</w:t>
            </w:r>
          </w:p>
          <w:p w14:paraId="25CE5427" w14:textId="77777777" w:rsidR="00537E63" w:rsidRPr="008972F8" w:rsidRDefault="00537E63" w:rsidP="00F32419">
            <w:pPr>
              <w:jc w:val="both"/>
              <w:rPr>
                <w:sz w:val="24"/>
                <w:szCs w:val="24"/>
              </w:rPr>
            </w:pPr>
          </w:p>
        </w:tc>
      </w:tr>
    </w:tbl>
    <w:p w14:paraId="6142D635" w14:textId="77777777" w:rsidR="00537E63" w:rsidRPr="00800462" w:rsidRDefault="00537E63" w:rsidP="00537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08964" w14:textId="77777777" w:rsidR="00537E63" w:rsidRPr="00800462" w:rsidRDefault="00537E63" w:rsidP="00537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43AEDF" w14:textId="77777777" w:rsidR="00537E63" w:rsidRPr="00800462" w:rsidRDefault="00537E63" w:rsidP="00537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989048" w14:textId="77777777" w:rsidR="00537E63" w:rsidRPr="00800462" w:rsidRDefault="00537E63" w:rsidP="00537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3E9E1" w14:textId="77777777" w:rsidR="00537E63" w:rsidRPr="00800462" w:rsidRDefault="00537E63" w:rsidP="00537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040C4" w14:textId="77777777" w:rsidR="00537E63" w:rsidRDefault="00537E63" w:rsidP="00537E63">
      <w:pPr>
        <w:pStyle w:val="Header"/>
      </w:pPr>
    </w:p>
    <w:p w14:paraId="74118BD9" w14:textId="77777777" w:rsidR="00537E63" w:rsidRDefault="00537E63" w:rsidP="00537E63"/>
    <w:p w14:paraId="602EEC5B" w14:textId="77777777" w:rsidR="00537E63" w:rsidRDefault="00537E63" w:rsidP="00537E63"/>
    <w:p w14:paraId="032E47E3" w14:textId="77777777" w:rsidR="00537E63" w:rsidRDefault="00537E63" w:rsidP="00537E63"/>
    <w:p w14:paraId="2188875D" w14:textId="77777777" w:rsidR="00537E63" w:rsidRDefault="00537E63" w:rsidP="00537E63"/>
    <w:p w14:paraId="0DBDC199" w14:textId="77777777" w:rsidR="00537E63" w:rsidRDefault="00537E63" w:rsidP="00537E63"/>
    <w:p w14:paraId="43B8C7A6" w14:textId="77777777" w:rsidR="00537E63" w:rsidRPr="005222AE" w:rsidRDefault="00537E63" w:rsidP="00537E63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22D00692" w14:textId="77777777" w:rsidR="00537E63" w:rsidRDefault="00537E63" w:rsidP="00537E63"/>
    <w:p w14:paraId="2198CBA9" w14:textId="77777777" w:rsidR="00537E63" w:rsidRDefault="00537E63" w:rsidP="00975F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DC9C3D8" w14:textId="77777777" w:rsidR="00537E63" w:rsidRPr="00537E63" w:rsidRDefault="00537E63" w:rsidP="00537E6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537E63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Prijedlog</w:t>
      </w:r>
    </w:p>
    <w:p w14:paraId="406B312D" w14:textId="77777777" w:rsidR="00537E63" w:rsidRDefault="00537E63" w:rsidP="00975F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B4A60FD" w14:textId="77777777" w:rsidR="00537E63" w:rsidRDefault="00537E63" w:rsidP="00975F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F77BB5B" w14:textId="77777777" w:rsidR="00975F5B" w:rsidRPr="007755B0" w:rsidRDefault="00E578ED" w:rsidP="00975F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Na temelju članka 31. stavka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2.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Zakona o Vladi Republike Hrvatske („Narodne novine“</w:t>
      </w:r>
      <w:r w:rsidR="00537E63">
        <w:rPr>
          <w:rFonts w:ascii="Times New Roman" w:eastAsia="Calibri" w:hAnsi="Times New Roman" w:cs="Times New Roman"/>
          <w:sz w:val="24"/>
          <w:szCs w:val="24"/>
          <w:lang w:eastAsia="zh-CN"/>
        </w:rPr>
        <w:t>, br.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150/11</w:t>
      </w:r>
      <w:r w:rsidR="00537E63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, 119/14</w:t>
      </w:r>
      <w:r w:rsidR="00537E63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, 93/16</w:t>
      </w:r>
      <w:r w:rsidR="00537E63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 116/18</w:t>
      </w:r>
      <w:r w:rsidR="00537E63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), Vlada Republike Hrvatske je na sjednici održanoj ______________ 202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1. donijela</w:t>
      </w:r>
    </w:p>
    <w:p w14:paraId="4F5B45D5" w14:textId="77777777" w:rsidR="00975F5B" w:rsidRPr="007755B0" w:rsidRDefault="001C202C" w:rsidP="00975F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B92E9EC" w14:textId="77777777" w:rsidR="00975F5B" w:rsidRDefault="00E578ED" w:rsidP="00537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7A0203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ODLUKA</w:t>
      </w:r>
    </w:p>
    <w:p w14:paraId="4E24F201" w14:textId="77777777" w:rsidR="00537E63" w:rsidRPr="007A0203" w:rsidRDefault="00537E63" w:rsidP="00537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7A64E029" w14:textId="77777777" w:rsidR="007A0203" w:rsidRPr="007A0203" w:rsidRDefault="00E578ED" w:rsidP="00537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7A0203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mjerama i </w:t>
      </w:r>
      <w:r w:rsidRPr="007A0203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aktivnostima 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za</w:t>
      </w:r>
      <w:r w:rsidRPr="007A0203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podizanj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e</w:t>
      </w:r>
      <w:r w:rsidRPr="007A0203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nacionalnih sposobnosti pravovremeno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g</w:t>
      </w:r>
      <w:r w:rsidRPr="007A0203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otkrivanj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a</w:t>
      </w:r>
      <w:r w:rsidRPr="007A0203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i zaštit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e</w:t>
      </w:r>
      <w:r w:rsidRPr="007A0203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od državno sponzoriranih kibernetičkih napada, </w:t>
      </w:r>
      <w:r w:rsidRPr="00660E3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Advanced Persistent Threat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(APT) kampanja </w:t>
      </w:r>
      <w:r w:rsidR="00537E63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te drugih kibernetičkih ugroza </w:t>
      </w:r>
    </w:p>
    <w:p w14:paraId="0AF86FE5" w14:textId="77777777" w:rsidR="00D44302" w:rsidRPr="007A0203" w:rsidRDefault="001C202C" w:rsidP="00537E63">
      <w:pPr>
        <w:spacing w:after="0" w:line="240" w:lineRule="auto"/>
        <w:jc w:val="center"/>
        <w:rPr>
          <w:rFonts w:ascii="Times New Roman" w:eastAsia="Calibri" w:hAnsi="Times New Roman" w:cs="Times New Roman"/>
          <w:strike/>
          <w:spacing w:val="60"/>
          <w:sz w:val="24"/>
          <w:szCs w:val="24"/>
          <w:lang w:eastAsia="zh-CN"/>
        </w:rPr>
      </w:pPr>
    </w:p>
    <w:p w14:paraId="77E9665A" w14:textId="77777777" w:rsidR="007A0203" w:rsidRDefault="001C202C" w:rsidP="00660E31">
      <w:pPr>
        <w:rPr>
          <w:lang w:eastAsia="zh-CN"/>
        </w:rPr>
      </w:pPr>
    </w:p>
    <w:p w14:paraId="50087372" w14:textId="77777777" w:rsidR="00660E31" w:rsidRDefault="00E578ED" w:rsidP="00537E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520A3D">
        <w:rPr>
          <w:rFonts w:ascii="Times New Roman" w:hAnsi="Times New Roman" w:cs="Times New Roman"/>
          <w:b/>
          <w:sz w:val="24"/>
          <w:szCs w:val="24"/>
          <w:lang w:eastAsia="zh-CN"/>
        </w:rPr>
        <w:t>I.</w:t>
      </w:r>
    </w:p>
    <w:p w14:paraId="6F41B3DA" w14:textId="77777777" w:rsidR="00537E63" w:rsidRPr="00520A3D" w:rsidRDefault="00537E63" w:rsidP="00537E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69DB16C" w14:textId="77777777" w:rsidR="009A5A20" w:rsidRDefault="00E578ED" w:rsidP="00537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Ovom se Odlukom određuju mjere i aktivnosti za 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>po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dizanje nacionalnih sposobnosti za pravovremeno otkrivanje i zaštitu od državno sponzoriranih kibernetičkih napada, Advanced Persistent Threat (APT) kampanja te drugih kibernetičkih ugroza.</w:t>
      </w:r>
    </w:p>
    <w:p w14:paraId="2AAC668F" w14:textId="77777777" w:rsidR="00537E63" w:rsidRDefault="00537E63" w:rsidP="00537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2E74C20" w14:textId="77777777" w:rsidR="00076EE9" w:rsidRDefault="00E578ED" w:rsidP="00537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Mjere i aktivnosti iz stavka 1. ove točke temelje se na sustavu </w:t>
      </w:r>
      <w:r w:rsidRPr="00975F5B">
        <w:rPr>
          <w:rFonts w:ascii="Times New Roman" w:eastAsia="Calibri" w:hAnsi="Times New Roman" w:cs="Times New Roman"/>
          <w:sz w:val="24"/>
          <w:szCs w:val="24"/>
          <w:lang w:eastAsia="zh-CN"/>
        </w:rPr>
        <w:t>SK@UT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, kao sustavu za otkrivanje, rano upozorenje i zaštitu od državno sponzoriranih kibernetičkih napada, APT kampanja te drugih kibernetičkih ugroza.</w:t>
      </w:r>
    </w:p>
    <w:p w14:paraId="6E6028BC" w14:textId="77777777" w:rsidR="00076EE9" w:rsidRDefault="001C202C" w:rsidP="00537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A07AE94" w14:textId="77777777" w:rsidR="006D7C1C" w:rsidRDefault="001C202C" w:rsidP="007A020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3C14E64" w14:textId="77777777" w:rsidR="00076EE9" w:rsidRDefault="00E578ED" w:rsidP="00537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20A3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II.</w:t>
      </w:r>
    </w:p>
    <w:p w14:paraId="79E91815" w14:textId="77777777" w:rsidR="00537E63" w:rsidRPr="00520A3D" w:rsidRDefault="00537E63" w:rsidP="00537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7E4DE1F3" w14:textId="77777777" w:rsidR="009747ED" w:rsidRDefault="00E578ED" w:rsidP="00537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Mjere iz točke I. ove Odluke su pristupanje različitih skupina tijela i pravnih osoba definiranih u točkama III., IV., V. i VI. ove Odluke, a aktivnosti iz točke I. ove Odluke sastoje se od provedbe odgovarajućih procjena potreba i sigurnosnih procjena u svrhu pristupanja sustavu SK@UT, sklapanja sporazuma o pristupanju te kontinuiranog praćenja stanja kibernetičke sigurnosti u tijelima i pravnim osobama koje su pristupile u sustav SK@UT.</w:t>
      </w:r>
    </w:p>
    <w:p w14:paraId="0CE21F17" w14:textId="77777777" w:rsidR="00537E63" w:rsidRDefault="00537E63" w:rsidP="00537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9CF79EA" w14:textId="77777777" w:rsidR="00076EE9" w:rsidRDefault="00E578ED" w:rsidP="00537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Za provedbu mjera i aktivnosti iz stavka 1. ove točke nadležna je Sigurnosno-obavještajna agencija (u daljnjem tekstu: SOA), koja to provodi</w:t>
      </w:r>
      <w:r w:rsidRPr="00076EE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8714D5">
        <w:rPr>
          <w:rFonts w:ascii="Times New Roman" w:eastAsia="Calibri" w:hAnsi="Times New Roman" w:cs="Times New Roman"/>
          <w:sz w:val="24"/>
          <w:szCs w:val="24"/>
          <w:lang w:eastAsia="zh-CN"/>
        </w:rPr>
        <w:t>u suradnji sa Zavodom za sigurnost informa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cijskih sustava (u daljnjem tekstu: ZSIS)</w:t>
      </w:r>
      <w:r w:rsidRPr="008714D5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14:paraId="0784E791" w14:textId="77777777" w:rsidR="00076EE9" w:rsidRDefault="001C202C" w:rsidP="007A020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0B46C30" w14:textId="77777777" w:rsidR="006D7C1C" w:rsidRDefault="001C202C" w:rsidP="00537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4A71DFD" w14:textId="77777777" w:rsidR="00076EE9" w:rsidRDefault="00E578ED" w:rsidP="00537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20A3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III.</w:t>
      </w:r>
    </w:p>
    <w:p w14:paraId="4A3667B9" w14:textId="77777777" w:rsidR="00537E63" w:rsidRPr="00520A3D" w:rsidRDefault="00537E63" w:rsidP="00537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243604F1" w14:textId="77777777" w:rsidR="00076EE9" w:rsidRDefault="00E578ED" w:rsidP="00537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Zadužuju se minista</w:t>
      </w:r>
      <w:r w:rsidR="00805DAC">
        <w:rPr>
          <w:rFonts w:ascii="Times New Roman" w:eastAsia="Calibri" w:hAnsi="Times New Roman" w:cs="Times New Roman"/>
          <w:sz w:val="24"/>
          <w:szCs w:val="24"/>
          <w:lang w:eastAsia="zh-CN"/>
        </w:rPr>
        <w:t>rstva da pristupe sustavu SK@UT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u najkraćem mogućem roku.</w:t>
      </w:r>
    </w:p>
    <w:p w14:paraId="47685822" w14:textId="77777777" w:rsidR="00076EE9" w:rsidRDefault="001C202C" w:rsidP="00537E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909EE3E" w14:textId="77777777" w:rsidR="006D7C1C" w:rsidRDefault="001C202C" w:rsidP="00076EE9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D05647D" w14:textId="77777777" w:rsidR="00537E63" w:rsidRDefault="00537E63" w:rsidP="00076EE9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2ECF072" w14:textId="77777777" w:rsidR="00537E63" w:rsidRDefault="00537E63" w:rsidP="00076EE9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6D10182" w14:textId="77777777" w:rsidR="00076EE9" w:rsidRDefault="00E578ED" w:rsidP="00537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20A3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lastRenderedPageBreak/>
        <w:t>IV.</w:t>
      </w:r>
    </w:p>
    <w:p w14:paraId="5B33A5A0" w14:textId="77777777" w:rsidR="00537E63" w:rsidRPr="00520A3D" w:rsidRDefault="00537E63" w:rsidP="00537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6765DD50" w14:textId="77777777" w:rsidR="00520A3D" w:rsidRDefault="00E578ED" w:rsidP="00537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Zadužuju se i druga tijela državne uprave, državna tijela nadležna za državne informacijske infrastrukture te druga državna tijela da, na temelju sigurnosne p</w:t>
      </w:r>
      <w:r w:rsidRPr="00D8147B">
        <w:rPr>
          <w:rFonts w:ascii="Times New Roman" w:eastAsia="Calibri" w:hAnsi="Times New Roman" w:cs="Times New Roman"/>
          <w:sz w:val="24"/>
          <w:szCs w:val="24"/>
          <w:lang w:eastAsia="zh-CN"/>
        </w:rPr>
        <w:t>rocjene S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OA-e, pristupe sustavu SK@UT. </w:t>
      </w:r>
    </w:p>
    <w:p w14:paraId="49E83F5F" w14:textId="77777777" w:rsidR="00520A3D" w:rsidRDefault="001C202C" w:rsidP="00537E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DD3FC45" w14:textId="77777777" w:rsidR="00520A3D" w:rsidRDefault="00E578ED" w:rsidP="00537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20A3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V.</w:t>
      </w:r>
    </w:p>
    <w:p w14:paraId="7881DE52" w14:textId="77777777" w:rsidR="00537E63" w:rsidRPr="00520A3D" w:rsidRDefault="00537E63" w:rsidP="00537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293AE85A" w14:textId="77777777" w:rsidR="00975F5B" w:rsidRPr="00366002" w:rsidRDefault="00E578ED" w:rsidP="00537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F0B5D">
        <w:rPr>
          <w:rFonts w:ascii="Times New Roman" w:eastAsia="Calibri" w:hAnsi="Times New Roman" w:cs="Times New Roman"/>
          <w:sz w:val="24"/>
          <w:szCs w:val="24"/>
          <w:lang w:eastAsia="zh-CN"/>
        </w:rPr>
        <w:t>Z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>adužuje se</w:t>
      </w:r>
      <w:r w:rsidR="00537E6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SOA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da</w:t>
      </w:r>
      <w:r w:rsidR="00537E63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>u suradnji s nadležnim sektorskim tijelima</w:t>
      </w:r>
      <w:r w:rsidRPr="000F0B5D">
        <w:t xml:space="preserve"> </w:t>
      </w:r>
      <w:r w:rsidRPr="000F0B5D">
        <w:rPr>
          <w:rFonts w:ascii="Times New Roman" w:eastAsia="Calibri" w:hAnsi="Times New Roman" w:cs="Times New Roman"/>
          <w:sz w:val="24"/>
          <w:szCs w:val="24"/>
          <w:lang w:eastAsia="zh-CN"/>
        </w:rPr>
        <w:t>određenim Zakonom o kibernetičkoj sigurnosti operatora ključnih usluga i davatelja digitalnih usluga („Narodne novine“</w:t>
      </w:r>
      <w:r w:rsidR="00537E63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Pr="000F0B5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broj 64/18</w:t>
      </w:r>
      <w:r w:rsidR="00537E63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r w:rsidRPr="000F0B5D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 Zakonom o kritičnim infrastrukturama </w:t>
      </w:r>
      <w:r w:rsidRPr="00D260AB">
        <w:rPr>
          <w:rFonts w:ascii="Times New Roman" w:eastAsia="Calibri" w:hAnsi="Times New Roman" w:cs="Times New Roman"/>
          <w:sz w:val="24"/>
          <w:szCs w:val="24"/>
          <w:lang w:eastAsia="zh-CN"/>
        </w:rPr>
        <w:t>(„Narodne novine“</w:t>
      </w:r>
      <w:r w:rsidR="00537E63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Pr="00D260A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broj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56/13</w:t>
      </w:r>
      <w:r w:rsidR="00537E63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r w:rsidRPr="00D260AB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u 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>najkraćem mogućem roku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, provede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procjenu i operatorima ključnih usluga, davateljima digitalnih usluga te operatorima kritične nacionalne infrastrukture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za koje se utvrdi potreba, 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predloži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pristupanje 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>sustav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u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SK@UT.</w:t>
      </w:r>
    </w:p>
    <w:p w14:paraId="53F08236" w14:textId="77777777" w:rsidR="006D7C1C" w:rsidRDefault="001C202C" w:rsidP="00520A3D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CC03053" w14:textId="77777777" w:rsidR="00520A3D" w:rsidRDefault="00E578ED" w:rsidP="00537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20A3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VI.</w:t>
      </w:r>
    </w:p>
    <w:p w14:paraId="040AD0C6" w14:textId="77777777" w:rsidR="00537E63" w:rsidRPr="00520A3D" w:rsidRDefault="00537E63" w:rsidP="00537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2DF7EFA2" w14:textId="77777777" w:rsidR="00975F5B" w:rsidRDefault="00E578ED" w:rsidP="00537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S ciljem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dodatne zaštite naci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onalnog kibernetičkog prostora, s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>ustav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u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SK@UT mogu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pristupiti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 druge pravne osobe registrirane u Republici Hrvatskoj, koje podnesu zahtjev SOA-i,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pod uvjetom da SOA temeljem sigurnosne procjene takvom zahtjevu udovolji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14:paraId="1BB0DA11" w14:textId="77777777" w:rsidR="006D7C1C" w:rsidRDefault="001C202C" w:rsidP="00520A3D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AAA8B33" w14:textId="77777777" w:rsidR="00520A3D" w:rsidRDefault="00E578ED" w:rsidP="00537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20A3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VII.</w:t>
      </w:r>
    </w:p>
    <w:p w14:paraId="2BAB193E" w14:textId="77777777" w:rsidR="00537E63" w:rsidRPr="00520A3D" w:rsidRDefault="00537E63" w:rsidP="00537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5DF420B6" w14:textId="77777777" w:rsidR="00975F5B" w:rsidRPr="00366002" w:rsidRDefault="00E578ED" w:rsidP="00537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Zadužuju se 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OA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ZSIS da sa svakim pravnim subjektom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koji pristupa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sustav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u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SK@UT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sklope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sporazum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klasificiran odgovarajućim stupnjem tajnosti, 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>kojim s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e utvrđuju međusobna prava i ob</w:t>
      </w:r>
      <w:r w:rsidRPr="00366002">
        <w:rPr>
          <w:rFonts w:ascii="Times New Roman" w:eastAsia="Calibri" w:hAnsi="Times New Roman" w:cs="Times New Roman"/>
          <w:sz w:val="24"/>
          <w:szCs w:val="24"/>
          <w:lang w:eastAsia="zh-CN"/>
        </w:rPr>
        <w:t>veze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Pr="00D8147B">
        <w:t xml:space="preserve"> </w:t>
      </w:r>
      <w:r w:rsidRPr="00D8147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odnosno tehnički i drugi uvjeti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za pristupanje i korištenje sustava </w:t>
      </w:r>
      <w:r w:rsidRPr="009E668C">
        <w:rPr>
          <w:rFonts w:ascii="Times New Roman" w:eastAsia="Calibri" w:hAnsi="Times New Roman" w:cs="Times New Roman"/>
          <w:sz w:val="24"/>
          <w:szCs w:val="24"/>
          <w:lang w:eastAsia="zh-CN"/>
        </w:rPr>
        <w:t>SK@UT.</w:t>
      </w:r>
    </w:p>
    <w:p w14:paraId="7997C101" w14:textId="77777777" w:rsidR="00520A3D" w:rsidRDefault="001C202C" w:rsidP="00520A3D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DD429DD" w14:textId="77777777" w:rsidR="003A79D6" w:rsidRDefault="001C202C" w:rsidP="00537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F56EFB4" w14:textId="77777777" w:rsidR="00520A3D" w:rsidRDefault="00E578ED" w:rsidP="00537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20A3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VIII.</w:t>
      </w:r>
    </w:p>
    <w:p w14:paraId="2536C63A" w14:textId="77777777" w:rsidR="00537E63" w:rsidRPr="00520A3D" w:rsidRDefault="00537E63" w:rsidP="00537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415F5FE2" w14:textId="77777777" w:rsidR="00975F5B" w:rsidRDefault="00E578ED" w:rsidP="00537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Ova Odluka stupa na snagu danom donošenja. </w:t>
      </w:r>
    </w:p>
    <w:p w14:paraId="02EE3F84" w14:textId="77777777" w:rsidR="00975F5B" w:rsidRDefault="001C202C" w:rsidP="00975F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9075956" w14:textId="77777777" w:rsidR="00520A3D" w:rsidRDefault="001C202C" w:rsidP="00975F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9FAFC6D" w14:textId="77777777" w:rsidR="00520A3D" w:rsidRDefault="001C202C" w:rsidP="00975F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CB2DDAC" w14:textId="77777777" w:rsidR="00520A3D" w:rsidRDefault="001C202C" w:rsidP="00975F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4EED265" w14:textId="77777777" w:rsidR="00975F5B" w:rsidRPr="007755B0" w:rsidRDefault="00E578ED" w:rsidP="00975F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KLASA: ___________</w:t>
      </w:r>
    </w:p>
    <w:p w14:paraId="390A4E66" w14:textId="77777777" w:rsidR="00975F5B" w:rsidRPr="007755B0" w:rsidRDefault="00E578ED" w:rsidP="00975F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URBROJ:__________</w:t>
      </w:r>
    </w:p>
    <w:p w14:paraId="5B6E737F" w14:textId="77777777" w:rsidR="00975F5B" w:rsidRPr="007755B0" w:rsidRDefault="00E578ED" w:rsidP="00975F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Zagreb, ____________</w:t>
      </w:r>
    </w:p>
    <w:p w14:paraId="3751C42D" w14:textId="77777777" w:rsidR="00975F5B" w:rsidRPr="007755B0" w:rsidRDefault="00537E63" w:rsidP="00975F5B">
      <w:pPr>
        <w:spacing w:after="360" w:line="240" w:lineRule="auto"/>
        <w:ind w:left="5664"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PREDSJEDNIK</w:t>
      </w:r>
    </w:p>
    <w:p w14:paraId="56DFC18C" w14:textId="77777777" w:rsidR="00382FEE" w:rsidRPr="00537E63" w:rsidRDefault="00E578ED" w:rsidP="00537E63">
      <w:pPr>
        <w:spacing w:after="600" w:line="240" w:lineRule="auto"/>
        <w:ind w:left="4956" w:firstLine="709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37E63">
        <w:rPr>
          <w:rFonts w:ascii="Times New Roman" w:eastAsia="Calibri" w:hAnsi="Times New Roman" w:cs="Times New Roman"/>
          <w:sz w:val="24"/>
          <w:szCs w:val="24"/>
          <w:lang w:eastAsia="zh-CN"/>
        </w:rPr>
        <w:t>mr. sc. Andrej Plenković</w:t>
      </w:r>
      <w:r w:rsidRPr="00537E63">
        <w:rPr>
          <w:rFonts w:ascii="Times New Roman" w:eastAsia="Calibri" w:hAnsi="Times New Roman" w:cs="Times New Roman"/>
          <w:sz w:val="24"/>
          <w:szCs w:val="24"/>
          <w:lang w:eastAsia="zh-CN"/>
        </w:rPr>
        <w:br w:type="page"/>
      </w:r>
    </w:p>
    <w:p w14:paraId="6110F179" w14:textId="77777777" w:rsidR="00975F5B" w:rsidRPr="007755B0" w:rsidRDefault="00E578ED" w:rsidP="00617D00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lastRenderedPageBreak/>
        <w:t>OBRAZLOŽENJE</w:t>
      </w:r>
    </w:p>
    <w:p w14:paraId="620C9216" w14:textId="77777777" w:rsidR="00975F5B" w:rsidRPr="007755B0" w:rsidRDefault="00E578ED" w:rsidP="00617D00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SK@UT je sustav za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otkrivanje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, rano upozorenje i zaštitu od državno sponzoriranih kibernetičkih napada, APT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footnoteReference w:id="1"/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kampanja te drugih kibernetičkih ugroza, koji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su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razvil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i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Sigurnosno-obavještajna agencija (SOA)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 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Zavod za sigurnost informacijskih sustava (ZSIS). SK@UT se sastoji od distribuirane mreže senzora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smještenih u informacijskim sustavima ključnih državnih tijela i pravnih osoba, centralne platforme u SOA-i, glavnih nadzornih centara u SOA-i i ZSIS-u te lokalnih nadzornih centara u tijelima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 pravnim osobama koje su pristupile 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u sustav.</w:t>
      </w:r>
    </w:p>
    <w:p w14:paraId="746620BA" w14:textId="77777777" w:rsidR="00251359" w:rsidRDefault="00E578ED" w:rsidP="00617D00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Ova Odluka donosi se na t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emelj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u uspješno provedenog testiranja učinkovitosti sustava SK@UT na užem skupu ključnih tijela državne uprave. Time je 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ostvaren početni cilj podizanja nacionalnih sposobnosti za pravovremeno otkrivanje i zaštitu od državno sponzoriranih kibernetičkih napada i AP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T kampanja, u okviru kojeg su 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sustav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u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SK@UT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pristupila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sva ministarstva i većina ključnih tijela državne uprave 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je uključeno više 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osjetljivi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h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segmen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a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a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državne informacijske infrastrukture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(npr. hrvatska zdravstvena informacijska infrastruktura)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</w:p>
    <w:p w14:paraId="0D026301" w14:textId="77777777" w:rsidR="00F565C1" w:rsidRDefault="00E578ED" w:rsidP="00617D00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Točkom II. ove Odluke definiraju se mjere pristupanja različitih skupina tijela i pravnih osoba sustavu SK@UT, kao i aktivnosti </w:t>
      </w:r>
      <w:r w:rsidRPr="00F565C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provedbe odgovarajućih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procjena potreba i </w:t>
      </w:r>
      <w:r w:rsidRPr="00F565C1">
        <w:rPr>
          <w:rFonts w:ascii="Times New Roman" w:eastAsia="Calibri" w:hAnsi="Times New Roman" w:cs="Times New Roman"/>
          <w:sz w:val="24"/>
          <w:szCs w:val="24"/>
          <w:lang w:eastAsia="zh-CN"/>
        </w:rPr>
        <w:t>sigurnosnih procjena u svrhu pristupanja sustavu SK@UT, sklapanja sporazuma o pristupanju te kontinuiranog praćenja stanja kibernetičke sigurnosti u tijelima i pravnim osobama koje su pristupile u sustav SK@UT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Točkom II. se utvrđuje Sigurnosno-obavještajna agencija (SOA) kao nadležno tijelo za provedbu ovih mjera i aktivnosti, koja to provodi u suradnji sa Zavodom za sigurnost informacijskih sustava (ZSIS). </w:t>
      </w:r>
    </w:p>
    <w:p w14:paraId="2F9CD257" w14:textId="77777777" w:rsidR="00975F5B" w:rsidRPr="007755B0" w:rsidRDefault="00E578ED" w:rsidP="00617D00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Mjerama iz točaka III. i IV. ove Odluke utvrđuje se način pristupanja sustavu SK@UT za državni sektor u užem smislu. </w:t>
      </w:r>
    </w:p>
    <w:p w14:paraId="2E3E1731" w14:textId="77777777" w:rsidR="00975F5B" w:rsidRPr="007755B0" w:rsidRDefault="00E578ED" w:rsidP="00617D00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U cilju daljnjeg podizanja nacionalnih sposobnosti za pravovremeno otkrivanje i zaštitu od državno sponzoriranih kibernetičkih napada i APT kampanja, kao i drugih kibernetičkih napada, te s ciljem dodatne zaštite kritične informacijske infrastrukture,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mjerom iz 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točk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e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V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ove Odluke,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zadužuje se Sigurnosno-obavještajna agencija (SOA)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da u suradnji s nadležnim sektorskim tijelima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footnoteReference w:id="2"/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 u najkraćem mogućem roku,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provede aktivnost</w:t>
      </w:r>
      <w:r w:rsidRPr="0082521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procjen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e potrebe</w:t>
      </w:r>
      <w:r w:rsidRPr="0082521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 operatorima ključnih usluga, davateljima digitalnih usluga te operatorima kritične nacionalne infrastrukture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Pr="0082521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za ko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je se utvrdi potreba, predloži</w:t>
      </w:r>
      <w:r w:rsidRPr="0082521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pristupa</w:t>
      </w:r>
      <w:r w:rsidRPr="0082521D">
        <w:rPr>
          <w:rFonts w:ascii="Times New Roman" w:eastAsia="Calibri" w:hAnsi="Times New Roman" w:cs="Times New Roman"/>
          <w:sz w:val="24"/>
          <w:szCs w:val="24"/>
          <w:lang w:eastAsia="zh-CN"/>
        </w:rPr>
        <w:t>nje sustav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u</w:t>
      </w:r>
      <w:r w:rsidRPr="0082521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SK@UT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14:paraId="3E908BDB" w14:textId="77777777" w:rsidR="00975F5B" w:rsidRDefault="00E578ED" w:rsidP="00617D00">
      <w:pPr>
        <w:widowControl w:val="0"/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U cilju dodatne zaštite nacionalnog kibernetičkog prostora,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definira se mjera iz 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točk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e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VI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ove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Odluke, kojom se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omogućava uključenje u sustav SK@UT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 za 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drug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 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pravn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e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osob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e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registriran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e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u Republici Hrvatskoj, ako podnesu zahtjev SOA-i i ako SOA provedbom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aktivnosti 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sigurnosne procjene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footnoteReference w:id="3"/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utvrdi opravdanost tog zahtjeva.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14:paraId="4C066A2D" w14:textId="77777777" w:rsidR="00173039" w:rsidRPr="007755B0" w:rsidRDefault="00E578ED" w:rsidP="00617D00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Točkom VII. ove Odluke utvrđuje se aktivnost obaveze sklapanja sporazuma o pristupanju Sustavu SK@UT, za svako pojedino tijelo ili pravnu osobu iz točaka III., IV., V., i VI. ove Odluke. Sporazum se sklapa između nositelja sustava SK@UT, SOA-e i ZSIS-a, te svakog pojedinog tijela ili pravne osobe koja pristupa sustavu. Sporazumom se utvrđuju međusobna prava i obaveze, odnosno tehnički i drugi uvjeti za pristupanje i korištenje sustava SK@UT, a svaki pojedini sporazum označava se odgovarajućim stupnjem tajnosti.</w:t>
      </w:r>
    </w:p>
    <w:p w14:paraId="2D242055" w14:textId="77777777" w:rsidR="003E2DFF" w:rsidRDefault="00E578ED" w:rsidP="00617D00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U cilju podizanja svijesti najšire javnosti u Republici Hrvatskoj o kibernetičkim ugrozama i o važnosti zaštite nacional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nog kibernetičkog prostora, ova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Odluka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donosi se bez određivanja stupnja tajnosti.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Proširenim opsegom tijela i pravnih osoba koje uvodi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ova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Odluka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nadležnim tijelima se 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osigurava povećana vidljivost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hrvatskog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kibernetičkog prostora i podiže se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ukupna 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sposobnost i otpornost Republike Hrvatske za rješavanje kibernetičkih napada velikih razmjera i kibernetičkih kriza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footnoteReference w:id="4"/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te se stvaraju bolji uvjeti za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proces 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atribucij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e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footnoteReference w:id="5"/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kibernetičkih napada na Republiku Hrvatsku.</w:t>
      </w:r>
    </w:p>
    <w:p w14:paraId="5058EF2A" w14:textId="77777777" w:rsidR="004839BB" w:rsidRPr="004D6558" w:rsidRDefault="00E578ED" w:rsidP="00617D00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Sredstva za provedbu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mjera i aktivnosti u cilju daljnjeg podizanja nacionalnih sposobnosti za pravovremeno otkrivanje i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zaštitu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od državno sponzoriranih kibernetičkih napada i APT  kampanja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te drugih kibernetičkih ugroza, osigurana su u financijskom planu SOA-e</w:t>
      </w:r>
      <w:r w:rsidRPr="007755B0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sectPr w:rsidR="004839BB" w:rsidRPr="004D655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5B4DA" w14:textId="77777777" w:rsidR="0086295D" w:rsidRDefault="0086295D">
      <w:pPr>
        <w:spacing w:after="0" w:line="240" w:lineRule="auto"/>
      </w:pPr>
      <w:r>
        <w:separator/>
      </w:r>
    </w:p>
  </w:endnote>
  <w:endnote w:type="continuationSeparator" w:id="0">
    <w:p w14:paraId="49B7FACB" w14:textId="77777777" w:rsidR="0086295D" w:rsidRDefault="0086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F6921" w14:textId="77777777" w:rsidR="0086295D" w:rsidRDefault="0086295D" w:rsidP="00975F5B">
      <w:pPr>
        <w:spacing w:after="0" w:line="240" w:lineRule="auto"/>
      </w:pPr>
      <w:r>
        <w:separator/>
      </w:r>
    </w:p>
  </w:footnote>
  <w:footnote w:type="continuationSeparator" w:id="0">
    <w:p w14:paraId="2D30E524" w14:textId="77777777" w:rsidR="0086295D" w:rsidRDefault="0086295D" w:rsidP="00975F5B">
      <w:pPr>
        <w:spacing w:after="0" w:line="240" w:lineRule="auto"/>
      </w:pPr>
      <w:r>
        <w:continuationSeparator/>
      </w:r>
    </w:p>
  </w:footnote>
  <w:footnote w:id="1">
    <w:p w14:paraId="47D35ADD" w14:textId="77777777" w:rsidR="00975F5B" w:rsidRPr="00B26880" w:rsidRDefault="00E578ED" w:rsidP="00975F5B">
      <w:pPr>
        <w:pStyle w:val="FootnoteText1"/>
        <w:rPr>
          <w:rFonts w:ascii="Times New Roman" w:hAnsi="Times New Roman" w:cs="Times New Roman"/>
        </w:rPr>
      </w:pPr>
      <w:r w:rsidRPr="00B26880">
        <w:rPr>
          <w:rStyle w:val="FootnoteReference"/>
          <w:rFonts w:ascii="Times New Roman" w:hAnsi="Times New Roman" w:cs="Times New Roman"/>
        </w:rPr>
        <w:footnoteRef/>
      </w:r>
      <w:r w:rsidRPr="00B26880">
        <w:rPr>
          <w:rFonts w:ascii="Times New Roman" w:hAnsi="Times New Roman" w:cs="Times New Roman"/>
        </w:rPr>
        <w:t xml:space="preserve"> APT kampanja (Advanced Persistent Threat – napredna ustrajna prijetnja) je vrsta kibernetičkog napada koju obilježava visoka razina stručnosti i prikrivenosti počinitelja kibernetičkog napada u dužem razdoblju, s konačnim ciljem krađe povjerljivih informacija, ucjene ili stvaranja štete.</w:t>
      </w:r>
    </w:p>
  </w:footnote>
  <w:footnote w:id="2">
    <w:p w14:paraId="1251A063" w14:textId="2CAB1A22" w:rsidR="00975F5B" w:rsidRPr="00B26880" w:rsidRDefault="00E578ED" w:rsidP="00975F5B">
      <w:pPr>
        <w:pStyle w:val="FootnoteText1"/>
        <w:spacing w:before="120"/>
        <w:rPr>
          <w:rFonts w:ascii="Times New Roman" w:hAnsi="Times New Roman" w:cs="Times New Roman"/>
        </w:rPr>
      </w:pPr>
      <w:r w:rsidRPr="00B26880">
        <w:rPr>
          <w:rStyle w:val="FootnoteReference"/>
          <w:rFonts w:ascii="Times New Roman" w:hAnsi="Times New Roman" w:cs="Times New Roman"/>
        </w:rPr>
        <w:footnoteRef/>
      </w:r>
      <w:r w:rsidRPr="00B26880">
        <w:rPr>
          <w:rFonts w:ascii="Times New Roman" w:hAnsi="Times New Roman" w:cs="Times New Roman"/>
        </w:rPr>
        <w:t xml:space="preserve"> Nadležna sektorska tijela u okviru Zakona o kibernetičkoj sigurnosti operatora ključnih usluga i davatelja digitalnih usluga („Narodne novine“ broj 64/18) obuhvaćaju tijela nadležna za sektore energetike, prijevoza, bankarstva, infrastruktura financijskog tržišta, zdravstva, opskrbe vodom za piće i njezine distribucije, digitalne infrastrukture, poslovnih usluga za državna tijela, kao i davatelje digitalnih usluga (internetsko tržište, internetske tražilice i usluge računalstva u oblaku). Dodatna nadležna sektorska tijela vezana su uz Zakon o kritičnim infrastrukturam</w:t>
      </w:r>
      <w:r w:rsidR="001C202C">
        <w:rPr>
          <w:rFonts w:ascii="Times New Roman" w:hAnsi="Times New Roman" w:cs="Times New Roman"/>
        </w:rPr>
        <w:t>a („Narodne novine“ broj 56/13)</w:t>
      </w:r>
      <w:bookmarkStart w:id="0" w:name="_GoBack"/>
      <w:bookmarkEnd w:id="0"/>
      <w:r w:rsidRPr="00B26880">
        <w:rPr>
          <w:rFonts w:ascii="Times New Roman" w:hAnsi="Times New Roman" w:cs="Times New Roman"/>
        </w:rPr>
        <w:t>.</w:t>
      </w:r>
    </w:p>
  </w:footnote>
  <w:footnote w:id="3">
    <w:p w14:paraId="6082B01C" w14:textId="77777777" w:rsidR="00975F5B" w:rsidRPr="00B26880" w:rsidRDefault="00E578ED" w:rsidP="00975F5B">
      <w:pPr>
        <w:pStyle w:val="FootnoteText1"/>
        <w:spacing w:before="120"/>
        <w:rPr>
          <w:rFonts w:ascii="Times New Roman" w:hAnsi="Times New Roman" w:cs="Times New Roman"/>
        </w:rPr>
      </w:pPr>
      <w:r w:rsidRPr="00B26880">
        <w:rPr>
          <w:rStyle w:val="FootnoteReference"/>
          <w:rFonts w:ascii="Times New Roman" w:hAnsi="Times New Roman" w:cs="Times New Roman"/>
        </w:rPr>
        <w:footnoteRef/>
      </w:r>
      <w:r w:rsidRPr="00B26880">
        <w:rPr>
          <w:rFonts w:ascii="Times New Roman" w:hAnsi="Times New Roman" w:cs="Times New Roman"/>
        </w:rPr>
        <w:t xml:space="preserve"> </w:t>
      </w:r>
      <w:r w:rsidRPr="00B26880">
        <w:rPr>
          <w:rFonts w:ascii="Times New Roman" w:hAnsi="Times New Roman" w:cs="Times New Roman"/>
          <w:i/>
        </w:rPr>
        <w:t>Sigurnosna procjena SOA-e</w:t>
      </w:r>
      <w:r w:rsidRPr="00B26880">
        <w:rPr>
          <w:rFonts w:ascii="Times New Roman" w:hAnsi="Times New Roman" w:cs="Times New Roman"/>
        </w:rPr>
        <w:t xml:space="preserve"> obuhvaća procjenu važnosti poslovnih usluga državnog tijela ili pravne osobe za gospodarstvo ili društvo u cjelini, procjenu globalnog, nacionalnog i sektorskog stanja kibernetičke sigurnosti te njihovog mogućeg utjecaja na razinu rizika kibernetičke sigurnosti pojedine pravne osobe, kao i procjenu arhitekture poslovnog i operativnog mrežnog i informacijskog sustava koji pojedina pravna osoba koristi.</w:t>
      </w:r>
    </w:p>
  </w:footnote>
  <w:footnote w:id="4">
    <w:p w14:paraId="10AAFA37" w14:textId="77777777" w:rsidR="00975F5B" w:rsidRPr="00B26880" w:rsidRDefault="00E578ED" w:rsidP="00E11E3D">
      <w:pPr>
        <w:pStyle w:val="FootnoteText1"/>
        <w:spacing w:before="120"/>
        <w:rPr>
          <w:rFonts w:ascii="Times New Roman" w:hAnsi="Times New Roman" w:cs="Times New Roman"/>
        </w:rPr>
      </w:pPr>
      <w:r w:rsidRPr="00B26880">
        <w:rPr>
          <w:rStyle w:val="FootnoteReference"/>
          <w:rFonts w:ascii="Times New Roman" w:hAnsi="Times New Roman" w:cs="Times New Roman"/>
        </w:rPr>
        <w:footnoteRef/>
      </w:r>
      <w:r w:rsidRPr="00B26880">
        <w:rPr>
          <w:rFonts w:ascii="Times New Roman" w:hAnsi="Times New Roman" w:cs="Times New Roman"/>
        </w:rPr>
        <w:t xml:space="preserve"> </w:t>
      </w:r>
      <w:r w:rsidRPr="00B26880">
        <w:rPr>
          <w:rFonts w:ascii="Times New Roman" w:hAnsi="Times New Roman" w:cs="Times New Roman"/>
          <w:i/>
        </w:rPr>
        <w:t>Kibernetička kriza</w:t>
      </w:r>
      <w:r w:rsidRPr="00B26880">
        <w:rPr>
          <w:rFonts w:ascii="Times New Roman" w:hAnsi="Times New Roman" w:cs="Times New Roman"/>
        </w:rPr>
        <w:t xml:space="preserve"> je stanje koje može nastati u suvremenom društvu zbog visokog stupnja ovisnosti o mrežnim i informacijskim sustavima i kibernetičkom prostoru, a uslijed čega sve veći broj incidenata i napada u kibernetičkom prostoru može uzrokovati poremećaje u društvenom, političkom i ekonomskom smislu i time utjecati na sigurnost ljudi, demokratski sustav, političku stabilnost, gospodarstvo, okoliš i druge nacionalne vrijednosti, odnosno općenito na nacionalnu sigurnost Republike Hrvatske.</w:t>
      </w:r>
    </w:p>
  </w:footnote>
  <w:footnote w:id="5">
    <w:p w14:paraId="0A4DD3DE" w14:textId="77777777" w:rsidR="00975F5B" w:rsidRPr="00B26880" w:rsidRDefault="00E578ED" w:rsidP="00E11E3D">
      <w:pPr>
        <w:pStyle w:val="FootnoteText1"/>
        <w:spacing w:before="120"/>
        <w:rPr>
          <w:rFonts w:ascii="Times New Roman" w:hAnsi="Times New Roman" w:cs="Times New Roman"/>
        </w:rPr>
      </w:pPr>
      <w:r w:rsidRPr="00B26880">
        <w:rPr>
          <w:rStyle w:val="FootnoteReference"/>
          <w:rFonts w:ascii="Times New Roman" w:hAnsi="Times New Roman" w:cs="Times New Roman"/>
        </w:rPr>
        <w:footnoteRef/>
      </w:r>
      <w:r w:rsidRPr="00B26880">
        <w:rPr>
          <w:rFonts w:ascii="Times New Roman" w:hAnsi="Times New Roman" w:cs="Times New Roman"/>
        </w:rPr>
        <w:t xml:space="preserve"> </w:t>
      </w:r>
      <w:r w:rsidRPr="00B26880">
        <w:rPr>
          <w:rFonts w:ascii="Times New Roman" w:hAnsi="Times New Roman" w:cs="Times New Roman"/>
          <w:i/>
        </w:rPr>
        <w:t>Atribucija kibernetičkog napada</w:t>
      </w:r>
      <w:r w:rsidRPr="00B26880">
        <w:rPr>
          <w:rFonts w:ascii="Times New Roman" w:hAnsi="Times New Roman" w:cs="Times New Roman"/>
        </w:rPr>
        <w:t xml:space="preserve"> označava proces pridjeljivanja odgovornosti za izvršenje kibernetičkog napada koji je uzrokovao štetu ili kibernetičku krizu, koji je rezultat niza analitičkih aktivnosti koje nadležna tijela provode na tehničkoj i sigurnosno-obavještajnoj razini, a s krajnjim ciljem otkrivanja i utvrđivanja činjenica, njihovog povezivanja i procjene njihove vjerojatnosti, kako bi se omogućilo razmatranje i donošenje političke odluke o atribuciji, zajedno s odabirom odgovarajućih diplomatskih instrumenata koji će se primijeniti u svakom pojedinom slučaju atribucije, pri čemu kontekst atribucije može biti nacionalni, EU ili NATO. Primjer procesa atribucije predstavlja </w:t>
      </w:r>
      <w:r w:rsidRPr="00B26880">
        <w:rPr>
          <w:rFonts w:ascii="Times New Roman" w:hAnsi="Times New Roman" w:cs="Times New Roman"/>
          <w:i/>
        </w:rPr>
        <w:t>prva atribucija kibernetičkih napada na EU razini</w:t>
      </w:r>
      <w:r w:rsidRPr="00B26880">
        <w:rPr>
          <w:rFonts w:ascii="Times New Roman" w:hAnsi="Times New Roman" w:cs="Times New Roman"/>
        </w:rPr>
        <w:t xml:space="preserve"> za niz kibernetičkih napada atribuiranih akterima iz Ruske Federacije, NR Kine i Sjeverne Koreje, što je uključilo i rusku vojnu obavještajnu službu GRU te niz povezanih pojedinaca i </w:t>
      </w:r>
      <w:r>
        <w:rPr>
          <w:rFonts w:ascii="Times New Roman" w:hAnsi="Times New Roman" w:cs="Times New Roman"/>
        </w:rPr>
        <w:t xml:space="preserve">kibernetičkih </w:t>
      </w:r>
      <w:r w:rsidRPr="00B26880">
        <w:rPr>
          <w:rFonts w:ascii="Times New Roman" w:hAnsi="Times New Roman" w:cs="Times New Roman"/>
        </w:rPr>
        <w:t>APT grupa iz Rusije, Kine i Sjeverne Koreje (</w:t>
      </w:r>
      <w:r w:rsidRPr="00B26880">
        <w:rPr>
          <w:rFonts w:ascii="Times New Roman" w:hAnsi="Times New Roman" w:cs="Times New Roman"/>
          <w:i/>
          <w:lang w:val="en-GB"/>
        </w:rPr>
        <w:t xml:space="preserve">Council Decision (CFSP) 2020/1127 of 30 July 2020 </w:t>
      </w:r>
      <w:r>
        <w:rPr>
          <w:rFonts w:ascii="Times New Roman" w:hAnsi="Times New Roman" w:cs="Times New Roman"/>
          <w:i/>
          <w:lang w:val="en-GB"/>
        </w:rPr>
        <w:t xml:space="preserve">and (CFSP) 2020/1537 of 22 October 2020 </w:t>
      </w:r>
      <w:r w:rsidRPr="00B26880">
        <w:rPr>
          <w:rFonts w:ascii="Times New Roman" w:hAnsi="Times New Roman" w:cs="Times New Roman"/>
          <w:i/>
          <w:lang w:val="en-GB"/>
        </w:rPr>
        <w:t>amending Decision (CFSP) 2019/797 concerning restrictive measures against cyber-attacks threatening the Union or its Member States</w:t>
      </w:r>
      <w:r w:rsidRPr="00B26880">
        <w:rPr>
          <w:rFonts w:ascii="Times New Roman" w:hAnsi="Times New Roman" w:cs="Times New Roman"/>
          <w:lang w:val="en-GB"/>
        </w:rPr>
        <w:t>)</w:t>
      </w:r>
      <w:r w:rsidRPr="00B26880">
        <w:rPr>
          <w:rFonts w:ascii="Times New Roman" w:hAnsi="Times New Roman" w:cs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8E613" w14:textId="77777777" w:rsidR="00A73020" w:rsidRPr="00A73020" w:rsidRDefault="001C202C" w:rsidP="00A73020">
    <w:pPr>
      <w:pStyle w:val="Header1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9ED"/>
    <w:multiLevelType w:val="hybridMultilevel"/>
    <w:tmpl w:val="223C9852"/>
    <w:lvl w:ilvl="0" w:tplc="63D45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826B180" w:tentative="1">
      <w:start w:val="1"/>
      <w:numFmt w:val="lowerLetter"/>
      <w:lvlText w:val="%2."/>
      <w:lvlJc w:val="left"/>
      <w:pPr>
        <w:ind w:left="1788" w:hanging="360"/>
      </w:pPr>
    </w:lvl>
    <w:lvl w:ilvl="2" w:tplc="0B9CAF0E" w:tentative="1">
      <w:start w:val="1"/>
      <w:numFmt w:val="lowerRoman"/>
      <w:lvlText w:val="%3."/>
      <w:lvlJc w:val="right"/>
      <w:pPr>
        <w:ind w:left="2508" w:hanging="180"/>
      </w:pPr>
    </w:lvl>
    <w:lvl w:ilvl="3" w:tplc="238E56F0" w:tentative="1">
      <w:start w:val="1"/>
      <w:numFmt w:val="decimal"/>
      <w:lvlText w:val="%4."/>
      <w:lvlJc w:val="left"/>
      <w:pPr>
        <w:ind w:left="3228" w:hanging="360"/>
      </w:pPr>
    </w:lvl>
    <w:lvl w:ilvl="4" w:tplc="C68A2C1E" w:tentative="1">
      <w:start w:val="1"/>
      <w:numFmt w:val="lowerLetter"/>
      <w:lvlText w:val="%5."/>
      <w:lvlJc w:val="left"/>
      <w:pPr>
        <w:ind w:left="3948" w:hanging="360"/>
      </w:pPr>
    </w:lvl>
    <w:lvl w:ilvl="5" w:tplc="D4B6E86C" w:tentative="1">
      <w:start w:val="1"/>
      <w:numFmt w:val="lowerRoman"/>
      <w:lvlText w:val="%6."/>
      <w:lvlJc w:val="right"/>
      <w:pPr>
        <w:ind w:left="4668" w:hanging="180"/>
      </w:pPr>
    </w:lvl>
    <w:lvl w:ilvl="6" w:tplc="F998E14E" w:tentative="1">
      <w:start w:val="1"/>
      <w:numFmt w:val="decimal"/>
      <w:lvlText w:val="%7."/>
      <w:lvlJc w:val="left"/>
      <w:pPr>
        <w:ind w:left="5388" w:hanging="360"/>
      </w:pPr>
    </w:lvl>
    <w:lvl w:ilvl="7" w:tplc="2406685C" w:tentative="1">
      <w:start w:val="1"/>
      <w:numFmt w:val="lowerLetter"/>
      <w:lvlText w:val="%8."/>
      <w:lvlJc w:val="left"/>
      <w:pPr>
        <w:ind w:left="6108" w:hanging="360"/>
      </w:pPr>
    </w:lvl>
    <w:lvl w:ilvl="8" w:tplc="232CC6C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F07DE5"/>
    <w:multiLevelType w:val="hybridMultilevel"/>
    <w:tmpl w:val="9D9AC3BE"/>
    <w:lvl w:ilvl="0" w:tplc="D08072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152DA0A" w:tentative="1">
      <w:start w:val="1"/>
      <w:numFmt w:val="lowerLetter"/>
      <w:lvlText w:val="%2."/>
      <w:lvlJc w:val="left"/>
      <w:pPr>
        <w:ind w:left="1080" w:hanging="360"/>
      </w:pPr>
    </w:lvl>
    <w:lvl w:ilvl="2" w:tplc="62D28710" w:tentative="1">
      <w:start w:val="1"/>
      <w:numFmt w:val="lowerRoman"/>
      <w:lvlText w:val="%3."/>
      <w:lvlJc w:val="right"/>
      <w:pPr>
        <w:ind w:left="1800" w:hanging="180"/>
      </w:pPr>
    </w:lvl>
    <w:lvl w:ilvl="3" w:tplc="088657CE" w:tentative="1">
      <w:start w:val="1"/>
      <w:numFmt w:val="decimal"/>
      <w:lvlText w:val="%4."/>
      <w:lvlJc w:val="left"/>
      <w:pPr>
        <w:ind w:left="2520" w:hanging="360"/>
      </w:pPr>
    </w:lvl>
    <w:lvl w:ilvl="4" w:tplc="EECCADFA" w:tentative="1">
      <w:start w:val="1"/>
      <w:numFmt w:val="lowerLetter"/>
      <w:lvlText w:val="%5."/>
      <w:lvlJc w:val="left"/>
      <w:pPr>
        <w:ind w:left="3240" w:hanging="360"/>
      </w:pPr>
    </w:lvl>
    <w:lvl w:ilvl="5" w:tplc="DB7A61C4" w:tentative="1">
      <w:start w:val="1"/>
      <w:numFmt w:val="lowerRoman"/>
      <w:lvlText w:val="%6."/>
      <w:lvlJc w:val="right"/>
      <w:pPr>
        <w:ind w:left="3960" w:hanging="180"/>
      </w:pPr>
    </w:lvl>
    <w:lvl w:ilvl="6" w:tplc="39283C6E" w:tentative="1">
      <w:start w:val="1"/>
      <w:numFmt w:val="decimal"/>
      <w:lvlText w:val="%7."/>
      <w:lvlJc w:val="left"/>
      <w:pPr>
        <w:ind w:left="4680" w:hanging="360"/>
      </w:pPr>
    </w:lvl>
    <w:lvl w:ilvl="7" w:tplc="A61AA238" w:tentative="1">
      <w:start w:val="1"/>
      <w:numFmt w:val="lowerLetter"/>
      <w:lvlText w:val="%8."/>
      <w:lvlJc w:val="left"/>
      <w:pPr>
        <w:ind w:left="5400" w:hanging="360"/>
      </w:pPr>
    </w:lvl>
    <w:lvl w:ilvl="8" w:tplc="B690657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49"/>
    <w:rsid w:val="000A5049"/>
    <w:rsid w:val="001C202C"/>
    <w:rsid w:val="00537E63"/>
    <w:rsid w:val="00805DAC"/>
    <w:rsid w:val="0086295D"/>
    <w:rsid w:val="00E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D805"/>
  <w15:docId w15:val="{10968323-7F9B-44FE-BE43-330918F0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5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rsid w:val="00975F5B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1"/>
    <w:rsid w:val="00975F5B"/>
    <w:rPr>
      <w:rFonts w:ascii="Arial" w:hAnsi="Arial"/>
      <w:sz w:val="24"/>
      <w:szCs w:val="24"/>
      <w:lang w:eastAsia="zh-CN"/>
    </w:rPr>
  </w:style>
  <w:style w:type="paragraph" w:customStyle="1" w:styleId="FootnoteText1">
    <w:name w:val="Footnote Text1"/>
    <w:basedOn w:val="Normal"/>
    <w:next w:val="FootnoteText"/>
    <w:link w:val="FootnoteTextChar"/>
    <w:semiHidden/>
    <w:unhideWhenUsed/>
    <w:rsid w:val="00975F5B"/>
    <w:pPr>
      <w:spacing w:after="0" w:line="240" w:lineRule="auto"/>
      <w:jc w:val="both"/>
    </w:pPr>
    <w:rPr>
      <w:rFonts w:ascii="Arial" w:hAnsi="Arial"/>
      <w:lang w:eastAsia="zh-CN"/>
    </w:rPr>
  </w:style>
  <w:style w:type="character" w:customStyle="1" w:styleId="FootnoteTextChar">
    <w:name w:val="Footnote Text Char"/>
    <w:basedOn w:val="DefaultParagraphFont"/>
    <w:link w:val="FootnoteText1"/>
    <w:semiHidden/>
    <w:rsid w:val="00975F5B"/>
    <w:rPr>
      <w:rFonts w:ascii="Arial" w:hAnsi="Arial"/>
      <w:lang w:eastAsia="zh-CN"/>
    </w:rPr>
  </w:style>
  <w:style w:type="character" w:styleId="FootnoteReference">
    <w:name w:val="footnote reference"/>
    <w:basedOn w:val="DefaultParagraphFont"/>
    <w:semiHidden/>
    <w:unhideWhenUsed/>
    <w:rsid w:val="00975F5B"/>
    <w:rPr>
      <w:vertAlign w:val="superscript"/>
    </w:rPr>
  </w:style>
  <w:style w:type="paragraph" w:styleId="Header">
    <w:name w:val="header"/>
    <w:basedOn w:val="Normal"/>
    <w:link w:val="HeaderChar1"/>
    <w:unhideWhenUsed/>
    <w:rsid w:val="0097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975F5B"/>
  </w:style>
  <w:style w:type="paragraph" w:styleId="FootnoteText">
    <w:name w:val="footnote text"/>
    <w:basedOn w:val="Normal"/>
    <w:link w:val="FootnoteTextChar1"/>
    <w:uiPriority w:val="99"/>
    <w:semiHidden/>
    <w:unhideWhenUsed/>
    <w:rsid w:val="00975F5B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975F5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0E3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37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63"/>
  </w:style>
  <w:style w:type="table" w:styleId="TableGrid">
    <w:name w:val="Table Grid"/>
    <w:basedOn w:val="TableNormal"/>
    <w:rsid w:val="00537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AZJMDCZ6QSYZ-894770516-6048</_dlc_DocId>
    <_dlc_DocIdUrl xmlns="a494813a-d0d8-4dad-94cb-0d196f36ba15">
      <Url>https://ekoordinacije.vlada.hr/dom-sigurnost-branitelji/_layouts/15/DocIdRedir.aspx?ID=AZJMDCZ6QSYZ-894770516-6048</Url>
      <Description>AZJMDCZ6QSYZ-894770516-6048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35B80-AB94-47A0-8A56-E7E92A422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085D4-4D48-4D6C-8CF9-03CB78AB40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2C2022-BD5E-43F0-807C-749427DEC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fe0590f5-f8fc-460b-89e0-957daa2a1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155767-80FC-4848-A45B-D5F3CB994C8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openxmlformats.org/package/2006/metadata/core-properties"/>
    <ds:schemaRef ds:uri="fe0590f5-f8fc-460b-89e0-957daa2a186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4C68145-0C43-40B6-B83A-D1E1E354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odluke</dc:title>
  <dc:creator>1152</dc:creator>
  <cp:lastModifiedBy>Nina Ban Glasnović</cp:lastModifiedBy>
  <cp:revision>4</cp:revision>
  <cp:lastPrinted>2021-03-29T07:24:00Z</cp:lastPrinted>
  <dcterms:created xsi:type="dcterms:W3CDTF">2021-03-29T07:21:00Z</dcterms:created>
  <dcterms:modified xsi:type="dcterms:W3CDTF">2021-03-29T08:43:00Z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d">
    <vt:lpwstr>1034603</vt:lpwstr>
  </property>
  <property fmtid="{D5CDD505-2E9C-101B-9397-08002B2CF9AE}" pid="3" name="ObjectType">
    <vt:lpwstr>DocumentAttachment</vt:lpwstr>
  </property>
  <property fmtid="{D5CDD505-2E9C-101B-9397-08002B2CF9AE}" pid="4" name="ParentObjectId">
    <vt:lpwstr>2568792</vt:lpwstr>
  </property>
  <property fmtid="{D5CDD505-2E9C-101B-9397-08002B2CF9AE}" pid="5" name="ContentTypeId">
    <vt:lpwstr>0x010100527C906DBAFB4743A7A4B9BF19114A08</vt:lpwstr>
  </property>
  <property fmtid="{D5CDD505-2E9C-101B-9397-08002B2CF9AE}" pid="6" name="_dlc_DocIdItemGuid">
    <vt:lpwstr>2f1e52a2-9082-49f4-a571-95c2da62c28d</vt:lpwstr>
  </property>
</Properties>
</file>