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FCBAC" w14:textId="77777777" w:rsidR="004342C7" w:rsidRPr="004342C7" w:rsidRDefault="004342C7" w:rsidP="004342C7">
      <w:pPr>
        <w:autoSpaceDE w:val="0"/>
        <w:autoSpaceDN w:val="0"/>
        <w:adjustRightInd w:val="0"/>
        <w:jc w:val="both"/>
        <w:rPr>
          <w:rFonts w:ascii="Calibri" w:eastAsia="Calibri" w:hAnsi="Calibri" w:cs="Arial"/>
          <w:color w:val="000000"/>
          <w:sz w:val="22"/>
          <w:szCs w:val="22"/>
          <w:lang w:eastAsia="en-US"/>
        </w:rPr>
      </w:pPr>
    </w:p>
    <w:p w14:paraId="5F656B9C" w14:textId="77777777" w:rsidR="004342C7" w:rsidRPr="004342C7" w:rsidRDefault="004342C7" w:rsidP="004342C7">
      <w:pPr>
        <w:rPr>
          <w:rFonts w:eastAsia="Times New Roman"/>
          <w:b/>
          <w:lang w:eastAsia="en-US"/>
        </w:rPr>
      </w:pPr>
      <w:r w:rsidRPr="004342C7">
        <w:rPr>
          <w:rFonts w:eastAsia="Times New Roman"/>
          <w:b/>
          <w:lang w:eastAsia="en-US"/>
        </w:rPr>
        <w:t xml:space="preserve">                     </w:t>
      </w:r>
    </w:p>
    <w:p w14:paraId="50DE2F9D" w14:textId="77777777" w:rsidR="004342C7" w:rsidRPr="004342C7" w:rsidRDefault="004342C7" w:rsidP="004342C7">
      <w:pPr>
        <w:jc w:val="center"/>
        <w:rPr>
          <w:rFonts w:eastAsia="Times New Roman"/>
          <w:lang w:eastAsia="en-US"/>
        </w:rPr>
      </w:pPr>
      <w:r w:rsidRPr="004342C7">
        <w:rPr>
          <w:rFonts w:eastAsia="Times New Roman"/>
          <w:noProof/>
          <w:lang w:eastAsia="hr-HR"/>
        </w:rPr>
        <w:drawing>
          <wp:inline distT="0" distB="0" distL="0" distR="0" wp14:anchorId="486B9365" wp14:editId="6202784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342C7">
        <w:rPr>
          <w:rFonts w:eastAsia="Times New Roman"/>
          <w:lang w:eastAsia="en-US"/>
        </w:rPr>
        <w:fldChar w:fldCharType="begin"/>
      </w:r>
      <w:r w:rsidRPr="004342C7">
        <w:rPr>
          <w:rFonts w:eastAsia="Times New Roman"/>
          <w:lang w:eastAsia="en-US"/>
        </w:rPr>
        <w:instrText xml:space="preserve"> INCLUDEPICTURE "http://www.inet.hr/~box/images/grb-rh.gif" \* MERGEFORMATINET </w:instrText>
      </w:r>
      <w:r w:rsidRPr="004342C7">
        <w:rPr>
          <w:rFonts w:eastAsia="Times New Roman"/>
          <w:lang w:eastAsia="en-US"/>
        </w:rPr>
        <w:fldChar w:fldCharType="end"/>
      </w:r>
    </w:p>
    <w:p w14:paraId="76D5821C" w14:textId="77777777" w:rsidR="004342C7" w:rsidRPr="004342C7" w:rsidRDefault="004342C7" w:rsidP="004342C7">
      <w:pPr>
        <w:spacing w:before="60" w:after="1680"/>
        <w:jc w:val="center"/>
        <w:rPr>
          <w:rFonts w:eastAsia="Times New Roman"/>
          <w:lang w:eastAsia="en-US"/>
        </w:rPr>
      </w:pPr>
      <w:r w:rsidRPr="004342C7">
        <w:rPr>
          <w:rFonts w:eastAsia="Times New Roman"/>
          <w:lang w:eastAsia="en-US"/>
        </w:rPr>
        <w:t>VLADA REPUBLIKE HRVATSKE</w:t>
      </w:r>
    </w:p>
    <w:p w14:paraId="77ED5179" w14:textId="77777777" w:rsidR="004342C7" w:rsidRPr="004342C7" w:rsidRDefault="004342C7" w:rsidP="004342C7">
      <w:pPr>
        <w:rPr>
          <w:rFonts w:eastAsia="Times New Roman"/>
          <w:lang w:eastAsia="en-US"/>
        </w:rPr>
      </w:pPr>
    </w:p>
    <w:p w14:paraId="665B7EF9" w14:textId="20785924" w:rsidR="004342C7" w:rsidRPr="004342C7" w:rsidRDefault="004342C7" w:rsidP="004342C7">
      <w:pPr>
        <w:tabs>
          <w:tab w:val="right" w:pos="9070"/>
        </w:tabs>
        <w:spacing w:after="2400"/>
        <w:rPr>
          <w:rFonts w:eastAsia="Times New Roman"/>
          <w:b/>
          <w:lang w:eastAsia="en-US"/>
        </w:rPr>
      </w:pPr>
      <w:r w:rsidRPr="004342C7">
        <w:rPr>
          <w:rFonts w:eastAsia="Times New Roman"/>
          <w:b/>
          <w:lang w:eastAsia="en-US"/>
        </w:rPr>
        <w:tab/>
      </w:r>
      <w:r w:rsidR="007F1F69">
        <w:rPr>
          <w:rFonts w:eastAsia="Times New Roman"/>
          <w:lang w:eastAsia="en-US"/>
        </w:rPr>
        <w:t xml:space="preserve">Zagreb, </w:t>
      </w:r>
      <w:r w:rsidR="00114AD0">
        <w:rPr>
          <w:rFonts w:eastAsia="Times New Roman"/>
          <w:lang w:eastAsia="en-US"/>
        </w:rPr>
        <w:t>10</w:t>
      </w:r>
      <w:bookmarkStart w:id="0" w:name="_GoBack"/>
      <w:bookmarkEnd w:id="0"/>
      <w:r w:rsidR="00EE4689">
        <w:rPr>
          <w:rFonts w:eastAsia="Times New Roman"/>
          <w:lang w:eastAsia="en-US"/>
        </w:rPr>
        <w:t>. prosinca</w:t>
      </w:r>
      <w:r>
        <w:rPr>
          <w:rFonts w:eastAsia="Times New Roman"/>
          <w:lang w:eastAsia="en-US"/>
        </w:rPr>
        <w:t xml:space="preserve"> 2021</w:t>
      </w:r>
      <w:r w:rsidRPr="004342C7">
        <w:rPr>
          <w:rFonts w:eastAsia="Times New Roman"/>
          <w:lang w:eastAsia="en-US"/>
        </w:rPr>
        <w:t>.</w:t>
      </w:r>
    </w:p>
    <w:p w14:paraId="5F230593" w14:textId="77777777" w:rsidR="004342C7" w:rsidRPr="004342C7" w:rsidRDefault="004342C7" w:rsidP="004342C7">
      <w:pPr>
        <w:rPr>
          <w:rFonts w:eastAsia="Times New Roman"/>
          <w:b/>
          <w:lang w:eastAsia="en-US"/>
        </w:rPr>
      </w:pPr>
    </w:p>
    <w:p w14:paraId="5D99C08D" w14:textId="1313F341" w:rsidR="004342C7" w:rsidRPr="004342C7" w:rsidRDefault="004342C7" w:rsidP="004342C7">
      <w:pPr>
        <w:rPr>
          <w:rFonts w:eastAsia="Times New Roman"/>
          <w:b/>
          <w:lang w:eastAsia="en-US"/>
        </w:rPr>
      </w:pPr>
      <w:r w:rsidRPr="004342C7">
        <w:rPr>
          <w:rFonts w:eastAsia="Times New Roman"/>
          <w:b/>
          <w:lang w:eastAsia="en-US"/>
        </w:rPr>
        <w:t>PREDLAGATELJ:</w:t>
      </w:r>
      <w:r w:rsidRPr="004342C7">
        <w:rPr>
          <w:rFonts w:eastAsia="Times New Roman"/>
          <w:b/>
          <w:lang w:eastAsia="en-US"/>
        </w:rPr>
        <w:tab/>
      </w:r>
      <w:r w:rsidR="00EE4689">
        <w:rPr>
          <w:rFonts w:eastAsia="Times New Roman"/>
          <w:b/>
          <w:lang w:eastAsia="en-US"/>
        </w:rPr>
        <w:tab/>
      </w:r>
      <w:r w:rsidRPr="004342C7">
        <w:rPr>
          <w:rFonts w:eastAsia="Times New Roman"/>
          <w:lang w:eastAsia="en-US"/>
        </w:rPr>
        <w:t xml:space="preserve">Ministarstvo </w:t>
      </w:r>
      <w:r w:rsidR="00EE4689">
        <w:rPr>
          <w:rFonts w:eastAsia="Times New Roman"/>
          <w:lang w:eastAsia="en-US"/>
        </w:rPr>
        <w:t>gospodarstva i održivog razvoja</w:t>
      </w:r>
      <w:r w:rsidRPr="004342C7">
        <w:rPr>
          <w:rFonts w:eastAsia="Times New Roman"/>
          <w:lang w:eastAsia="en-US"/>
        </w:rPr>
        <w:t xml:space="preserve"> </w:t>
      </w:r>
    </w:p>
    <w:p w14:paraId="6E7CCD7E" w14:textId="77777777" w:rsidR="004342C7" w:rsidRPr="004342C7" w:rsidRDefault="004342C7" w:rsidP="004342C7">
      <w:pPr>
        <w:pBdr>
          <w:bottom w:val="single" w:sz="4" w:space="1" w:color="auto"/>
        </w:pBdr>
        <w:rPr>
          <w:rFonts w:eastAsia="Times New Roman"/>
          <w:b/>
          <w:lang w:eastAsia="en-US"/>
        </w:rPr>
      </w:pPr>
    </w:p>
    <w:p w14:paraId="44E446AC" w14:textId="77777777" w:rsidR="004342C7" w:rsidRPr="004342C7" w:rsidRDefault="004342C7" w:rsidP="004342C7">
      <w:pPr>
        <w:ind w:left="2124" w:hanging="1416"/>
        <w:rPr>
          <w:rFonts w:eastAsia="Times New Roman"/>
          <w:b/>
          <w:lang w:eastAsia="en-US"/>
        </w:rPr>
      </w:pPr>
    </w:p>
    <w:p w14:paraId="0477FD8B" w14:textId="042B7AD5" w:rsidR="004342C7" w:rsidRPr="009E3F70" w:rsidRDefault="004342C7" w:rsidP="00EE4689">
      <w:pPr>
        <w:ind w:left="1843" w:hanging="1843"/>
        <w:jc w:val="both"/>
        <w:rPr>
          <w:b/>
        </w:rPr>
      </w:pPr>
      <w:r w:rsidRPr="004342C7">
        <w:rPr>
          <w:rFonts w:eastAsia="Times New Roman"/>
          <w:b/>
          <w:lang w:eastAsia="en-US"/>
        </w:rPr>
        <w:t xml:space="preserve">PREDMET: </w:t>
      </w:r>
      <w:r w:rsidR="00EE4689">
        <w:rPr>
          <w:rFonts w:eastAsia="Times New Roman"/>
          <w:b/>
          <w:lang w:eastAsia="en-US"/>
        </w:rPr>
        <w:tab/>
      </w:r>
      <w:r w:rsidR="00EE4689" w:rsidRPr="00EE4689">
        <w:rPr>
          <w:rFonts w:eastAsia="Calibri"/>
          <w:szCs w:val="22"/>
          <w:lang w:eastAsia="en-US"/>
        </w:rPr>
        <w:t>Prijedlog odluke o davanju suglasnosti na Odluku Upravnog odbora Fonda za zaštitu okoliša i energetsku učinkovitost za sklapanje ugovora za projektiranje i izvođenje radova sanacije jame Sovjak</w:t>
      </w:r>
    </w:p>
    <w:p w14:paraId="0A4674CC" w14:textId="77777777" w:rsidR="004342C7" w:rsidRPr="004342C7" w:rsidRDefault="004342C7" w:rsidP="004342C7">
      <w:pPr>
        <w:spacing w:line="276" w:lineRule="auto"/>
        <w:ind w:left="1276" w:hanging="1276"/>
        <w:jc w:val="both"/>
        <w:rPr>
          <w:rFonts w:eastAsia="Times New Roman"/>
          <w:b/>
          <w:lang w:eastAsia="hr-HR"/>
        </w:rPr>
      </w:pPr>
    </w:p>
    <w:p w14:paraId="4BFB6B88" w14:textId="77777777" w:rsidR="004342C7" w:rsidRPr="004342C7" w:rsidRDefault="004342C7" w:rsidP="004342C7">
      <w:pPr>
        <w:pBdr>
          <w:bottom w:val="single" w:sz="4" w:space="1" w:color="auto"/>
        </w:pBdr>
        <w:rPr>
          <w:rFonts w:eastAsia="Times New Roman"/>
          <w:b/>
          <w:lang w:eastAsia="en-US"/>
        </w:rPr>
      </w:pPr>
    </w:p>
    <w:p w14:paraId="07592DCE" w14:textId="77777777" w:rsidR="004342C7" w:rsidRPr="004342C7" w:rsidRDefault="004342C7" w:rsidP="004342C7">
      <w:pPr>
        <w:rPr>
          <w:rFonts w:eastAsia="Times New Roman"/>
          <w:b/>
          <w:lang w:eastAsia="en-US"/>
        </w:rPr>
      </w:pPr>
    </w:p>
    <w:p w14:paraId="033EF2CF" w14:textId="77777777" w:rsidR="004342C7" w:rsidRPr="004342C7" w:rsidRDefault="004342C7" w:rsidP="004342C7">
      <w:pPr>
        <w:rPr>
          <w:rFonts w:eastAsia="Times New Roman"/>
          <w:b/>
          <w:lang w:eastAsia="en-US"/>
        </w:rPr>
      </w:pPr>
    </w:p>
    <w:p w14:paraId="20F5A0CE" w14:textId="77777777" w:rsidR="004342C7" w:rsidRPr="004342C7" w:rsidRDefault="004342C7" w:rsidP="004342C7">
      <w:pPr>
        <w:rPr>
          <w:rFonts w:eastAsia="Times New Roman"/>
          <w:b/>
          <w:lang w:eastAsia="en-US"/>
        </w:rPr>
      </w:pPr>
    </w:p>
    <w:p w14:paraId="0A26BBC2" w14:textId="77777777" w:rsidR="004342C7" w:rsidRPr="004342C7" w:rsidRDefault="004342C7" w:rsidP="004342C7">
      <w:pPr>
        <w:rPr>
          <w:rFonts w:eastAsia="Times New Roman"/>
          <w:b/>
          <w:lang w:eastAsia="en-US"/>
        </w:rPr>
      </w:pPr>
    </w:p>
    <w:p w14:paraId="0AFDBF72" w14:textId="7F67CF17" w:rsidR="004342C7" w:rsidRDefault="004342C7" w:rsidP="004342C7">
      <w:pPr>
        <w:rPr>
          <w:rFonts w:eastAsia="Times New Roman"/>
          <w:b/>
          <w:lang w:eastAsia="en-US"/>
        </w:rPr>
      </w:pPr>
    </w:p>
    <w:p w14:paraId="4C809453" w14:textId="77777777" w:rsidR="00EE4689" w:rsidRPr="004342C7" w:rsidRDefault="00EE4689" w:rsidP="004342C7">
      <w:pPr>
        <w:rPr>
          <w:rFonts w:eastAsia="Times New Roman"/>
          <w:b/>
          <w:lang w:eastAsia="en-US"/>
        </w:rPr>
      </w:pPr>
    </w:p>
    <w:p w14:paraId="43A63435" w14:textId="77777777" w:rsidR="004342C7" w:rsidRPr="004342C7" w:rsidRDefault="004342C7" w:rsidP="004342C7">
      <w:pPr>
        <w:rPr>
          <w:rFonts w:eastAsia="Times New Roman"/>
          <w:b/>
          <w:lang w:eastAsia="en-US"/>
        </w:rPr>
      </w:pPr>
    </w:p>
    <w:p w14:paraId="5A2DAD25" w14:textId="77777777" w:rsidR="004342C7" w:rsidRPr="004342C7" w:rsidRDefault="004342C7" w:rsidP="004342C7">
      <w:pPr>
        <w:rPr>
          <w:rFonts w:eastAsia="Times New Roman"/>
          <w:b/>
          <w:lang w:eastAsia="en-US"/>
        </w:rPr>
      </w:pPr>
    </w:p>
    <w:p w14:paraId="255840C1" w14:textId="77777777" w:rsidR="004342C7" w:rsidRPr="004342C7" w:rsidRDefault="004342C7" w:rsidP="004342C7">
      <w:pPr>
        <w:rPr>
          <w:rFonts w:eastAsia="Times New Roman"/>
          <w:b/>
          <w:lang w:eastAsia="en-US"/>
        </w:rPr>
      </w:pPr>
    </w:p>
    <w:p w14:paraId="45B8FD8F" w14:textId="77777777" w:rsidR="004342C7" w:rsidRPr="004342C7" w:rsidRDefault="004342C7" w:rsidP="004342C7">
      <w:pPr>
        <w:rPr>
          <w:rFonts w:eastAsia="Times New Roman"/>
          <w:b/>
          <w:lang w:eastAsia="en-US"/>
        </w:rPr>
      </w:pPr>
    </w:p>
    <w:p w14:paraId="64E441CC" w14:textId="77777777" w:rsidR="004342C7" w:rsidRPr="004342C7" w:rsidRDefault="004342C7" w:rsidP="004342C7">
      <w:pPr>
        <w:rPr>
          <w:rFonts w:eastAsia="Times New Roman"/>
          <w:b/>
          <w:lang w:eastAsia="en-US"/>
        </w:rPr>
      </w:pPr>
    </w:p>
    <w:p w14:paraId="23BD09B3" w14:textId="77777777" w:rsidR="004342C7" w:rsidRPr="004342C7" w:rsidRDefault="004342C7" w:rsidP="004342C7">
      <w:pPr>
        <w:rPr>
          <w:rFonts w:eastAsia="Times New Roman"/>
          <w:b/>
          <w:lang w:eastAsia="en-US"/>
        </w:rPr>
      </w:pPr>
    </w:p>
    <w:p w14:paraId="2629E2A8" w14:textId="77777777" w:rsidR="004342C7" w:rsidRPr="004342C7" w:rsidRDefault="004342C7" w:rsidP="004342C7">
      <w:pPr>
        <w:rPr>
          <w:rFonts w:eastAsia="Times New Roman"/>
          <w:b/>
          <w:lang w:eastAsia="en-US"/>
        </w:rPr>
      </w:pPr>
    </w:p>
    <w:p w14:paraId="2FE91D93" w14:textId="77777777" w:rsidR="004342C7" w:rsidRPr="004342C7" w:rsidRDefault="004342C7" w:rsidP="004342C7">
      <w:pPr>
        <w:rPr>
          <w:rFonts w:eastAsia="Times New Roman"/>
          <w:lang w:eastAsia="en-US"/>
        </w:rPr>
      </w:pPr>
    </w:p>
    <w:p w14:paraId="1D206260" w14:textId="77777777" w:rsidR="004342C7" w:rsidRPr="004342C7" w:rsidRDefault="004342C7" w:rsidP="004342C7">
      <w:pPr>
        <w:pBdr>
          <w:top w:val="single" w:sz="4" w:space="1" w:color="404040"/>
        </w:pBdr>
        <w:tabs>
          <w:tab w:val="center" w:pos="4536"/>
          <w:tab w:val="right" w:pos="9072"/>
        </w:tabs>
        <w:jc w:val="center"/>
        <w:rPr>
          <w:rFonts w:eastAsia="Times New Roman"/>
          <w:color w:val="404040"/>
          <w:spacing w:val="20"/>
          <w:sz w:val="22"/>
          <w:szCs w:val="22"/>
          <w:lang w:eastAsia="hr-HR"/>
        </w:rPr>
      </w:pPr>
      <w:r w:rsidRPr="004342C7">
        <w:rPr>
          <w:rFonts w:eastAsia="Times New Roman"/>
          <w:color w:val="404040"/>
          <w:spacing w:val="20"/>
          <w:sz w:val="22"/>
          <w:szCs w:val="22"/>
          <w:lang w:eastAsia="hr-HR"/>
        </w:rPr>
        <w:t>Banski dvori | Trg Sv. Marka 2  | 10000 Zagreb | tel. 01 4569 222 | vlada.gov.hr</w:t>
      </w:r>
    </w:p>
    <w:p w14:paraId="7E6ACBC5" w14:textId="77777777" w:rsidR="004342C7" w:rsidRPr="004342C7" w:rsidRDefault="004342C7" w:rsidP="004342C7">
      <w:pPr>
        <w:rPr>
          <w:rFonts w:eastAsia="Times New Roman"/>
          <w:b/>
          <w:lang w:eastAsia="en-US"/>
        </w:rPr>
      </w:pPr>
    </w:p>
    <w:p w14:paraId="62184F08" w14:textId="4BC67C85" w:rsidR="004342C7" w:rsidRDefault="00EE4689" w:rsidP="00EE4689">
      <w:pPr>
        <w:spacing w:beforeAutospacing="1"/>
        <w:jc w:val="right"/>
        <w:rPr>
          <w:rFonts w:eastAsiaTheme="minorEastAsia"/>
          <w:b/>
          <w:lang w:eastAsia="hr-HR"/>
        </w:rPr>
      </w:pPr>
      <w:r w:rsidRPr="00EE4689">
        <w:rPr>
          <w:rFonts w:eastAsiaTheme="minorEastAsia"/>
          <w:b/>
          <w:lang w:eastAsia="hr-HR"/>
        </w:rPr>
        <w:t>Prijedlog</w:t>
      </w:r>
    </w:p>
    <w:p w14:paraId="18A3C912" w14:textId="20FC294B" w:rsidR="00EE4689" w:rsidRDefault="00EE4689" w:rsidP="00EE4689">
      <w:pPr>
        <w:spacing w:beforeAutospacing="1"/>
        <w:rPr>
          <w:rFonts w:eastAsiaTheme="minorEastAsia"/>
          <w:b/>
          <w:lang w:eastAsia="hr-HR"/>
        </w:rPr>
      </w:pPr>
    </w:p>
    <w:p w14:paraId="04C8F426" w14:textId="77777777" w:rsidR="00EE4689" w:rsidRPr="00EE4689" w:rsidRDefault="00EE4689" w:rsidP="00EE4689">
      <w:pPr>
        <w:spacing w:beforeAutospacing="1"/>
        <w:rPr>
          <w:rFonts w:eastAsiaTheme="minorEastAsia"/>
          <w:b/>
          <w:lang w:eastAsia="hr-HR"/>
        </w:rPr>
      </w:pPr>
    </w:p>
    <w:p w14:paraId="599CD985" w14:textId="77777777" w:rsidR="004342C7" w:rsidRPr="00EE53CB" w:rsidRDefault="004342C7" w:rsidP="00EE4689">
      <w:pPr>
        <w:ind w:firstLine="708"/>
        <w:jc w:val="both"/>
      </w:pPr>
      <w:r w:rsidRPr="00EE53CB">
        <w:t>Na temelju članka 31. stavka 2. Zakona o Vladi Republike Hrvatske („Narodne novine“, broj 150/2011, 119/14, 93/16 i 116/18), a u vezi s člankom 22. stavkom 2. Zakona o Fondu za zaštitu okoliša i energetsku učinkovitost („Narodne novine“, br. 107/03 i 144/12)</w:t>
      </w:r>
      <w:r>
        <w:t xml:space="preserve"> i</w:t>
      </w:r>
      <w:r w:rsidRPr="00EE53CB">
        <w:t xml:space="preserve"> člankom 15</w:t>
      </w:r>
      <w:r>
        <w:t xml:space="preserve">. </w:t>
      </w:r>
      <w:r w:rsidRPr="00EE53CB">
        <w:t xml:space="preserve">a stavkom 1. podstavkom 2. Statuta Fonda za zaštitu okoliša i energetsku učinkovitost („Narodne novine“, broj 193/03, 73/04, 116/08, 101/09, 118/11, 67/13, 70/14 i 155/14 – pročišćeni tekst), Vlada Republike </w:t>
      </w:r>
      <w:r>
        <w:t>Hrvatske je na sjednici održanoj_______</w:t>
      </w:r>
      <w:r w:rsidR="00E63FF5">
        <w:t xml:space="preserve"> </w:t>
      </w:r>
      <w:r w:rsidRPr="00EE53CB">
        <w:t>202</w:t>
      </w:r>
      <w:r>
        <w:t>1</w:t>
      </w:r>
      <w:r w:rsidRPr="00EE53CB">
        <w:t xml:space="preserve">. godine donijela </w:t>
      </w:r>
    </w:p>
    <w:p w14:paraId="7151A791" w14:textId="77777777" w:rsidR="004342C7" w:rsidRPr="00EE53CB" w:rsidRDefault="004342C7" w:rsidP="004342C7"/>
    <w:p w14:paraId="6496673A" w14:textId="77777777" w:rsidR="004342C7" w:rsidRPr="00EE53CB" w:rsidRDefault="004342C7" w:rsidP="004342C7"/>
    <w:p w14:paraId="7902F827" w14:textId="77777777" w:rsidR="004342C7" w:rsidRPr="009E3F70" w:rsidRDefault="004342C7" w:rsidP="004342C7">
      <w:pPr>
        <w:jc w:val="center"/>
        <w:rPr>
          <w:b/>
        </w:rPr>
      </w:pPr>
      <w:r w:rsidRPr="009E3F70">
        <w:rPr>
          <w:b/>
        </w:rPr>
        <w:t>O D L U K U</w:t>
      </w:r>
    </w:p>
    <w:p w14:paraId="01F6F971" w14:textId="77777777" w:rsidR="004342C7" w:rsidRPr="009E3F70" w:rsidRDefault="004342C7" w:rsidP="004342C7">
      <w:pPr>
        <w:jc w:val="center"/>
        <w:rPr>
          <w:b/>
        </w:rPr>
      </w:pPr>
    </w:p>
    <w:p w14:paraId="791BF605" w14:textId="77777777" w:rsidR="00EE4689" w:rsidRDefault="004342C7" w:rsidP="004342C7">
      <w:pPr>
        <w:jc w:val="center"/>
        <w:rPr>
          <w:b/>
        </w:rPr>
      </w:pPr>
      <w:r w:rsidRPr="009E3F70">
        <w:rPr>
          <w:b/>
        </w:rPr>
        <w:t xml:space="preserve">o davanju suglasnosti na Odluku Upravnog odbora Fonda za zaštitu okoliša i energetsku učinkovitost za sklapanje ugovora za projektiranje i izvođenje radova </w:t>
      </w:r>
    </w:p>
    <w:p w14:paraId="7ACC0E88" w14:textId="5729C94A" w:rsidR="004342C7" w:rsidRPr="009E3F70" w:rsidRDefault="004342C7" w:rsidP="004342C7">
      <w:pPr>
        <w:jc w:val="center"/>
        <w:rPr>
          <w:b/>
        </w:rPr>
      </w:pPr>
      <w:r w:rsidRPr="009E3F70">
        <w:rPr>
          <w:b/>
        </w:rPr>
        <w:t>sanacije jame Sovjak</w:t>
      </w:r>
    </w:p>
    <w:p w14:paraId="0156773E" w14:textId="77777777" w:rsidR="004342C7" w:rsidRPr="009E3F70" w:rsidRDefault="004342C7" w:rsidP="004342C7">
      <w:pPr>
        <w:jc w:val="center"/>
        <w:rPr>
          <w:b/>
          <w:sz w:val="28"/>
          <w:szCs w:val="28"/>
        </w:rPr>
      </w:pPr>
    </w:p>
    <w:p w14:paraId="6D292511" w14:textId="77777777" w:rsidR="004342C7" w:rsidRPr="009E3F70" w:rsidRDefault="004342C7" w:rsidP="004342C7">
      <w:pPr>
        <w:jc w:val="center"/>
        <w:rPr>
          <w:b/>
          <w:sz w:val="28"/>
          <w:szCs w:val="28"/>
        </w:rPr>
      </w:pPr>
    </w:p>
    <w:p w14:paraId="5E7FE912" w14:textId="77777777" w:rsidR="004342C7" w:rsidRPr="00EE53CB" w:rsidRDefault="004342C7" w:rsidP="004342C7">
      <w:pPr>
        <w:jc w:val="center"/>
        <w:rPr>
          <w:b/>
        </w:rPr>
      </w:pPr>
      <w:r w:rsidRPr="00EE53CB">
        <w:rPr>
          <w:b/>
        </w:rPr>
        <w:t>I.</w:t>
      </w:r>
    </w:p>
    <w:p w14:paraId="6C1D527E" w14:textId="77777777" w:rsidR="004342C7" w:rsidRPr="00EE53CB" w:rsidRDefault="004342C7" w:rsidP="004342C7">
      <w:pPr>
        <w:jc w:val="both"/>
      </w:pPr>
    </w:p>
    <w:p w14:paraId="3BF2AEC0" w14:textId="7EC72250" w:rsidR="004342C7" w:rsidRPr="00EE53CB" w:rsidRDefault="004342C7" w:rsidP="00EE4689">
      <w:pPr>
        <w:shd w:val="clear" w:color="auto" w:fill="FFFFFF"/>
        <w:spacing w:line="276" w:lineRule="auto"/>
        <w:ind w:firstLine="708"/>
        <w:jc w:val="both"/>
        <w:rPr>
          <w:strike/>
        </w:rPr>
      </w:pPr>
      <w:r w:rsidRPr="00EE53CB">
        <w:t>Daje se suglasnost na Odluku Upravnog odbora Fonda za zaštitu okoliša i energetsku učinkovitost (</w:t>
      </w:r>
      <w:r w:rsidRPr="00EE53CB">
        <w:rPr>
          <w:bCs/>
        </w:rPr>
        <w:t xml:space="preserve">KLASA: 024-04/21-03/5, URBROJ: 563-01/69-21-22) od 15. srpnja 2021. godine za sklapanje </w:t>
      </w:r>
      <w:r w:rsidRPr="00EE53CB">
        <w:t xml:space="preserve">Ugovora </w:t>
      </w:r>
      <w:r>
        <w:t>za</w:t>
      </w:r>
      <w:r w:rsidRPr="00EE53CB">
        <w:t xml:space="preserve"> Projektiranj</w:t>
      </w:r>
      <w:r>
        <w:t>e</w:t>
      </w:r>
      <w:r w:rsidRPr="00EE53CB">
        <w:t xml:space="preserve"> i izvođenj</w:t>
      </w:r>
      <w:r>
        <w:t>e</w:t>
      </w:r>
      <w:r w:rsidRPr="00EE53CB">
        <w:t xml:space="preserve"> radova sanacije jame Sovjak između Fonda za zaštitu okoliša i energetsku učinkovitost i zajednice ponuditelja: GK GRUPA d.o.o., Hallerova aleja 1, 42000 Varaždin, OIB: 32165824835; EKOMO d.o.o., Log 255, 2345 Bistrica ob Dravi, Slovenija, OIB: SI61202401; IVICOM Consulting d.o.o., Damira Tomljanovića Gavrana 11, 10000 Zagreb, OIB: 20778515767, na iznos od 299.999.980,00 kuna bez poreza na dodanu vrijednost, odnosno 374.999.975,00 kuna</w:t>
      </w:r>
      <w:r w:rsidR="009645BD">
        <w:t xml:space="preserve"> s porezom na dodanu vrijednost.</w:t>
      </w:r>
      <w:r w:rsidRPr="00EE53CB">
        <w:t xml:space="preserve"> </w:t>
      </w:r>
    </w:p>
    <w:p w14:paraId="6826C2B4" w14:textId="77777777" w:rsidR="004342C7" w:rsidRPr="00EE53CB" w:rsidRDefault="004342C7" w:rsidP="004342C7">
      <w:pPr>
        <w:ind w:firstLine="708"/>
        <w:jc w:val="both"/>
        <w:rPr>
          <w:bCs/>
        </w:rPr>
      </w:pPr>
    </w:p>
    <w:p w14:paraId="3208741E" w14:textId="77777777" w:rsidR="004342C7" w:rsidRPr="00EE53CB" w:rsidRDefault="004342C7" w:rsidP="004342C7">
      <w:pPr>
        <w:ind w:right="22"/>
        <w:jc w:val="center"/>
        <w:rPr>
          <w:b/>
        </w:rPr>
      </w:pPr>
      <w:r w:rsidRPr="00EE53CB">
        <w:rPr>
          <w:b/>
        </w:rPr>
        <w:t>II.</w:t>
      </w:r>
    </w:p>
    <w:p w14:paraId="095B7EFD" w14:textId="77777777" w:rsidR="004342C7" w:rsidRPr="00EE53CB" w:rsidRDefault="004342C7" w:rsidP="004342C7">
      <w:pPr>
        <w:ind w:right="22"/>
        <w:jc w:val="both"/>
      </w:pPr>
    </w:p>
    <w:p w14:paraId="16236C75" w14:textId="77777777" w:rsidR="004342C7" w:rsidRPr="00EE53CB" w:rsidRDefault="004342C7" w:rsidP="004342C7">
      <w:pPr>
        <w:ind w:firstLine="708"/>
        <w:jc w:val="both"/>
      </w:pPr>
      <w:r w:rsidRPr="00EE53CB">
        <w:t>Ova Odluka stupa na snagu danom donošenja.</w:t>
      </w:r>
    </w:p>
    <w:p w14:paraId="68046EFC" w14:textId="77777777" w:rsidR="004342C7" w:rsidRPr="00EE53CB" w:rsidRDefault="004342C7" w:rsidP="004342C7">
      <w:pPr>
        <w:ind w:firstLine="708"/>
        <w:jc w:val="both"/>
      </w:pPr>
    </w:p>
    <w:p w14:paraId="0D22B961" w14:textId="77777777" w:rsidR="004342C7" w:rsidRPr="00EE53CB" w:rsidRDefault="004342C7" w:rsidP="004342C7">
      <w:pPr>
        <w:jc w:val="both"/>
      </w:pPr>
    </w:p>
    <w:p w14:paraId="082E6D12" w14:textId="77777777" w:rsidR="004342C7" w:rsidRPr="00EE53CB" w:rsidRDefault="004342C7" w:rsidP="004342C7">
      <w:pPr>
        <w:jc w:val="both"/>
      </w:pPr>
      <w:r w:rsidRPr="00EE53CB">
        <w:t xml:space="preserve">Klasa: </w:t>
      </w:r>
      <w:r w:rsidRPr="00EE53CB">
        <w:tab/>
      </w:r>
      <w:r w:rsidRPr="00EE53CB">
        <w:tab/>
      </w:r>
    </w:p>
    <w:p w14:paraId="781B132B" w14:textId="77777777" w:rsidR="004342C7" w:rsidRPr="00EE53CB" w:rsidRDefault="004342C7" w:rsidP="004342C7">
      <w:pPr>
        <w:jc w:val="both"/>
      </w:pPr>
      <w:r w:rsidRPr="00EE53CB">
        <w:t>Urbroj:</w:t>
      </w:r>
      <w:r w:rsidRPr="00EE53CB">
        <w:tab/>
      </w:r>
      <w:r w:rsidRPr="00EE53CB">
        <w:tab/>
      </w:r>
    </w:p>
    <w:p w14:paraId="41BB4B56" w14:textId="77777777" w:rsidR="004342C7" w:rsidRPr="00EE53CB" w:rsidRDefault="004342C7" w:rsidP="004342C7">
      <w:pPr>
        <w:jc w:val="both"/>
      </w:pPr>
    </w:p>
    <w:p w14:paraId="4945FFAD" w14:textId="77777777" w:rsidR="004342C7" w:rsidRPr="00EE53CB" w:rsidRDefault="004342C7" w:rsidP="004342C7">
      <w:pPr>
        <w:jc w:val="both"/>
      </w:pPr>
      <w:r w:rsidRPr="00EE53CB">
        <w:t xml:space="preserve">Zagreb, </w:t>
      </w:r>
      <w:r w:rsidRPr="00EE53CB">
        <w:tab/>
        <w:t xml:space="preserve">           2021.</w:t>
      </w:r>
    </w:p>
    <w:p w14:paraId="1D6E7D18" w14:textId="77777777" w:rsidR="004342C7" w:rsidRPr="00EE53CB" w:rsidRDefault="004342C7" w:rsidP="004342C7">
      <w:pPr>
        <w:jc w:val="both"/>
      </w:pPr>
    </w:p>
    <w:p w14:paraId="32C1D51D" w14:textId="77777777" w:rsidR="004342C7" w:rsidRPr="00EE53CB" w:rsidRDefault="004342C7" w:rsidP="004342C7">
      <w:pPr>
        <w:jc w:val="both"/>
      </w:pPr>
    </w:p>
    <w:p w14:paraId="511999BE" w14:textId="77777777" w:rsidR="004342C7" w:rsidRPr="00EE53CB" w:rsidRDefault="004342C7" w:rsidP="004342C7">
      <w:pPr>
        <w:jc w:val="both"/>
      </w:pPr>
      <w:r w:rsidRPr="00EE53CB">
        <w:t xml:space="preserve"> </w:t>
      </w:r>
      <w:r w:rsidRPr="00EE53CB">
        <w:tab/>
      </w:r>
      <w:r w:rsidRPr="00EE53CB">
        <w:tab/>
      </w:r>
      <w:r w:rsidRPr="00EE53CB">
        <w:tab/>
      </w:r>
      <w:r w:rsidRPr="00EE53CB">
        <w:tab/>
      </w:r>
      <w:r w:rsidRPr="00EE53CB">
        <w:tab/>
      </w:r>
      <w:r w:rsidRPr="00EE53CB">
        <w:tab/>
      </w:r>
      <w:r w:rsidRPr="00EE53CB">
        <w:tab/>
      </w:r>
      <w:r w:rsidRPr="00EE53CB">
        <w:tab/>
      </w:r>
      <w:r w:rsidRPr="00EE53CB">
        <w:tab/>
      </w:r>
      <w:r w:rsidR="00E63FF5">
        <w:t xml:space="preserve">      </w:t>
      </w:r>
      <w:r w:rsidRPr="00EE53CB">
        <w:t>PREDSJEDNIK</w:t>
      </w:r>
    </w:p>
    <w:p w14:paraId="5E2BF08D" w14:textId="77777777" w:rsidR="004342C7" w:rsidRPr="00EE53CB" w:rsidRDefault="004342C7" w:rsidP="004342C7">
      <w:pPr>
        <w:jc w:val="both"/>
      </w:pPr>
    </w:p>
    <w:p w14:paraId="56B84BF4" w14:textId="77777777" w:rsidR="004342C7" w:rsidRPr="00EE53CB" w:rsidRDefault="004342C7" w:rsidP="004342C7">
      <w:pPr>
        <w:jc w:val="both"/>
      </w:pPr>
    </w:p>
    <w:p w14:paraId="7746BDB5" w14:textId="77777777" w:rsidR="004342C7" w:rsidRDefault="004342C7" w:rsidP="004342C7">
      <w:pPr>
        <w:jc w:val="both"/>
      </w:pPr>
      <w:r w:rsidRPr="00EE53CB">
        <w:tab/>
      </w:r>
      <w:r w:rsidRPr="00EE53CB">
        <w:tab/>
      </w:r>
      <w:r w:rsidRPr="00EE53CB">
        <w:tab/>
      </w:r>
      <w:r w:rsidRPr="00EE53CB">
        <w:tab/>
      </w:r>
      <w:r w:rsidRPr="00EE53CB">
        <w:tab/>
      </w:r>
      <w:r w:rsidRPr="00EE53CB">
        <w:tab/>
      </w:r>
      <w:r w:rsidRPr="00EE53CB">
        <w:tab/>
      </w:r>
      <w:r w:rsidRPr="00EE53CB">
        <w:tab/>
      </w:r>
      <w:r w:rsidRPr="00EE53CB">
        <w:tab/>
        <w:t>mr. sc. Andrej Plenković</w:t>
      </w:r>
    </w:p>
    <w:p w14:paraId="6FE8C26F" w14:textId="77777777" w:rsidR="009645BD" w:rsidRDefault="009645BD" w:rsidP="004342C7">
      <w:pPr>
        <w:jc w:val="both"/>
      </w:pPr>
    </w:p>
    <w:p w14:paraId="4F781BED" w14:textId="77777777" w:rsidR="009645BD" w:rsidRDefault="009645BD" w:rsidP="004342C7">
      <w:pPr>
        <w:jc w:val="both"/>
      </w:pPr>
    </w:p>
    <w:p w14:paraId="4DD439D3" w14:textId="77777777" w:rsidR="009645BD" w:rsidRPr="00EE53CB" w:rsidRDefault="009645BD" w:rsidP="004342C7">
      <w:pPr>
        <w:jc w:val="both"/>
      </w:pPr>
    </w:p>
    <w:p w14:paraId="0CBE1BDF" w14:textId="498CD039" w:rsidR="004342C7" w:rsidRPr="00EE4689" w:rsidRDefault="00EE4689" w:rsidP="004342C7">
      <w:pPr>
        <w:jc w:val="center"/>
        <w:rPr>
          <w:b/>
        </w:rPr>
      </w:pPr>
      <w:r>
        <w:rPr>
          <w:b/>
        </w:rPr>
        <w:t>Ob</w:t>
      </w:r>
      <w:r w:rsidR="004342C7" w:rsidRPr="00EE4689">
        <w:rPr>
          <w:b/>
        </w:rPr>
        <w:t xml:space="preserve">razloženje </w:t>
      </w:r>
    </w:p>
    <w:p w14:paraId="743FEC96" w14:textId="3A1CF72B" w:rsidR="004342C7" w:rsidRDefault="004342C7" w:rsidP="004342C7">
      <w:pPr>
        <w:jc w:val="center"/>
      </w:pPr>
    </w:p>
    <w:p w14:paraId="04430C02" w14:textId="77777777" w:rsidR="00EE4689" w:rsidRPr="00EE53CB" w:rsidRDefault="00EE4689" w:rsidP="004342C7">
      <w:pPr>
        <w:jc w:val="center"/>
      </w:pPr>
    </w:p>
    <w:p w14:paraId="536427A2" w14:textId="77777777" w:rsidR="004342C7" w:rsidRPr="00EE53CB" w:rsidRDefault="004342C7" w:rsidP="009645BD">
      <w:pPr>
        <w:jc w:val="both"/>
        <w:rPr>
          <w:rFonts w:eastAsia="Times New Roman"/>
          <w:lang w:eastAsia="hr-HR"/>
        </w:rPr>
      </w:pPr>
      <w:r w:rsidRPr="00EE53CB">
        <w:t>N</w:t>
      </w:r>
      <w:r w:rsidRPr="00EE53CB">
        <w:rPr>
          <w:rFonts w:eastAsia="Times New Roman"/>
          <w:lang w:eastAsia="hr-HR"/>
        </w:rPr>
        <w:t xml:space="preserve">astavno na Postupak izravne dodjele bespovratnih sredstava </w:t>
      </w:r>
      <w:r w:rsidRPr="00E63FF5">
        <w:rPr>
          <w:rFonts w:eastAsia="Times New Roman"/>
          <w:bCs/>
          <w:lang w:eastAsia="hr-HR"/>
        </w:rPr>
        <w:t>Sanacija lokacije visokoonečišćene opasnim otpadom - jama Sovjak</w:t>
      </w:r>
      <w:r w:rsidRPr="00EE53CB">
        <w:rPr>
          <w:rFonts w:eastAsia="Times New Roman"/>
          <w:lang w:eastAsia="hr-HR"/>
        </w:rPr>
        <w:t xml:space="preserve"> (KK.06.3.1.06) u sklopu Operativnog programa Konkurentnost i kohezija 2014-2020 (</w:t>
      </w:r>
      <w:r w:rsidR="00E63FF5">
        <w:rPr>
          <w:rFonts w:eastAsia="Times New Roman"/>
          <w:lang w:eastAsia="hr-HR"/>
        </w:rPr>
        <w:t xml:space="preserve">u daljnjem tekstu: </w:t>
      </w:r>
      <w:r w:rsidRPr="00EE53CB">
        <w:rPr>
          <w:rFonts w:eastAsia="Times New Roman"/>
          <w:lang w:eastAsia="hr-HR"/>
        </w:rPr>
        <w:t>OPKK 2014-2020), Ministarstvo zaštite okoliša i energetike (sad Ministarstvo gospodarstva i održivog razvoja)</w:t>
      </w:r>
      <w:r w:rsidRPr="001912BA">
        <w:rPr>
          <w:rFonts w:eastAsia="Times New Roman"/>
          <w:lang w:eastAsia="hr-HR"/>
        </w:rPr>
        <w:t xml:space="preserve"> </w:t>
      </w:r>
      <w:r w:rsidRPr="00EE53CB">
        <w:rPr>
          <w:rFonts w:eastAsia="Times New Roman"/>
          <w:lang w:eastAsia="hr-HR"/>
        </w:rPr>
        <w:t xml:space="preserve">donijelo je Odluku o financiranju 29. lipnja 2018. godine, kojom se projektu dodjeljuju EU sredstva u iznosu od </w:t>
      </w:r>
      <w:r w:rsidRPr="00086AD7">
        <w:rPr>
          <w:rFonts w:eastAsia="Times New Roman"/>
          <w:lang w:eastAsia="hr-HR"/>
        </w:rPr>
        <w:t>320.593.075,06 HRK</w:t>
      </w:r>
      <w:r w:rsidRPr="00EE53CB">
        <w:rPr>
          <w:rFonts w:eastAsia="Times New Roman"/>
          <w:lang w:eastAsia="hr-HR"/>
        </w:rPr>
        <w:t>. Ugovor o dodjeli bespovratnih sredstava potpisan je 13. srpnja 2018. godine. Sredstva za financiranje realizacije cjelokupnog projekta sanacije jame Sovjak osigurana su kroz EU fondove i sredstva FZOEU (korisnika).</w:t>
      </w:r>
    </w:p>
    <w:p w14:paraId="4451567B" w14:textId="77777777" w:rsidR="004342C7" w:rsidRPr="00EE53CB" w:rsidRDefault="004342C7" w:rsidP="004342C7">
      <w:pPr>
        <w:ind w:firstLine="709"/>
        <w:jc w:val="both"/>
        <w:rPr>
          <w:rFonts w:eastAsia="Times New Roman"/>
          <w:lang w:eastAsia="hr-HR"/>
        </w:rPr>
      </w:pPr>
    </w:p>
    <w:p w14:paraId="7F6F8459" w14:textId="77777777" w:rsidR="004342C7" w:rsidRPr="00EE53CB" w:rsidRDefault="004342C7" w:rsidP="009645BD">
      <w:pPr>
        <w:jc w:val="both"/>
        <w:rPr>
          <w:rFonts w:eastAsia="Times New Roman"/>
          <w:lang w:eastAsia="hr-HR"/>
        </w:rPr>
      </w:pPr>
      <w:r w:rsidRPr="00EE53CB">
        <w:rPr>
          <w:rFonts w:eastAsia="Times New Roman"/>
          <w:lang w:eastAsia="hr-HR"/>
        </w:rPr>
        <w:t>OPKK 2014-2020 jasno naglašava jamu Sovjak kao jedan od najvažnijih projekata za programski period, dok Članak 38. ZOGO-a prenosi odgovornost (tehničku i financijsku) za sanaciju jame na FZOEU. Obzirom na navedeno, tadašnje Ministarstv</w:t>
      </w:r>
      <w:r w:rsidR="00E63FF5">
        <w:rPr>
          <w:rFonts w:eastAsia="Times New Roman"/>
          <w:lang w:eastAsia="hr-HR"/>
        </w:rPr>
        <w:t xml:space="preserve">o zaštite okoliša i energetike </w:t>
      </w:r>
      <w:r w:rsidRPr="00EE53CB">
        <w:rPr>
          <w:rFonts w:eastAsia="Times New Roman"/>
          <w:lang w:eastAsia="hr-HR"/>
        </w:rPr>
        <w:t xml:space="preserve">sada Ministarstvo </w:t>
      </w:r>
      <w:r w:rsidR="00E63FF5">
        <w:rPr>
          <w:rFonts w:eastAsia="Times New Roman"/>
          <w:lang w:eastAsia="hr-HR"/>
        </w:rPr>
        <w:t>gospodarstva i održivog razvoja</w:t>
      </w:r>
      <w:r w:rsidRPr="00EE53CB">
        <w:rPr>
          <w:rFonts w:eastAsia="Times New Roman"/>
          <w:lang w:eastAsia="hr-HR"/>
        </w:rPr>
        <w:t xml:space="preserve"> donijelo je </w:t>
      </w:r>
      <w:r w:rsidRPr="00EE53CB">
        <w:rPr>
          <w:rFonts w:eastAsia="Times New Roman"/>
          <w:i/>
          <w:iCs/>
          <w:lang w:eastAsia="hr-HR"/>
        </w:rPr>
        <w:t>Odluku o sanaciji lokacije visoko onečišćene otpadom (crna točka) Sovjak</w:t>
      </w:r>
      <w:r w:rsidRPr="00EE53CB">
        <w:rPr>
          <w:rFonts w:eastAsia="Times New Roman"/>
          <w:lang w:eastAsia="hr-HR"/>
        </w:rPr>
        <w:t xml:space="preserve"> u Općini Viškovo (Klasa: 351-01/17</w:t>
      </w:r>
      <w:r w:rsidR="003956C4">
        <w:rPr>
          <w:rFonts w:eastAsia="Times New Roman"/>
          <w:lang w:eastAsia="hr-HR"/>
        </w:rPr>
        <w:t>-01/</w:t>
      </w:r>
      <w:r w:rsidRPr="00EE53CB">
        <w:rPr>
          <w:rFonts w:eastAsia="Times New Roman"/>
          <w:lang w:eastAsia="hr-HR"/>
        </w:rPr>
        <w:t xml:space="preserve">575, Urbroj; 517-06-3-1-17-2) od 28. srpnja 2017. </w:t>
      </w:r>
      <w:r>
        <w:rPr>
          <w:rFonts w:eastAsia="Times New Roman"/>
          <w:lang w:eastAsia="hr-HR"/>
        </w:rPr>
        <w:t xml:space="preserve">godine </w:t>
      </w:r>
      <w:r w:rsidRPr="00EE53CB">
        <w:rPr>
          <w:rFonts w:eastAsia="Times New Roman"/>
          <w:lang w:eastAsia="hr-HR"/>
        </w:rPr>
        <w:t xml:space="preserve">kojom se </w:t>
      </w:r>
      <w:r w:rsidRPr="00E63FF5">
        <w:rPr>
          <w:rFonts w:eastAsia="Times New Roman"/>
          <w:bCs/>
          <w:lang w:eastAsia="hr-HR"/>
        </w:rPr>
        <w:t>zadužuje</w:t>
      </w:r>
      <w:r w:rsidRPr="00E63FF5">
        <w:rPr>
          <w:rFonts w:eastAsia="Times New Roman"/>
          <w:lang w:eastAsia="hr-HR"/>
        </w:rPr>
        <w:t xml:space="preserve"> </w:t>
      </w:r>
      <w:r w:rsidRPr="00E63FF5">
        <w:rPr>
          <w:rFonts w:eastAsia="Times New Roman"/>
          <w:bCs/>
          <w:lang w:eastAsia="hr-HR"/>
        </w:rPr>
        <w:t>Fond</w:t>
      </w:r>
      <w:r w:rsidRPr="00EE53CB">
        <w:rPr>
          <w:rFonts w:eastAsia="Times New Roman"/>
          <w:lang w:eastAsia="hr-HR"/>
        </w:rPr>
        <w:t xml:space="preserve"> da u svrhu sanacije Sovjaka provede mjere i aktivnosti u skladu s Lokacijskom dozvolom i l. Izmjenom i dopunom Lokacijske dozvole.</w:t>
      </w:r>
    </w:p>
    <w:p w14:paraId="74353819" w14:textId="77777777" w:rsidR="004342C7" w:rsidRPr="00EE53CB" w:rsidRDefault="004342C7" w:rsidP="004342C7">
      <w:pPr>
        <w:ind w:firstLine="709"/>
        <w:jc w:val="both"/>
        <w:rPr>
          <w:rFonts w:eastAsia="Times New Roman"/>
          <w:lang w:eastAsia="hr-HR"/>
        </w:rPr>
      </w:pPr>
    </w:p>
    <w:p w14:paraId="38B61B55" w14:textId="77777777" w:rsidR="004342C7" w:rsidRPr="00086AD7" w:rsidRDefault="004342C7" w:rsidP="009645BD">
      <w:pPr>
        <w:jc w:val="both"/>
        <w:rPr>
          <w:rFonts w:eastAsia="Times New Roman"/>
          <w:lang w:eastAsia="hr-HR"/>
        </w:rPr>
      </w:pPr>
      <w:r w:rsidRPr="00EE53CB">
        <w:rPr>
          <w:rFonts w:eastAsia="Times New Roman"/>
          <w:lang w:eastAsia="hr-HR"/>
        </w:rPr>
        <w:t>Slijedom navedenog, Fond kao naručitelj je proveo otvoreni postupak javne nabave velike vrijednosti s ciljem sklapanja ugovora o Projektiranju i izvođenju radova sanacije jame Sovjak, evidencijski broj nabave E-VV</w:t>
      </w:r>
      <w:r w:rsidRPr="00EE53CB">
        <w:rPr>
          <w:rFonts w:eastAsia="Calibri"/>
          <w:lang w:eastAsia="hr-HR"/>
        </w:rPr>
        <w:t xml:space="preserve">12/2020/R3, te </w:t>
      </w:r>
      <w:r w:rsidRPr="00EE53CB">
        <w:rPr>
          <w:rFonts w:eastAsia="Times New Roman"/>
          <w:lang w:eastAsia="hr-HR"/>
        </w:rPr>
        <w:t xml:space="preserve">je 14. srpnja 2021. </w:t>
      </w:r>
      <w:r>
        <w:rPr>
          <w:rFonts w:eastAsia="Times New Roman"/>
          <w:lang w:eastAsia="hr-HR"/>
        </w:rPr>
        <w:t xml:space="preserve">godine </w:t>
      </w:r>
      <w:r w:rsidRPr="00086AD7">
        <w:rPr>
          <w:rFonts w:eastAsia="Times New Roman"/>
          <w:lang w:eastAsia="hr-HR"/>
        </w:rPr>
        <w:t xml:space="preserve">donio Odluku o odabiru za Projektiranje i izvođenje radova sanacije jame Sovjak </w:t>
      </w:r>
      <w:bookmarkStart w:id="1" w:name="_Hlk79659866"/>
      <w:r w:rsidRPr="00086AD7">
        <w:rPr>
          <w:rFonts w:eastAsia="Times New Roman"/>
          <w:lang w:eastAsia="hr-HR"/>
        </w:rPr>
        <w:t xml:space="preserve">(KLASA:406-07/20-03/8, URBROJ: 563-10/61-21-80) </w:t>
      </w:r>
      <w:bookmarkEnd w:id="1"/>
      <w:r>
        <w:rPr>
          <w:rFonts w:eastAsia="Times New Roman"/>
          <w:lang w:eastAsia="hr-HR"/>
        </w:rPr>
        <w:t xml:space="preserve">(u daljnjem tekstu: Odluka o odabiru) </w:t>
      </w:r>
      <w:r w:rsidRPr="00086AD7">
        <w:rPr>
          <w:rFonts w:eastAsia="Times New Roman"/>
          <w:lang w:eastAsia="hr-HR"/>
        </w:rPr>
        <w:t>kojom je odabrana Ponuda broj RC-2402/21 od 24.02.2021. zajednice ponuditelja: GK GRUPA d.o.o Hal</w:t>
      </w:r>
      <w:r>
        <w:rPr>
          <w:rFonts w:eastAsia="Times New Roman"/>
          <w:lang w:eastAsia="hr-HR"/>
        </w:rPr>
        <w:t>l</w:t>
      </w:r>
      <w:r w:rsidRPr="00086AD7">
        <w:rPr>
          <w:rFonts w:eastAsia="Times New Roman"/>
          <w:lang w:eastAsia="hr-HR"/>
        </w:rPr>
        <w:t xml:space="preserve">erova aleja 1, 42000, VARAŽDIN, </w:t>
      </w:r>
      <w:r>
        <w:rPr>
          <w:rFonts w:eastAsia="Times New Roman"/>
          <w:lang w:eastAsia="hr-HR"/>
        </w:rPr>
        <w:t xml:space="preserve">OIB: </w:t>
      </w:r>
      <w:r w:rsidRPr="00086AD7">
        <w:rPr>
          <w:rFonts w:eastAsia="Times New Roman"/>
          <w:lang w:eastAsia="hr-HR"/>
        </w:rPr>
        <w:t xml:space="preserve">32165824835; EKOMO d.o.o. Log 255, 2345, Bistrica ob Dravi, Slovenija, </w:t>
      </w:r>
      <w:r>
        <w:rPr>
          <w:rFonts w:eastAsia="Times New Roman"/>
          <w:lang w:eastAsia="hr-HR"/>
        </w:rPr>
        <w:lastRenderedPageBreak/>
        <w:t>OIB</w:t>
      </w:r>
      <w:r w:rsidRPr="00086AD7">
        <w:rPr>
          <w:rFonts w:eastAsia="Times New Roman"/>
          <w:lang w:eastAsia="hr-HR"/>
        </w:rPr>
        <w:t xml:space="preserve">:S161202401; IVICOM Consulting d.o.o. Damira Tomljanovića Gavrana 11, 10000 Zagreb, </w:t>
      </w:r>
      <w:r>
        <w:rPr>
          <w:rFonts w:eastAsia="Times New Roman"/>
          <w:lang w:eastAsia="hr-HR"/>
        </w:rPr>
        <w:t>OIB</w:t>
      </w:r>
      <w:r w:rsidRPr="00086AD7">
        <w:rPr>
          <w:rFonts w:eastAsia="Times New Roman"/>
          <w:lang w:eastAsia="hr-HR"/>
        </w:rPr>
        <w:t>:20778515767, u iznosu od 299.999.980,00 kuna bez PDV-a, odnosno 374.999.975,00 kuna s PDV-om.</w:t>
      </w:r>
    </w:p>
    <w:p w14:paraId="3D435648" w14:textId="77777777" w:rsidR="004342C7" w:rsidRPr="00086AD7" w:rsidRDefault="004342C7" w:rsidP="004342C7">
      <w:pPr>
        <w:ind w:firstLine="709"/>
        <w:jc w:val="both"/>
        <w:rPr>
          <w:rFonts w:eastAsia="Times New Roman"/>
          <w:lang w:eastAsia="hr-HR"/>
        </w:rPr>
      </w:pPr>
    </w:p>
    <w:p w14:paraId="5B51F028" w14:textId="77777777" w:rsidR="004342C7" w:rsidRPr="00086AD7" w:rsidRDefault="004342C7" w:rsidP="009645BD">
      <w:pPr>
        <w:jc w:val="both"/>
        <w:rPr>
          <w:rFonts w:eastAsia="Times New Roman"/>
          <w:lang w:eastAsia="hr-HR"/>
        </w:rPr>
      </w:pPr>
      <w:r w:rsidRPr="00086AD7">
        <w:rPr>
          <w:rFonts w:eastAsia="Times New Roman"/>
          <w:lang w:eastAsia="hr-HR"/>
        </w:rPr>
        <w:t>Cijena predmetne ponude iznosi 299.999.980,00 kuna bez PDV-a, što je za 29.868.868,00 kuna iznad procijenjene vrijednosti nabave odnosno cijena predmetne ponude s PDV-om iznosi 374.999.975,00 kuna s PDV-om, što je za 37.336.085,00 kuna iznad planirane vrijednosti nabave.</w:t>
      </w:r>
    </w:p>
    <w:p w14:paraId="71770CDD" w14:textId="77777777" w:rsidR="004342C7" w:rsidRPr="00086AD7" w:rsidRDefault="004342C7" w:rsidP="004342C7">
      <w:pPr>
        <w:ind w:firstLine="709"/>
        <w:jc w:val="both"/>
        <w:rPr>
          <w:rFonts w:eastAsia="Times New Roman"/>
          <w:lang w:eastAsia="hr-HR"/>
        </w:rPr>
      </w:pPr>
    </w:p>
    <w:p w14:paraId="7F356E6C" w14:textId="77777777" w:rsidR="004342C7" w:rsidRPr="00086AD7" w:rsidRDefault="004342C7" w:rsidP="009645BD">
      <w:pPr>
        <w:jc w:val="both"/>
        <w:rPr>
          <w:rFonts w:eastAsia="Times New Roman"/>
          <w:lang w:eastAsia="hr-HR"/>
        </w:rPr>
      </w:pPr>
      <w:r>
        <w:rPr>
          <w:rFonts w:eastAsia="Times New Roman"/>
          <w:lang w:eastAsia="hr-HR"/>
        </w:rPr>
        <w:t>Kako javni naručitelj sukladno č</w:t>
      </w:r>
      <w:r w:rsidRPr="00086AD7">
        <w:rPr>
          <w:rFonts w:eastAsia="Times New Roman"/>
          <w:lang w:eastAsia="hr-HR"/>
        </w:rPr>
        <w:t>lank</w:t>
      </w:r>
      <w:r>
        <w:rPr>
          <w:rFonts w:eastAsia="Times New Roman"/>
          <w:lang w:eastAsia="hr-HR"/>
        </w:rPr>
        <w:t>u</w:t>
      </w:r>
      <w:r w:rsidRPr="00086AD7">
        <w:rPr>
          <w:rFonts w:eastAsia="Times New Roman"/>
          <w:lang w:eastAsia="hr-HR"/>
        </w:rPr>
        <w:t xml:space="preserve"> 298. stavk</w:t>
      </w:r>
      <w:r>
        <w:rPr>
          <w:rFonts w:eastAsia="Times New Roman"/>
          <w:lang w:eastAsia="hr-HR"/>
        </w:rPr>
        <w:t>u</w:t>
      </w:r>
      <w:r w:rsidRPr="00086AD7">
        <w:rPr>
          <w:rFonts w:eastAsia="Times New Roman"/>
          <w:lang w:eastAsia="hr-HR"/>
        </w:rPr>
        <w:t xml:space="preserve"> 1. točk</w:t>
      </w:r>
      <w:r>
        <w:rPr>
          <w:rFonts w:eastAsia="Times New Roman"/>
          <w:lang w:eastAsia="hr-HR"/>
        </w:rPr>
        <w:t>i</w:t>
      </w:r>
      <w:r w:rsidR="00E63FF5">
        <w:rPr>
          <w:rFonts w:eastAsia="Times New Roman"/>
          <w:lang w:eastAsia="hr-HR"/>
        </w:rPr>
        <w:t xml:space="preserve"> 9. ZJN 2016 </w:t>
      </w:r>
      <w:r>
        <w:rPr>
          <w:rFonts w:eastAsia="Times New Roman"/>
          <w:lang w:eastAsia="hr-HR"/>
        </w:rPr>
        <w:t xml:space="preserve">može </w:t>
      </w:r>
      <w:r w:rsidRPr="00086AD7">
        <w:rPr>
          <w:rFonts w:eastAsia="Times New Roman"/>
          <w:lang w:eastAsia="hr-HR"/>
        </w:rPr>
        <w:t>prihva</w:t>
      </w:r>
      <w:r>
        <w:rPr>
          <w:rFonts w:eastAsia="Times New Roman"/>
          <w:lang w:eastAsia="hr-HR"/>
        </w:rPr>
        <w:t xml:space="preserve">titi </w:t>
      </w:r>
      <w:r w:rsidRPr="00086AD7">
        <w:rPr>
          <w:rFonts w:eastAsia="Times New Roman"/>
          <w:lang w:eastAsia="hr-HR"/>
        </w:rPr>
        <w:t>ponud</w:t>
      </w:r>
      <w:r>
        <w:rPr>
          <w:rFonts w:eastAsia="Times New Roman"/>
          <w:lang w:eastAsia="hr-HR"/>
        </w:rPr>
        <w:t>u</w:t>
      </w:r>
      <w:r w:rsidRPr="00086AD7">
        <w:rPr>
          <w:rFonts w:eastAsia="Times New Roman"/>
          <w:lang w:eastAsia="hr-HR"/>
        </w:rPr>
        <w:t xml:space="preserve"> iznad procijenjene vrijednosti </w:t>
      </w:r>
      <w:r>
        <w:rPr>
          <w:rFonts w:eastAsia="Times New Roman"/>
          <w:lang w:eastAsia="hr-HR"/>
        </w:rPr>
        <w:t xml:space="preserve">nabave </w:t>
      </w:r>
      <w:r w:rsidRPr="00086AD7">
        <w:rPr>
          <w:rFonts w:eastAsia="Times New Roman"/>
          <w:lang w:eastAsia="hr-HR"/>
        </w:rPr>
        <w:t>ukoliko ima ili će imati osigurana sredstva</w:t>
      </w:r>
      <w:r>
        <w:rPr>
          <w:rFonts w:eastAsia="Times New Roman"/>
          <w:lang w:eastAsia="hr-HR"/>
        </w:rPr>
        <w:t xml:space="preserve">, Fond je </w:t>
      </w:r>
      <w:r w:rsidRPr="00086AD7">
        <w:rPr>
          <w:rFonts w:eastAsia="Times New Roman"/>
          <w:lang w:eastAsia="hr-HR"/>
        </w:rPr>
        <w:t xml:space="preserve">zatražio i zaprimio očitovanje </w:t>
      </w:r>
      <w:bookmarkStart w:id="2" w:name="_Hlk79488885"/>
      <w:r w:rsidRPr="00086AD7">
        <w:rPr>
          <w:rFonts w:eastAsia="Times New Roman"/>
          <w:lang w:eastAsia="hr-HR"/>
        </w:rPr>
        <w:t xml:space="preserve">Ministarstva gospodarstva i održivog razvoja koje se dopisom od 13. srpnja 2021. (KLASA:351-04/18-13/156, URBROJ:517-11-1-2-2-21-73) očitovalo </w:t>
      </w:r>
      <w:bookmarkEnd w:id="2"/>
      <w:r w:rsidRPr="00086AD7">
        <w:rPr>
          <w:rFonts w:eastAsia="Times New Roman"/>
          <w:lang w:eastAsia="hr-HR"/>
        </w:rPr>
        <w:t>da će Naručitelj imati osigurana dodatna bespovratna sredstva u iznosu od 85% od 29.868.868,00 kn bez PDV-a, odnosno 37.336.085,00 kuna s PDV-om. Preostala potrebna sredstva odnosno sredstva korisnika (15%) osigurava Fond kao korisnik. Zaključno, potrebna sredstva osigurana su Izmjenama i dopunama Financijskog plana Fonda za zaštitu okoliša i energetsku učinkovitost za 2021. godinu u iznosu od 38.916.000,00 kuna i projekcijama Financijskog plana Fonda za 2022. godinu u iznosu od 64.312.000,00 kuna i 2023. godinu u iznosu od 65.193.000,00 kuna  na aktivnosti 200014 Sanacija odlagališta opasnog otpada Sovjak izvor 30 i 36, te će se preostali iznos osigurati u narednim razdobljima.</w:t>
      </w:r>
    </w:p>
    <w:p w14:paraId="3FDA140E" w14:textId="77777777" w:rsidR="004342C7" w:rsidRPr="00086AD7" w:rsidRDefault="004342C7" w:rsidP="004342C7">
      <w:pPr>
        <w:ind w:firstLine="709"/>
        <w:jc w:val="both"/>
        <w:rPr>
          <w:rFonts w:eastAsia="Times New Roman"/>
          <w:lang w:eastAsia="hr-HR"/>
        </w:rPr>
      </w:pPr>
    </w:p>
    <w:p w14:paraId="2C402970" w14:textId="77777777" w:rsidR="004342C7" w:rsidRPr="00086AD7" w:rsidRDefault="004342C7" w:rsidP="009645BD">
      <w:pPr>
        <w:jc w:val="both"/>
        <w:rPr>
          <w:rFonts w:eastAsia="Times New Roman"/>
          <w:lang w:eastAsia="hr-HR"/>
        </w:rPr>
      </w:pPr>
      <w:r w:rsidRPr="000E783D">
        <w:rPr>
          <w:rFonts w:eastAsia="Times New Roman"/>
          <w:lang w:eastAsia="hr-HR"/>
        </w:rPr>
        <w:t>Imajući u vidu da su navedena sredstva dostatna za prihvaćanje ekonomski najpovoljnije ponude iznad visine procijenjene vrijednosti, Fond</w:t>
      </w:r>
      <w:r w:rsidRPr="00086AD7">
        <w:rPr>
          <w:rFonts w:eastAsia="Times New Roman"/>
          <w:lang w:eastAsia="hr-HR"/>
        </w:rPr>
        <w:t xml:space="preserve"> </w:t>
      </w:r>
      <w:r>
        <w:rPr>
          <w:rFonts w:eastAsia="Times New Roman"/>
          <w:lang w:eastAsia="hr-HR"/>
        </w:rPr>
        <w:t xml:space="preserve">je </w:t>
      </w:r>
      <w:r w:rsidRPr="00086AD7">
        <w:rPr>
          <w:rFonts w:eastAsia="Times New Roman"/>
          <w:lang w:eastAsia="hr-HR"/>
        </w:rPr>
        <w:t xml:space="preserve">Odlukom o 3. Izmjeni Odluke o imenovanju stručnog povjerenstva za javnu nabavu, </w:t>
      </w:r>
      <w:r w:rsidRPr="00E63FF5">
        <w:rPr>
          <w:rFonts w:eastAsia="Times New Roman"/>
          <w:lang w:eastAsia="hr-HR"/>
        </w:rPr>
        <w:t>povećao prvotno procijenjenu</w:t>
      </w:r>
      <w:r w:rsidRPr="00086AD7">
        <w:rPr>
          <w:rFonts w:eastAsia="Times New Roman"/>
          <w:lang w:eastAsia="hr-HR"/>
        </w:rPr>
        <w:t xml:space="preserve"> vrijednost nabave u iznosu od 270.131.112,00 kn za iznos od 29.868.868,00 kn, čime sada ukupna procijenjena vrijednost iznosi 299.999.980,00 kn bez PDV-a, odnosno povećavaju se planirana sredstva sa 337.663.890,00 kn s PDV-om na 374.999.975,00 kn sa PDV-om.</w:t>
      </w:r>
    </w:p>
    <w:p w14:paraId="34828B0D" w14:textId="77777777" w:rsidR="004342C7" w:rsidRPr="00086AD7" w:rsidRDefault="004342C7" w:rsidP="004342C7">
      <w:pPr>
        <w:ind w:firstLine="709"/>
        <w:jc w:val="both"/>
        <w:rPr>
          <w:rFonts w:eastAsia="Times New Roman"/>
          <w:lang w:eastAsia="hr-HR"/>
        </w:rPr>
      </w:pPr>
    </w:p>
    <w:p w14:paraId="0F1D31A4" w14:textId="77777777" w:rsidR="004342C7" w:rsidRPr="00086AD7" w:rsidRDefault="004342C7" w:rsidP="009645BD">
      <w:pPr>
        <w:jc w:val="both"/>
        <w:rPr>
          <w:rFonts w:eastAsia="Times New Roman"/>
          <w:lang w:eastAsia="hr-HR"/>
        </w:rPr>
      </w:pPr>
      <w:r w:rsidRPr="00086AD7">
        <w:rPr>
          <w:rFonts w:eastAsia="Times New Roman"/>
          <w:lang w:eastAsia="hr-HR"/>
        </w:rPr>
        <w:t xml:space="preserve">Nastavno na navedeno, Upravni odbor Fonda za zaštitu </w:t>
      </w:r>
      <w:r w:rsidRPr="00086AD7">
        <w:rPr>
          <w:rFonts w:eastAsia="Times New Roman"/>
          <w:noProof/>
          <w:lang w:eastAsia="hr-HR"/>
        </w:rPr>
        <w:drawing>
          <wp:inline distT="0" distB="0" distL="0" distR="0" wp14:anchorId="1ABB3429" wp14:editId="1ACCD673">
            <wp:extent cx="3048" cy="9146"/>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9"/>
                    <a:stretch>
                      <a:fillRect/>
                    </a:stretch>
                  </pic:blipFill>
                  <pic:spPr>
                    <a:xfrm>
                      <a:off x="0" y="0"/>
                      <a:ext cx="3048" cy="9146"/>
                    </a:xfrm>
                    <a:prstGeom prst="rect">
                      <a:avLst/>
                    </a:prstGeom>
                  </pic:spPr>
                </pic:pic>
              </a:graphicData>
            </a:graphic>
          </wp:inline>
        </w:drawing>
      </w:r>
      <w:r w:rsidRPr="00086AD7">
        <w:rPr>
          <w:rFonts w:eastAsia="Times New Roman"/>
          <w:lang w:eastAsia="hr-HR"/>
        </w:rPr>
        <w:t xml:space="preserve">okoliša i energetsku učinkovitost je na sjednici održanoj dana 15. srpnja 2021. godine donio Odluku (KLASA: 024-04/21-03/5, URBROJ: 563-01/69-21-22) kojom se </w:t>
      </w:r>
      <w:r w:rsidRPr="00086AD7">
        <w:rPr>
          <w:rFonts w:eastAsia="Times New Roman"/>
          <w:noProof/>
          <w:lang w:eastAsia="hr-HR"/>
        </w:rPr>
        <w:drawing>
          <wp:anchor distT="0" distB="0" distL="114300" distR="114300" simplePos="0" relativeHeight="251659264" behindDoc="0" locked="0" layoutInCell="1" allowOverlap="0" wp14:anchorId="3F4BAD2E" wp14:editId="553F886A">
            <wp:simplePos x="0" y="0"/>
            <wp:positionH relativeFrom="page">
              <wp:posOffset>6653784</wp:posOffset>
            </wp:positionH>
            <wp:positionV relativeFrom="page">
              <wp:posOffset>3652545</wp:posOffset>
            </wp:positionV>
            <wp:extent cx="3049" cy="6098"/>
            <wp:effectExtent l="0" t="0" r="0" b="0"/>
            <wp:wrapSquare wrapText="bothSides"/>
            <wp:docPr id="2025" name="Picture 2025"/>
            <wp:cNvGraphicFramePr/>
            <a:graphic xmlns:a="http://schemas.openxmlformats.org/drawingml/2006/main">
              <a:graphicData uri="http://schemas.openxmlformats.org/drawingml/2006/picture">
                <pic:pic xmlns:pic="http://schemas.openxmlformats.org/drawingml/2006/picture">
                  <pic:nvPicPr>
                    <pic:cNvPr id="2025" name="Picture 2025"/>
                    <pic:cNvPicPr/>
                  </pic:nvPicPr>
                  <pic:blipFill>
                    <a:blip r:embed="rId10"/>
                    <a:stretch>
                      <a:fillRect/>
                    </a:stretch>
                  </pic:blipFill>
                  <pic:spPr>
                    <a:xfrm>
                      <a:off x="0" y="0"/>
                      <a:ext cx="3049" cy="6098"/>
                    </a:xfrm>
                    <a:prstGeom prst="rect">
                      <a:avLst/>
                    </a:prstGeom>
                  </pic:spPr>
                </pic:pic>
              </a:graphicData>
            </a:graphic>
          </wp:anchor>
        </w:drawing>
      </w:r>
      <w:r w:rsidRPr="00086AD7">
        <w:rPr>
          <w:rFonts w:eastAsia="Times New Roman"/>
          <w:noProof/>
          <w:lang w:eastAsia="hr-HR"/>
        </w:rPr>
        <w:drawing>
          <wp:anchor distT="0" distB="0" distL="114300" distR="114300" simplePos="0" relativeHeight="251660288" behindDoc="0" locked="0" layoutInCell="1" allowOverlap="0" wp14:anchorId="01612806" wp14:editId="074915AC">
            <wp:simplePos x="0" y="0"/>
            <wp:positionH relativeFrom="page">
              <wp:posOffset>6647688</wp:posOffset>
            </wp:positionH>
            <wp:positionV relativeFrom="page">
              <wp:posOffset>7061182</wp:posOffset>
            </wp:positionV>
            <wp:extent cx="6096" cy="3049"/>
            <wp:effectExtent l="0" t="0" r="0" b="0"/>
            <wp:wrapSquare wrapText="bothSides"/>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11"/>
                    <a:stretch>
                      <a:fillRect/>
                    </a:stretch>
                  </pic:blipFill>
                  <pic:spPr>
                    <a:xfrm>
                      <a:off x="0" y="0"/>
                      <a:ext cx="6096" cy="3049"/>
                    </a:xfrm>
                    <a:prstGeom prst="rect">
                      <a:avLst/>
                    </a:prstGeom>
                  </pic:spPr>
                </pic:pic>
              </a:graphicData>
            </a:graphic>
          </wp:anchor>
        </w:drawing>
      </w:r>
      <w:r w:rsidRPr="00086AD7">
        <w:rPr>
          <w:rFonts w:eastAsia="Times New Roman"/>
          <w:noProof/>
          <w:lang w:eastAsia="hr-HR"/>
        </w:rPr>
        <w:drawing>
          <wp:anchor distT="0" distB="0" distL="114300" distR="114300" simplePos="0" relativeHeight="251661312" behindDoc="0" locked="0" layoutInCell="1" allowOverlap="0" wp14:anchorId="19D11066" wp14:editId="046EDEC8">
            <wp:simplePos x="0" y="0"/>
            <wp:positionH relativeFrom="page">
              <wp:posOffset>6650736</wp:posOffset>
            </wp:positionH>
            <wp:positionV relativeFrom="page">
              <wp:posOffset>7103866</wp:posOffset>
            </wp:positionV>
            <wp:extent cx="6097" cy="3049"/>
            <wp:effectExtent l="0" t="0" r="0" b="0"/>
            <wp:wrapSquare wrapText="bothSides"/>
            <wp:docPr id="2037" name="Picture 2037"/>
            <wp:cNvGraphicFramePr/>
            <a:graphic xmlns:a="http://schemas.openxmlformats.org/drawingml/2006/main">
              <a:graphicData uri="http://schemas.openxmlformats.org/drawingml/2006/picture">
                <pic:pic xmlns:pic="http://schemas.openxmlformats.org/drawingml/2006/picture">
                  <pic:nvPicPr>
                    <pic:cNvPr id="2037" name="Picture 2037"/>
                    <pic:cNvPicPr/>
                  </pic:nvPicPr>
                  <pic:blipFill>
                    <a:blip r:embed="rId12"/>
                    <a:stretch>
                      <a:fillRect/>
                    </a:stretch>
                  </pic:blipFill>
                  <pic:spPr>
                    <a:xfrm>
                      <a:off x="0" y="0"/>
                      <a:ext cx="6097" cy="3049"/>
                    </a:xfrm>
                    <a:prstGeom prst="rect">
                      <a:avLst/>
                    </a:prstGeom>
                  </pic:spPr>
                </pic:pic>
              </a:graphicData>
            </a:graphic>
          </wp:anchor>
        </w:drawing>
      </w:r>
      <w:r w:rsidRPr="00086AD7">
        <w:rPr>
          <w:rFonts w:eastAsia="Times New Roman"/>
          <w:lang w:eastAsia="hr-HR"/>
        </w:rPr>
        <w:t xml:space="preserve">daje suglasnost Andrei Bartolić, dipl.iur., tajnici Fonda za zaštitu okoliša i </w:t>
      </w:r>
      <w:r w:rsidRPr="00086AD7">
        <w:rPr>
          <w:rFonts w:eastAsia="Times New Roman"/>
          <w:noProof/>
          <w:lang w:eastAsia="hr-HR"/>
        </w:rPr>
        <w:drawing>
          <wp:inline distT="0" distB="0" distL="0" distR="0" wp14:anchorId="2C653F97" wp14:editId="43454408">
            <wp:extent cx="6097" cy="6098"/>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13"/>
                    <a:stretch>
                      <a:fillRect/>
                    </a:stretch>
                  </pic:blipFill>
                  <pic:spPr>
                    <a:xfrm>
                      <a:off x="0" y="0"/>
                      <a:ext cx="6097" cy="6098"/>
                    </a:xfrm>
                    <a:prstGeom prst="rect">
                      <a:avLst/>
                    </a:prstGeom>
                  </pic:spPr>
                </pic:pic>
              </a:graphicData>
            </a:graphic>
          </wp:inline>
        </w:drawing>
      </w:r>
      <w:r w:rsidRPr="00086AD7">
        <w:rPr>
          <w:rFonts w:eastAsia="Times New Roman"/>
          <w:lang w:eastAsia="hr-HR"/>
        </w:rPr>
        <w:t xml:space="preserve">energetsku učinkovitost, ovlaštenoj temeljem Specijalne punomoći ovjerene </w:t>
      </w:r>
      <w:r w:rsidRPr="00086AD7">
        <w:rPr>
          <w:rFonts w:eastAsia="Times New Roman"/>
          <w:noProof/>
          <w:lang w:eastAsia="hr-HR"/>
        </w:rPr>
        <w:drawing>
          <wp:inline distT="0" distB="0" distL="0" distR="0" wp14:anchorId="534FC3A1" wp14:editId="3610DC0B">
            <wp:extent cx="3048" cy="3049"/>
            <wp:effectExtent l="0" t="0" r="0" b="0"/>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14"/>
                    <a:stretch>
                      <a:fillRect/>
                    </a:stretch>
                  </pic:blipFill>
                  <pic:spPr>
                    <a:xfrm>
                      <a:off x="0" y="0"/>
                      <a:ext cx="3048" cy="3049"/>
                    </a:xfrm>
                    <a:prstGeom prst="rect">
                      <a:avLst/>
                    </a:prstGeom>
                  </pic:spPr>
                </pic:pic>
              </a:graphicData>
            </a:graphic>
          </wp:inline>
        </w:drawing>
      </w:r>
      <w:r w:rsidRPr="00086AD7">
        <w:rPr>
          <w:rFonts w:eastAsia="Times New Roman"/>
          <w:noProof/>
          <w:lang w:eastAsia="hr-HR"/>
        </w:rPr>
        <w:drawing>
          <wp:inline distT="0" distB="0" distL="0" distR="0" wp14:anchorId="3FD662B2" wp14:editId="1E951232">
            <wp:extent cx="9144" cy="45733"/>
            <wp:effectExtent l="0" t="0" r="0" b="0"/>
            <wp:docPr id="6051" name="Picture 6051"/>
            <wp:cNvGraphicFramePr/>
            <a:graphic xmlns:a="http://schemas.openxmlformats.org/drawingml/2006/main">
              <a:graphicData uri="http://schemas.openxmlformats.org/drawingml/2006/picture">
                <pic:pic xmlns:pic="http://schemas.openxmlformats.org/drawingml/2006/picture">
                  <pic:nvPicPr>
                    <pic:cNvPr id="6051" name="Picture 6051"/>
                    <pic:cNvPicPr/>
                  </pic:nvPicPr>
                  <pic:blipFill>
                    <a:blip r:embed="rId15"/>
                    <a:stretch>
                      <a:fillRect/>
                    </a:stretch>
                  </pic:blipFill>
                  <pic:spPr>
                    <a:xfrm>
                      <a:off x="0" y="0"/>
                      <a:ext cx="9144" cy="45733"/>
                    </a:xfrm>
                    <a:prstGeom prst="rect">
                      <a:avLst/>
                    </a:prstGeom>
                  </pic:spPr>
                </pic:pic>
              </a:graphicData>
            </a:graphic>
          </wp:inline>
        </w:drawing>
      </w:r>
      <w:r w:rsidRPr="00086AD7">
        <w:rPr>
          <w:rFonts w:eastAsia="Times New Roman"/>
          <w:lang w:eastAsia="hr-HR"/>
        </w:rPr>
        <w:t xml:space="preserve">od strane Javne bilježnice Lucije Popov broj: OV-3116/2018 od 28. ožujka 2018. godine da po stupanju na snagu navedene Odluke i po izvršnosti Odluke o </w:t>
      </w:r>
      <w:r w:rsidRPr="00086AD7">
        <w:rPr>
          <w:rFonts w:eastAsia="Times New Roman"/>
          <w:noProof/>
          <w:lang w:eastAsia="hr-HR"/>
        </w:rPr>
        <w:drawing>
          <wp:inline distT="0" distB="0" distL="0" distR="0" wp14:anchorId="57E7BF3C" wp14:editId="70A04E0A">
            <wp:extent cx="3048" cy="3049"/>
            <wp:effectExtent l="0" t="0" r="0" b="0"/>
            <wp:docPr id="2032" name="Picture 2032"/>
            <wp:cNvGraphicFramePr/>
            <a:graphic xmlns:a="http://schemas.openxmlformats.org/drawingml/2006/main">
              <a:graphicData uri="http://schemas.openxmlformats.org/drawingml/2006/picture">
                <pic:pic xmlns:pic="http://schemas.openxmlformats.org/drawingml/2006/picture">
                  <pic:nvPicPr>
                    <pic:cNvPr id="2032" name="Picture 2032"/>
                    <pic:cNvPicPr/>
                  </pic:nvPicPr>
                  <pic:blipFill>
                    <a:blip r:embed="rId16"/>
                    <a:stretch>
                      <a:fillRect/>
                    </a:stretch>
                  </pic:blipFill>
                  <pic:spPr>
                    <a:xfrm>
                      <a:off x="0" y="0"/>
                      <a:ext cx="3048" cy="3049"/>
                    </a:xfrm>
                    <a:prstGeom prst="rect">
                      <a:avLst/>
                    </a:prstGeom>
                  </pic:spPr>
                </pic:pic>
              </a:graphicData>
            </a:graphic>
          </wp:inline>
        </w:drawing>
      </w:r>
      <w:r w:rsidRPr="00086AD7">
        <w:rPr>
          <w:rFonts w:eastAsia="Times New Roman"/>
          <w:lang w:eastAsia="hr-HR"/>
        </w:rPr>
        <w:t xml:space="preserve">odabiru (KLASA: 406-07/20-03/8, URBROJ: </w:t>
      </w:r>
      <w:r w:rsidRPr="000C5357">
        <w:rPr>
          <w:rFonts w:eastAsia="Times New Roman"/>
          <w:lang w:eastAsia="hr-HR"/>
        </w:rPr>
        <w:t>563-10/9-21-81) od</w:t>
      </w:r>
      <w:r w:rsidRPr="00086AD7">
        <w:rPr>
          <w:rFonts w:eastAsia="Times New Roman"/>
          <w:lang w:eastAsia="hr-HR"/>
        </w:rPr>
        <w:t xml:space="preserve"> 14. srpnja 2021. godine, donesene u otvorenom postupku javne nabave velike vrijednosti za sklapanje ugovora za Projektiranje i izvođenje radova sanacije jame Sovjak, evidencijski broj nabave E-</w:t>
      </w:r>
      <w:r>
        <w:rPr>
          <w:rFonts w:eastAsia="Times New Roman"/>
          <w:lang w:eastAsia="hr-HR"/>
        </w:rPr>
        <w:t>VV-</w:t>
      </w:r>
      <w:r w:rsidRPr="00086AD7">
        <w:rPr>
          <w:rFonts w:eastAsia="Times New Roman"/>
          <w:lang w:eastAsia="hr-HR"/>
        </w:rPr>
        <w:t xml:space="preserve">12/2020/R3, s odabranom zajednicom </w:t>
      </w:r>
      <w:r w:rsidRPr="00086AD7">
        <w:rPr>
          <w:rFonts w:eastAsia="Times New Roman"/>
          <w:noProof/>
          <w:lang w:eastAsia="hr-HR"/>
        </w:rPr>
        <w:drawing>
          <wp:inline distT="0" distB="0" distL="0" distR="0" wp14:anchorId="50DECF64" wp14:editId="0EC70F9D">
            <wp:extent cx="3048" cy="3049"/>
            <wp:effectExtent l="0" t="0" r="0" b="0"/>
            <wp:docPr id="2033" name="Picture 2033"/>
            <wp:cNvGraphicFramePr/>
            <a:graphic xmlns:a="http://schemas.openxmlformats.org/drawingml/2006/main">
              <a:graphicData uri="http://schemas.openxmlformats.org/drawingml/2006/picture">
                <pic:pic xmlns:pic="http://schemas.openxmlformats.org/drawingml/2006/picture">
                  <pic:nvPicPr>
                    <pic:cNvPr id="2033" name="Picture 2033"/>
                    <pic:cNvPicPr/>
                  </pic:nvPicPr>
                  <pic:blipFill>
                    <a:blip r:embed="rId17"/>
                    <a:stretch>
                      <a:fillRect/>
                    </a:stretch>
                  </pic:blipFill>
                  <pic:spPr>
                    <a:xfrm>
                      <a:off x="0" y="0"/>
                      <a:ext cx="3048" cy="3049"/>
                    </a:xfrm>
                    <a:prstGeom prst="rect">
                      <a:avLst/>
                    </a:prstGeom>
                  </pic:spPr>
                </pic:pic>
              </a:graphicData>
            </a:graphic>
          </wp:inline>
        </w:drawing>
      </w:r>
      <w:r w:rsidRPr="00086AD7">
        <w:rPr>
          <w:rFonts w:eastAsia="Times New Roman"/>
          <w:noProof/>
          <w:lang w:eastAsia="hr-HR"/>
        </w:rPr>
        <w:drawing>
          <wp:inline distT="0" distB="0" distL="0" distR="0" wp14:anchorId="05AEBD2D" wp14:editId="1B9C113C">
            <wp:extent cx="3048" cy="3049"/>
            <wp:effectExtent l="0" t="0" r="0" b="0"/>
            <wp:docPr id="2036" name="Picture 2036"/>
            <wp:cNvGraphicFramePr/>
            <a:graphic xmlns:a="http://schemas.openxmlformats.org/drawingml/2006/main">
              <a:graphicData uri="http://schemas.openxmlformats.org/drawingml/2006/picture">
                <pic:pic xmlns:pic="http://schemas.openxmlformats.org/drawingml/2006/picture">
                  <pic:nvPicPr>
                    <pic:cNvPr id="2036" name="Picture 2036"/>
                    <pic:cNvPicPr/>
                  </pic:nvPicPr>
                  <pic:blipFill>
                    <a:blip r:embed="rId18"/>
                    <a:stretch>
                      <a:fillRect/>
                    </a:stretch>
                  </pic:blipFill>
                  <pic:spPr>
                    <a:xfrm>
                      <a:off x="0" y="0"/>
                      <a:ext cx="3048" cy="3049"/>
                    </a:xfrm>
                    <a:prstGeom prst="rect">
                      <a:avLst/>
                    </a:prstGeom>
                  </pic:spPr>
                </pic:pic>
              </a:graphicData>
            </a:graphic>
          </wp:inline>
        </w:drawing>
      </w:r>
      <w:r w:rsidRPr="00086AD7">
        <w:rPr>
          <w:rFonts w:eastAsia="Times New Roman"/>
          <w:lang w:eastAsia="hr-HR"/>
        </w:rPr>
        <w:t>ponuditelja: GK GRUPA d.o.o. (Varaždi</w:t>
      </w:r>
      <w:r w:rsidR="00E63FF5">
        <w:rPr>
          <w:rFonts w:eastAsia="Times New Roman"/>
          <w:lang w:eastAsia="hr-HR"/>
        </w:rPr>
        <w:t xml:space="preserve">n), EKOMO d.o.o. (Slovenija) i </w:t>
      </w:r>
      <w:r w:rsidRPr="00086AD7">
        <w:rPr>
          <w:rFonts w:eastAsia="Times New Roman"/>
          <w:lang w:eastAsia="hr-HR"/>
        </w:rPr>
        <w:t xml:space="preserve">IVICOM Consulting d.o.o. (Zagreb), po ponudi oznake RC-2402/21 od 24. </w:t>
      </w:r>
      <w:r w:rsidRPr="00086AD7">
        <w:rPr>
          <w:rFonts w:eastAsia="Times New Roman"/>
          <w:noProof/>
          <w:lang w:eastAsia="hr-HR"/>
        </w:rPr>
        <w:drawing>
          <wp:inline distT="0" distB="0" distL="0" distR="0" wp14:anchorId="4D4DF2E1" wp14:editId="426B7189">
            <wp:extent cx="6096" cy="3048"/>
            <wp:effectExtent l="0" t="0" r="0" b="0"/>
            <wp:docPr id="2038" name="Picture 2038"/>
            <wp:cNvGraphicFramePr/>
            <a:graphic xmlns:a="http://schemas.openxmlformats.org/drawingml/2006/main">
              <a:graphicData uri="http://schemas.openxmlformats.org/drawingml/2006/picture">
                <pic:pic xmlns:pic="http://schemas.openxmlformats.org/drawingml/2006/picture">
                  <pic:nvPicPr>
                    <pic:cNvPr id="2038" name="Picture 2038"/>
                    <pic:cNvPicPr/>
                  </pic:nvPicPr>
                  <pic:blipFill>
                    <a:blip r:embed="rId19"/>
                    <a:stretch>
                      <a:fillRect/>
                    </a:stretch>
                  </pic:blipFill>
                  <pic:spPr>
                    <a:xfrm>
                      <a:off x="0" y="0"/>
                      <a:ext cx="6096" cy="3048"/>
                    </a:xfrm>
                    <a:prstGeom prst="rect">
                      <a:avLst/>
                    </a:prstGeom>
                  </pic:spPr>
                </pic:pic>
              </a:graphicData>
            </a:graphic>
          </wp:inline>
        </w:drawing>
      </w:r>
      <w:r w:rsidRPr="00086AD7">
        <w:rPr>
          <w:rFonts w:eastAsia="Times New Roman"/>
          <w:lang w:eastAsia="hr-HR"/>
        </w:rPr>
        <w:t>veljače 2021. godine, sklopi Ugovor za Projektiranje i izvođenje radova sanacije jame Sovjak na iznos od 299.999.980,00 kuna (bez PDV-a) odnosno 374.999.975,00 (s PDV-om).</w:t>
      </w:r>
    </w:p>
    <w:p w14:paraId="6E0611BB" w14:textId="77777777" w:rsidR="004342C7" w:rsidRPr="00086AD7" w:rsidRDefault="004342C7" w:rsidP="004342C7">
      <w:pPr>
        <w:ind w:firstLine="709"/>
        <w:jc w:val="both"/>
        <w:rPr>
          <w:rFonts w:eastAsia="Times New Roman"/>
          <w:lang w:eastAsia="hr-HR"/>
        </w:rPr>
      </w:pPr>
    </w:p>
    <w:p w14:paraId="79E312C4" w14:textId="77777777" w:rsidR="004342C7" w:rsidRDefault="004342C7" w:rsidP="004342C7">
      <w:pPr>
        <w:shd w:val="clear" w:color="auto" w:fill="FFFFFF"/>
        <w:jc w:val="both"/>
        <w:rPr>
          <w:rFonts w:eastAsia="Times New Roman"/>
          <w:lang w:eastAsia="hr-HR"/>
        </w:rPr>
      </w:pPr>
      <w:r w:rsidRPr="00086AD7">
        <w:rPr>
          <w:rFonts w:eastAsia="Times New Roman"/>
          <w:lang w:eastAsia="hr-HR"/>
        </w:rPr>
        <w:t>Točkom III., a u svezi s točkom IV. citirane Odluke, određeno je da će Fond, navedenu Odluku pribaviti suglasnost Vlade Republike Hrvatske, te po stupanju na snagu Odluke Vlade Republike Hrvatske o davanju suglasnosti na istu, sklopiti Ugovor za Projektiranje i izvođenje radova sanacije jame Sovjak s odabranim ponuditeljem, nužan za provedb</w:t>
      </w:r>
      <w:r>
        <w:rPr>
          <w:rFonts w:eastAsia="Times New Roman"/>
          <w:lang w:eastAsia="hr-HR"/>
        </w:rPr>
        <w:t>u</w:t>
      </w:r>
      <w:r w:rsidRPr="00086AD7">
        <w:rPr>
          <w:rFonts w:eastAsia="Times New Roman"/>
          <w:lang w:eastAsia="hr-HR"/>
        </w:rPr>
        <w:t xml:space="preserve"> cjelokupnog Projekta.</w:t>
      </w:r>
    </w:p>
    <w:p w14:paraId="1753CF55" w14:textId="77777777" w:rsidR="009645BD" w:rsidRPr="00086AD7" w:rsidRDefault="009645BD" w:rsidP="004342C7">
      <w:pPr>
        <w:shd w:val="clear" w:color="auto" w:fill="FFFFFF"/>
        <w:jc w:val="both"/>
        <w:rPr>
          <w:rFonts w:eastAsia="Times New Roman"/>
          <w:lang w:eastAsia="hr-HR"/>
        </w:rPr>
      </w:pPr>
    </w:p>
    <w:p w14:paraId="0545B98A" w14:textId="77777777" w:rsidR="004342C7" w:rsidRPr="00086AD7" w:rsidRDefault="004342C7" w:rsidP="009645BD">
      <w:pPr>
        <w:jc w:val="both"/>
        <w:rPr>
          <w:rFonts w:eastAsia="Times New Roman"/>
          <w:lang w:eastAsia="hr-HR"/>
        </w:rPr>
      </w:pPr>
      <w:r w:rsidRPr="00086AD7">
        <w:rPr>
          <w:rFonts w:eastAsia="Times New Roman"/>
          <w:lang w:eastAsia="hr-HR"/>
        </w:rPr>
        <w:t xml:space="preserve">Dana 27.07.2021. </w:t>
      </w:r>
      <w:r>
        <w:rPr>
          <w:rFonts w:eastAsia="Times New Roman"/>
          <w:lang w:eastAsia="hr-HR"/>
        </w:rPr>
        <w:t xml:space="preserve">godine </w:t>
      </w:r>
      <w:r w:rsidRPr="00086AD7">
        <w:rPr>
          <w:rFonts w:eastAsia="Times New Roman"/>
          <w:lang w:eastAsia="hr-HR"/>
        </w:rPr>
        <w:t>pu</w:t>
      </w:r>
      <w:r w:rsidR="00E63FF5">
        <w:rPr>
          <w:rFonts w:eastAsia="Times New Roman"/>
          <w:lang w:eastAsia="hr-HR"/>
        </w:rPr>
        <w:t>tem EOJN RH zaprimljena je žalba</w:t>
      </w:r>
      <w:r w:rsidRPr="00086AD7">
        <w:rPr>
          <w:rFonts w:eastAsia="Times New Roman"/>
          <w:lang w:eastAsia="hr-HR"/>
        </w:rPr>
        <w:t xml:space="preserve"> na Odluku o odabiru</w:t>
      </w:r>
      <w:r>
        <w:rPr>
          <w:rFonts w:eastAsia="Times New Roman"/>
          <w:lang w:eastAsia="hr-HR"/>
        </w:rPr>
        <w:t xml:space="preserve"> od 14. srpnja 2021. godine</w:t>
      </w:r>
      <w:r w:rsidRPr="00086AD7">
        <w:rPr>
          <w:rFonts w:eastAsia="Times New Roman"/>
          <w:lang w:eastAsia="hr-HR"/>
        </w:rPr>
        <w:t>, ponuditelja VALGO SA</w:t>
      </w:r>
      <w:r>
        <w:rPr>
          <w:rFonts w:eastAsia="Times New Roman"/>
          <w:lang w:eastAsia="hr-HR"/>
        </w:rPr>
        <w:t>.</w:t>
      </w:r>
      <w:r w:rsidRPr="00086AD7">
        <w:rPr>
          <w:rFonts w:eastAsia="Times New Roman"/>
          <w:lang w:eastAsia="hr-HR"/>
        </w:rPr>
        <w:t xml:space="preserve"> Međutim, Državna komisija za kontro</w:t>
      </w:r>
      <w:r w:rsidR="00E63FF5">
        <w:rPr>
          <w:rFonts w:eastAsia="Times New Roman"/>
          <w:lang w:eastAsia="hr-HR"/>
        </w:rPr>
        <w:t>lu postupaka javne nabave</w:t>
      </w:r>
      <w:r w:rsidRPr="00086AD7">
        <w:rPr>
          <w:rFonts w:eastAsia="Times New Roman"/>
          <w:lang w:eastAsia="hr-HR"/>
        </w:rPr>
        <w:t xml:space="preserve"> je 06.08.2021.g donijela Rješenje (UP/II-034-02/21-01/698, URBROJ: 354-01/21-07) na žalbu za postupak "Projektiranje i izvođenje radova sanacije jame Sovjak“ kojim odbacuje žalbu žalitelja VALGO SA, kao neurednu. </w:t>
      </w:r>
      <w:r>
        <w:rPr>
          <w:rFonts w:eastAsia="Times New Roman"/>
          <w:lang w:eastAsia="hr-HR"/>
        </w:rPr>
        <w:t>Sukladno uputi o pravnom lijeku p</w:t>
      </w:r>
      <w:r w:rsidRPr="00086AD7">
        <w:rPr>
          <w:rFonts w:eastAsia="Times New Roman"/>
          <w:lang w:eastAsia="hr-HR"/>
        </w:rPr>
        <w:t xml:space="preserve">rotiv </w:t>
      </w:r>
      <w:r>
        <w:rPr>
          <w:rFonts w:eastAsia="Times New Roman"/>
          <w:lang w:eastAsia="hr-HR"/>
        </w:rPr>
        <w:t>navedenog</w:t>
      </w:r>
      <w:r w:rsidRPr="00086AD7">
        <w:rPr>
          <w:rFonts w:eastAsia="Times New Roman"/>
          <w:lang w:eastAsia="hr-HR"/>
        </w:rPr>
        <w:t xml:space="preserve"> rješenja </w:t>
      </w:r>
      <w:r>
        <w:rPr>
          <w:rFonts w:eastAsia="Times New Roman"/>
          <w:lang w:eastAsia="hr-HR"/>
        </w:rPr>
        <w:t>može se podnijeti tužba Visokom u</w:t>
      </w:r>
      <w:r w:rsidRPr="00086AD7">
        <w:rPr>
          <w:rFonts w:eastAsia="Times New Roman"/>
          <w:lang w:eastAsia="hr-HR"/>
        </w:rPr>
        <w:t xml:space="preserve">pravnom sudu Republike Hrvatske. </w:t>
      </w:r>
    </w:p>
    <w:p w14:paraId="5EEB8573" w14:textId="77777777" w:rsidR="004342C7" w:rsidRPr="00086AD7" w:rsidRDefault="004342C7" w:rsidP="004342C7">
      <w:pPr>
        <w:ind w:firstLine="709"/>
        <w:jc w:val="both"/>
        <w:rPr>
          <w:rFonts w:eastAsia="Times New Roman"/>
          <w:lang w:eastAsia="hr-HR"/>
        </w:rPr>
      </w:pPr>
      <w:r w:rsidRPr="00086AD7">
        <w:rPr>
          <w:rFonts w:eastAsia="Times New Roman"/>
          <w:lang w:eastAsia="hr-HR"/>
        </w:rPr>
        <w:t xml:space="preserve"> </w:t>
      </w:r>
    </w:p>
    <w:p w14:paraId="0C6B6DF6" w14:textId="77777777" w:rsidR="004342C7" w:rsidRPr="00086AD7" w:rsidRDefault="004342C7" w:rsidP="009645BD">
      <w:pPr>
        <w:jc w:val="both"/>
        <w:rPr>
          <w:rFonts w:eastAsia="Times New Roman"/>
          <w:lang w:eastAsia="hr-HR"/>
        </w:rPr>
      </w:pPr>
      <w:r w:rsidRPr="00086AD7">
        <w:rPr>
          <w:rFonts w:eastAsia="Times New Roman"/>
          <w:lang w:eastAsia="hr-HR"/>
        </w:rPr>
        <w:t xml:space="preserve">Člankom 307. stavkom 1. podstavkom 2. ZJN 2016 je propisano da odluka o odabiru postaje izvršna dostavom odluke Državne komisije za kontrolu postupaka javne nabave strankama kojom se žalba odbacuje, odbija ili se obustavlja žalbeni postupak, ako je na odluku izjavljena žalba. </w:t>
      </w:r>
    </w:p>
    <w:p w14:paraId="10664066" w14:textId="77777777" w:rsidR="004342C7" w:rsidRPr="00086AD7" w:rsidRDefault="004342C7" w:rsidP="004342C7">
      <w:pPr>
        <w:ind w:firstLine="709"/>
        <w:jc w:val="both"/>
        <w:rPr>
          <w:rFonts w:eastAsia="Times New Roman"/>
          <w:lang w:eastAsia="hr-HR"/>
        </w:rPr>
      </w:pPr>
    </w:p>
    <w:p w14:paraId="3DC14E37" w14:textId="77777777" w:rsidR="004342C7" w:rsidRPr="00086AD7" w:rsidRDefault="004342C7" w:rsidP="009645BD">
      <w:pPr>
        <w:jc w:val="both"/>
        <w:rPr>
          <w:rFonts w:eastAsia="Times New Roman"/>
          <w:lang w:eastAsia="hr-HR"/>
        </w:rPr>
      </w:pPr>
      <w:r w:rsidRPr="00086AD7">
        <w:rPr>
          <w:rFonts w:eastAsia="Times New Roman"/>
          <w:lang w:eastAsia="hr-HR"/>
        </w:rPr>
        <w:t xml:space="preserve">Slijedom naprijed navedenog, Odluka o odabiru </w:t>
      </w:r>
      <w:r>
        <w:rPr>
          <w:rFonts w:eastAsia="Times New Roman"/>
          <w:lang w:eastAsia="hr-HR"/>
        </w:rPr>
        <w:t xml:space="preserve">od 14. srpnja 2021. godine </w:t>
      </w:r>
      <w:r w:rsidRPr="00086AD7">
        <w:rPr>
          <w:rFonts w:eastAsia="Times New Roman"/>
          <w:lang w:eastAsia="hr-HR"/>
        </w:rPr>
        <w:t xml:space="preserve">postala je izvršna, ali ne i pravomoćna. </w:t>
      </w:r>
    </w:p>
    <w:p w14:paraId="3BE2608F" w14:textId="77777777" w:rsidR="004342C7" w:rsidRPr="00086AD7" w:rsidRDefault="004342C7" w:rsidP="004342C7">
      <w:pPr>
        <w:ind w:firstLine="709"/>
        <w:jc w:val="both"/>
        <w:rPr>
          <w:rFonts w:eastAsia="Times New Roman"/>
          <w:lang w:eastAsia="hr-HR"/>
        </w:rPr>
      </w:pPr>
    </w:p>
    <w:p w14:paraId="769F19D9" w14:textId="77777777" w:rsidR="004342C7" w:rsidRPr="00EE53CB" w:rsidRDefault="004342C7" w:rsidP="009645BD">
      <w:pPr>
        <w:jc w:val="both"/>
        <w:rPr>
          <w:rFonts w:eastAsia="Times New Roman"/>
          <w:lang w:eastAsia="hr-HR"/>
        </w:rPr>
      </w:pPr>
      <w:r w:rsidRPr="00086AD7">
        <w:rPr>
          <w:rFonts w:eastAsia="Times New Roman"/>
          <w:lang w:eastAsia="hr-HR"/>
        </w:rPr>
        <w:t xml:space="preserve">Člankom 312. stavkom 1. ZJN 2016 propisano je da se ugovor u pisanom obliku potpisuje u roku od 30 dana od dana izvršnosti odluke o odabiru, a kada je za preuzimanje obveza potrebna suglasnost drugog tijela (Vlade RH), ugovor se treba sklopiti u roku od 30 dana od pribavljanja suglasnosti. </w:t>
      </w:r>
      <w:r w:rsidRPr="00086AD7">
        <w:rPr>
          <w:rFonts w:eastAsia="Times New Roman"/>
          <w:noProof/>
          <w:lang w:eastAsia="hr-HR"/>
        </w:rPr>
        <w:drawing>
          <wp:inline distT="0" distB="0" distL="0" distR="0" wp14:anchorId="2EEF7FC5" wp14:editId="35056ABB">
            <wp:extent cx="12192" cy="36587"/>
            <wp:effectExtent l="0" t="0" r="0" b="0"/>
            <wp:docPr id="23968" name="Picture 23968"/>
            <wp:cNvGraphicFramePr/>
            <a:graphic xmlns:a="http://schemas.openxmlformats.org/drawingml/2006/main">
              <a:graphicData uri="http://schemas.openxmlformats.org/drawingml/2006/picture">
                <pic:pic xmlns:pic="http://schemas.openxmlformats.org/drawingml/2006/picture">
                  <pic:nvPicPr>
                    <pic:cNvPr id="23968" name="Picture 23968"/>
                    <pic:cNvPicPr/>
                  </pic:nvPicPr>
                  <pic:blipFill>
                    <a:blip r:embed="rId20"/>
                    <a:stretch>
                      <a:fillRect/>
                    </a:stretch>
                  </pic:blipFill>
                  <pic:spPr>
                    <a:xfrm>
                      <a:off x="0" y="0"/>
                      <a:ext cx="12192" cy="36587"/>
                    </a:xfrm>
                    <a:prstGeom prst="rect">
                      <a:avLst/>
                    </a:prstGeom>
                  </pic:spPr>
                </pic:pic>
              </a:graphicData>
            </a:graphic>
          </wp:inline>
        </w:drawing>
      </w:r>
      <w:r w:rsidRPr="00086AD7">
        <w:rPr>
          <w:rFonts w:eastAsia="Times New Roman"/>
          <w:lang w:eastAsia="hr-HR"/>
        </w:rPr>
        <w:t>Zakonom o javnoj nabavi ZJN 2016, člankom 307. stavko</w:t>
      </w:r>
      <w:r w:rsidRPr="00EE53CB">
        <w:rPr>
          <w:rFonts w:eastAsia="Times New Roman"/>
          <w:lang w:eastAsia="hr-HR"/>
        </w:rPr>
        <w:t>m 4. ZJN propisano je da ukoliko javni naručitelj za preuzimanje obveza mora imati suglasnost drugog tijela, smatra se da je ugovor o javnoj nabavi sklopljen na dan pribavljanja suglasnosti.</w:t>
      </w:r>
    </w:p>
    <w:p w14:paraId="50AF9A1C" w14:textId="77777777" w:rsidR="004342C7" w:rsidRPr="00EE53CB" w:rsidRDefault="004342C7" w:rsidP="004342C7">
      <w:pPr>
        <w:ind w:firstLine="709"/>
        <w:jc w:val="both"/>
        <w:rPr>
          <w:rFonts w:eastAsia="Times New Roman"/>
          <w:lang w:eastAsia="hr-HR"/>
        </w:rPr>
      </w:pPr>
    </w:p>
    <w:p w14:paraId="7BB7FCCF" w14:textId="77777777" w:rsidR="004342C7" w:rsidRDefault="004342C7" w:rsidP="009645BD">
      <w:pPr>
        <w:jc w:val="both"/>
        <w:rPr>
          <w:rFonts w:eastAsia="Times New Roman"/>
          <w:lang w:eastAsia="hr-HR"/>
        </w:rPr>
      </w:pPr>
      <w:r w:rsidRPr="00EE53CB">
        <w:rPr>
          <w:rFonts w:eastAsia="Times New Roman"/>
          <w:lang w:eastAsia="hr-HR"/>
        </w:rPr>
        <w:t>Odredbom članka 22. stavka 2. Zakona o Fondu za zaštitu okoliša i energetsku učinkovitost, propisano je da Fond ne može bez suglasnosti Vlade Republike Hrvatske, odnosno tijela koje ono odredi, ugovoriti poslove čija vrijednost prelazi iznos utvrđen Statutom Fonda, dok je odredbom članka 15 a. stavka 1. Statuta Fonda za zaštitu okoliša i energetsku učinkovitost (NN 193/03, 73/04, 116/08, 101/09, 118/11, 67/13, 70/14 i 155/14 – pročišćeni tekst), propisano da Upravni odbor odlučuje uz suglasnost Vlade Republike Hrvatske o sklapanju pravnih poslova čija pojedinačna vrijednost prelazi sveukupan iznos od 10.000.000,00 kuna.</w:t>
      </w:r>
    </w:p>
    <w:p w14:paraId="5C6A8CD4" w14:textId="77777777" w:rsidR="004342C7" w:rsidRDefault="004342C7" w:rsidP="004342C7">
      <w:pPr>
        <w:ind w:firstLine="709"/>
        <w:jc w:val="both"/>
        <w:rPr>
          <w:rFonts w:eastAsia="Times New Roman"/>
          <w:lang w:eastAsia="hr-HR"/>
        </w:rPr>
      </w:pPr>
    </w:p>
    <w:p w14:paraId="7EA99620" w14:textId="77777777" w:rsidR="004342C7" w:rsidRPr="00EE53CB" w:rsidRDefault="004342C7" w:rsidP="009645BD">
      <w:pPr>
        <w:jc w:val="both"/>
        <w:rPr>
          <w:rFonts w:eastAsia="Times New Roman"/>
          <w:lang w:eastAsia="hr-HR"/>
        </w:rPr>
      </w:pPr>
      <w:r>
        <w:rPr>
          <w:rFonts w:eastAsia="Times New Roman"/>
          <w:lang w:eastAsia="hr-HR"/>
        </w:rPr>
        <w:t>Slijedom navedenog, odlučeno je kao u izreci ove Odluke.</w:t>
      </w:r>
    </w:p>
    <w:p w14:paraId="4AF14628" w14:textId="77777777" w:rsidR="004342C7" w:rsidRPr="00EE53CB" w:rsidRDefault="004342C7" w:rsidP="004342C7">
      <w:pPr>
        <w:jc w:val="both"/>
        <w:rPr>
          <w:highlight w:val="yellow"/>
        </w:rPr>
      </w:pPr>
      <w:r w:rsidRPr="00EE53CB">
        <w:t xml:space="preserve"> </w:t>
      </w:r>
    </w:p>
    <w:p w14:paraId="251D422D" w14:textId="77777777" w:rsidR="004342C7" w:rsidRPr="00EE53CB" w:rsidRDefault="004342C7" w:rsidP="004342C7">
      <w:pPr>
        <w:ind w:right="139" w:firstLine="708"/>
        <w:jc w:val="both"/>
      </w:pPr>
    </w:p>
    <w:p w14:paraId="6E80836C" w14:textId="77777777" w:rsidR="004342C7" w:rsidRPr="00EE53CB" w:rsidRDefault="004342C7" w:rsidP="004342C7">
      <w:pPr>
        <w:spacing w:line="276" w:lineRule="auto"/>
        <w:ind w:firstLine="708"/>
        <w:jc w:val="both"/>
      </w:pPr>
    </w:p>
    <w:p w14:paraId="533EC696" w14:textId="77777777" w:rsidR="004342C7" w:rsidRPr="00EE53CB" w:rsidRDefault="004342C7" w:rsidP="004342C7">
      <w:pPr>
        <w:spacing w:line="276" w:lineRule="auto"/>
        <w:ind w:firstLine="708"/>
        <w:jc w:val="both"/>
      </w:pPr>
    </w:p>
    <w:p w14:paraId="2A55482D" w14:textId="77777777" w:rsidR="004342C7" w:rsidRPr="00EE53CB" w:rsidRDefault="004342C7" w:rsidP="004342C7">
      <w:pPr>
        <w:spacing w:line="276" w:lineRule="auto"/>
        <w:ind w:firstLine="708"/>
        <w:jc w:val="both"/>
      </w:pPr>
    </w:p>
    <w:p w14:paraId="24BEBE77" w14:textId="77777777" w:rsidR="004342C7" w:rsidRPr="00EE53CB" w:rsidRDefault="004342C7" w:rsidP="004342C7">
      <w:pPr>
        <w:spacing w:line="276" w:lineRule="auto"/>
        <w:ind w:firstLine="708"/>
        <w:jc w:val="both"/>
      </w:pPr>
    </w:p>
    <w:p w14:paraId="449DA615" w14:textId="77777777" w:rsidR="004342C7" w:rsidRPr="00EE53CB" w:rsidRDefault="004342C7" w:rsidP="004342C7">
      <w:pPr>
        <w:spacing w:line="276" w:lineRule="auto"/>
        <w:ind w:firstLine="708"/>
        <w:jc w:val="both"/>
      </w:pPr>
    </w:p>
    <w:p w14:paraId="6EF95F13" w14:textId="77777777" w:rsidR="004342C7" w:rsidRPr="00EE53CB" w:rsidRDefault="004342C7" w:rsidP="004342C7">
      <w:pPr>
        <w:spacing w:line="276" w:lineRule="auto"/>
        <w:ind w:firstLine="708"/>
        <w:jc w:val="both"/>
      </w:pPr>
    </w:p>
    <w:p w14:paraId="6FC147DF" w14:textId="77777777" w:rsidR="00FC5D02" w:rsidRDefault="00114AD0"/>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1A"/>
    <w:rsid w:val="00114AD0"/>
    <w:rsid w:val="001B378D"/>
    <w:rsid w:val="00260BD1"/>
    <w:rsid w:val="003956C4"/>
    <w:rsid w:val="004342C7"/>
    <w:rsid w:val="00473713"/>
    <w:rsid w:val="006C7F1A"/>
    <w:rsid w:val="007F1F69"/>
    <w:rsid w:val="009645BD"/>
    <w:rsid w:val="00DC45CC"/>
    <w:rsid w:val="00E63FF5"/>
    <w:rsid w:val="00EE46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4E56"/>
  <w15:chartTrackingRefBased/>
  <w15:docId w15:val="{DB1FD157-437D-4691-AFBF-495F0FEE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FF5"/>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AZJMDCZ6QSYZ-1849078857-11518</_dlc_DocId>
    <_dlc_DocIdUrl xmlns="a494813a-d0d8-4dad-94cb-0d196f36ba15">
      <Url>https://ekoordinacije.vlada.hr/koordinacija-gospodarstvo/_layouts/15/DocIdRedir.aspx?ID=AZJMDCZ6QSYZ-1849078857-11518</Url>
      <Description>AZJMDCZ6QSYZ-1849078857-11518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458B8B-2681-4165-8D60-815BAE024487}">
  <ds:schemaRefs>
    <ds:schemaRef ds:uri="http://schemas.microsoft.com/sharepoint/v3/contenttype/forms"/>
  </ds:schemaRefs>
</ds:datastoreItem>
</file>

<file path=customXml/itemProps2.xml><?xml version="1.0" encoding="utf-8"?>
<ds:datastoreItem xmlns:ds="http://schemas.openxmlformats.org/officeDocument/2006/customXml" ds:itemID="{475B82E6-26E2-4D64-B708-77FF68EED4B9}">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1E3E96E-E929-42BE-9CDF-7043949BA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AA247-922C-4393-B07E-0F6F132B20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8327</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Ines Uglešić</cp:lastModifiedBy>
  <cp:revision>3</cp:revision>
  <cp:lastPrinted>2021-11-23T09:35:00Z</cp:lastPrinted>
  <dcterms:created xsi:type="dcterms:W3CDTF">2021-12-02T14:04:00Z</dcterms:created>
  <dcterms:modified xsi:type="dcterms:W3CDTF">2021-12-03T12:07:00Z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f9691d71-8df1-47be-9dea-cfb2e259f4e7</vt:lpwstr>
  </property>
</Properties>
</file>