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4607E" w14:textId="77777777" w:rsidR="008320B3" w:rsidRPr="008320B3" w:rsidRDefault="008320B3" w:rsidP="00FD7FF2">
      <w:pPr>
        <w:spacing w:after="0" w:line="240" w:lineRule="auto"/>
        <w:ind w:firstLine="708"/>
        <w:jc w:val="right"/>
      </w:pPr>
      <w:bookmarkStart w:id="0" w:name="_GoBack"/>
      <w:bookmarkEnd w:id="0"/>
    </w:p>
    <w:p w14:paraId="3C26B131" w14:textId="77777777" w:rsidR="008320B3" w:rsidRPr="008320B3" w:rsidRDefault="008320B3" w:rsidP="00FD7FF2">
      <w:pPr>
        <w:spacing w:after="0" w:line="240" w:lineRule="auto"/>
        <w:jc w:val="center"/>
        <w:rPr>
          <w:sz w:val="22"/>
          <w:szCs w:val="22"/>
        </w:rPr>
      </w:pPr>
      <w:r w:rsidRPr="008320B3">
        <w:rPr>
          <w:noProof/>
          <w:sz w:val="22"/>
          <w:szCs w:val="22"/>
          <w:lang w:eastAsia="hr-HR"/>
        </w:rPr>
        <w:drawing>
          <wp:inline distT="0" distB="0" distL="0" distR="0" wp14:anchorId="319849AF" wp14:editId="3A4F9591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8828A" w14:textId="77777777" w:rsidR="008320B3" w:rsidRPr="008320B3" w:rsidRDefault="008320B3" w:rsidP="00FD7FF2">
      <w:pPr>
        <w:spacing w:after="0" w:line="240" w:lineRule="auto"/>
        <w:jc w:val="center"/>
      </w:pPr>
      <w:r w:rsidRPr="008320B3">
        <w:rPr>
          <w:sz w:val="28"/>
          <w:szCs w:val="22"/>
        </w:rPr>
        <w:t>VLADA REPUBLIKE HRVATSKE</w:t>
      </w:r>
    </w:p>
    <w:p w14:paraId="4B64A486" w14:textId="77777777" w:rsidR="008320B3" w:rsidRPr="008320B3" w:rsidRDefault="008320B3" w:rsidP="00FD7FF2">
      <w:pPr>
        <w:spacing w:after="0" w:line="240" w:lineRule="auto"/>
        <w:jc w:val="right"/>
      </w:pPr>
    </w:p>
    <w:p w14:paraId="6F0891F4" w14:textId="77777777" w:rsidR="008320B3" w:rsidRPr="008320B3" w:rsidRDefault="008320B3" w:rsidP="00FD7FF2">
      <w:pPr>
        <w:spacing w:after="0" w:line="240" w:lineRule="auto"/>
        <w:jc w:val="right"/>
      </w:pPr>
    </w:p>
    <w:p w14:paraId="36D41F59" w14:textId="77777777" w:rsidR="008320B3" w:rsidRPr="008320B3" w:rsidRDefault="008320B3" w:rsidP="00FD7FF2">
      <w:pPr>
        <w:spacing w:after="0" w:line="240" w:lineRule="auto"/>
        <w:jc w:val="right"/>
      </w:pPr>
    </w:p>
    <w:p w14:paraId="02C36DC8" w14:textId="77777777" w:rsidR="008320B3" w:rsidRPr="008320B3" w:rsidRDefault="008320B3" w:rsidP="00FD7FF2">
      <w:pPr>
        <w:spacing w:after="0" w:line="240" w:lineRule="auto"/>
        <w:jc w:val="right"/>
      </w:pPr>
    </w:p>
    <w:p w14:paraId="1E5739F8" w14:textId="77777777" w:rsidR="008320B3" w:rsidRPr="008320B3" w:rsidRDefault="008320B3" w:rsidP="00FD7FF2">
      <w:pPr>
        <w:spacing w:after="0" w:line="240" w:lineRule="auto"/>
        <w:jc w:val="right"/>
      </w:pPr>
    </w:p>
    <w:p w14:paraId="1357AE4C" w14:textId="77777777" w:rsidR="008320B3" w:rsidRPr="008320B3" w:rsidRDefault="009E4462" w:rsidP="00FD7FF2">
      <w:pPr>
        <w:spacing w:after="0" w:line="240" w:lineRule="auto"/>
        <w:jc w:val="right"/>
      </w:pPr>
      <w:r>
        <w:t xml:space="preserve">Zagreb, 10. </w:t>
      </w:r>
      <w:r w:rsidR="00201B84">
        <w:t xml:space="preserve">prosinca </w:t>
      </w:r>
      <w:r w:rsidR="008320B3" w:rsidRPr="008320B3">
        <w:t>202</w:t>
      </w:r>
      <w:r w:rsidR="008676E9">
        <w:t>1</w:t>
      </w:r>
      <w:r w:rsidR="008320B3" w:rsidRPr="008320B3">
        <w:t>.</w:t>
      </w:r>
    </w:p>
    <w:p w14:paraId="25C663DE" w14:textId="77777777" w:rsidR="008320B3" w:rsidRPr="008320B3" w:rsidRDefault="008320B3" w:rsidP="00FD7FF2">
      <w:pPr>
        <w:spacing w:after="0" w:line="240" w:lineRule="auto"/>
        <w:jc w:val="right"/>
      </w:pPr>
    </w:p>
    <w:p w14:paraId="46F1EF59" w14:textId="77777777" w:rsidR="008320B3" w:rsidRPr="008320B3" w:rsidRDefault="008320B3" w:rsidP="00FD7FF2">
      <w:pPr>
        <w:spacing w:after="0" w:line="240" w:lineRule="auto"/>
        <w:jc w:val="right"/>
      </w:pPr>
    </w:p>
    <w:p w14:paraId="4A780FE9" w14:textId="77777777" w:rsidR="008320B3" w:rsidRPr="008320B3" w:rsidRDefault="008320B3" w:rsidP="00FD7FF2">
      <w:pPr>
        <w:spacing w:after="0" w:line="240" w:lineRule="auto"/>
        <w:jc w:val="right"/>
      </w:pPr>
    </w:p>
    <w:p w14:paraId="7B072AAB" w14:textId="77777777" w:rsidR="008320B3" w:rsidRPr="008320B3" w:rsidRDefault="008320B3" w:rsidP="00FD7FF2">
      <w:pPr>
        <w:spacing w:after="0" w:line="240" w:lineRule="auto"/>
        <w:jc w:val="right"/>
      </w:pPr>
    </w:p>
    <w:p w14:paraId="5CFCD7D5" w14:textId="77777777" w:rsidR="008320B3" w:rsidRPr="008320B3" w:rsidRDefault="008320B3" w:rsidP="00FD7FF2">
      <w:pPr>
        <w:spacing w:after="0" w:line="240" w:lineRule="auto"/>
        <w:jc w:val="right"/>
      </w:pPr>
    </w:p>
    <w:p w14:paraId="6AF0EE01" w14:textId="77777777" w:rsidR="008320B3" w:rsidRPr="008320B3" w:rsidRDefault="008320B3" w:rsidP="00FD7FF2">
      <w:pPr>
        <w:spacing w:after="0" w:line="240" w:lineRule="auto"/>
        <w:jc w:val="right"/>
      </w:pPr>
    </w:p>
    <w:p w14:paraId="37E77E38" w14:textId="77777777" w:rsidR="008320B3" w:rsidRPr="008320B3" w:rsidRDefault="008320B3" w:rsidP="00FD7FF2">
      <w:pPr>
        <w:spacing w:after="0" w:line="240" w:lineRule="auto"/>
        <w:jc w:val="both"/>
      </w:pPr>
      <w:r w:rsidRPr="008320B3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320B3" w:rsidRPr="008320B3" w14:paraId="5C598417" w14:textId="77777777" w:rsidTr="00AC3155">
        <w:tc>
          <w:tcPr>
            <w:tcW w:w="1951" w:type="dxa"/>
            <w:hideMark/>
          </w:tcPr>
          <w:p w14:paraId="46E20CE0" w14:textId="77777777" w:rsidR="008320B3" w:rsidRPr="008320B3" w:rsidRDefault="008320B3" w:rsidP="00FD7FF2">
            <w:pPr>
              <w:rPr>
                <w:sz w:val="24"/>
                <w:szCs w:val="24"/>
                <w:lang w:eastAsia="hr-HR"/>
              </w:rPr>
            </w:pPr>
            <w:r w:rsidRPr="008320B3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320B3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6914C1BE" w14:textId="77777777" w:rsidR="008320B3" w:rsidRPr="008320B3" w:rsidRDefault="008320B3" w:rsidP="00FD7FF2">
            <w:pPr>
              <w:rPr>
                <w:sz w:val="24"/>
                <w:szCs w:val="24"/>
                <w:lang w:eastAsia="hr-HR"/>
              </w:rPr>
            </w:pPr>
            <w:r w:rsidRPr="008320B3">
              <w:rPr>
                <w:sz w:val="24"/>
                <w:szCs w:val="24"/>
                <w:lang w:eastAsia="hr-HR"/>
              </w:rPr>
              <w:t xml:space="preserve">Ministarstvo </w:t>
            </w:r>
            <w:r w:rsidR="00201B84">
              <w:rPr>
                <w:sz w:val="24"/>
                <w:szCs w:val="24"/>
                <w:lang w:eastAsia="hr-HR"/>
              </w:rPr>
              <w:t>financija</w:t>
            </w:r>
          </w:p>
        </w:tc>
      </w:tr>
    </w:tbl>
    <w:p w14:paraId="712D6009" w14:textId="77777777" w:rsidR="008320B3" w:rsidRPr="008320B3" w:rsidRDefault="008320B3" w:rsidP="00FD7FF2">
      <w:pPr>
        <w:spacing w:after="0" w:line="240" w:lineRule="auto"/>
        <w:jc w:val="both"/>
      </w:pPr>
      <w:r w:rsidRPr="008320B3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320B3" w:rsidRPr="008320B3" w14:paraId="79A8AB19" w14:textId="77777777" w:rsidTr="00AC3155">
        <w:tc>
          <w:tcPr>
            <w:tcW w:w="1951" w:type="dxa"/>
            <w:hideMark/>
          </w:tcPr>
          <w:p w14:paraId="74CA38DF" w14:textId="77777777" w:rsidR="008320B3" w:rsidRPr="008320B3" w:rsidRDefault="008320B3" w:rsidP="00FD7FF2">
            <w:pPr>
              <w:rPr>
                <w:sz w:val="24"/>
                <w:szCs w:val="24"/>
                <w:lang w:eastAsia="hr-HR"/>
              </w:rPr>
            </w:pPr>
            <w:r w:rsidRPr="008320B3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8320B3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0CF4A9BE" w14:textId="77777777" w:rsidR="008320B3" w:rsidRPr="008320B3" w:rsidRDefault="008320B3" w:rsidP="00FD7FF2">
            <w:pPr>
              <w:jc w:val="both"/>
              <w:rPr>
                <w:sz w:val="24"/>
                <w:szCs w:val="24"/>
                <w:lang w:eastAsia="hr-HR"/>
              </w:rPr>
            </w:pPr>
            <w:r w:rsidRPr="008320B3">
              <w:rPr>
                <w:sz w:val="24"/>
                <w:szCs w:val="24"/>
              </w:rPr>
              <w:t xml:space="preserve">Prijedlog zaključka o davanju prethodne suglasnosti predstavniku Vlade Republike Hrvatske za prihvaćanje </w:t>
            </w:r>
            <w:r w:rsidR="00DA0417">
              <w:rPr>
                <w:sz w:val="24"/>
                <w:szCs w:val="24"/>
              </w:rPr>
              <w:t>amandmana drugih predlagatelja</w:t>
            </w:r>
            <w:r w:rsidR="00354887" w:rsidRPr="00354887">
              <w:rPr>
                <w:sz w:val="24"/>
                <w:szCs w:val="24"/>
              </w:rPr>
              <w:t xml:space="preserve"> </w:t>
            </w:r>
            <w:r w:rsidRPr="008320B3">
              <w:rPr>
                <w:sz w:val="24"/>
                <w:szCs w:val="24"/>
              </w:rPr>
              <w:t xml:space="preserve">na Konačni prijedlog zakona o </w:t>
            </w:r>
            <w:r w:rsidR="00201B84">
              <w:rPr>
                <w:sz w:val="24"/>
                <w:szCs w:val="24"/>
              </w:rPr>
              <w:t>proračunu</w:t>
            </w:r>
          </w:p>
          <w:p w14:paraId="212092B3" w14:textId="77777777" w:rsidR="008320B3" w:rsidRPr="008320B3" w:rsidRDefault="008320B3" w:rsidP="00FD7FF2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14:paraId="56B8E8A0" w14:textId="77777777" w:rsidR="008320B3" w:rsidRPr="008320B3" w:rsidRDefault="008320B3" w:rsidP="00FD7FF2">
      <w:pPr>
        <w:spacing w:after="0" w:line="240" w:lineRule="auto"/>
        <w:jc w:val="both"/>
      </w:pPr>
    </w:p>
    <w:p w14:paraId="0EC1166C" w14:textId="77777777" w:rsidR="008320B3" w:rsidRPr="008320B3" w:rsidRDefault="008320B3" w:rsidP="00FD7FF2">
      <w:pPr>
        <w:spacing w:after="0" w:line="240" w:lineRule="auto"/>
        <w:jc w:val="both"/>
      </w:pPr>
    </w:p>
    <w:p w14:paraId="2085EDFA" w14:textId="77777777" w:rsidR="008320B3" w:rsidRPr="008320B3" w:rsidRDefault="008320B3" w:rsidP="00FD7FF2">
      <w:pPr>
        <w:spacing w:after="0" w:line="240" w:lineRule="auto"/>
        <w:jc w:val="both"/>
      </w:pPr>
    </w:p>
    <w:p w14:paraId="4D0740E6" w14:textId="77777777" w:rsidR="008320B3" w:rsidRPr="008320B3" w:rsidRDefault="008320B3" w:rsidP="00FD7FF2">
      <w:pPr>
        <w:spacing w:after="0" w:line="240" w:lineRule="auto"/>
        <w:jc w:val="both"/>
      </w:pPr>
    </w:p>
    <w:p w14:paraId="2A51906C" w14:textId="77777777" w:rsidR="008320B3" w:rsidRPr="008320B3" w:rsidRDefault="008320B3" w:rsidP="00FD7FF2">
      <w:pPr>
        <w:spacing w:after="0" w:line="240" w:lineRule="auto"/>
        <w:jc w:val="both"/>
      </w:pPr>
    </w:p>
    <w:p w14:paraId="161E430C" w14:textId="77777777" w:rsidR="008320B3" w:rsidRPr="008320B3" w:rsidRDefault="008320B3" w:rsidP="00FD7FF2">
      <w:pPr>
        <w:spacing w:after="0" w:line="240" w:lineRule="auto"/>
        <w:jc w:val="both"/>
      </w:pPr>
    </w:p>
    <w:p w14:paraId="21FEE599" w14:textId="77777777" w:rsidR="008320B3" w:rsidRPr="008320B3" w:rsidRDefault="008320B3" w:rsidP="00FD7FF2">
      <w:pPr>
        <w:spacing w:after="0" w:line="240" w:lineRule="auto"/>
        <w:jc w:val="both"/>
      </w:pPr>
    </w:p>
    <w:p w14:paraId="4ABAE7F0" w14:textId="77777777" w:rsidR="008320B3" w:rsidRPr="008320B3" w:rsidRDefault="008320B3" w:rsidP="00FD7FF2">
      <w:pPr>
        <w:spacing w:after="0" w:line="240" w:lineRule="auto"/>
        <w:jc w:val="both"/>
      </w:pPr>
    </w:p>
    <w:p w14:paraId="7F60B55B" w14:textId="77777777" w:rsidR="008320B3" w:rsidRPr="008320B3" w:rsidRDefault="008320B3" w:rsidP="00FD7FF2">
      <w:pPr>
        <w:spacing w:after="0" w:line="240" w:lineRule="auto"/>
        <w:jc w:val="both"/>
      </w:pPr>
    </w:p>
    <w:p w14:paraId="3C1A55BA" w14:textId="77777777" w:rsidR="008320B3" w:rsidRPr="008320B3" w:rsidRDefault="008320B3" w:rsidP="00FD7FF2">
      <w:pPr>
        <w:spacing w:after="0" w:line="240" w:lineRule="auto"/>
        <w:jc w:val="both"/>
      </w:pPr>
    </w:p>
    <w:p w14:paraId="5957892D" w14:textId="77777777" w:rsidR="008320B3" w:rsidRPr="008320B3" w:rsidRDefault="008320B3" w:rsidP="00FD7FF2">
      <w:pPr>
        <w:spacing w:after="0" w:line="240" w:lineRule="auto"/>
        <w:jc w:val="both"/>
      </w:pPr>
    </w:p>
    <w:p w14:paraId="0E365D91" w14:textId="77777777" w:rsidR="008320B3" w:rsidRPr="008320B3" w:rsidRDefault="008320B3" w:rsidP="00FD7FF2">
      <w:pPr>
        <w:spacing w:after="0" w:line="240" w:lineRule="auto"/>
        <w:jc w:val="both"/>
      </w:pPr>
    </w:p>
    <w:p w14:paraId="56B02B76" w14:textId="77777777" w:rsidR="008320B3" w:rsidRPr="008320B3" w:rsidRDefault="008320B3" w:rsidP="00FD7FF2">
      <w:pPr>
        <w:spacing w:after="0" w:line="240" w:lineRule="auto"/>
        <w:jc w:val="both"/>
      </w:pPr>
    </w:p>
    <w:p w14:paraId="3F803904" w14:textId="77777777" w:rsidR="008320B3" w:rsidRPr="008320B3" w:rsidRDefault="008320B3" w:rsidP="00FD7FF2">
      <w:pPr>
        <w:spacing w:after="0" w:line="240" w:lineRule="auto"/>
        <w:jc w:val="both"/>
      </w:pPr>
    </w:p>
    <w:p w14:paraId="35181E8D" w14:textId="77777777" w:rsidR="008320B3" w:rsidRPr="008320B3" w:rsidRDefault="008320B3" w:rsidP="00FD7FF2">
      <w:pPr>
        <w:spacing w:after="0" w:line="240" w:lineRule="auto"/>
        <w:jc w:val="both"/>
      </w:pPr>
    </w:p>
    <w:p w14:paraId="7958E7BA" w14:textId="77777777" w:rsidR="008320B3" w:rsidRPr="008320B3" w:rsidRDefault="008320B3" w:rsidP="00FD7FF2">
      <w:pPr>
        <w:spacing w:after="0" w:line="240" w:lineRule="auto"/>
        <w:jc w:val="both"/>
      </w:pPr>
    </w:p>
    <w:p w14:paraId="62BEC8F9" w14:textId="77777777" w:rsidR="008320B3" w:rsidRPr="008320B3" w:rsidRDefault="008320B3" w:rsidP="00FD7FF2">
      <w:pPr>
        <w:spacing w:after="0" w:line="240" w:lineRule="auto"/>
        <w:jc w:val="both"/>
      </w:pPr>
    </w:p>
    <w:p w14:paraId="4C30E2C8" w14:textId="77777777" w:rsidR="008320B3" w:rsidRPr="008320B3" w:rsidRDefault="008320B3" w:rsidP="00FD7FF2">
      <w:pPr>
        <w:spacing w:after="0" w:line="240" w:lineRule="auto"/>
        <w:jc w:val="both"/>
      </w:pPr>
    </w:p>
    <w:p w14:paraId="0A78E2D5" w14:textId="77777777" w:rsidR="008320B3" w:rsidRPr="008320B3" w:rsidRDefault="008320B3" w:rsidP="00FD7FF2">
      <w:pPr>
        <w:spacing w:after="0" w:line="240" w:lineRule="auto"/>
        <w:jc w:val="both"/>
      </w:pPr>
    </w:p>
    <w:p w14:paraId="5AA2C67E" w14:textId="77777777" w:rsidR="008320B3" w:rsidRPr="008320B3" w:rsidRDefault="008320B3" w:rsidP="00FD7FF2">
      <w:pPr>
        <w:spacing w:after="0" w:line="240" w:lineRule="auto"/>
        <w:jc w:val="both"/>
      </w:pPr>
    </w:p>
    <w:p w14:paraId="31A5A3B2" w14:textId="77777777" w:rsidR="008320B3" w:rsidRPr="008320B3" w:rsidRDefault="008320B3" w:rsidP="00FD7FF2">
      <w:pPr>
        <w:tabs>
          <w:tab w:val="center" w:pos="4536"/>
          <w:tab w:val="right" w:pos="9072"/>
        </w:tabs>
        <w:spacing w:after="0" w:line="240" w:lineRule="auto"/>
        <w:rPr>
          <w:sz w:val="22"/>
          <w:szCs w:val="22"/>
        </w:rPr>
      </w:pPr>
    </w:p>
    <w:p w14:paraId="3A85A7ED" w14:textId="77777777" w:rsidR="008320B3" w:rsidRPr="008320B3" w:rsidRDefault="008320B3" w:rsidP="00FD7FF2">
      <w:pPr>
        <w:spacing w:after="0" w:line="240" w:lineRule="auto"/>
        <w:rPr>
          <w:sz w:val="22"/>
          <w:szCs w:val="22"/>
        </w:rPr>
      </w:pPr>
    </w:p>
    <w:p w14:paraId="3487F4C8" w14:textId="77777777" w:rsidR="008320B3" w:rsidRPr="008320B3" w:rsidRDefault="008320B3" w:rsidP="00FD7FF2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404040" w:themeColor="text1" w:themeTint="BF"/>
          <w:spacing w:val="20"/>
          <w:sz w:val="20"/>
          <w:szCs w:val="22"/>
        </w:rPr>
      </w:pPr>
      <w:r w:rsidRPr="008320B3">
        <w:rPr>
          <w:color w:val="404040" w:themeColor="text1" w:themeTint="BF"/>
          <w:spacing w:val="20"/>
          <w:sz w:val="20"/>
          <w:szCs w:val="22"/>
        </w:rPr>
        <w:t>Banski dvori | Trg Sv. Marka 2  | 10000 Zagreb | tel. 01 4569 222 | vlada.gov.hr</w:t>
      </w:r>
    </w:p>
    <w:p w14:paraId="5EC673A5" w14:textId="77777777" w:rsidR="008320B3" w:rsidRPr="008320B3" w:rsidRDefault="008320B3" w:rsidP="00FD7FF2">
      <w:pPr>
        <w:spacing w:after="0" w:line="240" w:lineRule="auto"/>
      </w:pPr>
    </w:p>
    <w:p w14:paraId="7E4F7CB8" w14:textId="77777777" w:rsidR="008320B3" w:rsidRPr="008320B3" w:rsidRDefault="008320B3" w:rsidP="00FD7FF2">
      <w:pPr>
        <w:spacing w:line="240" w:lineRule="auto"/>
        <w:jc w:val="right"/>
        <w:rPr>
          <w:b/>
          <w:spacing w:val="50"/>
        </w:rPr>
      </w:pPr>
      <w:r w:rsidRPr="008320B3">
        <w:br w:type="page"/>
      </w:r>
      <w:r w:rsidRPr="008320B3">
        <w:rPr>
          <w:b/>
          <w:spacing w:val="50"/>
        </w:rPr>
        <w:lastRenderedPageBreak/>
        <w:t>PRIJEDLOG</w:t>
      </w:r>
    </w:p>
    <w:p w14:paraId="4A70A1BE" w14:textId="77777777" w:rsidR="008320B3" w:rsidRPr="008320B3" w:rsidRDefault="008320B3" w:rsidP="00FD7FF2">
      <w:pPr>
        <w:spacing w:after="0" w:line="240" w:lineRule="auto"/>
        <w:ind w:firstLine="708"/>
        <w:jc w:val="both"/>
      </w:pPr>
    </w:p>
    <w:p w14:paraId="5DF9DC73" w14:textId="77777777" w:rsidR="008320B3" w:rsidRPr="008320B3" w:rsidRDefault="008320B3" w:rsidP="00FD7FF2">
      <w:pPr>
        <w:spacing w:after="0" w:line="240" w:lineRule="auto"/>
        <w:ind w:firstLine="708"/>
        <w:jc w:val="both"/>
      </w:pPr>
      <w:r w:rsidRPr="008320B3">
        <w:t xml:space="preserve">Na temelju članka 31. stavka 3. Zakona o Vladi Republike Hrvatske („Narodne novine“, br. 150/11, 119/14, 93/16 i 116/18) Vlada Republike Hrvatske je na sjednici održanoj   _________  </w:t>
      </w:r>
      <w:r w:rsidR="00FD7FF2">
        <w:t>prosinca</w:t>
      </w:r>
      <w:r w:rsidR="008676E9">
        <w:t xml:space="preserve"> 2021</w:t>
      </w:r>
      <w:r w:rsidRPr="008320B3">
        <w:t>. donijela</w:t>
      </w:r>
    </w:p>
    <w:p w14:paraId="558B0D3B" w14:textId="77777777" w:rsidR="008320B3" w:rsidRPr="008320B3" w:rsidRDefault="008320B3" w:rsidP="00FD7FF2">
      <w:pPr>
        <w:spacing w:after="0" w:line="240" w:lineRule="auto"/>
      </w:pPr>
    </w:p>
    <w:p w14:paraId="52876806" w14:textId="77777777" w:rsidR="008320B3" w:rsidRPr="008320B3" w:rsidRDefault="008320B3" w:rsidP="00FD7FF2">
      <w:pPr>
        <w:spacing w:after="0" w:line="240" w:lineRule="auto"/>
        <w:jc w:val="center"/>
        <w:rPr>
          <w:b/>
        </w:rPr>
      </w:pPr>
    </w:p>
    <w:p w14:paraId="2FAE94FC" w14:textId="77777777" w:rsidR="008320B3" w:rsidRPr="008320B3" w:rsidRDefault="008320B3" w:rsidP="00FD7FF2">
      <w:pPr>
        <w:spacing w:after="0" w:line="240" w:lineRule="auto"/>
        <w:jc w:val="center"/>
        <w:rPr>
          <w:b/>
        </w:rPr>
      </w:pPr>
      <w:r w:rsidRPr="008320B3">
        <w:rPr>
          <w:b/>
        </w:rPr>
        <w:t>Z A K L J U Č A K</w:t>
      </w:r>
    </w:p>
    <w:p w14:paraId="5796431D" w14:textId="77777777" w:rsidR="008320B3" w:rsidRPr="008320B3" w:rsidRDefault="008320B3" w:rsidP="00FD7FF2">
      <w:pPr>
        <w:spacing w:after="0" w:line="240" w:lineRule="auto"/>
        <w:jc w:val="center"/>
        <w:rPr>
          <w:b/>
        </w:rPr>
      </w:pPr>
    </w:p>
    <w:p w14:paraId="3A9998E3" w14:textId="77777777" w:rsidR="008320B3" w:rsidRPr="008320B3" w:rsidRDefault="008320B3" w:rsidP="00FD7FF2">
      <w:pPr>
        <w:spacing w:after="0" w:line="240" w:lineRule="auto"/>
        <w:jc w:val="center"/>
        <w:rPr>
          <w:b/>
        </w:rPr>
      </w:pPr>
    </w:p>
    <w:p w14:paraId="318AFEC7" w14:textId="77777777" w:rsidR="00FD7FF2" w:rsidRDefault="008320B3" w:rsidP="00FD7FF2">
      <w:pPr>
        <w:spacing w:after="0" w:line="240" w:lineRule="auto"/>
        <w:jc w:val="both"/>
      </w:pPr>
      <w:r w:rsidRPr="008320B3">
        <w:t>Daje se prethodna suglasnost predst</w:t>
      </w:r>
      <w:r w:rsidR="002057A0">
        <w:t xml:space="preserve">avniku Vlade Republike Hrvatske </w:t>
      </w:r>
      <w:r w:rsidRPr="008320B3">
        <w:t xml:space="preserve">za prihvaćanje amandmana </w:t>
      </w:r>
    </w:p>
    <w:p w14:paraId="3C5CE89E" w14:textId="77777777" w:rsidR="00994399" w:rsidRDefault="00994399" w:rsidP="00994399">
      <w:pPr>
        <w:pStyle w:val="ListParagraph"/>
        <w:numPr>
          <w:ilvl w:val="0"/>
          <w:numId w:val="2"/>
        </w:numPr>
        <w:spacing w:line="240" w:lineRule="auto"/>
        <w:jc w:val="both"/>
      </w:pPr>
      <w:r>
        <w:t xml:space="preserve">Kluba zastupnika zeleno-lijevog bloka u Hrvatskom saboru od 8. prosinca 2021. na članak 121. </w:t>
      </w:r>
      <w:r w:rsidRPr="00FD7FF2">
        <w:t>Konačnog prijedloga Zakona o proračunu</w:t>
      </w:r>
      <w:r>
        <w:t xml:space="preserve"> u izmijenjenom obliku tako da isti glasi: </w:t>
      </w:r>
      <w:r w:rsidRPr="00FD7FF2">
        <w:t>„</w:t>
      </w:r>
      <w:r>
        <w:t>U članku 161. Konačnog prijedloga Zakona o proračunu dodaje se novi stavak tako da isti glasi:</w:t>
      </w:r>
    </w:p>
    <w:p w14:paraId="5354C472" w14:textId="77777777" w:rsidR="00994399" w:rsidRDefault="00994399" w:rsidP="00994399">
      <w:pPr>
        <w:pStyle w:val="ListParagraph"/>
        <w:spacing w:line="240" w:lineRule="auto"/>
        <w:jc w:val="both"/>
      </w:pPr>
      <w:r>
        <w:t xml:space="preserve"> “Odredba članka 121. stavka 2. ovoga Zakona</w:t>
      </w:r>
      <w:r w:rsidRPr="00FD7FF2">
        <w:t>, sukladno koj</w:t>
      </w:r>
      <w:r>
        <w:t>oj se u iznos</w:t>
      </w:r>
      <w:r w:rsidRPr="00FD7FF2">
        <w:t xml:space="preserve"> ukupne </w:t>
      </w:r>
      <w:r>
        <w:t>go</w:t>
      </w:r>
      <w:r w:rsidRPr="00FD7FF2">
        <w:t xml:space="preserve">dišnje obveze iz </w:t>
      </w:r>
      <w:r>
        <w:t xml:space="preserve">članka 121. </w:t>
      </w:r>
      <w:r w:rsidRPr="00FD7FF2">
        <w:t xml:space="preserve">stavka 1. ovoga </w:t>
      </w:r>
      <w:r>
        <w:t>Zakona</w:t>
      </w:r>
      <w:r w:rsidRPr="00FD7FF2">
        <w:t xml:space="preserve"> nepodmirene dospjele obveze iskazuju sukladno zadnjem raspoloživom financijs</w:t>
      </w:r>
      <w:r>
        <w:t xml:space="preserve">kom izvještaju </w:t>
      </w:r>
      <w:r w:rsidRPr="00FD7FF2">
        <w:t>primjenjuje se od 1. siječnja 2023. do kada će se u ukupnim godišnjim obvezama iskazivati nepodmirene dospjele obveze iz prethodnih godina</w:t>
      </w:r>
      <w:r>
        <w:t>.</w:t>
      </w:r>
      <w:r w:rsidR="009D7A73">
        <w:t>“</w:t>
      </w:r>
    </w:p>
    <w:p w14:paraId="76013B74" w14:textId="77777777" w:rsidR="00BE01C7" w:rsidRDefault="00BE01C7" w:rsidP="00BE01C7">
      <w:pPr>
        <w:pStyle w:val="ListParagraph"/>
        <w:numPr>
          <w:ilvl w:val="0"/>
          <w:numId w:val="2"/>
        </w:numPr>
        <w:spacing w:line="240" w:lineRule="auto"/>
        <w:jc w:val="both"/>
      </w:pPr>
      <w:r>
        <w:t>Zastupnika Marina Mandarića u Hrvatskom saboru od 8. prosinca 2021</w:t>
      </w:r>
      <w:r w:rsidR="00F43AD8">
        <w:t>. na</w:t>
      </w:r>
      <w:r>
        <w:t xml:space="preserve"> članak 127</w:t>
      </w:r>
      <w:r w:rsidR="00A0094B">
        <w:t>.</w:t>
      </w:r>
      <w:r>
        <w:t xml:space="preserve"> stavak 1. Konačnog prijedloga Zakona o proračunu </w:t>
      </w:r>
      <w:r w:rsidR="00F43AD8">
        <w:t xml:space="preserve">u izmijenjenom obliku </w:t>
      </w:r>
      <w:r>
        <w:t>tako da isti glasi: „U članku 12</w:t>
      </w:r>
      <w:r w:rsidR="00D40CFB">
        <w:t>7</w:t>
      </w:r>
      <w:r>
        <w:t xml:space="preserve">. Konačnog prijedloga Zakona o proračunu stavci 1. i 2. mijenjaju se i glase: </w:t>
      </w:r>
    </w:p>
    <w:p w14:paraId="2852BC84" w14:textId="77777777" w:rsidR="00BE01C7" w:rsidRDefault="00F90708" w:rsidP="00BE01C7">
      <w:pPr>
        <w:pStyle w:val="ListParagraph"/>
        <w:spacing w:line="240" w:lineRule="auto"/>
        <w:jc w:val="both"/>
      </w:pPr>
      <w:r>
        <w:t>„</w:t>
      </w:r>
      <w:r w:rsidR="00BE01C7">
        <w:t>(1) Proračunski korisnici jedinica lokalne i područne (regionalne) samouprave i ostale ustanove čiji su osnivači ili suosnivači jedna ili više jedinica lokalne i područne (regionalne) samouprave mogu se dugoročno zaduživati, samo za namjene utvrđene u članku 120. stavku 1. ovoga Zakona i refinancirati ili reprogramirati ostatak duga po osnovi kredita ili zajma uz suglasnost osnivača sukladno aktu o osnivanju.</w:t>
      </w:r>
    </w:p>
    <w:p w14:paraId="0916D2AC" w14:textId="77777777" w:rsidR="00272F6A" w:rsidRDefault="00BE01C7" w:rsidP="00BE01C7">
      <w:pPr>
        <w:pStyle w:val="ListParagraph"/>
        <w:spacing w:after="0" w:line="240" w:lineRule="auto"/>
        <w:jc w:val="both"/>
      </w:pPr>
      <w:r>
        <w:t>(2) Izvanproračunski korisnici jedinica lokalne i područne (regionalne) samouprave i ostale pravne osobe u većinskom vlasništvu ili suvlasništvu jedinica lokalne i područne (regionalne) samouprave mogu se dugoročno zaduživati i refinancirati ili reprogramirati ostatak duga po osnovi kredita ili zajma uz suglasnost većinskog vlasnika.</w:t>
      </w:r>
      <w:r w:rsidR="00F90708">
        <w:t>“.</w:t>
      </w:r>
    </w:p>
    <w:p w14:paraId="4B9CC53C" w14:textId="77777777" w:rsidR="00272F6A" w:rsidRDefault="00272F6A" w:rsidP="00272F6A">
      <w:pPr>
        <w:spacing w:before="60" w:after="60" w:line="240" w:lineRule="auto"/>
        <w:ind w:left="709"/>
        <w:jc w:val="both"/>
        <w:rPr>
          <w:rFonts w:eastAsia="Calibri"/>
        </w:rPr>
      </w:pPr>
      <w:r>
        <w:t xml:space="preserve">U članku 156. točka 65. mijenja se i glasi: </w:t>
      </w:r>
      <w:r w:rsidR="00F90708">
        <w:t>„</w:t>
      </w:r>
      <w:r w:rsidRPr="004B511C">
        <w:rPr>
          <w:rFonts w:eastAsia="Calibri"/>
        </w:rPr>
        <w:t>ako se proračunski korisnici jedinica lokalne i područne (regionalne) samouprave i ostale ustanove čiji su osnivači ili suosnivači jedna ili više jedinica lokalne i područne (regionalne) samouprave dugoročno zaduž</w:t>
      </w:r>
      <w:r>
        <w:rPr>
          <w:rFonts w:eastAsia="Calibri"/>
        </w:rPr>
        <w:t>e, refinanciraju ili reprogramiraju ostatak duga po osnovi kredita ili zajma</w:t>
      </w:r>
      <w:r w:rsidRPr="004B511C">
        <w:rPr>
          <w:rFonts w:eastAsia="Calibri"/>
        </w:rPr>
        <w:t xml:space="preserve"> bez suglasnosti osnivača sukladno aktu o osnivanju</w:t>
      </w:r>
      <w:r>
        <w:rPr>
          <w:rFonts w:eastAsia="Calibri"/>
        </w:rPr>
        <w:t xml:space="preserve">, odnosno </w:t>
      </w:r>
      <w:r w:rsidR="00664B71">
        <w:rPr>
          <w:rFonts w:eastAsia="Calibri"/>
        </w:rPr>
        <w:t xml:space="preserve">dugoročno zaduže </w:t>
      </w:r>
      <w:r w:rsidRPr="004B511C">
        <w:rPr>
          <w:rFonts w:eastAsia="Calibri"/>
        </w:rPr>
        <w:t>za druge namjene osim onih utvrđenih u člank</w:t>
      </w:r>
      <w:r>
        <w:rPr>
          <w:rFonts w:eastAsia="Calibri"/>
        </w:rPr>
        <w:t>u 120. stavku 1.</w:t>
      </w:r>
      <w:r w:rsidRPr="004B511C">
        <w:rPr>
          <w:rFonts w:eastAsia="Calibri"/>
        </w:rPr>
        <w:t xml:space="preserve"> </w:t>
      </w:r>
      <w:r>
        <w:rPr>
          <w:rFonts w:eastAsia="Calibri"/>
        </w:rPr>
        <w:t>(članak 127. stavak 1.).</w:t>
      </w:r>
      <w:r w:rsidR="00F90708">
        <w:rPr>
          <w:rFonts w:eastAsia="Calibri"/>
        </w:rPr>
        <w:t>“</w:t>
      </w:r>
    </w:p>
    <w:p w14:paraId="584763D7" w14:textId="77777777" w:rsidR="00F90708" w:rsidRDefault="00272F6A" w:rsidP="00485DA5">
      <w:pPr>
        <w:pStyle w:val="ListParagraph"/>
        <w:spacing w:before="60" w:after="60" w:line="240" w:lineRule="auto"/>
        <w:ind w:left="709"/>
        <w:jc w:val="both"/>
        <w:rPr>
          <w:rFonts w:eastAsia="Calibri"/>
        </w:rPr>
      </w:pPr>
      <w:r>
        <w:lastRenderedPageBreak/>
        <w:t>U članku 157. točka 4. mijenja se i glasi: „</w:t>
      </w:r>
      <w:r w:rsidR="00F90708" w:rsidRPr="009B3879">
        <w:rPr>
          <w:rFonts w:eastAsia="Calibri"/>
        </w:rPr>
        <w:t xml:space="preserve">ako se izvanproračunski korisnici jedinica lokalne i područne (regionalne) samouprave i ostale pravne osobe u većinskom vlasništvu ili suvlasništvu jedinica lokalne i područne (regionalne) samouprave dugoročno zaduže </w:t>
      </w:r>
      <w:r w:rsidR="00F90708">
        <w:rPr>
          <w:rFonts w:eastAsia="Calibri"/>
        </w:rPr>
        <w:t>ili refinanciraju ili reprogramiraju ostatak duga po osnovi kredita ili zajma</w:t>
      </w:r>
      <w:r w:rsidR="00F90708" w:rsidRPr="004B511C">
        <w:rPr>
          <w:rFonts w:eastAsia="Calibri"/>
        </w:rPr>
        <w:t xml:space="preserve"> </w:t>
      </w:r>
      <w:r w:rsidR="00F90708" w:rsidRPr="009B3879">
        <w:rPr>
          <w:rFonts w:eastAsia="Calibri"/>
        </w:rPr>
        <w:t>bez suglasnosti većinskog vlasnika, odnosno bez suglasnosti ministra financija (članak 127. stavci 2. i 3.)</w:t>
      </w:r>
      <w:r w:rsidR="00F90708">
        <w:rPr>
          <w:rFonts w:eastAsia="Calibri"/>
        </w:rPr>
        <w:t>.“</w:t>
      </w:r>
    </w:p>
    <w:p w14:paraId="45CE0F2A" w14:textId="77777777" w:rsidR="00272F6A" w:rsidRPr="004B511C" w:rsidRDefault="00272F6A" w:rsidP="00272F6A">
      <w:pPr>
        <w:spacing w:before="60" w:after="60" w:line="240" w:lineRule="auto"/>
        <w:ind w:left="709"/>
        <w:jc w:val="both"/>
        <w:rPr>
          <w:rFonts w:eastAsia="Calibri"/>
        </w:rPr>
      </w:pPr>
    </w:p>
    <w:p w14:paraId="0D2892DB" w14:textId="77777777" w:rsidR="00BE01C7" w:rsidRDefault="00272F6A" w:rsidP="00BE01C7">
      <w:pPr>
        <w:pStyle w:val="ListParagraph"/>
        <w:spacing w:after="0" w:line="240" w:lineRule="auto"/>
        <w:jc w:val="both"/>
      </w:pPr>
      <w:r>
        <w:t xml:space="preserve"> </w:t>
      </w:r>
    </w:p>
    <w:p w14:paraId="689691CE" w14:textId="77777777" w:rsidR="002057A0" w:rsidRDefault="008320B3" w:rsidP="00BE01C7">
      <w:pPr>
        <w:pStyle w:val="ListParagraph"/>
        <w:numPr>
          <w:ilvl w:val="0"/>
          <w:numId w:val="2"/>
        </w:numPr>
        <w:spacing w:line="240" w:lineRule="auto"/>
        <w:jc w:val="both"/>
      </w:pPr>
      <w:r w:rsidRPr="008320B3">
        <w:t xml:space="preserve">Kluba zastupnika </w:t>
      </w:r>
      <w:r w:rsidR="002057A0" w:rsidRPr="002057A0">
        <w:t xml:space="preserve">Hrvatske socijalno-liberalne stranke i Narodne stranke – Reformista u Hrvatskom saboru </w:t>
      </w:r>
      <w:r w:rsidR="002057A0">
        <w:t xml:space="preserve">od 8. prosinca 2021., </w:t>
      </w:r>
      <w:r w:rsidR="00FD7FF2">
        <w:t xml:space="preserve">na članke 144., </w:t>
      </w:r>
      <w:r w:rsidR="002057A0" w:rsidRPr="002057A0">
        <w:t>156.</w:t>
      </w:r>
      <w:r w:rsidR="00FD7FF2">
        <w:t>, 157., 160. i 162.</w:t>
      </w:r>
      <w:r w:rsidR="002057A0" w:rsidRPr="002057A0">
        <w:t xml:space="preserve"> </w:t>
      </w:r>
      <w:r w:rsidR="00FD7FF2" w:rsidRPr="00FD7FF2">
        <w:t>Konačnog prijedloga Zakona o proračunu</w:t>
      </w:r>
      <w:r w:rsidR="00BE01C7">
        <w:t>.</w:t>
      </w:r>
      <w:r w:rsidR="00A56366">
        <w:t xml:space="preserve"> </w:t>
      </w:r>
    </w:p>
    <w:p w14:paraId="73647927" w14:textId="77777777" w:rsidR="00BE01C7" w:rsidRDefault="00BE01C7" w:rsidP="00BE01C7">
      <w:pPr>
        <w:pStyle w:val="ListParagraph"/>
        <w:spacing w:line="240" w:lineRule="auto"/>
        <w:jc w:val="both"/>
      </w:pPr>
    </w:p>
    <w:tbl>
      <w:tblPr>
        <w:tblpPr w:leftFromText="180" w:rightFromText="180" w:vertAnchor="page" w:horzAnchor="page" w:tblpX="7141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485DA5" w:rsidRPr="00A577FE" w14:paraId="163E5B88" w14:textId="77777777" w:rsidTr="00485DA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8CDE4" w14:textId="77777777" w:rsidR="00485DA5" w:rsidRDefault="00485DA5" w:rsidP="00485DA5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</w:p>
          <w:p w14:paraId="4B4FA66E" w14:textId="77777777" w:rsidR="00485DA5" w:rsidRDefault="00485DA5" w:rsidP="00485DA5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</w:p>
          <w:p w14:paraId="49B09484" w14:textId="77777777" w:rsidR="00485DA5" w:rsidRPr="00A577FE" w:rsidRDefault="00485DA5" w:rsidP="00485DA5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  <w:r w:rsidRPr="00A577FE">
              <w:rPr>
                <w:rFonts w:eastAsia="Times New Roman"/>
                <w:b/>
                <w:spacing w:val="30"/>
                <w:lang w:eastAsia="hr-HR"/>
              </w:rPr>
              <w:t xml:space="preserve">PREDSJEDNIK </w:t>
            </w:r>
          </w:p>
        </w:tc>
      </w:tr>
      <w:tr w:rsidR="00485DA5" w:rsidRPr="00A577FE" w14:paraId="2B65E4CA" w14:textId="77777777" w:rsidTr="00485DA5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2022" w14:textId="77777777" w:rsidR="00485DA5" w:rsidRPr="00A577FE" w:rsidRDefault="00485DA5" w:rsidP="00485DA5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14:paraId="43BFAD3D" w14:textId="77777777" w:rsidR="00485DA5" w:rsidRPr="00A577FE" w:rsidRDefault="00485DA5" w:rsidP="00485DA5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  <w:tr w:rsidR="00485DA5" w:rsidRPr="00A577FE" w14:paraId="442177C2" w14:textId="77777777" w:rsidTr="00485DA5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D4DF" w14:textId="77777777" w:rsidR="00485DA5" w:rsidRPr="00A577FE" w:rsidRDefault="00485DA5" w:rsidP="00485DA5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  <w:lang w:eastAsia="hr-HR"/>
              </w:rPr>
            </w:pPr>
            <w:r w:rsidRPr="00A577FE">
              <w:rPr>
                <w:rFonts w:eastAsia="Times New Roman"/>
                <w:b/>
                <w:spacing w:val="4"/>
                <w:lang w:eastAsia="hr-HR"/>
              </w:rPr>
              <w:t xml:space="preserve">mr. sc. Andrej Plenković  </w:t>
            </w:r>
          </w:p>
        </w:tc>
      </w:tr>
    </w:tbl>
    <w:p w14:paraId="52FC13FC" w14:textId="77777777" w:rsidR="00A56366" w:rsidRDefault="00991C92" w:rsidP="00BE01C7">
      <w:pPr>
        <w:pStyle w:val="ListParagraph"/>
        <w:spacing w:line="240" w:lineRule="auto"/>
        <w:jc w:val="both"/>
      </w:pPr>
      <w:r>
        <w:t xml:space="preserve"> </w:t>
      </w:r>
    </w:p>
    <w:p w14:paraId="2B978177" w14:textId="77777777" w:rsidR="00FD7FF2" w:rsidRPr="00FD7FF2" w:rsidRDefault="00FD7FF2" w:rsidP="00FD7FF2">
      <w:pPr>
        <w:spacing w:line="240" w:lineRule="auto"/>
        <w:ind w:left="360"/>
        <w:jc w:val="both"/>
      </w:pPr>
    </w:p>
    <w:p w14:paraId="6E4E80AE" w14:textId="77777777" w:rsidR="00FD7FF2" w:rsidRPr="002057A0" w:rsidRDefault="00FD7FF2" w:rsidP="00FD7FF2">
      <w:pPr>
        <w:spacing w:after="0" w:line="240" w:lineRule="auto"/>
        <w:jc w:val="both"/>
      </w:pPr>
    </w:p>
    <w:p w14:paraId="54AB73DE" w14:textId="77777777" w:rsidR="0024532F" w:rsidRDefault="0024532F" w:rsidP="00FD7FF2">
      <w:pPr>
        <w:spacing w:after="0" w:line="240" w:lineRule="auto"/>
        <w:jc w:val="both"/>
      </w:pPr>
    </w:p>
    <w:p w14:paraId="5088F1C6" w14:textId="77777777" w:rsidR="00A577FE" w:rsidRDefault="00A577FE" w:rsidP="00FD7FF2">
      <w:pPr>
        <w:spacing w:after="0" w:line="240" w:lineRule="auto"/>
        <w:jc w:val="both"/>
      </w:pPr>
    </w:p>
    <w:p w14:paraId="30B028E0" w14:textId="77777777" w:rsidR="00A577FE" w:rsidRDefault="00A577FE" w:rsidP="00FD7FF2">
      <w:pPr>
        <w:spacing w:after="0" w:line="240" w:lineRule="auto"/>
        <w:jc w:val="both"/>
      </w:pPr>
    </w:p>
    <w:p w14:paraId="711CDB16" w14:textId="77777777" w:rsidR="00A577FE" w:rsidRDefault="00A577FE" w:rsidP="00FD7FF2">
      <w:pPr>
        <w:spacing w:after="0" w:line="240" w:lineRule="auto"/>
        <w:jc w:val="both"/>
      </w:pPr>
    </w:p>
    <w:p w14:paraId="7B0DC04B" w14:textId="77777777" w:rsidR="008320B3" w:rsidRPr="008320B3" w:rsidRDefault="008320B3" w:rsidP="00FD7FF2">
      <w:pPr>
        <w:spacing w:after="0" w:line="240" w:lineRule="auto"/>
        <w:jc w:val="both"/>
      </w:pPr>
      <w:r w:rsidRPr="008320B3">
        <w:t xml:space="preserve">Klasa: </w:t>
      </w:r>
    </w:p>
    <w:p w14:paraId="5996ED43" w14:textId="77777777" w:rsidR="008320B3" w:rsidRPr="008320B3" w:rsidRDefault="008320B3" w:rsidP="00FD7FF2">
      <w:pPr>
        <w:spacing w:after="0" w:line="240" w:lineRule="auto"/>
        <w:jc w:val="both"/>
      </w:pPr>
      <w:r w:rsidRPr="008320B3">
        <w:t xml:space="preserve">Urbroj: </w:t>
      </w:r>
    </w:p>
    <w:p w14:paraId="0E191276" w14:textId="77777777" w:rsidR="008320B3" w:rsidRPr="008320B3" w:rsidRDefault="008320B3" w:rsidP="00FD7FF2">
      <w:pPr>
        <w:spacing w:after="0" w:line="240" w:lineRule="auto"/>
        <w:jc w:val="both"/>
      </w:pPr>
      <w:r w:rsidRPr="008320B3">
        <w:t>Zagreb,</w:t>
      </w:r>
    </w:p>
    <w:p w14:paraId="72E5FAA7" w14:textId="77777777" w:rsidR="008320B3" w:rsidRPr="008320B3" w:rsidRDefault="008320B3" w:rsidP="00FD7FF2">
      <w:pPr>
        <w:spacing w:after="0" w:line="240" w:lineRule="auto"/>
        <w:rPr>
          <w:sz w:val="22"/>
          <w:szCs w:val="22"/>
        </w:rPr>
      </w:pPr>
    </w:p>
    <w:p w14:paraId="7BCDC4F0" w14:textId="77777777" w:rsidR="00664B71" w:rsidRDefault="00664B71">
      <w:pPr>
        <w:rPr>
          <w:rFonts w:eastAsia="Times New Roman"/>
          <w:b/>
          <w:color w:val="000000"/>
          <w:spacing w:val="50"/>
          <w:lang w:eastAsia="hr-HR"/>
        </w:rPr>
      </w:pPr>
      <w:r>
        <w:rPr>
          <w:rFonts w:eastAsia="Times New Roman"/>
          <w:b/>
          <w:color w:val="000000"/>
          <w:spacing w:val="50"/>
          <w:lang w:eastAsia="hr-HR"/>
        </w:rPr>
        <w:br w:type="page"/>
      </w:r>
    </w:p>
    <w:p w14:paraId="20091729" w14:textId="77777777" w:rsidR="00664B71" w:rsidRDefault="00664B71" w:rsidP="00FD7FF2">
      <w:pPr>
        <w:spacing w:line="240" w:lineRule="auto"/>
        <w:jc w:val="center"/>
        <w:rPr>
          <w:rFonts w:eastAsia="Times New Roman"/>
          <w:b/>
          <w:color w:val="000000"/>
          <w:spacing w:val="50"/>
          <w:lang w:eastAsia="hr-HR"/>
        </w:rPr>
      </w:pPr>
    </w:p>
    <w:p w14:paraId="17CA4FFF" w14:textId="77777777" w:rsidR="008320B3" w:rsidRDefault="008320B3" w:rsidP="00FD7FF2">
      <w:pPr>
        <w:spacing w:line="240" w:lineRule="auto"/>
        <w:jc w:val="center"/>
        <w:rPr>
          <w:rFonts w:eastAsia="Times New Roman"/>
          <w:b/>
          <w:color w:val="000000"/>
          <w:spacing w:val="50"/>
          <w:lang w:eastAsia="hr-HR"/>
        </w:rPr>
      </w:pPr>
      <w:r w:rsidRPr="008320B3">
        <w:rPr>
          <w:rFonts w:eastAsia="Times New Roman"/>
          <w:b/>
          <w:color w:val="000000"/>
          <w:spacing w:val="50"/>
          <w:lang w:eastAsia="hr-HR"/>
        </w:rPr>
        <w:t>Obrazloženje</w:t>
      </w:r>
    </w:p>
    <w:p w14:paraId="476BA3C8" w14:textId="77777777" w:rsidR="00BE01C7" w:rsidRDefault="00BE01C7" w:rsidP="00FD7FF2">
      <w:pPr>
        <w:spacing w:line="240" w:lineRule="auto"/>
        <w:jc w:val="center"/>
        <w:rPr>
          <w:rFonts w:eastAsia="Times New Roman"/>
          <w:b/>
          <w:color w:val="000000"/>
          <w:spacing w:val="50"/>
          <w:lang w:eastAsia="hr-HR"/>
        </w:rPr>
      </w:pPr>
    </w:p>
    <w:p w14:paraId="077707B3" w14:textId="77777777" w:rsidR="00994399" w:rsidRPr="00FD7FF2" w:rsidRDefault="00994399" w:rsidP="00994399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Times New Roman"/>
          <w:color w:val="000000"/>
          <w:szCs w:val="22"/>
          <w:lang w:eastAsia="hr-HR"/>
        </w:rPr>
        <w:t>Klub</w:t>
      </w:r>
      <w:r w:rsidRPr="00FD7FF2">
        <w:rPr>
          <w:rFonts w:eastAsia="Times New Roman"/>
          <w:color w:val="000000"/>
          <w:szCs w:val="22"/>
          <w:lang w:eastAsia="hr-HR"/>
        </w:rPr>
        <w:t xml:space="preserve"> zastupnika zeleno-lijevog bloka u Hrvatskom saboru</w:t>
      </w:r>
      <w:r>
        <w:rPr>
          <w:rFonts w:eastAsia="Times New Roman"/>
          <w:color w:val="000000"/>
          <w:szCs w:val="22"/>
          <w:lang w:eastAsia="hr-HR"/>
        </w:rPr>
        <w:t xml:space="preserve"> predložio je amandman</w:t>
      </w:r>
      <w:r w:rsidRPr="00FD7FF2">
        <w:rPr>
          <w:rFonts w:eastAsia="Times New Roman"/>
          <w:color w:val="000000"/>
          <w:szCs w:val="22"/>
          <w:lang w:eastAsia="hr-HR"/>
        </w:rPr>
        <w:t xml:space="preserve"> na članak 121. Konačnog prijedloga Zakona o proračunu</w:t>
      </w:r>
      <w:r>
        <w:rPr>
          <w:rFonts w:eastAsia="Times New Roman"/>
          <w:color w:val="000000"/>
          <w:szCs w:val="22"/>
          <w:lang w:eastAsia="hr-HR"/>
        </w:rPr>
        <w:t xml:space="preserve"> koji glasi: </w:t>
      </w:r>
    </w:p>
    <w:p w14:paraId="7C6F21E9" w14:textId="77777777" w:rsidR="00994399" w:rsidRDefault="00994399" w:rsidP="00994399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</w:p>
    <w:p w14:paraId="4E74D736" w14:textId="77777777" w:rsidR="00994399" w:rsidRPr="00FD7FF2" w:rsidRDefault="00994399" w:rsidP="00994399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Times New Roman"/>
          <w:color w:val="000000"/>
          <w:szCs w:val="22"/>
          <w:lang w:eastAsia="hr-HR"/>
        </w:rPr>
        <w:t>„</w:t>
      </w:r>
      <w:r w:rsidRPr="00FD7FF2">
        <w:rPr>
          <w:rFonts w:eastAsia="Times New Roman"/>
          <w:color w:val="000000"/>
          <w:szCs w:val="22"/>
          <w:lang w:eastAsia="hr-HR"/>
        </w:rPr>
        <w:t>Dodaje</w:t>
      </w:r>
      <w:r>
        <w:rPr>
          <w:rFonts w:eastAsia="Times New Roman"/>
          <w:color w:val="000000"/>
          <w:szCs w:val="22"/>
          <w:lang w:eastAsia="hr-HR"/>
        </w:rPr>
        <w:t xml:space="preserve"> se novi stavak (6) koji glasi: </w:t>
      </w:r>
      <w:r w:rsidR="009D7A73">
        <w:rPr>
          <w:rFonts w:eastAsia="Times New Roman"/>
          <w:color w:val="000000"/>
          <w:szCs w:val="22"/>
          <w:lang w:eastAsia="hr-HR"/>
        </w:rPr>
        <w:t>„</w:t>
      </w:r>
      <w:r w:rsidRPr="00FD7FF2">
        <w:rPr>
          <w:rFonts w:eastAsia="Times New Roman"/>
          <w:color w:val="000000"/>
          <w:szCs w:val="22"/>
          <w:lang w:eastAsia="hr-HR"/>
        </w:rPr>
        <w:t>Odredba stavka (2) ovog članka po kojoj se u iznosu ukupne godišnje obveze iz stavka (1) ovog članka nepodmirene dospjele obveze iskazuju sukladno zadnjem raspoloživom financijskom izvještaju primjenjuje se s odgodom od godinu dana. Do tada će se u ukupnim godišnjim obvezama iskazivati nepodmirene dospjele obveze iz prethodnih godina".</w:t>
      </w:r>
      <w:r w:rsidR="009D7A73">
        <w:rPr>
          <w:rFonts w:eastAsia="Times New Roman"/>
          <w:color w:val="000000"/>
          <w:szCs w:val="22"/>
          <w:lang w:eastAsia="hr-HR"/>
        </w:rPr>
        <w:t>“</w:t>
      </w:r>
    </w:p>
    <w:p w14:paraId="73711E49" w14:textId="77777777" w:rsidR="00994399" w:rsidRPr="00FD7FF2" w:rsidRDefault="00994399" w:rsidP="00994399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</w:p>
    <w:p w14:paraId="55A3D765" w14:textId="77777777" w:rsidR="00994399" w:rsidRDefault="00994399" w:rsidP="00994399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Times New Roman"/>
          <w:color w:val="000000"/>
          <w:szCs w:val="22"/>
          <w:lang w:eastAsia="hr-HR"/>
        </w:rPr>
        <w:t>U obrazloženju predloženog amandmana navedeno je kako je p</w:t>
      </w:r>
      <w:r w:rsidRPr="00FD7FF2">
        <w:rPr>
          <w:rFonts w:eastAsia="Times New Roman"/>
          <w:color w:val="000000"/>
          <w:szCs w:val="22"/>
          <w:lang w:eastAsia="hr-HR"/>
        </w:rPr>
        <w:t>rijelazno razdoblje od godinu dana potrebno r</w:t>
      </w:r>
      <w:r>
        <w:rPr>
          <w:rFonts w:eastAsia="Times New Roman"/>
          <w:color w:val="000000"/>
          <w:szCs w:val="22"/>
          <w:lang w:eastAsia="hr-HR"/>
        </w:rPr>
        <w:t xml:space="preserve">adi prilagodbe jedinica lokalne </w:t>
      </w:r>
      <w:r w:rsidRPr="00FD7FF2">
        <w:rPr>
          <w:rFonts w:eastAsia="Times New Roman"/>
          <w:color w:val="000000"/>
          <w:szCs w:val="22"/>
          <w:lang w:eastAsia="hr-HR"/>
        </w:rPr>
        <w:t>i regionalne samouprave novom načinu iskazivanju nepodmirenih dospjelih obaveza u ukupnoj godišnjoj obvezi, kako bi se izbjegli ve</w:t>
      </w:r>
      <w:r>
        <w:rPr>
          <w:rFonts w:eastAsia="Times New Roman"/>
          <w:color w:val="000000"/>
          <w:szCs w:val="22"/>
          <w:lang w:eastAsia="hr-HR"/>
        </w:rPr>
        <w:t>ć</w:t>
      </w:r>
      <w:r w:rsidRPr="00FD7FF2">
        <w:rPr>
          <w:rFonts w:eastAsia="Times New Roman"/>
          <w:color w:val="000000"/>
          <w:szCs w:val="22"/>
          <w:lang w:eastAsia="hr-HR"/>
        </w:rPr>
        <w:t>i problemi u prevladavanju jaza nastalog zbog različite dinamike priljeva sredstava i dospijeća obveza.</w:t>
      </w:r>
    </w:p>
    <w:p w14:paraId="098B27B8" w14:textId="77777777" w:rsidR="00994399" w:rsidRDefault="00994399" w:rsidP="00994399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</w:p>
    <w:p w14:paraId="3A7F7225" w14:textId="77777777" w:rsidR="00994399" w:rsidRDefault="00994399" w:rsidP="00994399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  <w:r w:rsidRPr="00FD7FF2">
        <w:rPr>
          <w:rFonts w:eastAsia="Times New Roman"/>
          <w:color w:val="000000"/>
          <w:szCs w:val="22"/>
          <w:lang w:eastAsia="hr-HR"/>
        </w:rPr>
        <w:t>Slijedom navedenog o</w:t>
      </w:r>
      <w:r>
        <w:rPr>
          <w:rFonts w:eastAsia="Times New Roman"/>
          <w:color w:val="000000"/>
          <w:szCs w:val="22"/>
          <w:lang w:eastAsia="hr-HR"/>
        </w:rPr>
        <w:t>brazloženja, a budući da se radi o prijelaznim i završnim odredbama, predmetni amandman</w:t>
      </w:r>
      <w:r w:rsidRPr="00FD7FF2">
        <w:rPr>
          <w:rFonts w:eastAsia="Times New Roman"/>
          <w:color w:val="000000"/>
          <w:szCs w:val="22"/>
          <w:lang w:eastAsia="hr-HR"/>
        </w:rPr>
        <w:t xml:space="preserve"> Kluba zastupnika zeleno-lijevog bloka</w:t>
      </w:r>
      <w:r>
        <w:rPr>
          <w:rFonts w:eastAsia="Times New Roman"/>
          <w:color w:val="000000"/>
          <w:szCs w:val="22"/>
          <w:lang w:eastAsia="hr-HR"/>
        </w:rPr>
        <w:t xml:space="preserve"> prihvaća se</w:t>
      </w:r>
      <w:r w:rsidRPr="00FD7FF2">
        <w:rPr>
          <w:rFonts w:eastAsia="Times New Roman"/>
          <w:color w:val="000000"/>
          <w:szCs w:val="22"/>
          <w:lang w:eastAsia="hr-HR"/>
        </w:rPr>
        <w:t xml:space="preserve"> u </w:t>
      </w:r>
      <w:r>
        <w:rPr>
          <w:rFonts w:eastAsia="Times New Roman"/>
          <w:color w:val="000000"/>
          <w:szCs w:val="22"/>
          <w:lang w:eastAsia="hr-HR"/>
        </w:rPr>
        <w:t xml:space="preserve">izmijenjenom obliku tako da isti glasi: </w:t>
      </w:r>
    </w:p>
    <w:p w14:paraId="464AC70A" w14:textId="77777777" w:rsidR="00994399" w:rsidRDefault="00994399" w:rsidP="00994399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  <w:r w:rsidRPr="00FD7FF2">
        <w:t>„</w:t>
      </w:r>
      <w:r>
        <w:t>U članku 161. Konačnog prijedloga Zakona o proračunu dodaje se novi stavak tako da isti glasi “Odredba članka 121. stavka 2. ovoga Zakona</w:t>
      </w:r>
      <w:r w:rsidRPr="00FD7FF2">
        <w:t>, sukladno koj</w:t>
      </w:r>
      <w:r>
        <w:t>oj se u iznos</w:t>
      </w:r>
      <w:r w:rsidRPr="00FD7FF2">
        <w:t xml:space="preserve"> ukupne godišnje obveze iz </w:t>
      </w:r>
      <w:r>
        <w:t xml:space="preserve">članka 121. </w:t>
      </w:r>
      <w:r w:rsidRPr="00FD7FF2">
        <w:t xml:space="preserve">stavka 1. ovoga </w:t>
      </w:r>
      <w:r>
        <w:t>Zakona</w:t>
      </w:r>
      <w:r w:rsidRPr="00FD7FF2">
        <w:t xml:space="preserve"> nepodmirene dospjele obveze iskazuju sukladno zadnjem raspoloživom financijs</w:t>
      </w:r>
      <w:r>
        <w:t xml:space="preserve">kom izvještaju </w:t>
      </w:r>
      <w:r w:rsidRPr="00FD7FF2">
        <w:t>primjenjuje se od 1. siječnja 2023. do kada će se u ukupnim godišnjim obvezama iskazivati nepodmirene dospjele obveze iz prethodnih godina</w:t>
      </w:r>
      <w:r>
        <w:t>.</w:t>
      </w:r>
      <w:r w:rsidRPr="00FD7FF2">
        <w:t>"</w:t>
      </w:r>
    </w:p>
    <w:p w14:paraId="3DC29D0E" w14:textId="77777777" w:rsidR="00994399" w:rsidRPr="00994399" w:rsidRDefault="00994399" w:rsidP="00994399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</w:p>
    <w:p w14:paraId="6E0FF46E" w14:textId="77777777" w:rsidR="00BE01C7" w:rsidRDefault="00BE01C7" w:rsidP="00994399">
      <w:pPr>
        <w:spacing w:line="240" w:lineRule="auto"/>
        <w:ind w:firstLine="708"/>
        <w:jc w:val="both"/>
        <w:rPr>
          <w:rFonts w:eastAsia="MS Mincho"/>
          <w:lang w:eastAsia="ja-JP"/>
        </w:rPr>
      </w:pPr>
      <w:r w:rsidRPr="00BE01C7">
        <w:rPr>
          <w:rFonts w:eastAsia="MS Mincho"/>
          <w:lang w:eastAsia="ja-JP"/>
        </w:rPr>
        <w:t>Zastupnik</w:t>
      </w:r>
      <w:r>
        <w:rPr>
          <w:rFonts w:eastAsia="MS Mincho"/>
          <w:lang w:eastAsia="ja-JP"/>
        </w:rPr>
        <w:t xml:space="preserve"> Marin Mandarić u Hrvatskom saboru predložio je amandman na članak 127</w:t>
      </w:r>
      <w:r w:rsidR="00994399">
        <w:rPr>
          <w:rFonts w:eastAsia="MS Mincho"/>
          <w:lang w:eastAsia="ja-JP"/>
        </w:rPr>
        <w:t>. Konačnog prijedloga Zakona o proračunu koji glasi: „U članku 127. stavak 1. mijenja se i glasi: (1) Proračunski korisnici jedinica lokalne i područne (regionalne) samouprave i ostale ustanove čiji su osnivači ili suosnivači jedna ili više jedinica lokalne i područne (regionalne) samouprave mogu se dugoročno zaduživati uz suglasnost osnivača sukladno aktu o osnivanju.“</w:t>
      </w:r>
    </w:p>
    <w:p w14:paraId="752111B3" w14:textId="77777777" w:rsidR="00994399" w:rsidRDefault="00D40CFB" w:rsidP="00D40CFB">
      <w:pPr>
        <w:spacing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Times New Roman"/>
          <w:color w:val="000000"/>
          <w:szCs w:val="22"/>
          <w:lang w:eastAsia="hr-HR"/>
        </w:rPr>
        <w:t>U obrazloženju predloženog amandmana navedeno je kako bi se prihvaćanjem navedenog amandmana riješile sve potencijalne buduće nedoumice u slučajevima kada jedinice lokalne i područne (regionalne) samouprave ili ustanove čiji su osnivači ili suosnivači jedna ili više jedinica lokalne i područne (regionalne) samouprave imaju potrebu novim kreditom ili zajmom refinancirati ili reprogramirati ostatak duga po osnovi postojećeg kredita ii zajma.</w:t>
      </w:r>
    </w:p>
    <w:p w14:paraId="10B0F60B" w14:textId="77777777" w:rsidR="00485DA5" w:rsidRDefault="00D40CFB" w:rsidP="00485DA5">
      <w:pPr>
        <w:pStyle w:val="ListParagraph"/>
        <w:spacing w:line="240" w:lineRule="auto"/>
        <w:ind w:left="0" w:firstLine="708"/>
        <w:jc w:val="both"/>
      </w:pPr>
      <w:r w:rsidRPr="00331A9C">
        <w:rPr>
          <w:rFonts w:eastAsia="Times New Roman"/>
          <w:color w:val="000000"/>
          <w:szCs w:val="22"/>
          <w:lang w:eastAsia="hr-HR"/>
        </w:rPr>
        <w:lastRenderedPageBreak/>
        <w:t>Slijedom navedenog obrazloženja predmetni amandman zastupnika Marina Mandarića prihvaća se u izmijenjenom obliku</w:t>
      </w:r>
      <w:r w:rsidR="0002256E">
        <w:rPr>
          <w:rFonts w:eastAsia="Times New Roman"/>
          <w:color w:val="000000"/>
          <w:szCs w:val="22"/>
          <w:lang w:eastAsia="hr-HR"/>
        </w:rPr>
        <w:t>,</w:t>
      </w:r>
      <w:r w:rsidRPr="00331A9C">
        <w:rPr>
          <w:rFonts w:eastAsia="Times New Roman"/>
          <w:color w:val="000000"/>
          <w:szCs w:val="22"/>
          <w:lang w:eastAsia="hr-HR"/>
        </w:rPr>
        <w:t xml:space="preserve"> </w:t>
      </w:r>
      <w:r w:rsidR="00485DA5">
        <w:rPr>
          <w:rFonts w:eastAsia="Times New Roman"/>
          <w:color w:val="000000"/>
          <w:szCs w:val="22"/>
          <w:lang w:eastAsia="hr-HR"/>
        </w:rPr>
        <w:t>u kojem su na odgovarajući način prilagođene i prekršajne odredbe</w:t>
      </w:r>
      <w:r w:rsidR="0002256E">
        <w:rPr>
          <w:rFonts w:eastAsia="Times New Roman"/>
          <w:color w:val="000000"/>
          <w:szCs w:val="22"/>
          <w:lang w:eastAsia="hr-HR"/>
        </w:rPr>
        <w:t>,</w:t>
      </w:r>
      <w:r w:rsidR="00485DA5">
        <w:rPr>
          <w:rFonts w:eastAsia="Times New Roman"/>
          <w:color w:val="000000"/>
          <w:szCs w:val="22"/>
          <w:lang w:eastAsia="hr-HR"/>
        </w:rPr>
        <w:t xml:space="preserve"> </w:t>
      </w:r>
      <w:r w:rsidRPr="00331A9C">
        <w:rPr>
          <w:rFonts w:eastAsia="Times New Roman"/>
          <w:color w:val="000000"/>
          <w:szCs w:val="22"/>
          <w:lang w:eastAsia="hr-HR"/>
        </w:rPr>
        <w:t>tako da isti glasi:</w:t>
      </w:r>
      <w:r w:rsidR="00331A9C" w:rsidRPr="00331A9C">
        <w:rPr>
          <w:rFonts w:eastAsia="Times New Roman"/>
          <w:color w:val="000000"/>
          <w:szCs w:val="22"/>
          <w:lang w:eastAsia="hr-HR"/>
        </w:rPr>
        <w:t xml:space="preserve"> </w:t>
      </w:r>
      <w:r w:rsidR="00485DA5">
        <w:t>„(1) Proračunski korisnici jedinica lokalne i područne (regionalne) samouprave i ostale ustanove čiji su osnivači ili suosnivači jedna ili više jedinica lokalne i područne (regionalne) samouprave mogu se dugoročno zaduživati, samo za namjene utvrđene u članku 120. stavku 1. ovoga Zakona i refinancirati ili reprogramirati ostatak duga po osnovi kredita ili zajma uz suglasnost osnivača sukladno aktu o osnivanju.</w:t>
      </w:r>
    </w:p>
    <w:p w14:paraId="6FDBBAC4" w14:textId="77777777" w:rsidR="00485DA5" w:rsidRDefault="00485DA5" w:rsidP="00485DA5">
      <w:pPr>
        <w:pStyle w:val="ListParagraph"/>
        <w:spacing w:after="0" w:line="240" w:lineRule="auto"/>
        <w:ind w:left="0"/>
        <w:jc w:val="both"/>
      </w:pPr>
      <w:r>
        <w:t>(2) Izvanproračunski korisnici jedinica lokalne i područne (regionalne) samouprave i ostale pravne osobe u većinskom vlasništvu ili suvlasništvu jedinica lokalne i područne (regionalne) samouprave mogu se dugoročno zaduživati i refinancirati ili reprogramirati ostatak duga po osnovi kredita ili zajma uz suglasnost većinskog vlasnika.“.</w:t>
      </w:r>
    </w:p>
    <w:p w14:paraId="5B98E8F0" w14:textId="77777777" w:rsidR="00664B71" w:rsidRDefault="00664B71" w:rsidP="00485DA5">
      <w:pPr>
        <w:pStyle w:val="ListParagraph"/>
        <w:spacing w:after="0" w:line="240" w:lineRule="auto"/>
        <w:ind w:left="0"/>
        <w:jc w:val="both"/>
        <w:rPr>
          <w:rFonts w:eastAsia="Calibri"/>
        </w:rPr>
      </w:pPr>
      <w:r>
        <w:t>U članku 156. točka 65. mijenja se i glasi: „</w:t>
      </w:r>
      <w:r w:rsidRPr="004B511C">
        <w:rPr>
          <w:rFonts w:eastAsia="Calibri"/>
        </w:rPr>
        <w:t>ako se proračunski korisnici jedinica lokalne i područne (regionalne) samouprave i ostale ustanove čiji su osnivači ili suosnivači jedna ili više jedinica lokalne i područne (regionalne) samouprave dugoročno zaduž</w:t>
      </w:r>
      <w:r>
        <w:rPr>
          <w:rFonts w:eastAsia="Calibri"/>
        </w:rPr>
        <w:t>e, refinanciraju ili reprogramiraju ostatak duga po osnovi kredita ili zajma</w:t>
      </w:r>
      <w:r w:rsidRPr="004B511C">
        <w:rPr>
          <w:rFonts w:eastAsia="Calibri"/>
        </w:rPr>
        <w:t xml:space="preserve"> bez suglasnosti osnivača sukladno aktu o osnivanju</w:t>
      </w:r>
      <w:r>
        <w:rPr>
          <w:rFonts w:eastAsia="Calibri"/>
        </w:rPr>
        <w:t xml:space="preserve">, odnosno dugoročno zaduže </w:t>
      </w:r>
      <w:r w:rsidRPr="004B511C">
        <w:rPr>
          <w:rFonts w:eastAsia="Calibri"/>
        </w:rPr>
        <w:t>za druge namjene osim onih utvrđenih u člank</w:t>
      </w:r>
      <w:r>
        <w:rPr>
          <w:rFonts w:eastAsia="Calibri"/>
        </w:rPr>
        <w:t>u 120. stavku 1.</w:t>
      </w:r>
      <w:r w:rsidRPr="004B511C">
        <w:rPr>
          <w:rFonts w:eastAsia="Calibri"/>
        </w:rPr>
        <w:t xml:space="preserve"> </w:t>
      </w:r>
      <w:r>
        <w:rPr>
          <w:rFonts w:eastAsia="Calibri"/>
        </w:rPr>
        <w:t>(članak 127. stavak 1.).“</w:t>
      </w:r>
    </w:p>
    <w:p w14:paraId="142D2338" w14:textId="77777777" w:rsidR="00485DA5" w:rsidRDefault="00485DA5" w:rsidP="00485DA5">
      <w:pPr>
        <w:pStyle w:val="ListParagraph"/>
        <w:spacing w:after="0" w:line="240" w:lineRule="auto"/>
        <w:ind w:left="0"/>
        <w:jc w:val="both"/>
        <w:rPr>
          <w:rFonts w:eastAsia="Calibri"/>
        </w:rPr>
      </w:pPr>
      <w:r>
        <w:t>U članku 157. točka 4. mijenja se i glasi: „</w:t>
      </w:r>
      <w:r w:rsidRPr="009B3879">
        <w:rPr>
          <w:rFonts w:eastAsia="Calibri"/>
        </w:rPr>
        <w:t xml:space="preserve">ako se izvanproračunski korisnici jedinica lokalne i područne (regionalne) samouprave i ostale pravne osobe u većinskom vlasništvu ili suvlasništvu jedinica lokalne i područne (regionalne) samouprave dugoročno zaduže </w:t>
      </w:r>
      <w:r>
        <w:rPr>
          <w:rFonts w:eastAsia="Calibri"/>
        </w:rPr>
        <w:t>ili refinanciraju ili reprogramiraju ostatak duga po osnovi kredita ili zajma</w:t>
      </w:r>
      <w:r w:rsidRPr="004B511C">
        <w:rPr>
          <w:rFonts w:eastAsia="Calibri"/>
        </w:rPr>
        <w:t xml:space="preserve"> </w:t>
      </w:r>
      <w:r w:rsidRPr="009B3879">
        <w:rPr>
          <w:rFonts w:eastAsia="Calibri"/>
        </w:rPr>
        <w:t>bez suglasnosti većinskog vlasnika, odnosno bez suglasnosti ministra financija (članak 127. stavci 2. i 3.)</w:t>
      </w:r>
      <w:r>
        <w:rPr>
          <w:rFonts w:eastAsia="Calibri"/>
        </w:rPr>
        <w:t>.“.</w:t>
      </w:r>
    </w:p>
    <w:p w14:paraId="22ACE1A1" w14:textId="77777777" w:rsidR="00D40CFB" w:rsidRPr="00BE01C7" w:rsidRDefault="00D40CFB" w:rsidP="00485DA5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</w:p>
    <w:p w14:paraId="5D589F80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>Klub zastupnika Hrvatske socijalno-liberalne stranke i Narodne stranke – Reformista u Hrv</w:t>
      </w:r>
      <w:r w:rsidR="00B61566">
        <w:rPr>
          <w:rFonts w:eastAsia="MS Mincho"/>
          <w:lang w:eastAsia="ja-JP"/>
        </w:rPr>
        <w:t>atskom saboru predložio je</w:t>
      </w:r>
      <w:r w:rsidR="0053322A">
        <w:rPr>
          <w:rFonts w:eastAsia="MS Mincho"/>
          <w:lang w:eastAsia="ja-JP"/>
        </w:rPr>
        <w:t xml:space="preserve"> amandmane </w:t>
      </w:r>
      <w:r w:rsidRPr="00E9793B">
        <w:rPr>
          <w:rFonts w:eastAsia="MS Mincho"/>
          <w:lang w:eastAsia="ja-JP"/>
        </w:rPr>
        <w:t xml:space="preserve">na </w:t>
      </w:r>
      <w:r w:rsidR="00FD7FF2" w:rsidRPr="00FD7FF2">
        <w:rPr>
          <w:rFonts w:eastAsia="MS Mincho"/>
          <w:lang w:eastAsia="ja-JP"/>
        </w:rPr>
        <w:t xml:space="preserve">144., </w:t>
      </w:r>
      <w:r w:rsidR="002057A0" w:rsidRPr="00FD7FF2">
        <w:rPr>
          <w:rFonts w:eastAsia="MS Mincho"/>
          <w:lang w:eastAsia="ja-JP"/>
        </w:rPr>
        <w:t>156.</w:t>
      </w:r>
      <w:r w:rsidR="00FD7FF2" w:rsidRPr="00FD7FF2">
        <w:rPr>
          <w:rFonts w:eastAsia="MS Mincho"/>
          <w:lang w:eastAsia="ja-JP"/>
        </w:rPr>
        <w:t>, 157., 160. i 162.</w:t>
      </w:r>
      <w:r w:rsidR="002057A0" w:rsidRPr="00FD7FF2">
        <w:rPr>
          <w:rFonts w:eastAsia="MS Mincho"/>
          <w:lang w:eastAsia="ja-JP"/>
        </w:rPr>
        <w:t xml:space="preserve"> </w:t>
      </w:r>
      <w:r w:rsidR="00FD7FF2">
        <w:rPr>
          <w:rFonts w:eastAsia="MS Mincho"/>
          <w:lang w:eastAsia="ja-JP"/>
        </w:rPr>
        <w:t>Konačnog p</w:t>
      </w:r>
      <w:r>
        <w:rPr>
          <w:rFonts w:eastAsia="MS Mincho"/>
          <w:lang w:eastAsia="ja-JP"/>
        </w:rPr>
        <w:t>rijedloga Zakona o proračunu</w:t>
      </w:r>
      <w:r w:rsidR="00FD7FF2">
        <w:rPr>
          <w:rFonts w:eastAsia="MS Mincho"/>
          <w:lang w:eastAsia="ja-JP"/>
        </w:rPr>
        <w:t xml:space="preserve">. </w:t>
      </w:r>
    </w:p>
    <w:p w14:paraId="2BEBCC51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1009F899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 xml:space="preserve">Amandmani Kluba zastupnika </w:t>
      </w:r>
      <w:r w:rsidR="002057A0" w:rsidRPr="002057A0">
        <w:rPr>
          <w:rFonts w:eastAsia="MS Mincho"/>
          <w:lang w:eastAsia="ja-JP"/>
        </w:rPr>
        <w:t xml:space="preserve">Hrvatske socijalno-liberalne stranke i Narodne stranke – Reformista </w:t>
      </w:r>
      <w:r w:rsidRPr="00E9793B">
        <w:rPr>
          <w:rFonts w:eastAsia="MS Mincho"/>
          <w:lang w:eastAsia="ja-JP"/>
        </w:rPr>
        <w:t>glase:</w:t>
      </w:r>
    </w:p>
    <w:p w14:paraId="6992CFC2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40393EF0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>„AMANDMAN I</w:t>
      </w:r>
    </w:p>
    <w:p w14:paraId="6F304185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294E7E55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 xml:space="preserve">U članku 144. stavci 10. i 11. mijenjaju se i glase: </w:t>
      </w:r>
    </w:p>
    <w:p w14:paraId="435155D3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 xml:space="preserve">„(10) Jedinice lokalne i područne (regionalne) samouprave, proračunski i izvanproračunski korisnici dužni su javno objavljivati informacije o trošenju sredstava na svojim mrežnim stranicama na način da te informacije budu lako dostupne, pretražive i strojno čitljive. </w:t>
      </w:r>
    </w:p>
    <w:p w14:paraId="22565C6A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 xml:space="preserve">(11) Objava informacija iz stavka 10. ovoga članka podrazumijeva najmanje objavu isplata iz proračuna, odnosno financijskog plana tijekom proračunske godine, objavu podataka o isplatitelju i vrsti rashoda, odnosno izdatka te objavu podataka o primatelju sredstava, uključujući i njegov osobni identifikacijski broj, naziv pravne </w:t>
      </w:r>
      <w:r w:rsidRPr="00E9793B">
        <w:rPr>
          <w:rFonts w:eastAsia="MS Mincho"/>
          <w:lang w:eastAsia="ja-JP"/>
        </w:rPr>
        <w:lastRenderedPageBreak/>
        <w:t>osobe, odnosno ime i prezime fizičke osobe, osim informacija koje predstavljaju klasificirani podatak prema zakonu kojim je uređena tajnost podataka i informacija čija bi objava bila protivna posebnim propisima.“</w:t>
      </w:r>
    </w:p>
    <w:p w14:paraId="66242366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136EF88B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 xml:space="preserve">Iza stavka 11. dodaju se stavci 12. i 13. koji glase: </w:t>
      </w:r>
    </w:p>
    <w:p w14:paraId="2341A2F9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>„(12) Ministar financija naputkom utvrđuje okvirni sadržaj, minimalni skup podataka te način javne objave informacija o trošenju sredstava na mrežnim stranicama iz stavaka 10. i 11. ovoga članka.</w:t>
      </w:r>
    </w:p>
    <w:p w14:paraId="2815DFF5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>(13) Naputkom iz stavka 12. ovoga članka utvrdit će se i učestalost objave informacija iz stavaka 10. i 11. ovoga članka, kao i način njihovog masovnog preuzimanja.“</w:t>
      </w:r>
    </w:p>
    <w:p w14:paraId="6A3D8801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55976B93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>AMANDMAN II</w:t>
      </w:r>
    </w:p>
    <w:p w14:paraId="2D06BEBF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76D05EC7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>U članku 15</w:t>
      </w:r>
      <w:r w:rsidR="002057A0">
        <w:rPr>
          <w:rFonts w:eastAsia="MS Mincho"/>
          <w:lang w:eastAsia="ja-JP"/>
        </w:rPr>
        <w:t>6</w:t>
      </w:r>
      <w:r w:rsidRPr="00E9793B">
        <w:rPr>
          <w:rFonts w:eastAsia="MS Mincho"/>
          <w:lang w:eastAsia="ja-JP"/>
        </w:rPr>
        <w:t xml:space="preserve">. točka 85. mijenja se i glasi: </w:t>
      </w:r>
    </w:p>
    <w:p w14:paraId="32D0FDBE" w14:textId="77777777" w:rsid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E9793B">
        <w:rPr>
          <w:rFonts w:eastAsia="MS Mincho"/>
          <w:lang w:eastAsia="ja-JP"/>
        </w:rPr>
        <w:t>„ako jedinice lokalne i područne (regionalne) samouprave, proračunski i izvanproračunski korisnici javno ne objave informacije o trošenju sredstava na svojim mrežnim stranicama na način da su te informacije lako dostupne, pretražive i strojno čitljive te u skladu s naputkom ministra financija iz članka 144.  stavka 12. (članak 144. stavci 10. i 12.)“</w:t>
      </w:r>
    </w:p>
    <w:p w14:paraId="16A328D5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0C623FCF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AMANDMAN III</w:t>
      </w:r>
    </w:p>
    <w:p w14:paraId="3036A62B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3B917B6A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U članku 157. točka 5. mijenja se i glasi: </w:t>
      </w:r>
    </w:p>
    <w:p w14:paraId="57386966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„</w:t>
      </w:r>
      <w:r w:rsidRPr="00CC5CF4">
        <w:rPr>
          <w:rFonts w:eastAsia="MS Mincho"/>
          <w:lang w:eastAsia="ja-JP"/>
        </w:rPr>
        <w:t>ako izvanproračunski korisnici javno ne objave informacije o trošenju sredstava na svojim mrežnim stranicama na način da su</w:t>
      </w:r>
      <w:r>
        <w:rPr>
          <w:rFonts w:eastAsia="MS Mincho"/>
          <w:lang w:eastAsia="ja-JP"/>
        </w:rPr>
        <w:t xml:space="preserve"> te informacije lako dostupne, </w:t>
      </w:r>
      <w:r w:rsidRPr="00CC5CF4">
        <w:rPr>
          <w:rFonts w:eastAsia="MS Mincho"/>
          <w:lang w:eastAsia="ja-JP"/>
        </w:rPr>
        <w:t xml:space="preserve">pretražive </w:t>
      </w:r>
      <w:r>
        <w:rPr>
          <w:rFonts w:eastAsia="MS Mincho"/>
          <w:lang w:eastAsia="ja-JP"/>
        </w:rPr>
        <w:t xml:space="preserve">i strojno čitljive te </w:t>
      </w:r>
      <w:r w:rsidRPr="00CC5CF4">
        <w:rPr>
          <w:rFonts w:eastAsia="MS Mincho"/>
          <w:lang w:eastAsia="ja-JP"/>
        </w:rPr>
        <w:t>u skladu s naputkom ministra financija iz članka 144.  stavka 1</w:t>
      </w:r>
      <w:r>
        <w:rPr>
          <w:rFonts w:eastAsia="MS Mincho"/>
          <w:lang w:eastAsia="ja-JP"/>
        </w:rPr>
        <w:t xml:space="preserve">2. (članak 144. stavci </w:t>
      </w:r>
      <w:r w:rsidRPr="00CC5CF4">
        <w:rPr>
          <w:rFonts w:eastAsia="MS Mincho"/>
          <w:lang w:eastAsia="ja-JP"/>
        </w:rPr>
        <w:t>10.</w:t>
      </w:r>
      <w:r>
        <w:rPr>
          <w:rFonts w:eastAsia="MS Mincho"/>
          <w:lang w:eastAsia="ja-JP"/>
        </w:rPr>
        <w:t xml:space="preserve"> i 12.</w:t>
      </w:r>
      <w:r w:rsidRPr="00CC5CF4">
        <w:rPr>
          <w:rFonts w:eastAsia="MS Mincho"/>
          <w:lang w:eastAsia="ja-JP"/>
        </w:rPr>
        <w:t>)</w:t>
      </w:r>
    </w:p>
    <w:p w14:paraId="2A304A5E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19A1C999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AMANDMAN IV</w:t>
      </w:r>
    </w:p>
    <w:p w14:paraId="6EBFB710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4BDEE1C4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U članku 160. točka 7. mijenja se i glasi: </w:t>
      </w:r>
    </w:p>
    <w:p w14:paraId="4087E6E8" w14:textId="77777777" w:rsidR="00CC5CF4" w:rsidRP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„</w:t>
      </w:r>
      <w:r w:rsidRPr="00CC5CF4">
        <w:rPr>
          <w:rFonts w:eastAsia="MS Mincho"/>
          <w:lang w:eastAsia="ja-JP"/>
        </w:rPr>
        <w:t>ako jedinica lokalne i područne (regionalne) samouprave javno ne objavi informacije o trošenju sredstava na svojim mrežnim stranicama na način da su te i</w:t>
      </w:r>
      <w:r>
        <w:rPr>
          <w:rFonts w:eastAsia="MS Mincho"/>
          <w:lang w:eastAsia="ja-JP"/>
        </w:rPr>
        <w:t xml:space="preserve">nformacije lako dostupne, </w:t>
      </w:r>
      <w:r w:rsidRPr="00CC5CF4">
        <w:rPr>
          <w:rFonts w:eastAsia="MS Mincho"/>
          <w:lang w:eastAsia="ja-JP"/>
        </w:rPr>
        <w:t>pretražive i strojno čitljive te u skladu s naputkom ministra financija iz članka 144.  stavka 12. (članak 144. stavci 10. i 12.)</w:t>
      </w:r>
      <w:r w:rsidRPr="00CC5CF4">
        <w:rPr>
          <w:rFonts w:eastAsia="MS Mincho"/>
          <w:lang w:eastAsia="ja-JP"/>
        </w:rPr>
        <w:tab/>
      </w:r>
    </w:p>
    <w:p w14:paraId="38B22FCB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26E04C99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AMANDMAN V</w:t>
      </w:r>
    </w:p>
    <w:p w14:paraId="05E758DC" w14:textId="77777777" w:rsid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1748AA25" w14:textId="77777777" w:rsidR="00CC5CF4" w:rsidRPr="00CC5CF4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CC5CF4">
        <w:rPr>
          <w:rFonts w:eastAsia="MS Mincho"/>
          <w:lang w:eastAsia="ja-JP"/>
        </w:rPr>
        <w:t xml:space="preserve">U članku 162. stavku 1. podstavak 12. mijenja se i glasi: </w:t>
      </w:r>
    </w:p>
    <w:p w14:paraId="59B40616" w14:textId="77777777" w:rsidR="00CC5CF4" w:rsidRPr="00E9793B" w:rsidRDefault="00CC5CF4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  <w:r w:rsidRPr="00CC5CF4">
        <w:rPr>
          <w:rFonts w:eastAsia="MS Mincho"/>
          <w:lang w:eastAsia="ja-JP"/>
        </w:rPr>
        <w:t>„- naputak iz članka 144. stavka 12.“</w:t>
      </w:r>
    </w:p>
    <w:p w14:paraId="6A5A601E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28264ED8" w14:textId="77777777" w:rsidR="00E9793B" w:rsidRPr="00E9793B" w:rsidRDefault="002057A0" w:rsidP="00FD7FF2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U obrazloženju predloženih amandmana navedeno je kako će se njihovim prihvaćanjem osigurati da</w:t>
      </w:r>
      <w:r w:rsidR="00E9793B" w:rsidRPr="00E9793B">
        <w:rPr>
          <w:rFonts w:eastAsia="MS Mincho"/>
          <w:lang w:eastAsia="ja-JP"/>
        </w:rPr>
        <w:t xml:space="preserve"> informacije o trošenju sredstava koje će objavljivati jedinice </w:t>
      </w:r>
      <w:r w:rsidR="00E9793B" w:rsidRPr="00E9793B">
        <w:rPr>
          <w:rFonts w:eastAsia="MS Mincho"/>
          <w:lang w:eastAsia="ja-JP"/>
        </w:rPr>
        <w:lastRenderedPageBreak/>
        <w:t>lokalne i područne (regionalne) samouprave te proračunski i izvanproračunski korisnici budu objavljene na njihovim mrežnim stranicama na način da su te informacije lako dostupne, pretražive i strojno čitljive. Dodatno, propisuje se minimum informacija koje u t</w:t>
      </w:r>
      <w:r>
        <w:rPr>
          <w:rFonts w:eastAsia="MS Mincho"/>
          <w:lang w:eastAsia="ja-JP"/>
        </w:rPr>
        <w:t>om smislu moraju biti objavljene</w:t>
      </w:r>
      <w:r w:rsidR="00E9793B" w:rsidRPr="00E9793B">
        <w:rPr>
          <w:rFonts w:eastAsia="MS Mincho"/>
          <w:lang w:eastAsia="ja-JP"/>
        </w:rPr>
        <w:t>, a precizira se da će ministar financija naputkom utvrditi okvirni sadržaj, minimalni skup podataka, način javne objave informacija o trošenju sredstava na mrežnim stranicama</w:t>
      </w:r>
      <w:r w:rsidR="00B61566">
        <w:rPr>
          <w:rFonts w:eastAsia="MS Mincho"/>
          <w:lang w:eastAsia="ja-JP"/>
        </w:rPr>
        <w:t xml:space="preserve"> obveznika objave</w:t>
      </w:r>
      <w:r w:rsidR="00E9793B" w:rsidRPr="00E9793B">
        <w:rPr>
          <w:rFonts w:eastAsia="MS Mincho"/>
          <w:lang w:eastAsia="ja-JP"/>
        </w:rPr>
        <w:t xml:space="preserve">, ali i učestalost objave </w:t>
      </w:r>
      <w:r w:rsidR="00B61566">
        <w:rPr>
          <w:rFonts w:eastAsia="MS Mincho"/>
          <w:lang w:eastAsia="ja-JP"/>
        </w:rPr>
        <w:t xml:space="preserve">takvih </w:t>
      </w:r>
      <w:r w:rsidR="00E9793B" w:rsidRPr="00E9793B">
        <w:rPr>
          <w:rFonts w:eastAsia="MS Mincho"/>
          <w:lang w:eastAsia="ja-JP"/>
        </w:rPr>
        <w:t>informacija, kao i način njihovog masovnog preuzimanja.</w:t>
      </w:r>
      <w:r w:rsidR="00CC5CF4" w:rsidRPr="00CC5CF4">
        <w:t xml:space="preserve"> </w:t>
      </w:r>
      <w:r w:rsidR="00CC5CF4">
        <w:t xml:space="preserve">Uz to, </w:t>
      </w:r>
      <w:r w:rsidR="00CC5CF4" w:rsidRPr="00CC5CF4">
        <w:rPr>
          <w:rFonts w:eastAsia="MS Mincho"/>
          <w:lang w:eastAsia="ja-JP"/>
        </w:rPr>
        <w:t>na odgovarajući način prilagođavaju odredbe koje su povezane s člankom 144. Konačnog prijedloga zakona o proračunu.</w:t>
      </w:r>
    </w:p>
    <w:p w14:paraId="60AB762E" w14:textId="77777777" w:rsidR="00E9793B" w:rsidRPr="00E9793B" w:rsidRDefault="00E9793B" w:rsidP="00FD7FF2">
      <w:pPr>
        <w:spacing w:after="0" w:line="240" w:lineRule="auto"/>
        <w:ind w:firstLine="709"/>
        <w:jc w:val="both"/>
        <w:rPr>
          <w:rFonts w:eastAsia="MS Mincho"/>
          <w:lang w:eastAsia="ja-JP"/>
        </w:rPr>
      </w:pPr>
    </w:p>
    <w:p w14:paraId="2CE1A804" w14:textId="77777777" w:rsidR="00C5401F" w:rsidRDefault="00E9793B" w:rsidP="00FD7FF2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  <w:r w:rsidRPr="00E9793B">
        <w:rPr>
          <w:rFonts w:eastAsia="MS Mincho"/>
          <w:lang w:eastAsia="ja-JP"/>
        </w:rPr>
        <w:t xml:space="preserve">Slijedom navedenog obrazloženja, predmetni amandmani Kluba zastupnika </w:t>
      </w:r>
      <w:r w:rsidR="002057A0" w:rsidRPr="002057A0">
        <w:rPr>
          <w:rFonts w:eastAsia="MS Mincho"/>
          <w:lang w:eastAsia="ja-JP"/>
        </w:rPr>
        <w:t xml:space="preserve">Hrvatske socijalno-liberalne stranke i Narodne stranke – Reformista </w:t>
      </w:r>
      <w:r w:rsidRPr="00E9793B">
        <w:rPr>
          <w:rFonts w:eastAsia="MS Mincho"/>
          <w:lang w:eastAsia="ja-JP"/>
        </w:rPr>
        <w:t xml:space="preserve">se prihvaćaju u cijelosti. </w:t>
      </w:r>
    </w:p>
    <w:p w14:paraId="67F76B1B" w14:textId="77777777" w:rsidR="001F1B31" w:rsidRDefault="001F1B31" w:rsidP="00403DE1">
      <w:pPr>
        <w:spacing w:after="0" w:line="240" w:lineRule="auto"/>
        <w:jc w:val="both"/>
        <w:rPr>
          <w:rFonts w:eastAsia="Times New Roman"/>
          <w:color w:val="000000"/>
          <w:szCs w:val="22"/>
          <w:lang w:eastAsia="hr-HR"/>
        </w:rPr>
      </w:pPr>
    </w:p>
    <w:p w14:paraId="19D4D9DB" w14:textId="77777777" w:rsidR="006A7815" w:rsidRDefault="006A7815" w:rsidP="00FD7FF2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  <w:r w:rsidRPr="006A7815">
        <w:rPr>
          <w:rFonts w:eastAsia="Times New Roman"/>
          <w:color w:val="000000"/>
          <w:szCs w:val="22"/>
          <w:lang w:eastAsia="hr-HR"/>
        </w:rPr>
        <w:t xml:space="preserve">Slijedom svega navedenog, odlučeno je kao u izreci </w:t>
      </w:r>
      <w:r w:rsidR="00B61566">
        <w:rPr>
          <w:rFonts w:eastAsia="Times New Roman"/>
          <w:color w:val="000000"/>
          <w:szCs w:val="22"/>
          <w:lang w:eastAsia="hr-HR"/>
        </w:rPr>
        <w:t>Zaključka</w:t>
      </w:r>
      <w:r w:rsidR="00FD7FF2">
        <w:rPr>
          <w:rFonts w:eastAsia="Times New Roman"/>
          <w:color w:val="000000"/>
          <w:szCs w:val="22"/>
          <w:lang w:eastAsia="hr-HR"/>
        </w:rPr>
        <w:t xml:space="preserve">. </w:t>
      </w:r>
    </w:p>
    <w:sectPr w:rsidR="006A7815" w:rsidSect="0024532F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8BF2" w14:textId="77777777" w:rsidR="00586F02" w:rsidRDefault="00586F02">
      <w:pPr>
        <w:spacing w:after="0" w:line="240" w:lineRule="auto"/>
      </w:pPr>
      <w:r>
        <w:separator/>
      </w:r>
    </w:p>
  </w:endnote>
  <w:endnote w:type="continuationSeparator" w:id="0">
    <w:p w14:paraId="748F97BB" w14:textId="77777777" w:rsidR="00586F02" w:rsidRDefault="0058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004145"/>
      <w:docPartObj>
        <w:docPartGallery w:val="Page Numbers (Bottom of Page)"/>
        <w:docPartUnique/>
      </w:docPartObj>
    </w:sdtPr>
    <w:sdtEndPr/>
    <w:sdtContent>
      <w:p w14:paraId="75997AD5" w14:textId="2B4575EE" w:rsidR="00CC2364" w:rsidRPr="00CC2364" w:rsidRDefault="00354887">
        <w:pPr>
          <w:pStyle w:val="Footer"/>
          <w:jc w:val="center"/>
        </w:pPr>
        <w:r w:rsidRPr="00CC2364">
          <w:fldChar w:fldCharType="begin"/>
        </w:r>
        <w:r w:rsidRPr="00CC2364">
          <w:instrText>PAGE   \* MERGEFORMAT</w:instrText>
        </w:r>
        <w:r w:rsidRPr="00CC2364">
          <w:fldChar w:fldCharType="separate"/>
        </w:r>
        <w:r w:rsidR="00BC3DE1">
          <w:rPr>
            <w:noProof/>
          </w:rPr>
          <w:t>2</w:t>
        </w:r>
        <w:r w:rsidRPr="00CC2364">
          <w:fldChar w:fldCharType="end"/>
        </w:r>
      </w:p>
    </w:sdtContent>
  </w:sdt>
  <w:p w14:paraId="1C0A417B" w14:textId="77777777" w:rsidR="00CC2364" w:rsidRDefault="00BC3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C826" w14:textId="77777777" w:rsidR="00586F02" w:rsidRDefault="00586F02">
      <w:pPr>
        <w:spacing w:after="0" w:line="240" w:lineRule="auto"/>
      </w:pPr>
      <w:r>
        <w:separator/>
      </w:r>
    </w:p>
  </w:footnote>
  <w:footnote w:type="continuationSeparator" w:id="0">
    <w:p w14:paraId="2AD14A0D" w14:textId="77777777" w:rsidR="00586F02" w:rsidRDefault="00586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674C" w14:textId="77777777" w:rsidR="00546B3D" w:rsidRDefault="00BC3DE1">
    <w:pPr>
      <w:pStyle w:val="Header"/>
    </w:pPr>
  </w:p>
  <w:p w14:paraId="2CEEA3E1" w14:textId="77777777" w:rsidR="00546B3D" w:rsidRDefault="00BC3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4AAE"/>
    <w:multiLevelType w:val="hybridMultilevel"/>
    <w:tmpl w:val="8CEA7CC2"/>
    <w:lvl w:ilvl="0" w:tplc="402E78F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B2951"/>
    <w:multiLevelType w:val="hybridMultilevel"/>
    <w:tmpl w:val="4DFC4618"/>
    <w:lvl w:ilvl="0" w:tplc="A09E7690">
      <w:start w:val="2"/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9B4ACD0A">
      <w:start w:val="1"/>
      <w:numFmt w:val="decimal"/>
      <w:lvlText w:val="(%2)"/>
      <w:lvlJc w:val="left"/>
      <w:pPr>
        <w:ind w:left="1495" w:hanging="360"/>
      </w:pPr>
      <w:rPr>
        <w:rFonts w:hint="default"/>
      </w:rPr>
    </w:lvl>
    <w:lvl w:ilvl="2" w:tplc="23C0D432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935" w:hanging="360"/>
      </w:pPr>
    </w:lvl>
    <w:lvl w:ilvl="4" w:tplc="041A0019" w:tentative="1">
      <w:start w:val="1"/>
      <w:numFmt w:val="lowerLetter"/>
      <w:lvlText w:val="%5."/>
      <w:lvlJc w:val="left"/>
      <w:pPr>
        <w:ind w:left="3655" w:hanging="360"/>
      </w:pPr>
    </w:lvl>
    <w:lvl w:ilvl="5" w:tplc="041A001B" w:tentative="1">
      <w:start w:val="1"/>
      <w:numFmt w:val="lowerRoman"/>
      <w:lvlText w:val="%6."/>
      <w:lvlJc w:val="right"/>
      <w:pPr>
        <w:ind w:left="4375" w:hanging="180"/>
      </w:pPr>
    </w:lvl>
    <w:lvl w:ilvl="6" w:tplc="041A000F" w:tentative="1">
      <w:start w:val="1"/>
      <w:numFmt w:val="decimal"/>
      <w:lvlText w:val="%7."/>
      <w:lvlJc w:val="left"/>
      <w:pPr>
        <w:ind w:left="5095" w:hanging="360"/>
      </w:pPr>
    </w:lvl>
    <w:lvl w:ilvl="7" w:tplc="041A0019" w:tentative="1">
      <w:start w:val="1"/>
      <w:numFmt w:val="lowerLetter"/>
      <w:lvlText w:val="%8."/>
      <w:lvlJc w:val="left"/>
      <w:pPr>
        <w:ind w:left="5815" w:hanging="360"/>
      </w:pPr>
    </w:lvl>
    <w:lvl w:ilvl="8" w:tplc="041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5B6B5890"/>
    <w:multiLevelType w:val="hybridMultilevel"/>
    <w:tmpl w:val="8C40D57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34AB3"/>
    <w:multiLevelType w:val="hybridMultilevel"/>
    <w:tmpl w:val="D4C8BB50"/>
    <w:lvl w:ilvl="0" w:tplc="1FA8E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B3"/>
    <w:rsid w:val="00004014"/>
    <w:rsid w:val="0002256E"/>
    <w:rsid w:val="0019544F"/>
    <w:rsid w:val="001E1FE1"/>
    <w:rsid w:val="001E701A"/>
    <w:rsid w:val="001F1B31"/>
    <w:rsid w:val="00201B84"/>
    <w:rsid w:val="002057A0"/>
    <w:rsid w:val="0024532F"/>
    <w:rsid w:val="0026515C"/>
    <w:rsid w:val="00272F6A"/>
    <w:rsid w:val="002C603E"/>
    <w:rsid w:val="002E4029"/>
    <w:rsid w:val="00331A9C"/>
    <w:rsid w:val="0033390A"/>
    <w:rsid w:val="00337386"/>
    <w:rsid w:val="00354179"/>
    <w:rsid w:val="00354887"/>
    <w:rsid w:val="00403DE1"/>
    <w:rsid w:val="00485DA5"/>
    <w:rsid w:val="004B3B0D"/>
    <w:rsid w:val="004D40C5"/>
    <w:rsid w:val="0053322A"/>
    <w:rsid w:val="005412FE"/>
    <w:rsid w:val="005418C8"/>
    <w:rsid w:val="00586F02"/>
    <w:rsid w:val="00663737"/>
    <w:rsid w:val="00664B71"/>
    <w:rsid w:val="006754D9"/>
    <w:rsid w:val="006A7815"/>
    <w:rsid w:val="006D3E13"/>
    <w:rsid w:val="006F4677"/>
    <w:rsid w:val="006F69D4"/>
    <w:rsid w:val="0070585C"/>
    <w:rsid w:val="008320B3"/>
    <w:rsid w:val="008601AA"/>
    <w:rsid w:val="008676E9"/>
    <w:rsid w:val="00927757"/>
    <w:rsid w:val="0096320F"/>
    <w:rsid w:val="00991A60"/>
    <w:rsid w:val="00991C92"/>
    <w:rsid w:val="00994399"/>
    <w:rsid w:val="009D7A73"/>
    <w:rsid w:val="009E3E40"/>
    <w:rsid w:val="009E4462"/>
    <w:rsid w:val="00A0094B"/>
    <w:rsid w:val="00A4303D"/>
    <w:rsid w:val="00A56366"/>
    <w:rsid w:val="00A577FE"/>
    <w:rsid w:val="00A71BF8"/>
    <w:rsid w:val="00B031CD"/>
    <w:rsid w:val="00B26448"/>
    <w:rsid w:val="00B30B35"/>
    <w:rsid w:val="00B54324"/>
    <w:rsid w:val="00B56119"/>
    <w:rsid w:val="00B61566"/>
    <w:rsid w:val="00BB2825"/>
    <w:rsid w:val="00BC29D4"/>
    <w:rsid w:val="00BC3DE1"/>
    <w:rsid w:val="00BD2F35"/>
    <w:rsid w:val="00BE01C7"/>
    <w:rsid w:val="00C35FB2"/>
    <w:rsid w:val="00C5401F"/>
    <w:rsid w:val="00CC5CF4"/>
    <w:rsid w:val="00CE6F6B"/>
    <w:rsid w:val="00D1532A"/>
    <w:rsid w:val="00D40CFB"/>
    <w:rsid w:val="00D614A7"/>
    <w:rsid w:val="00DA0417"/>
    <w:rsid w:val="00DD3F82"/>
    <w:rsid w:val="00E0405F"/>
    <w:rsid w:val="00E12FD1"/>
    <w:rsid w:val="00E21DD2"/>
    <w:rsid w:val="00E31522"/>
    <w:rsid w:val="00E9793B"/>
    <w:rsid w:val="00EB5224"/>
    <w:rsid w:val="00ED7464"/>
    <w:rsid w:val="00F41B8B"/>
    <w:rsid w:val="00F43AD8"/>
    <w:rsid w:val="00F90708"/>
    <w:rsid w:val="00FA71CA"/>
    <w:rsid w:val="00FD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E9AB"/>
  <w15:docId w15:val="{778B6AF4-85AD-494D-941B-219DEE5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0B3"/>
  </w:style>
  <w:style w:type="paragraph" w:styleId="Footer">
    <w:name w:val="footer"/>
    <w:basedOn w:val="Normal"/>
    <w:link w:val="FooterChar"/>
    <w:uiPriority w:val="99"/>
    <w:semiHidden/>
    <w:unhideWhenUsed/>
    <w:rsid w:val="0083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0B3"/>
  </w:style>
  <w:style w:type="table" w:styleId="TableGrid">
    <w:name w:val="Table Grid"/>
    <w:basedOn w:val="TableNormal"/>
    <w:rsid w:val="008320B3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Serdar</dc:creator>
  <cp:lastModifiedBy>Silvija Bartolec</cp:lastModifiedBy>
  <cp:revision>2</cp:revision>
  <cp:lastPrinted>2021-12-10T07:58:00Z</cp:lastPrinted>
  <dcterms:created xsi:type="dcterms:W3CDTF">2021-12-13T14:53:00Z</dcterms:created>
  <dcterms:modified xsi:type="dcterms:W3CDTF">2021-12-13T14:53:00Z</dcterms:modified>
</cp:coreProperties>
</file>