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B831C" w14:textId="77777777" w:rsidR="000C44AA" w:rsidRPr="00C208B8" w:rsidRDefault="000C44AA" w:rsidP="000C44AA">
      <w:pPr>
        <w:jc w:val="center"/>
      </w:pPr>
      <w:r>
        <w:rPr>
          <w:noProof/>
        </w:rPr>
        <w:drawing>
          <wp:inline distT="0" distB="0" distL="0" distR="0" wp14:anchorId="73383E44" wp14:editId="4FB9BDF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6E1A6E8" w14:textId="77777777" w:rsidR="000C44AA" w:rsidRPr="0023763F" w:rsidRDefault="000C44AA" w:rsidP="000C44AA">
      <w:pPr>
        <w:spacing w:before="60" w:after="1680"/>
        <w:jc w:val="center"/>
        <w:rPr>
          <w:sz w:val="28"/>
        </w:rPr>
      </w:pPr>
      <w:r w:rsidRPr="0023763F">
        <w:rPr>
          <w:sz w:val="28"/>
        </w:rPr>
        <w:t>VLADA REPUBLIKE HRVATSKE</w:t>
      </w:r>
    </w:p>
    <w:p w14:paraId="09CCF50A" w14:textId="77777777" w:rsidR="000C44AA" w:rsidRDefault="000C44AA" w:rsidP="000C44AA"/>
    <w:p w14:paraId="16E1438C" w14:textId="2CB5D18A" w:rsidR="000C44AA" w:rsidRPr="003A2F05" w:rsidRDefault="000C44AA" w:rsidP="000C44AA">
      <w:pPr>
        <w:spacing w:after="2400"/>
        <w:jc w:val="right"/>
      </w:pPr>
      <w:r w:rsidRPr="003A2F05">
        <w:t xml:space="preserve">Zagreb, </w:t>
      </w:r>
      <w:r w:rsidR="000A471D">
        <w:t>15</w:t>
      </w:r>
      <w:r w:rsidRPr="003A2F05">
        <w:t xml:space="preserve">. </w:t>
      </w:r>
      <w:r w:rsidR="000A471D">
        <w:t>prosinc</w:t>
      </w:r>
      <w:r>
        <w:t>a</w:t>
      </w:r>
      <w:r w:rsidRPr="003A2F05">
        <w:t xml:space="preserve"> 20</w:t>
      </w:r>
      <w:r>
        <w:t>2</w:t>
      </w:r>
      <w:r w:rsidR="000A471D">
        <w:t>1</w:t>
      </w:r>
      <w:r w:rsidRPr="003A2F05">
        <w:t>.</w:t>
      </w:r>
    </w:p>
    <w:p w14:paraId="5AE90D34" w14:textId="77777777" w:rsidR="000C44AA" w:rsidRPr="002179F8" w:rsidRDefault="000C44AA" w:rsidP="000C44AA">
      <w:pPr>
        <w:spacing w:line="360" w:lineRule="auto"/>
      </w:pPr>
      <w:r w:rsidRPr="002179F8">
        <w:t>__________________________________________________________________________</w:t>
      </w:r>
    </w:p>
    <w:p w14:paraId="1D9C22C0" w14:textId="77777777" w:rsidR="000C44AA" w:rsidRDefault="000C44AA" w:rsidP="000C44AA">
      <w:pPr>
        <w:tabs>
          <w:tab w:val="right" w:pos="1701"/>
          <w:tab w:val="left" w:pos="1843"/>
        </w:tabs>
        <w:spacing w:line="360" w:lineRule="auto"/>
        <w:ind w:left="1843" w:hanging="1843"/>
        <w:rPr>
          <w:b/>
          <w:smallCaps/>
        </w:rPr>
        <w:sectPr w:rsidR="000C44AA" w:rsidSect="000C44A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44AA" w14:paraId="20203072" w14:textId="77777777" w:rsidTr="00796FB6">
        <w:tc>
          <w:tcPr>
            <w:tcW w:w="1951" w:type="dxa"/>
          </w:tcPr>
          <w:p w14:paraId="09EDCFC8" w14:textId="77777777" w:rsidR="000C44AA" w:rsidRDefault="000C44AA" w:rsidP="00796FB6">
            <w:pPr>
              <w:spacing w:line="360" w:lineRule="auto"/>
              <w:jc w:val="right"/>
            </w:pPr>
            <w:r w:rsidRPr="003A2F05">
              <w:rPr>
                <w:b/>
                <w:smallCaps/>
              </w:rPr>
              <w:lastRenderedPageBreak/>
              <w:t>Predlagatelj</w:t>
            </w:r>
            <w:r w:rsidRPr="002179F8">
              <w:rPr>
                <w:b/>
              </w:rPr>
              <w:t>:</w:t>
            </w:r>
          </w:p>
        </w:tc>
        <w:tc>
          <w:tcPr>
            <w:tcW w:w="7229" w:type="dxa"/>
          </w:tcPr>
          <w:p w14:paraId="0348EFB2" w14:textId="77777777" w:rsidR="000C44AA" w:rsidRDefault="000C44AA" w:rsidP="00796FB6">
            <w:pPr>
              <w:spacing w:line="360" w:lineRule="auto"/>
            </w:pPr>
            <w:r w:rsidRPr="00441F58">
              <w:rPr>
                <w:bCs/>
              </w:rPr>
              <w:t>Ministarstvo mora, prometa i infrastrukture</w:t>
            </w:r>
          </w:p>
        </w:tc>
      </w:tr>
    </w:tbl>
    <w:p w14:paraId="0DEF4269" w14:textId="77777777" w:rsidR="000C44AA" w:rsidRPr="002179F8" w:rsidRDefault="000C44AA" w:rsidP="000C44AA">
      <w:pPr>
        <w:spacing w:line="360" w:lineRule="auto"/>
      </w:pPr>
      <w:r w:rsidRPr="002179F8">
        <w:t>__________________________________________________________________________</w:t>
      </w:r>
    </w:p>
    <w:p w14:paraId="2ED37B14" w14:textId="77777777" w:rsidR="000C44AA" w:rsidRDefault="000C44AA" w:rsidP="000C44AA">
      <w:pPr>
        <w:tabs>
          <w:tab w:val="right" w:pos="1701"/>
          <w:tab w:val="left" w:pos="1843"/>
        </w:tabs>
        <w:spacing w:line="360" w:lineRule="auto"/>
        <w:ind w:left="1843" w:hanging="1843"/>
        <w:rPr>
          <w:b/>
          <w:smallCaps/>
        </w:rPr>
        <w:sectPr w:rsidR="000C44A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44AA" w14:paraId="6D5482F3" w14:textId="77777777" w:rsidTr="00796FB6">
        <w:tc>
          <w:tcPr>
            <w:tcW w:w="1951" w:type="dxa"/>
          </w:tcPr>
          <w:p w14:paraId="02258C4E" w14:textId="77777777" w:rsidR="000C44AA" w:rsidRDefault="000C44AA" w:rsidP="00796FB6">
            <w:pPr>
              <w:spacing w:line="360" w:lineRule="auto"/>
              <w:jc w:val="right"/>
            </w:pPr>
            <w:r>
              <w:rPr>
                <w:b/>
                <w:smallCaps/>
              </w:rPr>
              <w:lastRenderedPageBreak/>
              <w:t>Predmet</w:t>
            </w:r>
            <w:r w:rsidRPr="002179F8">
              <w:rPr>
                <w:b/>
              </w:rPr>
              <w:t>:</w:t>
            </w:r>
          </w:p>
        </w:tc>
        <w:tc>
          <w:tcPr>
            <w:tcW w:w="7229" w:type="dxa"/>
          </w:tcPr>
          <w:p w14:paraId="75843E3C" w14:textId="2F6FADE0" w:rsidR="000C44AA" w:rsidRDefault="000A471D" w:rsidP="000A471D">
            <w:pPr>
              <w:spacing w:line="360" w:lineRule="auto"/>
              <w:jc w:val="both"/>
            </w:pPr>
            <w:r w:rsidRPr="000A471D">
              <w:rPr>
                <w:rFonts w:eastAsia="Calibri"/>
                <w:bCs/>
                <w:lang w:eastAsia="en-US"/>
              </w:rPr>
              <w:t>Prijedlog odluke o davanju suglasnosti društvu Hrvatske ceste d.o.o. za kreditno zaduženje kod Privredne banke Zagreb d.d., Zagreb, radi financiranja obrtnih sredstava</w:t>
            </w:r>
          </w:p>
        </w:tc>
      </w:tr>
    </w:tbl>
    <w:p w14:paraId="5E309E7C" w14:textId="77777777" w:rsidR="000C44AA" w:rsidRPr="002179F8" w:rsidRDefault="000C44AA" w:rsidP="000C44AA">
      <w:pPr>
        <w:tabs>
          <w:tab w:val="left" w:pos="1843"/>
        </w:tabs>
        <w:spacing w:line="360" w:lineRule="auto"/>
        <w:ind w:left="1843" w:hanging="1843"/>
      </w:pPr>
      <w:r w:rsidRPr="002179F8">
        <w:t>__________________________________________________________________________</w:t>
      </w:r>
    </w:p>
    <w:p w14:paraId="0A3CDEC8" w14:textId="77777777" w:rsidR="000C44AA" w:rsidRDefault="000C44AA" w:rsidP="000C44AA"/>
    <w:p w14:paraId="5C3B4910" w14:textId="77777777" w:rsidR="000C44AA" w:rsidRPr="00CE78D1" w:rsidRDefault="000C44AA" w:rsidP="000C44AA"/>
    <w:p w14:paraId="696EE3AB" w14:textId="77777777" w:rsidR="000C44AA" w:rsidRPr="00CE78D1" w:rsidRDefault="000C44AA" w:rsidP="000C44AA"/>
    <w:p w14:paraId="5E2116CC" w14:textId="77777777" w:rsidR="000C44AA" w:rsidRPr="00CE78D1" w:rsidRDefault="000C44AA" w:rsidP="000C44AA"/>
    <w:p w14:paraId="36747DBB" w14:textId="77777777" w:rsidR="000C44AA" w:rsidRDefault="000C44AA" w:rsidP="000C44AA"/>
    <w:p w14:paraId="2E083ECF" w14:textId="77777777" w:rsidR="000C44AA" w:rsidRDefault="000C44AA" w:rsidP="000C44AA"/>
    <w:p w14:paraId="0D5E56CE" w14:textId="77777777" w:rsidR="000C44AA" w:rsidRDefault="000C44AA" w:rsidP="000C44AA"/>
    <w:p w14:paraId="7734DAE0" w14:textId="77777777" w:rsidR="000C44AA" w:rsidRDefault="000C44AA" w:rsidP="000C44AA"/>
    <w:p w14:paraId="41BDAC80" w14:textId="77777777" w:rsidR="000C44AA" w:rsidRDefault="000C44AA" w:rsidP="000C44AA"/>
    <w:p w14:paraId="248F7E59" w14:textId="77777777" w:rsidR="000C44AA" w:rsidRDefault="000C44AA" w:rsidP="000C44AA"/>
    <w:p w14:paraId="2FEED9A0" w14:textId="77777777" w:rsidR="000C44AA" w:rsidRDefault="000C44AA" w:rsidP="000C44AA"/>
    <w:p w14:paraId="791F98ED" w14:textId="77777777" w:rsidR="000C44AA" w:rsidRDefault="000C44AA" w:rsidP="000C44AA"/>
    <w:p w14:paraId="4C3AB914" w14:textId="77777777" w:rsidR="000C44AA" w:rsidRDefault="000C44AA" w:rsidP="000C44AA"/>
    <w:p w14:paraId="03DB0D36" w14:textId="77777777" w:rsidR="000C44AA" w:rsidRPr="00CE78D1" w:rsidRDefault="000C44AA" w:rsidP="000C44AA"/>
    <w:p w14:paraId="05967509" w14:textId="77777777" w:rsidR="000C44AA" w:rsidRPr="00CE78D1" w:rsidRDefault="000C44AA" w:rsidP="000C44AA"/>
    <w:p w14:paraId="78149862" w14:textId="77777777" w:rsidR="000C44AA" w:rsidRPr="00CE78D1" w:rsidRDefault="000C44AA" w:rsidP="000C44AA"/>
    <w:p w14:paraId="4926D7B2" w14:textId="77777777" w:rsidR="000C44AA" w:rsidRDefault="000C44AA" w:rsidP="000C44AA">
      <w:pPr>
        <w:sectPr w:rsidR="000C44AA" w:rsidSect="000350D9">
          <w:type w:val="continuous"/>
          <w:pgSz w:w="11906" w:h="16838"/>
          <w:pgMar w:top="993" w:right="1417" w:bottom="1417" w:left="1417" w:header="709" w:footer="658" w:gutter="0"/>
          <w:cols w:space="708"/>
          <w:docGrid w:linePitch="360"/>
        </w:sectPr>
      </w:pPr>
    </w:p>
    <w:p w14:paraId="722D974F" w14:textId="77777777" w:rsidR="00657764" w:rsidRDefault="00657764" w:rsidP="000C44AA">
      <w:pPr>
        <w:pStyle w:val="BodyText"/>
        <w:rPr>
          <w:b/>
          <w:bCs/>
          <w:lang w:val="hr-HR"/>
        </w:rPr>
      </w:pPr>
    </w:p>
    <w:p w14:paraId="79CAE5C4" w14:textId="77777777" w:rsidR="000A471D" w:rsidRPr="000A471D" w:rsidRDefault="000A471D" w:rsidP="000A471D">
      <w:pPr>
        <w:tabs>
          <w:tab w:val="left" w:pos="4962"/>
        </w:tabs>
        <w:jc w:val="right"/>
        <w:rPr>
          <w:b/>
          <w:iCs/>
          <w:lang w:eastAsia="en-US"/>
        </w:rPr>
      </w:pPr>
      <w:r w:rsidRPr="000A471D">
        <w:rPr>
          <w:b/>
          <w:iCs/>
          <w:lang w:eastAsia="en-US"/>
        </w:rPr>
        <w:t>Prijedlog</w:t>
      </w:r>
    </w:p>
    <w:p w14:paraId="77DD8EC1" w14:textId="77777777" w:rsidR="000A471D" w:rsidRPr="000A471D" w:rsidRDefault="000A471D" w:rsidP="000A471D">
      <w:pPr>
        <w:ind w:right="72"/>
        <w:jc w:val="both"/>
        <w:rPr>
          <w:b/>
          <w:bCs/>
          <w:sz w:val="32"/>
          <w:szCs w:val="32"/>
          <w:lang w:eastAsia="en-US"/>
        </w:rPr>
      </w:pPr>
    </w:p>
    <w:p w14:paraId="09BA7A60" w14:textId="77777777" w:rsidR="000A471D" w:rsidRPr="000A471D" w:rsidRDefault="000A471D" w:rsidP="000A471D">
      <w:pPr>
        <w:tabs>
          <w:tab w:val="left" w:pos="8175"/>
        </w:tabs>
        <w:ind w:right="72"/>
        <w:jc w:val="both"/>
        <w:rPr>
          <w:bCs/>
          <w:sz w:val="20"/>
          <w:szCs w:val="20"/>
          <w:lang w:eastAsia="en-US"/>
        </w:rPr>
      </w:pPr>
      <w:r w:rsidRPr="000A471D">
        <w:rPr>
          <w:bCs/>
          <w:sz w:val="20"/>
          <w:szCs w:val="20"/>
          <w:lang w:eastAsia="en-US"/>
        </w:rPr>
        <w:tab/>
      </w:r>
    </w:p>
    <w:p w14:paraId="51F57CE1" w14:textId="77777777" w:rsidR="000A471D" w:rsidRPr="000A471D" w:rsidRDefault="000A471D" w:rsidP="000A471D">
      <w:pPr>
        <w:ind w:right="72"/>
        <w:jc w:val="both"/>
        <w:rPr>
          <w:bCs/>
          <w:sz w:val="20"/>
          <w:szCs w:val="20"/>
          <w:lang w:eastAsia="en-US"/>
        </w:rPr>
      </w:pPr>
    </w:p>
    <w:p w14:paraId="51C4B2EE" w14:textId="77777777" w:rsidR="000A471D" w:rsidRPr="000A471D" w:rsidRDefault="000A471D" w:rsidP="000A471D">
      <w:pPr>
        <w:ind w:right="72"/>
        <w:jc w:val="both"/>
        <w:rPr>
          <w:bCs/>
          <w:sz w:val="20"/>
          <w:szCs w:val="20"/>
          <w:lang w:eastAsia="en-US"/>
        </w:rPr>
      </w:pPr>
    </w:p>
    <w:p w14:paraId="02114395" w14:textId="77777777" w:rsidR="000A471D" w:rsidRPr="000A471D" w:rsidRDefault="000A471D" w:rsidP="000A471D">
      <w:pPr>
        <w:jc w:val="both"/>
        <w:rPr>
          <w:bCs/>
          <w:lang w:eastAsia="en-US"/>
        </w:rPr>
      </w:pPr>
      <w:r w:rsidRPr="000A471D">
        <w:rPr>
          <w:bCs/>
          <w:lang w:eastAsia="en-US"/>
        </w:rPr>
        <w:t xml:space="preserve">Na temelju članka 82. Zakona o proračunu </w:t>
      </w:r>
      <w:r w:rsidRPr="000A471D">
        <w:rPr>
          <w:rFonts w:eastAsia="MS Mincho"/>
          <w:lang w:eastAsia="en-US"/>
        </w:rPr>
        <w:t>(Narodne novine, br.</w:t>
      </w:r>
      <w:r w:rsidRPr="000A471D">
        <w:rPr>
          <w:bCs/>
          <w:lang w:eastAsia="en-US"/>
        </w:rPr>
        <w:t xml:space="preserve"> 87/08, 136/12 i 15/15), a u vezi s člankom 49. Zakona o izvršavanju Državnog proračuna Republike Hrvatske za 2021. godinu (</w:t>
      </w:r>
      <w:r w:rsidRPr="000A471D">
        <w:rPr>
          <w:rFonts w:eastAsia="MS Mincho"/>
          <w:lang w:eastAsia="en-US"/>
        </w:rPr>
        <w:t>Narodne novine, br.</w:t>
      </w:r>
      <w:r w:rsidRPr="000A471D">
        <w:rPr>
          <w:bCs/>
          <w:lang w:eastAsia="en-US"/>
        </w:rPr>
        <w:t xml:space="preserve"> 135/20, 69/21 i 122/21) Vlada Republike Hrvatske je na sjednici održanoj ___________ 2021. godine donijela</w:t>
      </w:r>
    </w:p>
    <w:p w14:paraId="6B5A6CEA" w14:textId="77777777" w:rsidR="000A471D" w:rsidRPr="000A471D" w:rsidRDefault="000A471D" w:rsidP="000A471D">
      <w:pPr>
        <w:ind w:left="360"/>
        <w:jc w:val="both"/>
        <w:rPr>
          <w:bCs/>
          <w:lang w:eastAsia="en-US"/>
        </w:rPr>
      </w:pPr>
    </w:p>
    <w:p w14:paraId="07113949" w14:textId="77777777" w:rsidR="000A471D" w:rsidRPr="000A471D" w:rsidRDefault="000A471D" w:rsidP="000A471D">
      <w:pPr>
        <w:ind w:left="360"/>
        <w:jc w:val="center"/>
        <w:rPr>
          <w:b/>
          <w:lang w:eastAsia="en-US"/>
        </w:rPr>
      </w:pPr>
      <w:r w:rsidRPr="000A471D">
        <w:rPr>
          <w:b/>
          <w:lang w:eastAsia="en-US"/>
        </w:rPr>
        <w:t>O D L U K U</w:t>
      </w:r>
    </w:p>
    <w:p w14:paraId="3ACF5BB1" w14:textId="77777777" w:rsidR="000A471D" w:rsidRPr="000A471D" w:rsidRDefault="000A471D" w:rsidP="000A471D">
      <w:pPr>
        <w:ind w:left="360"/>
        <w:jc w:val="center"/>
        <w:rPr>
          <w:b/>
          <w:lang w:eastAsia="en-US"/>
        </w:rPr>
      </w:pPr>
    </w:p>
    <w:p w14:paraId="3FFD7BA7" w14:textId="77777777" w:rsidR="000A471D" w:rsidRPr="000A471D" w:rsidRDefault="000A471D" w:rsidP="000A471D">
      <w:pPr>
        <w:jc w:val="center"/>
        <w:rPr>
          <w:b/>
          <w:lang w:eastAsia="en-US"/>
        </w:rPr>
      </w:pPr>
      <w:r w:rsidRPr="000A471D">
        <w:rPr>
          <w:b/>
          <w:lang w:eastAsia="en-US"/>
        </w:rPr>
        <w:t>o davanju suglasnosti društvu Hrvatske ceste d.o.o. za kreditno zaduženje kod Privredne banke Zagreb d.d., Zagreb, radi financiranja obrtnih sredstava</w:t>
      </w:r>
    </w:p>
    <w:p w14:paraId="7A7D9426" w14:textId="77777777" w:rsidR="000A471D" w:rsidRPr="000A471D" w:rsidRDefault="000A471D" w:rsidP="000A471D">
      <w:pPr>
        <w:ind w:left="360"/>
        <w:jc w:val="both"/>
        <w:rPr>
          <w:b/>
          <w:lang w:eastAsia="en-US"/>
        </w:rPr>
      </w:pPr>
    </w:p>
    <w:p w14:paraId="3EA977E1" w14:textId="77777777" w:rsidR="000A471D" w:rsidRPr="000A471D" w:rsidRDefault="000A471D" w:rsidP="000A471D">
      <w:pPr>
        <w:ind w:left="360"/>
        <w:jc w:val="center"/>
        <w:rPr>
          <w:b/>
          <w:lang w:eastAsia="en-US"/>
        </w:rPr>
      </w:pPr>
      <w:r w:rsidRPr="000A471D">
        <w:rPr>
          <w:b/>
          <w:lang w:eastAsia="en-US"/>
        </w:rPr>
        <w:t>I.</w:t>
      </w:r>
    </w:p>
    <w:p w14:paraId="0668D92B" w14:textId="77777777" w:rsidR="000A471D" w:rsidRPr="000A471D" w:rsidRDefault="000A471D" w:rsidP="000A471D">
      <w:pPr>
        <w:ind w:left="360"/>
        <w:jc w:val="both"/>
        <w:rPr>
          <w:b/>
          <w:lang w:eastAsia="en-US"/>
        </w:rPr>
      </w:pPr>
    </w:p>
    <w:p w14:paraId="7F6005B5" w14:textId="77777777" w:rsidR="000A471D" w:rsidRPr="000A471D" w:rsidRDefault="000A471D" w:rsidP="000A471D">
      <w:pPr>
        <w:tabs>
          <w:tab w:val="left" w:pos="567"/>
          <w:tab w:val="left" w:pos="851"/>
          <w:tab w:val="left" w:pos="1134"/>
        </w:tabs>
        <w:jc w:val="both"/>
      </w:pPr>
      <w:r w:rsidRPr="000A471D">
        <w:rPr>
          <w:bCs/>
          <w:lang w:eastAsia="en-US"/>
        </w:rPr>
        <w:t xml:space="preserve">Daje se suglasnost društvu Hrvatske ceste d.o.o. za kreditno zaduženje kod </w:t>
      </w:r>
      <w:r w:rsidRPr="000A471D">
        <w:rPr>
          <w:lang w:eastAsia="en-US"/>
        </w:rPr>
        <w:t>Privredne banke Zagreb d.d., Zagreb, u iznosu do 8</w:t>
      </w:r>
      <w:r w:rsidRPr="000A471D">
        <w:rPr>
          <w:bCs/>
          <w:lang w:eastAsia="en-US"/>
        </w:rPr>
        <w:t xml:space="preserve">.863.000,00 eura, u kunskoj protuvrijednosti, </w:t>
      </w:r>
      <w:r w:rsidRPr="000A471D">
        <w:rPr>
          <w:lang w:eastAsia="en-US"/>
        </w:rPr>
        <w:t>uvećano za kamate, naknade i troškove, radi financiranja obrtnih sredstava.</w:t>
      </w:r>
    </w:p>
    <w:p w14:paraId="21C7EEB6" w14:textId="77777777" w:rsidR="000A471D" w:rsidRPr="000A471D" w:rsidRDefault="000A471D" w:rsidP="000A471D">
      <w:pPr>
        <w:ind w:left="360"/>
        <w:jc w:val="center"/>
        <w:rPr>
          <w:b/>
          <w:lang w:eastAsia="en-US"/>
        </w:rPr>
      </w:pPr>
    </w:p>
    <w:p w14:paraId="0E1D7CA2" w14:textId="77777777" w:rsidR="000A471D" w:rsidRPr="000A471D" w:rsidRDefault="000A471D" w:rsidP="000A471D">
      <w:pPr>
        <w:ind w:left="360"/>
        <w:jc w:val="center"/>
        <w:rPr>
          <w:b/>
          <w:lang w:eastAsia="en-US"/>
        </w:rPr>
      </w:pPr>
      <w:r w:rsidRPr="000A471D">
        <w:rPr>
          <w:b/>
          <w:lang w:eastAsia="en-US"/>
        </w:rPr>
        <w:t>II.</w:t>
      </w:r>
    </w:p>
    <w:p w14:paraId="1C431564" w14:textId="77777777" w:rsidR="000A471D" w:rsidRPr="000A471D" w:rsidRDefault="000A471D" w:rsidP="000A471D">
      <w:pPr>
        <w:ind w:firstLine="720"/>
        <w:jc w:val="both"/>
        <w:rPr>
          <w:bCs/>
          <w:lang w:eastAsia="en-US"/>
        </w:rPr>
      </w:pPr>
    </w:p>
    <w:p w14:paraId="54985C31" w14:textId="77777777" w:rsidR="000A471D" w:rsidRPr="000A471D" w:rsidRDefault="000A471D" w:rsidP="000A471D">
      <w:pPr>
        <w:jc w:val="both"/>
        <w:rPr>
          <w:b/>
          <w:lang w:eastAsia="en-US"/>
        </w:rPr>
      </w:pPr>
      <w:r w:rsidRPr="000A471D">
        <w:rPr>
          <w:bCs/>
          <w:lang w:eastAsia="en-US"/>
        </w:rPr>
        <w:t>Suglasnost iz točke I. ove Odluke daje se uz sljedeće uvjete kredita:</w:t>
      </w:r>
    </w:p>
    <w:p w14:paraId="7415ACD9" w14:textId="77777777" w:rsidR="000A471D" w:rsidRPr="000A471D" w:rsidRDefault="000A471D" w:rsidP="000A471D">
      <w:pPr>
        <w:jc w:val="both"/>
        <w:rPr>
          <w:bCs/>
          <w:lang w:eastAsia="en-US"/>
        </w:rPr>
      </w:pPr>
    </w:p>
    <w:p w14:paraId="7E94F3FE" w14:textId="77777777" w:rsidR="000A471D" w:rsidRPr="000A471D" w:rsidRDefault="000A471D" w:rsidP="000A471D">
      <w:pPr>
        <w:jc w:val="center"/>
        <w:rPr>
          <w:b/>
          <w:bCs/>
          <w:lang w:eastAsia="en-US"/>
        </w:rPr>
      </w:pPr>
    </w:p>
    <w:tbl>
      <w:tblPr>
        <w:tblW w:w="0" w:type="auto"/>
        <w:jc w:val="center"/>
        <w:tblCellSpacing w:w="28" w:type="dxa"/>
        <w:tblLook w:val="04A0" w:firstRow="1" w:lastRow="0" w:firstColumn="1" w:lastColumn="0" w:noHBand="0" w:noVBand="1"/>
      </w:tblPr>
      <w:tblGrid>
        <w:gridCol w:w="3088"/>
        <w:gridCol w:w="5984"/>
      </w:tblGrid>
      <w:tr w:rsidR="000A471D" w:rsidRPr="000A471D" w14:paraId="2EBB0F42" w14:textId="77777777" w:rsidTr="003D7B07">
        <w:trPr>
          <w:trHeight w:val="672"/>
          <w:tblCellSpacing w:w="28" w:type="dxa"/>
          <w:jc w:val="center"/>
        </w:trPr>
        <w:tc>
          <w:tcPr>
            <w:tcW w:w="3057" w:type="dxa"/>
            <w:shd w:val="clear" w:color="auto" w:fill="auto"/>
            <w:vAlign w:val="center"/>
          </w:tcPr>
          <w:p w14:paraId="33615E85" w14:textId="77777777" w:rsidR="000A471D" w:rsidRPr="000A471D" w:rsidRDefault="000A471D" w:rsidP="000A471D">
            <w:pPr>
              <w:numPr>
                <w:ilvl w:val="0"/>
                <w:numId w:val="1"/>
              </w:numPr>
              <w:rPr>
                <w:lang w:eastAsia="en-US"/>
              </w:rPr>
            </w:pPr>
            <w:r w:rsidRPr="000A471D">
              <w:rPr>
                <w:lang w:eastAsia="en-US"/>
              </w:rPr>
              <w:t>banka:</w:t>
            </w:r>
          </w:p>
        </w:tc>
        <w:tc>
          <w:tcPr>
            <w:tcW w:w="6173" w:type="dxa"/>
            <w:shd w:val="clear" w:color="auto" w:fill="auto"/>
            <w:vAlign w:val="center"/>
          </w:tcPr>
          <w:p w14:paraId="3973E8E9" w14:textId="77777777" w:rsidR="000A471D" w:rsidRPr="000A471D" w:rsidRDefault="000A471D" w:rsidP="000A471D">
            <w:pPr>
              <w:jc w:val="both"/>
              <w:rPr>
                <w:color w:val="FF0000"/>
                <w:lang w:eastAsia="en-US"/>
              </w:rPr>
            </w:pPr>
            <w:r w:rsidRPr="000A471D">
              <w:rPr>
                <w:lang w:eastAsia="en-US"/>
              </w:rPr>
              <w:t>Privredna banka Zagreb d.d., Zagreb</w:t>
            </w:r>
          </w:p>
        </w:tc>
      </w:tr>
      <w:tr w:rsidR="000A471D" w:rsidRPr="000A471D" w14:paraId="75D0F185" w14:textId="77777777" w:rsidTr="003D7B07">
        <w:trPr>
          <w:trHeight w:val="527"/>
          <w:tblCellSpacing w:w="28" w:type="dxa"/>
          <w:jc w:val="center"/>
        </w:trPr>
        <w:tc>
          <w:tcPr>
            <w:tcW w:w="3057" w:type="dxa"/>
            <w:shd w:val="clear" w:color="auto" w:fill="auto"/>
            <w:vAlign w:val="center"/>
          </w:tcPr>
          <w:p w14:paraId="59451DEF" w14:textId="77777777" w:rsidR="000A471D" w:rsidRPr="000A471D" w:rsidRDefault="000A471D" w:rsidP="000A471D">
            <w:pPr>
              <w:numPr>
                <w:ilvl w:val="0"/>
                <w:numId w:val="1"/>
              </w:numPr>
              <w:rPr>
                <w:lang w:eastAsia="en-US"/>
              </w:rPr>
            </w:pPr>
            <w:r w:rsidRPr="000A471D">
              <w:rPr>
                <w:lang w:eastAsia="en-US"/>
              </w:rPr>
              <w:t>korisnik kredita:</w:t>
            </w:r>
          </w:p>
        </w:tc>
        <w:tc>
          <w:tcPr>
            <w:tcW w:w="6173" w:type="dxa"/>
            <w:shd w:val="clear" w:color="auto" w:fill="auto"/>
            <w:vAlign w:val="center"/>
          </w:tcPr>
          <w:p w14:paraId="4B9A3430" w14:textId="77777777" w:rsidR="000A471D" w:rsidRPr="000A471D" w:rsidRDefault="000A471D" w:rsidP="000A471D">
            <w:pPr>
              <w:rPr>
                <w:lang w:eastAsia="en-US"/>
              </w:rPr>
            </w:pPr>
            <w:r w:rsidRPr="000A471D">
              <w:rPr>
                <w:lang w:eastAsia="en-US"/>
              </w:rPr>
              <w:t>Hrvatske ceste d.o.o.</w:t>
            </w:r>
          </w:p>
        </w:tc>
      </w:tr>
      <w:tr w:rsidR="000A471D" w:rsidRPr="000A471D" w14:paraId="4CA7C625" w14:textId="77777777" w:rsidTr="003D7B07">
        <w:trPr>
          <w:trHeight w:val="365"/>
          <w:tblCellSpacing w:w="28" w:type="dxa"/>
          <w:jc w:val="center"/>
        </w:trPr>
        <w:tc>
          <w:tcPr>
            <w:tcW w:w="3057" w:type="dxa"/>
            <w:shd w:val="clear" w:color="auto" w:fill="auto"/>
            <w:vAlign w:val="center"/>
          </w:tcPr>
          <w:p w14:paraId="6BCE8495" w14:textId="77777777" w:rsidR="000A471D" w:rsidRPr="000A471D" w:rsidRDefault="000A471D" w:rsidP="000A471D">
            <w:pPr>
              <w:numPr>
                <w:ilvl w:val="0"/>
                <w:numId w:val="1"/>
              </w:numPr>
              <w:rPr>
                <w:lang w:eastAsia="en-US"/>
              </w:rPr>
            </w:pPr>
            <w:r w:rsidRPr="000A471D">
              <w:rPr>
                <w:lang w:eastAsia="en-US"/>
              </w:rPr>
              <w:t>iznos kredita:</w:t>
            </w:r>
          </w:p>
        </w:tc>
        <w:tc>
          <w:tcPr>
            <w:tcW w:w="6173" w:type="dxa"/>
            <w:shd w:val="clear" w:color="auto" w:fill="auto"/>
            <w:vAlign w:val="center"/>
          </w:tcPr>
          <w:p w14:paraId="6CC13F56" w14:textId="77777777" w:rsidR="000A471D" w:rsidRPr="000A471D" w:rsidRDefault="000A471D" w:rsidP="000A471D">
            <w:pPr>
              <w:rPr>
                <w:lang w:eastAsia="en-US"/>
              </w:rPr>
            </w:pPr>
            <w:r w:rsidRPr="000A471D">
              <w:rPr>
                <w:lang w:eastAsia="en-US"/>
              </w:rPr>
              <w:t>do 8.863.000,00</w:t>
            </w:r>
            <w:r w:rsidRPr="000A471D">
              <w:rPr>
                <w:bCs/>
                <w:lang w:eastAsia="en-US"/>
              </w:rPr>
              <w:t xml:space="preserve"> eura u kunskoj protuvrijednosti </w:t>
            </w:r>
          </w:p>
        </w:tc>
      </w:tr>
      <w:tr w:rsidR="000A471D" w:rsidRPr="000A471D" w14:paraId="318854E8" w14:textId="77777777" w:rsidTr="003D7B07">
        <w:trPr>
          <w:trHeight w:val="655"/>
          <w:tblCellSpacing w:w="28" w:type="dxa"/>
          <w:jc w:val="center"/>
        </w:trPr>
        <w:tc>
          <w:tcPr>
            <w:tcW w:w="3057" w:type="dxa"/>
            <w:shd w:val="clear" w:color="auto" w:fill="auto"/>
            <w:vAlign w:val="center"/>
          </w:tcPr>
          <w:p w14:paraId="5B6955AD" w14:textId="77777777" w:rsidR="000A471D" w:rsidRPr="000A471D" w:rsidRDefault="000A471D" w:rsidP="000A471D">
            <w:pPr>
              <w:numPr>
                <w:ilvl w:val="0"/>
                <w:numId w:val="1"/>
              </w:numPr>
              <w:rPr>
                <w:lang w:eastAsia="en-US"/>
              </w:rPr>
            </w:pPr>
            <w:r w:rsidRPr="000A471D">
              <w:rPr>
                <w:lang w:eastAsia="en-US"/>
              </w:rPr>
              <w:t>iznos jamstva:</w:t>
            </w:r>
          </w:p>
        </w:tc>
        <w:tc>
          <w:tcPr>
            <w:tcW w:w="6173" w:type="dxa"/>
            <w:shd w:val="clear" w:color="auto" w:fill="auto"/>
            <w:vAlign w:val="center"/>
          </w:tcPr>
          <w:p w14:paraId="7308BEB0" w14:textId="77777777" w:rsidR="000A471D" w:rsidRPr="000A471D" w:rsidRDefault="000A471D" w:rsidP="000A471D">
            <w:pPr>
              <w:contextualSpacing/>
              <w:jc w:val="both"/>
              <w:rPr>
                <w:color w:val="FF0000"/>
                <w:lang w:eastAsia="en-US"/>
              </w:rPr>
            </w:pPr>
            <w:r w:rsidRPr="000A471D">
              <w:rPr>
                <w:lang w:eastAsia="en-US"/>
              </w:rPr>
              <w:t>8.863.000,00</w:t>
            </w:r>
            <w:r w:rsidRPr="000A471D">
              <w:rPr>
                <w:bCs/>
                <w:lang w:eastAsia="en-US"/>
              </w:rPr>
              <w:t xml:space="preserve"> eura u kunskoj protuvrijednosti</w:t>
            </w:r>
            <w:r w:rsidRPr="000A471D">
              <w:rPr>
                <w:lang w:eastAsia="en-US"/>
              </w:rPr>
              <w:t>, uvećano za kamate, naknade i troškove kako će biti utvrđeno ugovorom o kreditu</w:t>
            </w:r>
          </w:p>
        </w:tc>
      </w:tr>
      <w:tr w:rsidR="000A471D" w:rsidRPr="000A471D" w14:paraId="3505B58F" w14:textId="77777777" w:rsidTr="003D7B07">
        <w:trPr>
          <w:trHeight w:val="597"/>
          <w:tblCellSpacing w:w="28" w:type="dxa"/>
          <w:jc w:val="center"/>
        </w:trPr>
        <w:tc>
          <w:tcPr>
            <w:tcW w:w="3057" w:type="dxa"/>
            <w:shd w:val="clear" w:color="auto" w:fill="auto"/>
            <w:vAlign w:val="center"/>
          </w:tcPr>
          <w:p w14:paraId="562E2292" w14:textId="77777777" w:rsidR="000A471D" w:rsidRPr="000A471D" w:rsidRDefault="000A471D" w:rsidP="000A471D">
            <w:pPr>
              <w:numPr>
                <w:ilvl w:val="0"/>
                <w:numId w:val="1"/>
              </w:numPr>
              <w:rPr>
                <w:lang w:eastAsia="en-US"/>
              </w:rPr>
            </w:pPr>
            <w:r w:rsidRPr="000A471D">
              <w:rPr>
                <w:lang w:eastAsia="en-US"/>
              </w:rPr>
              <w:t>namjena kredita:</w:t>
            </w:r>
          </w:p>
        </w:tc>
        <w:tc>
          <w:tcPr>
            <w:tcW w:w="6173" w:type="dxa"/>
            <w:shd w:val="clear" w:color="auto" w:fill="auto"/>
            <w:vAlign w:val="center"/>
          </w:tcPr>
          <w:p w14:paraId="42F11028" w14:textId="77777777" w:rsidR="000A471D" w:rsidRPr="000A471D" w:rsidRDefault="000A471D" w:rsidP="000A471D">
            <w:pPr>
              <w:tabs>
                <w:tab w:val="left" w:pos="3000"/>
              </w:tabs>
              <w:contextualSpacing/>
              <w:jc w:val="both"/>
              <w:rPr>
                <w:color w:val="FF0000"/>
                <w:lang w:eastAsia="en-US"/>
              </w:rPr>
            </w:pPr>
            <w:r w:rsidRPr="000A471D">
              <w:rPr>
                <w:lang w:eastAsia="en-US"/>
              </w:rPr>
              <w:t>financiranje obrtnih sredstava</w:t>
            </w:r>
          </w:p>
        </w:tc>
      </w:tr>
      <w:tr w:rsidR="000A471D" w:rsidRPr="000A471D" w14:paraId="4997E124" w14:textId="77777777" w:rsidTr="003D7B07">
        <w:trPr>
          <w:trHeight w:val="52"/>
          <w:tblCellSpacing w:w="28" w:type="dxa"/>
          <w:jc w:val="center"/>
        </w:trPr>
        <w:tc>
          <w:tcPr>
            <w:tcW w:w="3057" w:type="dxa"/>
            <w:shd w:val="clear" w:color="auto" w:fill="auto"/>
            <w:vAlign w:val="center"/>
          </w:tcPr>
          <w:p w14:paraId="3712FF6C" w14:textId="77777777" w:rsidR="000A471D" w:rsidRPr="000A471D" w:rsidRDefault="000A471D" w:rsidP="000A471D">
            <w:pPr>
              <w:numPr>
                <w:ilvl w:val="0"/>
                <w:numId w:val="1"/>
              </w:numPr>
              <w:rPr>
                <w:lang w:eastAsia="en-US"/>
              </w:rPr>
            </w:pPr>
            <w:r w:rsidRPr="000A471D">
              <w:rPr>
                <w:lang w:eastAsia="en-US"/>
              </w:rPr>
              <w:t>rok korištenja:</w:t>
            </w:r>
          </w:p>
        </w:tc>
        <w:tc>
          <w:tcPr>
            <w:tcW w:w="6173" w:type="dxa"/>
            <w:shd w:val="clear" w:color="auto" w:fill="auto"/>
            <w:vAlign w:val="center"/>
          </w:tcPr>
          <w:p w14:paraId="6EDDAF38" w14:textId="77777777" w:rsidR="000A471D" w:rsidRPr="000A471D" w:rsidRDefault="000A471D" w:rsidP="000A471D">
            <w:pPr>
              <w:contextualSpacing/>
              <w:rPr>
                <w:color w:val="FF0000"/>
                <w:lang w:eastAsia="en-US"/>
              </w:rPr>
            </w:pPr>
            <w:r w:rsidRPr="000A471D">
              <w:rPr>
                <w:lang w:eastAsia="en-US"/>
              </w:rPr>
              <w:t>jedan radni dan prije krajnjeg roka dospijeća, a koji je 12 mjeseci od dana ugovaranja kredita</w:t>
            </w:r>
          </w:p>
        </w:tc>
      </w:tr>
      <w:tr w:rsidR="000A471D" w:rsidRPr="000A471D" w14:paraId="3DCCC4B5" w14:textId="77777777" w:rsidTr="003D7B07">
        <w:trPr>
          <w:trHeight w:val="52"/>
          <w:tblCellSpacing w:w="28" w:type="dxa"/>
          <w:jc w:val="center"/>
        </w:trPr>
        <w:tc>
          <w:tcPr>
            <w:tcW w:w="3057" w:type="dxa"/>
            <w:shd w:val="clear" w:color="auto" w:fill="auto"/>
            <w:vAlign w:val="center"/>
          </w:tcPr>
          <w:p w14:paraId="62A50E33" w14:textId="77777777" w:rsidR="000A471D" w:rsidRPr="000A471D" w:rsidRDefault="000A471D" w:rsidP="000A471D">
            <w:pPr>
              <w:numPr>
                <w:ilvl w:val="0"/>
                <w:numId w:val="1"/>
              </w:numPr>
              <w:rPr>
                <w:lang w:eastAsia="en-US"/>
              </w:rPr>
            </w:pPr>
            <w:r w:rsidRPr="000A471D">
              <w:rPr>
                <w:lang w:eastAsia="en-US"/>
              </w:rPr>
              <w:t>način korištenja kredita:</w:t>
            </w:r>
          </w:p>
        </w:tc>
        <w:tc>
          <w:tcPr>
            <w:tcW w:w="6173" w:type="dxa"/>
            <w:shd w:val="clear" w:color="auto" w:fill="auto"/>
            <w:vAlign w:val="center"/>
          </w:tcPr>
          <w:p w14:paraId="711E987C" w14:textId="77777777" w:rsidR="000A471D" w:rsidRPr="000A471D" w:rsidRDefault="000A471D" w:rsidP="000A471D">
            <w:pPr>
              <w:contextualSpacing/>
              <w:rPr>
                <w:lang w:eastAsia="en-US"/>
              </w:rPr>
            </w:pPr>
            <w:r w:rsidRPr="000A471D">
              <w:rPr>
                <w:lang w:eastAsia="en-US"/>
              </w:rPr>
              <w:t>temeljem zahtjeva korisnika kredita, isplatom na transakcijski račun korisnika kredita u kunskoj protuvrijednosti po srednjem tečaju Privredne banke Zagreb d.d.</w:t>
            </w:r>
          </w:p>
        </w:tc>
      </w:tr>
      <w:tr w:rsidR="000A471D" w:rsidRPr="000A471D" w14:paraId="2D91F0A0" w14:textId="77777777" w:rsidTr="003D7B07">
        <w:trPr>
          <w:trHeight w:val="381"/>
          <w:tblCellSpacing w:w="28" w:type="dxa"/>
          <w:jc w:val="center"/>
        </w:trPr>
        <w:tc>
          <w:tcPr>
            <w:tcW w:w="3057" w:type="dxa"/>
            <w:shd w:val="clear" w:color="auto" w:fill="auto"/>
            <w:vAlign w:val="center"/>
          </w:tcPr>
          <w:p w14:paraId="73A330BD" w14:textId="77777777" w:rsidR="000A471D" w:rsidRPr="000A471D" w:rsidRDefault="000A471D" w:rsidP="000A471D">
            <w:pPr>
              <w:numPr>
                <w:ilvl w:val="0"/>
                <w:numId w:val="1"/>
              </w:numPr>
              <w:rPr>
                <w:lang w:eastAsia="en-US"/>
              </w:rPr>
            </w:pPr>
            <w:r w:rsidRPr="000A471D">
              <w:rPr>
                <w:lang w:eastAsia="en-US"/>
              </w:rPr>
              <w:t>poček:</w:t>
            </w:r>
          </w:p>
        </w:tc>
        <w:tc>
          <w:tcPr>
            <w:tcW w:w="6173" w:type="dxa"/>
            <w:shd w:val="clear" w:color="auto" w:fill="auto"/>
            <w:vAlign w:val="center"/>
          </w:tcPr>
          <w:p w14:paraId="5691AC75" w14:textId="77777777" w:rsidR="000A471D" w:rsidRPr="000A471D" w:rsidRDefault="000A471D" w:rsidP="000A471D">
            <w:pPr>
              <w:rPr>
                <w:lang w:eastAsia="en-US"/>
              </w:rPr>
            </w:pPr>
            <w:r w:rsidRPr="000A471D">
              <w:rPr>
                <w:lang w:eastAsia="en-US"/>
              </w:rPr>
              <w:t>nema počeka</w:t>
            </w:r>
          </w:p>
        </w:tc>
      </w:tr>
      <w:tr w:rsidR="000A471D" w:rsidRPr="000A471D" w14:paraId="36FFC4CB" w14:textId="77777777" w:rsidTr="003D7B07">
        <w:trPr>
          <w:trHeight w:val="381"/>
          <w:tblCellSpacing w:w="28" w:type="dxa"/>
          <w:jc w:val="center"/>
        </w:trPr>
        <w:tc>
          <w:tcPr>
            <w:tcW w:w="3057" w:type="dxa"/>
            <w:shd w:val="clear" w:color="auto" w:fill="auto"/>
            <w:vAlign w:val="center"/>
          </w:tcPr>
          <w:p w14:paraId="52C90816" w14:textId="77777777" w:rsidR="000A471D" w:rsidRPr="000A471D" w:rsidRDefault="000A471D" w:rsidP="000A471D">
            <w:pPr>
              <w:numPr>
                <w:ilvl w:val="0"/>
                <w:numId w:val="1"/>
              </w:numPr>
              <w:rPr>
                <w:lang w:eastAsia="en-US"/>
              </w:rPr>
            </w:pPr>
            <w:r w:rsidRPr="000A471D">
              <w:rPr>
                <w:lang w:eastAsia="en-US"/>
              </w:rPr>
              <w:t>otplata kredita:</w:t>
            </w:r>
          </w:p>
        </w:tc>
        <w:tc>
          <w:tcPr>
            <w:tcW w:w="6173" w:type="dxa"/>
            <w:shd w:val="clear" w:color="auto" w:fill="auto"/>
            <w:vAlign w:val="center"/>
          </w:tcPr>
          <w:p w14:paraId="0548054B" w14:textId="77777777" w:rsidR="000A471D" w:rsidRPr="000A471D" w:rsidRDefault="000A471D" w:rsidP="000A471D">
            <w:pPr>
              <w:rPr>
                <w:lang w:eastAsia="en-US"/>
              </w:rPr>
            </w:pPr>
            <w:r w:rsidRPr="000A471D">
              <w:rPr>
                <w:lang w:eastAsia="en-US"/>
              </w:rPr>
              <w:t>po mogućnostima korisnika kredita, po srednjem tečaju Privredne banke Zagreb d.d. na dan otplate, a najkasnije na dan dospijeća kredita</w:t>
            </w:r>
          </w:p>
        </w:tc>
      </w:tr>
      <w:tr w:rsidR="000A471D" w:rsidRPr="000A471D" w14:paraId="17386488" w14:textId="77777777" w:rsidTr="003D7B07">
        <w:trPr>
          <w:trHeight w:val="381"/>
          <w:tblCellSpacing w:w="28" w:type="dxa"/>
          <w:jc w:val="center"/>
        </w:trPr>
        <w:tc>
          <w:tcPr>
            <w:tcW w:w="3057" w:type="dxa"/>
            <w:shd w:val="clear" w:color="auto" w:fill="auto"/>
            <w:vAlign w:val="center"/>
          </w:tcPr>
          <w:p w14:paraId="0D2D8294" w14:textId="77777777" w:rsidR="000A471D" w:rsidRPr="000A471D" w:rsidRDefault="000A471D" w:rsidP="000A471D">
            <w:pPr>
              <w:numPr>
                <w:ilvl w:val="0"/>
                <w:numId w:val="1"/>
              </w:numPr>
              <w:rPr>
                <w:lang w:eastAsia="en-US"/>
              </w:rPr>
            </w:pPr>
            <w:r w:rsidRPr="000A471D">
              <w:rPr>
                <w:lang w:eastAsia="en-US"/>
              </w:rPr>
              <w:t>dospijeće 1. rate:</w:t>
            </w:r>
          </w:p>
        </w:tc>
        <w:tc>
          <w:tcPr>
            <w:tcW w:w="6173" w:type="dxa"/>
            <w:shd w:val="clear" w:color="auto" w:fill="auto"/>
            <w:vAlign w:val="center"/>
          </w:tcPr>
          <w:p w14:paraId="25F731A6" w14:textId="77777777" w:rsidR="000A471D" w:rsidRPr="000A471D" w:rsidRDefault="000A471D" w:rsidP="000A471D">
            <w:pPr>
              <w:jc w:val="both"/>
              <w:rPr>
                <w:lang w:eastAsia="en-US"/>
              </w:rPr>
            </w:pPr>
            <w:r w:rsidRPr="000A471D">
              <w:rPr>
                <w:lang w:eastAsia="en-US"/>
              </w:rPr>
              <w:t>kredit će se vraćati sukcesivno, prema mogućnostima korisnika kredita</w:t>
            </w:r>
          </w:p>
        </w:tc>
      </w:tr>
      <w:tr w:rsidR="000A471D" w:rsidRPr="000A471D" w14:paraId="1FA309A6" w14:textId="77777777" w:rsidTr="003D7B07">
        <w:trPr>
          <w:trHeight w:val="381"/>
          <w:tblCellSpacing w:w="28" w:type="dxa"/>
          <w:jc w:val="center"/>
        </w:trPr>
        <w:tc>
          <w:tcPr>
            <w:tcW w:w="3057" w:type="dxa"/>
            <w:shd w:val="clear" w:color="auto" w:fill="auto"/>
            <w:vAlign w:val="center"/>
          </w:tcPr>
          <w:p w14:paraId="697563DC" w14:textId="77777777" w:rsidR="000A471D" w:rsidRPr="000A471D" w:rsidRDefault="000A471D" w:rsidP="000A471D">
            <w:pPr>
              <w:numPr>
                <w:ilvl w:val="0"/>
                <w:numId w:val="1"/>
              </w:numPr>
              <w:rPr>
                <w:lang w:eastAsia="en-US"/>
              </w:rPr>
            </w:pPr>
            <w:r w:rsidRPr="000A471D">
              <w:rPr>
                <w:lang w:eastAsia="en-US"/>
              </w:rPr>
              <w:t>krajnje dospijeće:</w:t>
            </w:r>
          </w:p>
        </w:tc>
        <w:tc>
          <w:tcPr>
            <w:tcW w:w="6173" w:type="dxa"/>
            <w:shd w:val="clear" w:color="auto" w:fill="auto"/>
            <w:vAlign w:val="center"/>
          </w:tcPr>
          <w:p w14:paraId="5784E070" w14:textId="77777777" w:rsidR="000A471D" w:rsidRPr="000A471D" w:rsidRDefault="000A471D" w:rsidP="000A471D">
            <w:pPr>
              <w:jc w:val="both"/>
              <w:rPr>
                <w:lang w:eastAsia="en-US"/>
              </w:rPr>
            </w:pPr>
            <w:r w:rsidRPr="000A471D">
              <w:rPr>
                <w:lang w:eastAsia="en-US"/>
              </w:rPr>
              <w:t>12 mjeseci od dana ugovaranja kredita</w:t>
            </w:r>
          </w:p>
        </w:tc>
      </w:tr>
      <w:tr w:rsidR="000A471D" w:rsidRPr="000A471D" w14:paraId="70EC837F" w14:textId="77777777" w:rsidTr="003D7B07">
        <w:trPr>
          <w:trHeight w:val="412"/>
          <w:tblCellSpacing w:w="28" w:type="dxa"/>
          <w:jc w:val="center"/>
        </w:trPr>
        <w:tc>
          <w:tcPr>
            <w:tcW w:w="3057" w:type="dxa"/>
            <w:shd w:val="clear" w:color="auto" w:fill="auto"/>
            <w:vAlign w:val="center"/>
          </w:tcPr>
          <w:p w14:paraId="4CB5DA6E" w14:textId="77777777" w:rsidR="000A471D" w:rsidRPr="000A471D" w:rsidRDefault="000A471D" w:rsidP="000A471D">
            <w:pPr>
              <w:numPr>
                <w:ilvl w:val="0"/>
                <w:numId w:val="1"/>
              </w:numPr>
              <w:rPr>
                <w:lang w:eastAsia="en-US"/>
              </w:rPr>
            </w:pPr>
            <w:r w:rsidRPr="000A471D">
              <w:rPr>
                <w:lang w:eastAsia="en-US"/>
              </w:rPr>
              <w:t>redovna kamatna stopa:</w:t>
            </w:r>
          </w:p>
        </w:tc>
        <w:tc>
          <w:tcPr>
            <w:tcW w:w="6173" w:type="dxa"/>
            <w:shd w:val="clear" w:color="auto" w:fill="auto"/>
            <w:vAlign w:val="center"/>
          </w:tcPr>
          <w:p w14:paraId="77897F7B" w14:textId="77777777" w:rsidR="000A471D" w:rsidRPr="000A471D" w:rsidRDefault="000A471D" w:rsidP="000A471D">
            <w:pPr>
              <w:jc w:val="both"/>
              <w:rPr>
                <w:lang w:eastAsia="en-US"/>
              </w:rPr>
            </w:pPr>
            <w:r w:rsidRPr="000A471D">
              <w:rPr>
                <w:lang w:eastAsia="en-US"/>
              </w:rPr>
              <w:t>3M EURIBOR + kamatna marža od 0,08 p.p. godišnje, promjenjivo, minimalno u visini kamatne marže od 0,08% godišnje</w:t>
            </w:r>
          </w:p>
        </w:tc>
      </w:tr>
      <w:tr w:rsidR="000A471D" w:rsidRPr="000A471D" w14:paraId="33EB8FDD" w14:textId="77777777" w:rsidTr="003D7B07">
        <w:trPr>
          <w:trHeight w:val="412"/>
          <w:tblCellSpacing w:w="28" w:type="dxa"/>
          <w:jc w:val="center"/>
        </w:trPr>
        <w:tc>
          <w:tcPr>
            <w:tcW w:w="3057" w:type="dxa"/>
            <w:shd w:val="clear" w:color="auto" w:fill="auto"/>
            <w:vAlign w:val="center"/>
          </w:tcPr>
          <w:p w14:paraId="3C7D9C0B" w14:textId="77777777" w:rsidR="000A471D" w:rsidRPr="000A471D" w:rsidRDefault="000A471D" w:rsidP="000A471D">
            <w:pPr>
              <w:numPr>
                <w:ilvl w:val="0"/>
                <w:numId w:val="1"/>
              </w:numPr>
              <w:rPr>
                <w:lang w:eastAsia="en-US"/>
              </w:rPr>
            </w:pPr>
            <w:r w:rsidRPr="000A471D">
              <w:rPr>
                <w:lang w:eastAsia="en-US"/>
              </w:rPr>
              <w:t>obračun i naplata kamate:</w:t>
            </w:r>
          </w:p>
        </w:tc>
        <w:tc>
          <w:tcPr>
            <w:tcW w:w="6173" w:type="dxa"/>
            <w:shd w:val="clear" w:color="auto" w:fill="auto"/>
            <w:vAlign w:val="center"/>
          </w:tcPr>
          <w:p w14:paraId="39D8240B" w14:textId="77777777" w:rsidR="000A471D" w:rsidRPr="000A471D" w:rsidRDefault="000A471D" w:rsidP="000A471D">
            <w:pPr>
              <w:jc w:val="both"/>
              <w:rPr>
                <w:lang w:eastAsia="en-US"/>
              </w:rPr>
            </w:pPr>
            <w:r w:rsidRPr="000A471D">
              <w:rPr>
                <w:lang w:eastAsia="en-US"/>
              </w:rPr>
              <w:t>kamata se obračunava i naplaćuje mjesečno</w:t>
            </w:r>
          </w:p>
        </w:tc>
      </w:tr>
      <w:tr w:rsidR="000A471D" w:rsidRPr="000A471D" w14:paraId="17DBB409" w14:textId="77777777" w:rsidTr="003D7B07">
        <w:trPr>
          <w:trHeight w:val="412"/>
          <w:tblCellSpacing w:w="28" w:type="dxa"/>
          <w:jc w:val="center"/>
        </w:trPr>
        <w:tc>
          <w:tcPr>
            <w:tcW w:w="3057" w:type="dxa"/>
            <w:shd w:val="clear" w:color="auto" w:fill="auto"/>
            <w:vAlign w:val="center"/>
          </w:tcPr>
          <w:p w14:paraId="6EFAF144" w14:textId="77777777" w:rsidR="000A471D" w:rsidRPr="000A471D" w:rsidRDefault="000A471D" w:rsidP="000A471D">
            <w:pPr>
              <w:numPr>
                <w:ilvl w:val="0"/>
                <w:numId w:val="1"/>
              </w:numPr>
              <w:rPr>
                <w:lang w:eastAsia="en-US"/>
              </w:rPr>
            </w:pPr>
            <w:r w:rsidRPr="000A471D">
              <w:rPr>
                <w:lang w:eastAsia="en-US"/>
              </w:rPr>
              <w:t>zatezna kamata:</w:t>
            </w:r>
          </w:p>
        </w:tc>
        <w:tc>
          <w:tcPr>
            <w:tcW w:w="6173" w:type="dxa"/>
            <w:shd w:val="clear" w:color="auto" w:fill="auto"/>
            <w:vAlign w:val="center"/>
          </w:tcPr>
          <w:p w14:paraId="2C06B1B2" w14:textId="77777777" w:rsidR="000A471D" w:rsidRPr="000A471D" w:rsidRDefault="000A471D" w:rsidP="000A471D">
            <w:pPr>
              <w:jc w:val="both"/>
              <w:rPr>
                <w:lang w:eastAsia="en-US"/>
              </w:rPr>
            </w:pPr>
            <w:r w:rsidRPr="000A471D">
              <w:rPr>
                <w:lang w:eastAsia="en-US"/>
              </w:rPr>
              <w:t>obračunavaju se i naplaćuju u visini zakonske zatezne kamate stope</w:t>
            </w:r>
          </w:p>
        </w:tc>
      </w:tr>
      <w:tr w:rsidR="000A471D" w:rsidRPr="000A471D" w14:paraId="00D48FF6" w14:textId="77777777" w:rsidTr="003D7B07">
        <w:trPr>
          <w:trHeight w:val="412"/>
          <w:tblCellSpacing w:w="28" w:type="dxa"/>
          <w:jc w:val="center"/>
        </w:trPr>
        <w:tc>
          <w:tcPr>
            <w:tcW w:w="3057" w:type="dxa"/>
            <w:shd w:val="clear" w:color="auto" w:fill="auto"/>
            <w:vAlign w:val="center"/>
          </w:tcPr>
          <w:p w14:paraId="629683DA" w14:textId="77777777" w:rsidR="000A471D" w:rsidRPr="000A471D" w:rsidRDefault="000A471D" w:rsidP="000A471D">
            <w:pPr>
              <w:numPr>
                <w:ilvl w:val="0"/>
                <w:numId w:val="1"/>
              </w:numPr>
              <w:rPr>
                <w:lang w:eastAsia="en-US"/>
              </w:rPr>
            </w:pPr>
            <w:r w:rsidRPr="000A471D">
              <w:rPr>
                <w:lang w:eastAsia="en-US"/>
              </w:rPr>
              <w:t>naknada za obradu kredita (aranžerska):</w:t>
            </w:r>
          </w:p>
        </w:tc>
        <w:tc>
          <w:tcPr>
            <w:tcW w:w="6173" w:type="dxa"/>
            <w:shd w:val="clear" w:color="auto" w:fill="auto"/>
            <w:vAlign w:val="center"/>
          </w:tcPr>
          <w:p w14:paraId="434D2015" w14:textId="77777777" w:rsidR="000A471D" w:rsidRPr="000A471D" w:rsidRDefault="000A471D" w:rsidP="000A471D">
            <w:pPr>
              <w:rPr>
                <w:lang w:eastAsia="en-US"/>
              </w:rPr>
            </w:pPr>
            <w:r w:rsidRPr="000A471D">
              <w:rPr>
                <w:lang w:eastAsia="en-US"/>
              </w:rPr>
              <w:t>7.500,00 kuna, jednokratno, unaprijed</w:t>
            </w:r>
          </w:p>
        </w:tc>
      </w:tr>
      <w:tr w:rsidR="000A471D" w:rsidRPr="000A471D" w14:paraId="5C1D4A82" w14:textId="77777777" w:rsidTr="003D7B07">
        <w:trPr>
          <w:trHeight w:val="377"/>
          <w:tblCellSpacing w:w="28" w:type="dxa"/>
          <w:jc w:val="center"/>
        </w:trPr>
        <w:tc>
          <w:tcPr>
            <w:tcW w:w="3057" w:type="dxa"/>
            <w:shd w:val="clear" w:color="auto" w:fill="auto"/>
            <w:vAlign w:val="center"/>
          </w:tcPr>
          <w:p w14:paraId="75A38B08" w14:textId="77777777" w:rsidR="000A471D" w:rsidRPr="000A471D" w:rsidRDefault="000A471D" w:rsidP="000A471D">
            <w:pPr>
              <w:numPr>
                <w:ilvl w:val="0"/>
                <w:numId w:val="1"/>
              </w:numPr>
              <w:rPr>
                <w:lang w:eastAsia="en-US"/>
              </w:rPr>
            </w:pPr>
            <w:r w:rsidRPr="000A471D">
              <w:rPr>
                <w:lang w:eastAsia="en-US"/>
              </w:rPr>
              <w:t>naknada za neiskorištena sredstva:</w:t>
            </w:r>
          </w:p>
        </w:tc>
        <w:tc>
          <w:tcPr>
            <w:tcW w:w="6173" w:type="dxa"/>
            <w:shd w:val="clear" w:color="auto" w:fill="auto"/>
            <w:vAlign w:val="center"/>
          </w:tcPr>
          <w:p w14:paraId="1E19BABB" w14:textId="77777777" w:rsidR="000A471D" w:rsidRPr="000A471D" w:rsidRDefault="000A471D" w:rsidP="000A471D">
            <w:pPr>
              <w:rPr>
                <w:lang w:eastAsia="en-US"/>
              </w:rPr>
            </w:pPr>
            <w:r w:rsidRPr="000A471D">
              <w:rPr>
                <w:lang w:eastAsia="en-US"/>
              </w:rPr>
              <w:t>bez naknade</w:t>
            </w:r>
          </w:p>
        </w:tc>
      </w:tr>
      <w:tr w:rsidR="000A471D" w:rsidRPr="000A471D" w14:paraId="71A0FA37" w14:textId="77777777" w:rsidTr="003D7B07">
        <w:trPr>
          <w:trHeight w:val="368"/>
          <w:tblCellSpacing w:w="28" w:type="dxa"/>
          <w:jc w:val="center"/>
        </w:trPr>
        <w:tc>
          <w:tcPr>
            <w:tcW w:w="3057" w:type="dxa"/>
            <w:shd w:val="clear" w:color="auto" w:fill="auto"/>
            <w:vAlign w:val="center"/>
          </w:tcPr>
          <w:p w14:paraId="6AC04E5E" w14:textId="77777777" w:rsidR="000A471D" w:rsidRPr="000A471D" w:rsidRDefault="000A471D" w:rsidP="000A471D">
            <w:pPr>
              <w:numPr>
                <w:ilvl w:val="0"/>
                <w:numId w:val="1"/>
              </w:numPr>
              <w:rPr>
                <w:lang w:eastAsia="en-US"/>
              </w:rPr>
            </w:pPr>
            <w:r w:rsidRPr="000A471D">
              <w:rPr>
                <w:lang w:eastAsia="en-US"/>
              </w:rPr>
              <w:t>naknada za prijevremenu otplatu:</w:t>
            </w:r>
          </w:p>
        </w:tc>
        <w:tc>
          <w:tcPr>
            <w:tcW w:w="6173" w:type="dxa"/>
            <w:shd w:val="clear" w:color="auto" w:fill="auto"/>
            <w:vAlign w:val="center"/>
          </w:tcPr>
          <w:p w14:paraId="6E8B50A0" w14:textId="77777777" w:rsidR="000A471D" w:rsidRPr="000A471D" w:rsidRDefault="000A471D" w:rsidP="000A471D">
            <w:pPr>
              <w:rPr>
                <w:lang w:eastAsia="en-US"/>
              </w:rPr>
            </w:pPr>
            <w:r w:rsidRPr="000A471D">
              <w:rPr>
                <w:lang w:eastAsia="en-US"/>
              </w:rPr>
              <w:t>bez naknade</w:t>
            </w:r>
          </w:p>
        </w:tc>
      </w:tr>
      <w:tr w:rsidR="000A471D" w:rsidRPr="000A471D" w14:paraId="0C8B9385" w14:textId="77777777" w:rsidTr="003D7B07">
        <w:trPr>
          <w:trHeight w:val="649"/>
          <w:tblCellSpacing w:w="28" w:type="dxa"/>
          <w:jc w:val="center"/>
        </w:trPr>
        <w:tc>
          <w:tcPr>
            <w:tcW w:w="3057" w:type="dxa"/>
            <w:shd w:val="clear" w:color="auto" w:fill="auto"/>
            <w:vAlign w:val="center"/>
          </w:tcPr>
          <w:p w14:paraId="47AC05FE" w14:textId="77777777" w:rsidR="000A471D" w:rsidRPr="000A471D" w:rsidRDefault="000A471D" w:rsidP="000A471D">
            <w:pPr>
              <w:numPr>
                <w:ilvl w:val="0"/>
                <w:numId w:val="1"/>
              </w:numPr>
              <w:rPr>
                <w:lang w:eastAsia="en-US"/>
              </w:rPr>
            </w:pPr>
            <w:r w:rsidRPr="000A471D">
              <w:rPr>
                <w:lang w:eastAsia="en-US"/>
              </w:rPr>
              <w:t>osiguranje naplate obveza po kreditu:</w:t>
            </w:r>
          </w:p>
        </w:tc>
        <w:tc>
          <w:tcPr>
            <w:tcW w:w="6173" w:type="dxa"/>
            <w:shd w:val="clear" w:color="auto" w:fill="auto"/>
            <w:vAlign w:val="center"/>
          </w:tcPr>
          <w:p w14:paraId="2D6EBE69" w14:textId="77777777" w:rsidR="000A471D" w:rsidRPr="000A471D" w:rsidRDefault="000A471D" w:rsidP="000A471D">
            <w:pPr>
              <w:rPr>
                <w:lang w:eastAsia="en-US"/>
              </w:rPr>
            </w:pPr>
            <w:r w:rsidRPr="000A471D">
              <w:rPr>
                <w:lang w:eastAsia="en-US"/>
              </w:rPr>
              <w:t>jamstvo Republike Hrvatske koje pokriva 100 % obveza po kreditu, uvećano za kamate, naknade i troškove, izdano od strane Ministarstva financija u ime Republike Hrvatske.</w:t>
            </w:r>
          </w:p>
        </w:tc>
      </w:tr>
    </w:tbl>
    <w:p w14:paraId="61A712D5" w14:textId="77777777" w:rsidR="000A471D" w:rsidRPr="000A471D" w:rsidRDefault="000A471D" w:rsidP="000A471D">
      <w:pPr>
        <w:jc w:val="center"/>
        <w:rPr>
          <w:b/>
          <w:bCs/>
          <w:lang w:eastAsia="en-US"/>
        </w:rPr>
      </w:pPr>
    </w:p>
    <w:p w14:paraId="618A5416" w14:textId="77777777" w:rsidR="000A471D" w:rsidRPr="000A471D" w:rsidRDefault="000A471D" w:rsidP="000A471D">
      <w:pPr>
        <w:jc w:val="center"/>
        <w:rPr>
          <w:lang w:eastAsia="en-US"/>
        </w:rPr>
      </w:pPr>
      <w:r w:rsidRPr="000A471D">
        <w:rPr>
          <w:b/>
          <w:bCs/>
          <w:lang w:eastAsia="en-US"/>
        </w:rPr>
        <w:t>III.</w:t>
      </w:r>
    </w:p>
    <w:p w14:paraId="12C8C09D" w14:textId="77777777" w:rsidR="000A471D" w:rsidRPr="000A471D" w:rsidRDefault="000A471D" w:rsidP="000A471D">
      <w:pPr>
        <w:jc w:val="both"/>
        <w:rPr>
          <w:lang w:eastAsia="en-US"/>
        </w:rPr>
      </w:pPr>
    </w:p>
    <w:p w14:paraId="3A91FABD" w14:textId="77777777" w:rsidR="000A471D" w:rsidRPr="000A471D" w:rsidRDefault="000A471D" w:rsidP="000A471D">
      <w:pPr>
        <w:tabs>
          <w:tab w:val="left" w:pos="142"/>
        </w:tabs>
        <w:jc w:val="both"/>
        <w:rPr>
          <w:bCs/>
          <w:lang w:eastAsia="en-US"/>
        </w:rPr>
      </w:pPr>
      <w:r w:rsidRPr="000A471D">
        <w:rPr>
          <w:bCs/>
          <w:lang w:eastAsia="en-US"/>
        </w:rPr>
        <w:t xml:space="preserve">Obvezuje se društvo </w:t>
      </w:r>
      <w:r w:rsidRPr="000A471D">
        <w:rPr>
          <w:lang w:eastAsia="en-US"/>
        </w:rPr>
        <w:t xml:space="preserve">Hrvatske ceste d.o.o. </w:t>
      </w:r>
      <w:r w:rsidRPr="000A471D">
        <w:rPr>
          <w:bCs/>
          <w:lang w:eastAsia="en-US"/>
        </w:rPr>
        <w:t>da otplati kredit iz točke I. ove Odluke do njegove konačne otplate i u slučaju promjene vlasničkih odnosa korisnika kredita.</w:t>
      </w:r>
    </w:p>
    <w:p w14:paraId="0D4CE4E1" w14:textId="77777777" w:rsidR="000A471D" w:rsidRPr="000A471D" w:rsidRDefault="000A471D" w:rsidP="000A471D">
      <w:pPr>
        <w:autoSpaceDE w:val="0"/>
        <w:autoSpaceDN w:val="0"/>
        <w:adjustRightInd w:val="0"/>
        <w:jc w:val="both"/>
        <w:rPr>
          <w:lang w:eastAsia="en-US"/>
        </w:rPr>
      </w:pPr>
    </w:p>
    <w:p w14:paraId="59F53266" w14:textId="77777777" w:rsidR="000A471D" w:rsidRPr="000A471D" w:rsidRDefault="000A471D" w:rsidP="000A471D">
      <w:pPr>
        <w:jc w:val="center"/>
        <w:rPr>
          <w:b/>
          <w:bCs/>
          <w:lang w:eastAsia="en-US"/>
        </w:rPr>
      </w:pPr>
      <w:r w:rsidRPr="000A471D">
        <w:rPr>
          <w:b/>
          <w:bCs/>
          <w:lang w:eastAsia="en-US"/>
        </w:rPr>
        <w:t>IV.</w:t>
      </w:r>
    </w:p>
    <w:p w14:paraId="2E9B68C5" w14:textId="77777777" w:rsidR="000A471D" w:rsidRPr="000A471D" w:rsidRDefault="000A471D" w:rsidP="000A471D">
      <w:pPr>
        <w:jc w:val="center"/>
        <w:rPr>
          <w:lang w:eastAsia="en-US"/>
        </w:rPr>
      </w:pPr>
    </w:p>
    <w:p w14:paraId="1B0F0EC2" w14:textId="77777777" w:rsidR="000A471D" w:rsidRPr="000A471D" w:rsidRDefault="000A471D" w:rsidP="000A471D">
      <w:pPr>
        <w:jc w:val="both"/>
        <w:rPr>
          <w:lang w:eastAsia="en-US"/>
        </w:rPr>
      </w:pPr>
      <w:r w:rsidRPr="000A471D">
        <w:rPr>
          <w:lang w:eastAsia="en-US"/>
        </w:rPr>
        <w:t>Ova Odluka stupa na snagu danom donošenja.</w:t>
      </w:r>
    </w:p>
    <w:p w14:paraId="2BB5DD01" w14:textId="77777777" w:rsidR="000A471D" w:rsidRPr="000A471D" w:rsidRDefault="000A471D" w:rsidP="000A471D">
      <w:pPr>
        <w:jc w:val="both"/>
        <w:rPr>
          <w:lang w:eastAsia="en-US"/>
        </w:rPr>
      </w:pPr>
    </w:p>
    <w:p w14:paraId="7AEC2F80" w14:textId="77777777" w:rsidR="000A471D" w:rsidRPr="000A471D" w:rsidRDefault="000A471D" w:rsidP="000A471D">
      <w:pPr>
        <w:jc w:val="both"/>
        <w:rPr>
          <w:lang w:eastAsia="en-US"/>
        </w:rPr>
      </w:pPr>
    </w:p>
    <w:p w14:paraId="51E72DEC" w14:textId="77777777" w:rsidR="000A471D" w:rsidRPr="000A471D" w:rsidRDefault="000A471D" w:rsidP="000A471D">
      <w:pPr>
        <w:suppressAutoHyphens/>
        <w:jc w:val="both"/>
        <w:rPr>
          <w:lang w:eastAsia="zh-CN"/>
        </w:rPr>
      </w:pPr>
      <w:r w:rsidRPr="000A471D">
        <w:rPr>
          <w:rFonts w:eastAsia="MS Mincho"/>
          <w:lang w:eastAsia="en-US"/>
        </w:rPr>
        <w:t>Klasa:</w:t>
      </w:r>
    </w:p>
    <w:p w14:paraId="2CD98A48" w14:textId="77777777" w:rsidR="000A471D" w:rsidRPr="000A471D" w:rsidRDefault="000A471D" w:rsidP="000A471D">
      <w:pPr>
        <w:suppressAutoHyphens/>
        <w:jc w:val="both"/>
        <w:rPr>
          <w:lang w:eastAsia="zh-CN"/>
        </w:rPr>
      </w:pPr>
      <w:r w:rsidRPr="000A471D">
        <w:rPr>
          <w:rFonts w:eastAsia="MS Mincho"/>
          <w:lang w:eastAsia="en-US"/>
        </w:rPr>
        <w:t>Urbroj:</w:t>
      </w:r>
    </w:p>
    <w:p w14:paraId="309AB3F0" w14:textId="77777777" w:rsidR="000A471D" w:rsidRPr="000A471D" w:rsidRDefault="000A471D" w:rsidP="000A471D">
      <w:pPr>
        <w:suppressAutoHyphens/>
        <w:jc w:val="both"/>
        <w:rPr>
          <w:rFonts w:eastAsia="MS Mincho"/>
          <w:lang w:eastAsia="en-US"/>
        </w:rPr>
      </w:pPr>
    </w:p>
    <w:p w14:paraId="39F5D87A" w14:textId="77777777" w:rsidR="000A471D" w:rsidRPr="000A471D" w:rsidRDefault="000A471D" w:rsidP="000A471D">
      <w:pPr>
        <w:suppressAutoHyphens/>
        <w:jc w:val="both"/>
        <w:rPr>
          <w:lang w:eastAsia="zh-CN"/>
        </w:rPr>
      </w:pPr>
      <w:r w:rsidRPr="000A471D">
        <w:rPr>
          <w:rFonts w:eastAsia="MS Mincho"/>
          <w:lang w:eastAsia="en-US"/>
        </w:rPr>
        <w:t xml:space="preserve">Zagreb, __________ 2021. godine </w:t>
      </w:r>
    </w:p>
    <w:p w14:paraId="277E9571" w14:textId="77777777" w:rsidR="000A471D" w:rsidRPr="000A471D" w:rsidRDefault="000A471D" w:rsidP="000A471D">
      <w:pPr>
        <w:suppressAutoHyphens/>
        <w:ind w:left="5040"/>
        <w:jc w:val="center"/>
        <w:rPr>
          <w:lang w:val="x-none" w:eastAsia="en-US"/>
        </w:rPr>
      </w:pPr>
    </w:p>
    <w:p w14:paraId="3E37D0B7" w14:textId="77777777" w:rsidR="000A471D" w:rsidRPr="000A471D" w:rsidRDefault="000A471D" w:rsidP="000A471D">
      <w:pPr>
        <w:suppressAutoHyphens/>
        <w:ind w:left="5040"/>
        <w:jc w:val="center"/>
        <w:rPr>
          <w:lang w:val="x-none" w:eastAsia="en-US"/>
        </w:rPr>
      </w:pPr>
    </w:p>
    <w:p w14:paraId="7E4ECCF3" w14:textId="77777777" w:rsidR="000A471D" w:rsidRPr="000A471D" w:rsidRDefault="000A471D" w:rsidP="000A471D">
      <w:pPr>
        <w:suppressAutoHyphens/>
        <w:ind w:left="5040"/>
        <w:jc w:val="center"/>
        <w:rPr>
          <w:lang w:eastAsia="zh-CN"/>
        </w:rPr>
      </w:pPr>
      <w:r w:rsidRPr="000A471D">
        <w:rPr>
          <w:lang w:val="x-none" w:eastAsia="en-US"/>
        </w:rPr>
        <w:t>P</w:t>
      </w:r>
      <w:r w:rsidRPr="000A471D">
        <w:rPr>
          <w:lang w:eastAsia="en-US"/>
        </w:rPr>
        <w:t xml:space="preserve"> </w:t>
      </w:r>
      <w:r w:rsidRPr="000A471D">
        <w:rPr>
          <w:lang w:val="x-none" w:eastAsia="en-US"/>
        </w:rPr>
        <w:t>R</w:t>
      </w:r>
      <w:r w:rsidRPr="000A471D">
        <w:rPr>
          <w:lang w:eastAsia="en-US"/>
        </w:rPr>
        <w:t xml:space="preserve"> </w:t>
      </w:r>
      <w:r w:rsidRPr="000A471D">
        <w:rPr>
          <w:lang w:val="x-none" w:eastAsia="en-US"/>
        </w:rPr>
        <w:t>E</w:t>
      </w:r>
      <w:r w:rsidRPr="000A471D">
        <w:rPr>
          <w:lang w:eastAsia="en-US"/>
        </w:rPr>
        <w:t xml:space="preserve"> </w:t>
      </w:r>
      <w:r w:rsidRPr="000A471D">
        <w:rPr>
          <w:lang w:val="x-none" w:eastAsia="en-US"/>
        </w:rPr>
        <w:t>D</w:t>
      </w:r>
      <w:r w:rsidRPr="000A471D">
        <w:rPr>
          <w:lang w:eastAsia="en-US"/>
        </w:rPr>
        <w:t xml:space="preserve"> </w:t>
      </w:r>
      <w:r w:rsidRPr="000A471D">
        <w:rPr>
          <w:lang w:val="x-none" w:eastAsia="en-US"/>
        </w:rPr>
        <w:t>S</w:t>
      </w:r>
      <w:r w:rsidRPr="000A471D">
        <w:rPr>
          <w:lang w:eastAsia="en-US"/>
        </w:rPr>
        <w:t xml:space="preserve"> </w:t>
      </w:r>
      <w:r w:rsidRPr="000A471D">
        <w:rPr>
          <w:lang w:val="x-none" w:eastAsia="en-US"/>
        </w:rPr>
        <w:t>J</w:t>
      </w:r>
      <w:r w:rsidRPr="000A471D">
        <w:rPr>
          <w:lang w:eastAsia="en-US"/>
        </w:rPr>
        <w:t xml:space="preserve"> </w:t>
      </w:r>
      <w:r w:rsidRPr="000A471D">
        <w:rPr>
          <w:lang w:val="x-none" w:eastAsia="en-US"/>
        </w:rPr>
        <w:t>E</w:t>
      </w:r>
      <w:r w:rsidRPr="000A471D">
        <w:rPr>
          <w:lang w:eastAsia="en-US"/>
        </w:rPr>
        <w:t xml:space="preserve"> </w:t>
      </w:r>
      <w:r w:rsidRPr="000A471D">
        <w:rPr>
          <w:lang w:val="x-none" w:eastAsia="en-US"/>
        </w:rPr>
        <w:t>D</w:t>
      </w:r>
      <w:r w:rsidRPr="000A471D">
        <w:rPr>
          <w:lang w:eastAsia="en-US"/>
        </w:rPr>
        <w:t xml:space="preserve"> </w:t>
      </w:r>
      <w:r w:rsidRPr="000A471D">
        <w:rPr>
          <w:lang w:val="x-none" w:eastAsia="en-US"/>
        </w:rPr>
        <w:t>N</w:t>
      </w:r>
      <w:r w:rsidRPr="000A471D">
        <w:rPr>
          <w:lang w:eastAsia="en-US"/>
        </w:rPr>
        <w:t xml:space="preserve"> </w:t>
      </w:r>
      <w:r w:rsidRPr="000A471D">
        <w:rPr>
          <w:lang w:val="x-none" w:eastAsia="en-US"/>
        </w:rPr>
        <w:t>I</w:t>
      </w:r>
      <w:r w:rsidRPr="000A471D">
        <w:rPr>
          <w:lang w:eastAsia="en-US"/>
        </w:rPr>
        <w:t xml:space="preserve"> </w:t>
      </w:r>
      <w:r w:rsidRPr="000A471D">
        <w:rPr>
          <w:lang w:val="x-none" w:eastAsia="en-US"/>
        </w:rPr>
        <w:t>K</w:t>
      </w:r>
      <w:bookmarkStart w:id="0" w:name="_GoBack"/>
      <w:bookmarkEnd w:id="0"/>
    </w:p>
    <w:p w14:paraId="301989A1" w14:textId="77777777" w:rsidR="000A471D" w:rsidRPr="000A471D" w:rsidRDefault="000A471D" w:rsidP="000A471D">
      <w:pPr>
        <w:suppressAutoHyphens/>
        <w:ind w:left="16941"/>
        <w:jc w:val="center"/>
        <w:rPr>
          <w:lang w:val="x-none" w:eastAsia="en-US"/>
        </w:rPr>
      </w:pPr>
    </w:p>
    <w:p w14:paraId="5EC1A8FF" w14:textId="77E0F4B9" w:rsidR="000A471D" w:rsidRPr="000A471D" w:rsidRDefault="000A471D" w:rsidP="000A471D">
      <w:pPr>
        <w:suppressAutoHyphens/>
        <w:ind w:left="5040"/>
        <w:jc w:val="center"/>
        <w:rPr>
          <w:lang w:eastAsia="zh-CN"/>
        </w:rPr>
      </w:pPr>
      <w:r>
        <w:rPr>
          <w:lang w:eastAsia="en-US"/>
        </w:rPr>
        <w:t>mr. sc. Andrej Plenković</w:t>
      </w:r>
    </w:p>
    <w:p w14:paraId="467D31BA" w14:textId="77777777" w:rsidR="000A471D" w:rsidRPr="000A471D" w:rsidRDefault="000A471D" w:rsidP="000A471D">
      <w:pPr>
        <w:pageBreakBefore/>
        <w:suppressAutoHyphens/>
        <w:jc w:val="center"/>
        <w:rPr>
          <w:lang w:eastAsia="zh-CN"/>
        </w:rPr>
      </w:pPr>
      <w:r w:rsidRPr="000A471D">
        <w:rPr>
          <w:rFonts w:eastAsia="MS Mincho"/>
          <w:b/>
          <w:lang w:eastAsia="en-US"/>
        </w:rPr>
        <w:t>O B R A Z L O Ž E NJ E</w:t>
      </w:r>
    </w:p>
    <w:p w14:paraId="4BE98669" w14:textId="77777777" w:rsidR="000A471D" w:rsidRPr="000A471D" w:rsidRDefault="000A471D" w:rsidP="000A471D">
      <w:pPr>
        <w:suppressAutoHyphens/>
        <w:jc w:val="both"/>
        <w:rPr>
          <w:rFonts w:eastAsia="MS Mincho"/>
          <w:lang w:eastAsia="en-US"/>
        </w:rPr>
      </w:pPr>
    </w:p>
    <w:p w14:paraId="58D63BD1" w14:textId="77777777" w:rsidR="000A471D" w:rsidRPr="000A471D" w:rsidRDefault="000A471D" w:rsidP="000A471D">
      <w:pPr>
        <w:jc w:val="both"/>
        <w:rPr>
          <w:rFonts w:eastAsia="Calibri"/>
          <w:bCs/>
          <w:lang w:eastAsia="en-US"/>
        </w:rPr>
      </w:pPr>
    </w:p>
    <w:p w14:paraId="2DC19A51" w14:textId="77777777" w:rsidR="000A471D" w:rsidRPr="000A471D" w:rsidRDefault="000A471D" w:rsidP="000A471D">
      <w:pPr>
        <w:jc w:val="both"/>
        <w:rPr>
          <w:rFonts w:eastAsia="Calibri"/>
          <w:bCs/>
          <w:lang w:eastAsia="en-US"/>
        </w:rPr>
      </w:pPr>
      <w:r w:rsidRPr="000A471D">
        <w:rPr>
          <w:rFonts w:eastAsia="Calibri"/>
          <w:bCs/>
          <w:lang w:eastAsia="en-US"/>
        </w:rPr>
        <w:t>Hrvatski sabor je na sjednici održanoj 18. lipnja 2021. godine donio Odluku o davanju suglasnosti na izmjene i dopune Financijskog plana Hrvatskih cesta za 2021. godinu i projekcija plana za 2022. i 2023. godinu, a predmetno je objavljeno u Narodnim novinama, broj: 69/21 od 24. lipnja 2021. godine.</w:t>
      </w:r>
    </w:p>
    <w:p w14:paraId="7749E3A6" w14:textId="77777777" w:rsidR="000A471D" w:rsidRPr="000A471D" w:rsidRDefault="000A471D" w:rsidP="000A471D">
      <w:pPr>
        <w:autoSpaceDE w:val="0"/>
        <w:autoSpaceDN w:val="0"/>
        <w:adjustRightInd w:val="0"/>
        <w:jc w:val="both"/>
        <w:rPr>
          <w:bCs/>
        </w:rPr>
      </w:pPr>
    </w:p>
    <w:p w14:paraId="68AF496B" w14:textId="77777777" w:rsidR="000A471D" w:rsidRPr="000A471D" w:rsidRDefault="000A471D" w:rsidP="000A471D">
      <w:pPr>
        <w:autoSpaceDE w:val="0"/>
        <w:autoSpaceDN w:val="0"/>
        <w:adjustRightInd w:val="0"/>
        <w:jc w:val="both"/>
        <w:rPr>
          <w:bCs/>
        </w:rPr>
      </w:pPr>
      <w:r w:rsidRPr="000A471D">
        <w:rPr>
          <w:bCs/>
        </w:rPr>
        <w:t>Društvu Hrvatske ceste d.o.o. zbog zakonske regulative koja diktira dinamiku priljeva i prirode poslovanja koja diktira dospijeće obveza, potrebna je mogućnost trenutne nabave sredstava za održavanje likvidnosti. Naime, priljevi sredstava iz trošarina su na dnevnoj bazi u iznosima obračunatim po prodanim količinama goriva u jednom danu, a dugoročne obveze po kreditima i financijski zahtjevnim projektima dospijevaju na dan. Zbog toga se može dogoditi da društvo ne uspije akumulirati dovoljno sredstava do dospijeća obveze, te je zbog toga kratkoročna revolving linija najoptimalniji način zaduživanja društva u svrhu održavanja likvidnosti.</w:t>
      </w:r>
    </w:p>
    <w:p w14:paraId="27A0804A" w14:textId="77777777" w:rsidR="000A471D" w:rsidRPr="000A471D" w:rsidRDefault="000A471D" w:rsidP="000A471D">
      <w:pPr>
        <w:autoSpaceDE w:val="0"/>
        <w:autoSpaceDN w:val="0"/>
        <w:adjustRightInd w:val="0"/>
        <w:jc w:val="both"/>
        <w:rPr>
          <w:bCs/>
        </w:rPr>
      </w:pPr>
    </w:p>
    <w:p w14:paraId="5366585F" w14:textId="77777777" w:rsidR="000A471D" w:rsidRPr="000A471D" w:rsidRDefault="000A471D" w:rsidP="000A471D">
      <w:pPr>
        <w:jc w:val="both"/>
        <w:rPr>
          <w:rFonts w:eastAsia="Calibri"/>
          <w:bCs/>
          <w:lang w:eastAsia="en-US"/>
        </w:rPr>
      </w:pPr>
      <w:r w:rsidRPr="000A471D">
        <w:rPr>
          <w:rFonts w:eastAsia="Calibri"/>
          <w:bCs/>
          <w:lang w:eastAsia="en-US"/>
        </w:rPr>
        <w:t>Prema usvojenim izmjenama i dopunama Financijskog plana društva u 2021. godini planirano je zaduženje u iznosu od 66.700.000,00 kuna, te sukladno navedenom pokrenuta je nabava planiranih financijskih sredstava, odnosno zatražene su ponude za kratkoročni revolving kredit u visini do 8.863.000,00 eura.</w:t>
      </w:r>
    </w:p>
    <w:p w14:paraId="185904EA" w14:textId="77777777" w:rsidR="000A471D" w:rsidRPr="000A471D" w:rsidRDefault="000A471D" w:rsidP="000A471D">
      <w:pPr>
        <w:autoSpaceDE w:val="0"/>
        <w:autoSpaceDN w:val="0"/>
        <w:adjustRightInd w:val="0"/>
        <w:jc w:val="both"/>
        <w:rPr>
          <w:bCs/>
        </w:rPr>
      </w:pPr>
    </w:p>
    <w:p w14:paraId="2A1E34AA" w14:textId="77777777" w:rsidR="000A471D" w:rsidRPr="000A471D" w:rsidRDefault="000A471D" w:rsidP="000A471D">
      <w:pPr>
        <w:jc w:val="both"/>
        <w:rPr>
          <w:rFonts w:eastAsia="Calibri"/>
          <w:bCs/>
          <w:lang w:eastAsia="en-US"/>
        </w:rPr>
      </w:pPr>
      <w:r w:rsidRPr="000A471D">
        <w:rPr>
          <w:rFonts w:eastAsia="Calibri"/>
          <w:bCs/>
          <w:lang w:eastAsia="en-US"/>
        </w:rPr>
        <w:t xml:space="preserve">Od pristiglih ponuda odabrana je ponuda </w:t>
      </w:r>
      <w:r w:rsidRPr="000A471D">
        <w:rPr>
          <w:lang w:eastAsia="en-US"/>
        </w:rPr>
        <w:t>Privredne banke Zagreb d.d., Radnička cesta 50, Zagreb u iznosu od 8.863.000,00 eura (u kunskoj protuvrijednosti) s ponuđenom najnižom ukupnom cijenom koja se sastoji od kamate 3M EURIBOR + kamatna marža od 0,08 p.p. godišnje, promjenjivo, minimalno u visini kamatne marže od 0,08% godišnje, aranžerske naknade u iznosu od 7.500,00 kn jednokratno, unaprijed te bez naknade za neiskorištena sredstva i eventualnu prijevremenu otplatu kredita.</w:t>
      </w:r>
    </w:p>
    <w:p w14:paraId="63D72550" w14:textId="77777777" w:rsidR="000A471D" w:rsidRPr="000A471D" w:rsidRDefault="000A471D" w:rsidP="000A471D">
      <w:pPr>
        <w:autoSpaceDE w:val="0"/>
        <w:autoSpaceDN w:val="0"/>
        <w:adjustRightInd w:val="0"/>
        <w:jc w:val="both"/>
        <w:rPr>
          <w:bCs/>
        </w:rPr>
      </w:pPr>
    </w:p>
    <w:p w14:paraId="4FBF59CF" w14:textId="77777777" w:rsidR="000A471D" w:rsidRPr="000A471D" w:rsidRDefault="000A471D" w:rsidP="000A471D">
      <w:pPr>
        <w:jc w:val="both"/>
        <w:rPr>
          <w:lang w:eastAsia="en-US"/>
        </w:rPr>
      </w:pPr>
      <w:r w:rsidRPr="000A471D">
        <w:rPr>
          <w:lang w:eastAsia="en-US"/>
        </w:rPr>
        <w:t>Uprava Društva je na sjednici održanoj dana 15. studenoga 2021. godine donijela Odluku o kreditnom zaduženju kod Privredne banke Zagreb d.d., Zagreb, a Nadzorni odbor Društva je svojom Odlukom od 19. studenoga 2021. godine dao suglasnost za predmetno kreditno zaduženje kod navedene banke.</w:t>
      </w:r>
    </w:p>
    <w:p w14:paraId="7AE53BAD" w14:textId="77777777" w:rsidR="000A471D" w:rsidRPr="000A471D" w:rsidRDefault="000A471D" w:rsidP="000A471D">
      <w:pPr>
        <w:autoSpaceDE w:val="0"/>
        <w:autoSpaceDN w:val="0"/>
        <w:adjustRightInd w:val="0"/>
        <w:jc w:val="both"/>
        <w:rPr>
          <w:bCs/>
        </w:rPr>
      </w:pPr>
    </w:p>
    <w:p w14:paraId="472F681D" w14:textId="77777777" w:rsidR="000A471D" w:rsidRPr="000A471D" w:rsidRDefault="000A471D" w:rsidP="000A471D">
      <w:pPr>
        <w:jc w:val="both"/>
        <w:rPr>
          <w:lang w:eastAsia="en-US"/>
        </w:rPr>
      </w:pPr>
      <w:r w:rsidRPr="000A471D">
        <w:rPr>
          <w:lang w:eastAsia="en-US"/>
        </w:rPr>
        <w:t>Ova Odluka donosi se sukladno izmjenama i dopunama Financijskog plana HC-a za 2021. godinu i projekciji plana za 2022. i 2023. godinu, a ista neće imati utjecaj na rashode i izdatke Državnog proračuna Republike Hrvatske za 2021. godinu. Mogući fiskalni učinak na Državni proračun Republike Hrvatske nastao bi u slučaju neizvršavanja obveza od strane HC-a prema banci, davatelju kredita, u iznosu visine jamstva uvećanog za kamate, naknade i troškove sukladno ugovoru o kreditu.</w:t>
      </w:r>
    </w:p>
    <w:p w14:paraId="00B9FB94" w14:textId="77777777" w:rsidR="000A471D" w:rsidRPr="000A471D" w:rsidRDefault="000A471D" w:rsidP="000A471D">
      <w:pPr>
        <w:jc w:val="both"/>
        <w:rPr>
          <w:lang w:eastAsia="en-US"/>
        </w:rPr>
      </w:pPr>
    </w:p>
    <w:p w14:paraId="79F50479" w14:textId="77777777" w:rsidR="000A471D" w:rsidRPr="000A471D" w:rsidRDefault="000A471D" w:rsidP="000A471D">
      <w:pPr>
        <w:jc w:val="both"/>
        <w:rPr>
          <w:lang w:eastAsia="en-US"/>
        </w:rPr>
      </w:pPr>
      <w:r w:rsidRPr="000A471D">
        <w:rPr>
          <w:bCs/>
          <w:lang w:eastAsia="en-US"/>
        </w:rPr>
        <w:t xml:space="preserve">Donošenjem ove Odluke Vlada Republike Hrvatske daje suglasnost društvu Hrvatske ceste d.o.o. za kreditno zaduženje kod </w:t>
      </w:r>
      <w:r w:rsidRPr="000A471D">
        <w:rPr>
          <w:lang w:eastAsia="en-US"/>
        </w:rPr>
        <w:t xml:space="preserve">Privredne banke Zagreb d.d., Zagreb, u iznosu do </w:t>
      </w:r>
      <w:r w:rsidRPr="000A471D">
        <w:rPr>
          <w:bCs/>
        </w:rPr>
        <w:t xml:space="preserve">8.863.000,00 eura, u kunskoj protuvrijednosti, </w:t>
      </w:r>
      <w:r w:rsidRPr="000A471D">
        <w:rPr>
          <w:lang w:eastAsia="en-US"/>
        </w:rPr>
        <w:t>uvećano za kamate, naknade i troškove, radi financiranja obrtnih sredstava.</w:t>
      </w:r>
    </w:p>
    <w:p w14:paraId="47B9A080" w14:textId="77777777" w:rsidR="000A471D" w:rsidRPr="000A471D" w:rsidRDefault="000A471D" w:rsidP="000A471D">
      <w:pPr>
        <w:autoSpaceDE w:val="0"/>
        <w:autoSpaceDN w:val="0"/>
        <w:adjustRightInd w:val="0"/>
        <w:jc w:val="both"/>
        <w:rPr>
          <w:bCs/>
        </w:rPr>
      </w:pPr>
    </w:p>
    <w:p w14:paraId="374F2E56" w14:textId="77777777" w:rsidR="000A471D" w:rsidRPr="000A471D" w:rsidRDefault="000A471D" w:rsidP="000A471D">
      <w:pPr>
        <w:autoSpaceDE w:val="0"/>
        <w:autoSpaceDN w:val="0"/>
        <w:adjustRightInd w:val="0"/>
        <w:jc w:val="both"/>
        <w:rPr>
          <w:bCs/>
        </w:rPr>
      </w:pPr>
    </w:p>
    <w:p w14:paraId="73B158EE" w14:textId="77777777" w:rsidR="000A471D" w:rsidRPr="000A471D" w:rsidRDefault="000A471D" w:rsidP="000A471D">
      <w:pPr>
        <w:jc w:val="both"/>
        <w:rPr>
          <w:color w:val="FF0000"/>
          <w:lang w:eastAsia="en-US"/>
        </w:rPr>
      </w:pPr>
    </w:p>
    <w:p w14:paraId="59FA1198" w14:textId="559CC1FD" w:rsidR="005753A6" w:rsidRPr="003F5FA7" w:rsidRDefault="005753A6" w:rsidP="000A471D">
      <w:pPr>
        <w:pStyle w:val="BodyText"/>
        <w:jc w:val="right"/>
      </w:pPr>
    </w:p>
    <w:sectPr w:rsidR="005753A6" w:rsidRPr="003F5FA7" w:rsidSect="000C44AA">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572B" w14:textId="77777777" w:rsidR="008F3CAA" w:rsidRDefault="008F3CAA" w:rsidP="00657764">
      <w:r>
        <w:separator/>
      </w:r>
    </w:p>
  </w:endnote>
  <w:endnote w:type="continuationSeparator" w:id="0">
    <w:p w14:paraId="3D73CBC9" w14:textId="77777777" w:rsidR="008F3CAA" w:rsidRDefault="008F3CAA" w:rsidP="0065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58D8" w14:textId="77777777" w:rsidR="000C44AA" w:rsidRPr="00CE78D1" w:rsidRDefault="000C44A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E341" w14:textId="77777777" w:rsidR="000C44AA" w:rsidRPr="000C44AA" w:rsidRDefault="000C44AA" w:rsidP="000C44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3137" w14:textId="77777777" w:rsidR="008F3CAA" w:rsidRDefault="008F3CAA" w:rsidP="00657764">
      <w:r>
        <w:separator/>
      </w:r>
    </w:p>
  </w:footnote>
  <w:footnote w:type="continuationSeparator" w:id="0">
    <w:p w14:paraId="6C8A0DE1" w14:textId="77777777" w:rsidR="008F3CAA" w:rsidRDefault="008F3CAA" w:rsidP="00657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637044"/>
      <w:docPartObj>
        <w:docPartGallery w:val="Page Numbers (Top of Page)"/>
        <w:docPartUnique/>
      </w:docPartObj>
    </w:sdtPr>
    <w:sdtEndPr>
      <w:rPr>
        <w:noProof/>
      </w:rPr>
    </w:sdtEndPr>
    <w:sdtContent>
      <w:p w14:paraId="36154CBD" w14:textId="38AFD329" w:rsidR="00657764" w:rsidRPr="00657764" w:rsidRDefault="00657764" w:rsidP="00657764">
        <w:pPr>
          <w:pStyle w:val="Header"/>
          <w:jc w:val="center"/>
        </w:pPr>
        <w:r w:rsidRPr="00657764">
          <w:fldChar w:fldCharType="begin"/>
        </w:r>
        <w:r w:rsidRPr="00657764">
          <w:instrText xml:space="preserve"> PAGE   \* MERGEFORMAT </w:instrText>
        </w:r>
        <w:r w:rsidRPr="00657764">
          <w:fldChar w:fldCharType="separate"/>
        </w:r>
        <w:r w:rsidR="000A471D">
          <w:rPr>
            <w:noProof/>
          </w:rPr>
          <w:t>2</w:t>
        </w:r>
        <w:r w:rsidRPr="00657764">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374FC3"/>
    <w:multiLevelType w:val="hybridMultilevel"/>
    <w:tmpl w:val="15E08A82"/>
    <w:lvl w:ilvl="0" w:tplc="858276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DB3CAC"/>
    <w:multiLevelType w:val="hybridMultilevel"/>
    <w:tmpl w:val="FC6EA6EE"/>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C2"/>
    <w:rsid w:val="00032293"/>
    <w:rsid w:val="00035896"/>
    <w:rsid w:val="000468DC"/>
    <w:rsid w:val="00055E2F"/>
    <w:rsid w:val="0008741C"/>
    <w:rsid w:val="000920F4"/>
    <w:rsid w:val="00093F19"/>
    <w:rsid w:val="00097F19"/>
    <w:rsid w:val="000A471D"/>
    <w:rsid w:val="000B5B12"/>
    <w:rsid w:val="000C44AA"/>
    <w:rsid w:val="000E11A5"/>
    <w:rsid w:val="000E63BB"/>
    <w:rsid w:val="000F6F97"/>
    <w:rsid w:val="001077A0"/>
    <w:rsid w:val="00137409"/>
    <w:rsid w:val="00151500"/>
    <w:rsid w:val="0015240B"/>
    <w:rsid w:val="00165FB1"/>
    <w:rsid w:val="001A06A2"/>
    <w:rsid w:val="001A12B5"/>
    <w:rsid w:val="001B64C9"/>
    <w:rsid w:val="001F4EFB"/>
    <w:rsid w:val="001F648A"/>
    <w:rsid w:val="00201E01"/>
    <w:rsid w:val="00212948"/>
    <w:rsid w:val="00215681"/>
    <w:rsid w:val="00215A48"/>
    <w:rsid w:val="00220FF4"/>
    <w:rsid w:val="00252F21"/>
    <w:rsid w:val="002760C2"/>
    <w:rsid w:val="002914D9"/>
    <w:rsid w:val="00296159"/>
    <w:rsid w:val="00297237"/>
    <w:rsid w:val="002D4DD7"/>
    <w:rsid w:val="002F47F4"/>
    <w:rsid w:val="003054EF"/>
    <w:rsid w:val="003209B5"/>
    <w:rsid w:val="00324FA1"/>
    <w:rsid w:val="00341296"/>
    <w:rsid w:val="00396B76"/>
    <w:rsid w:val="00396E33"/>
    <w:rsid w:val="003A3A5B"/>
    <w:rsid w:val="003B1D35"/>
    <w:rsid w:val="003B4964"/>
    <w:rsid w:val="003C2EBD"/>
    <w:rsid w:val="003C66E3"/>
    <w:rsid w:val="003E3084"/>
    <w:rsid w:val="003F1CFF"/>
    <w:rsid w:val="003F5FA7"/>
    <w:rsid w:val="00406F11"/>
    <w:rsid w:val="00422D05"/>
    <w:rsid w:val="00427E06"/>
    <w:rsid w:val="00491D9B"/>
    <w:rsid w:val="004936E6"/>
    <w:rsid w:val="004B541E"/>
    <w:rsid w:val="004F0B9A"/>
    <w:rsid w:val="00542060"/>
    <w:rsid w:val="00552F02"/>
    <w:rsid w:val="005663D8"/>
    <w:rsid w:val="005753A6"/>
    <w:rsid w:val="005A6458"/>
    <w:rsid w:val="005D0D18"/>
    <w:rsid w:val="006330D6"/>
    <w:rsid w:val="006422BA"/>
    <w:rsid w:val="00652AE6"/>
    <w:rsid w:val="00657764"/>
    <w:rsid w:val="00660056"/>
    <w:rsid w:val="0068221F"/>
    <w:rsid w:val="00684FCE"/>
    <w:rsid w:val="006B4656"/>
    <w:rsid w:val="006B7340"/>
    <w:rsid w:val="006D1A92"/>
    <w:rsid w:val="006E76A3"/>
    <w:rsid w:val="00712E38"/>
    <w:rsid w:val="007373CE"/>
    <w:rsid w:val="0075314B"/>
    <w:rsid w:val="00754EA6"/>
    <w:rsid w:val="00760A24"/>
    <w:rsid w:val="00760DF4"/>
    <w:rsid w:val="00771A69"/>
    <w:rsid w:val="007A69AF"/>
    <w:rsid w:val="007B1CC4"/>
    <w:rsid w:val="007E4694"/>
    <w:rsid w:val="00807EDC"/>
    <w:rsid w:val="008150D2"/>
    <w:rsid w:val="00866976"/>
    <w:rsid w:val="008765A7"/>
    <w:rsid w:val="00892781"/>
    <w:rsid w:val="008F3CAA"/>
    <w:rsid w:val="008F50FB"/>
    <w:rsid w:val="00941AF0"/>
    <w:rsid w:val="00945085"/>
    <w:rsid w:val="0097234F"/>
    <w:rsid w:val="009859E0"/>
    <w:rsid w:val="009944D9"/>
    <w:rsid w:val="009B02C1"/>
    <w:rsid w:val="009B2630"/>
    <w:rsid w:val="009B34B1"/>
    <w:rsid w:val="009C2D25"/>
    <w:rsid w:val="009D5484"/>
    <w:rsid w:val="00A065A9"/>
    <w:rsid w:val="00A510BD"/>
    <w:rsid w:val="00A7192D"/>
    <w:rsid w:val="00A82069"/>
    <w:rsid w:val="00A85140"/>
    <w:rsid w:val="00AD3CA4"/>
    <w:rsid w:val="00AD3EC5"/>
    <w:rsid w:val="00AE506A"/>
    <w:rsid w:val="00B043C6"/>
    <w:rsid w:val="00B120C6"/>
    <w:rsid w:val="00B2332C"/>
    <w:rsid w:val="00B8273B"/>
    <w:rsid w:val="00BC685C"/>
    <w:rsid w:val="00C048AC"/>
    <w:rsid w:val="00C23F94"/>
    <w:rsid w:val="00C475F0"/>
    <w:rsid w:val="00C8746C"/>
    <w:rsid w:val="00C9133A"/>
    <w:rsid w:val="00C971AA"/>
    <w:rsid w:val="00CC6D5A"/>
    <w:rsid w:val="00CD1036"/>
    <w:rsid w:val="00CF0A88"/>
    <w:rsid w:val="00D31606"/>
    <w:rsid w:val="00D51370"/>
    <w:rsid w:val="00D611D1"/>
    <w:rsid w:val="00D62F7A"/>
    <w:rsid w:val="00DA78DD"/>
    <w:rsid w:val="00E012E3"/>
    <w:rsid w:val="00E15F9A"/>
    <w:rsid w:val="00E444C2"/>
    <w:rsid w:val="00ED5A3D"/>
    <w:rsid w:val="00EE2A78"/>
    <w:rsid w:val="00EF6176"/>
    <w:rsid w:val="00EF66A2"/>
    <w:rsid w:val="00F13196"/>
    <w:rsid w:val="00F13862"/>
    <w:rsid w:val="00F40789"/>
    <w:rsid w:val="00F550E8"/>
    <w:rsid w:val="00F623FC"/>
    <w:rsid w:val="00FD30F7"/>
    <w:rsid w:val="00FE3A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3A60"/>
  <w15:docId w15:val="{F8A586B3-4CF8-44C7-B4C4-B5B6175E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8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44C2"/>
    <w:pPr>
      <w:jc w:val="both"/>
    </w:pPr>
    <w:rPr>
      <w:lang w:val="x-none" w:eastAsia="en-US"/>
    </w:rPr>
  </w:style>
  <w:style w:type="character" w:customStyle="1" w:styleId="BodyTextChar">
    <w:name w:val="Body Text Char"/>
    <w:basedOn w:val="DefaultParagraphFont"/>
    <w:link w:val="BodyText"/>
    <w:rsid w:val="00E444C2"/>
    <w:rPr>
      <w:rFonts w:ascii="Times New Roman" w:eastAsia="Times New Roman" w:hAnsi="Times New Roman" w:cs="Times New Roman"/>
      <w:sz w:val="24"/>
      <w:szCs w:val="24"/>
      <w:lang w:val="x-none"/>
    </w:rPr>
  </w:style>
  <w:style w:type="paragraph" w:styleId="ListParagraph">
    <w:name w:val="List Paragraph"/>
    <w:aliases w:val="Heading 12,heading 1,naslov 1,Naslov 12,Graf,Paragraph,List Paragraph Red,lp1"/>
    <w:basedOn w:val="Normal"/>
    <w:link w:val="ListParagraphChar"/>
    <w:uiPriority w:val="34"/>
    <w:qFormat/>
    <w:rsid w:val="00E444C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E444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CFF"/>
    <w:rPr>
      <w:rFonts w:ascii="Tahoma" w:hAnsi="Tahoma" w:cs="Tahoma"/>
      <w:sz w:val="16"/>
      <w:szCs w:val="16"/>
    </w:rPr>
  </w:style>
  <w:style w:type="character" w:customStyle="1" w:styleId="BalloonTextChar">
    <w:name w:val="Balloon Text Char"/>
    <w:basedOn w:val="DefaultParagraphFont"/>
    <w:link w:val="BalloonText"/>
    <w:uiPriority w:val="99"/>
    <w:semiHidden/>
    <w:rsid w:val="003F1CFF"/>
    <w:rPr>
      <w:rFonts w:ascii="Tahoma" w:eastAsia="Times New Roman" w:hAnsi="Tahoma" w:cs="Tahoma"/>
      <w:sz w:val="16"/>
      <w:szCs w:val="16"/>
      <w:lang w:eastAsia="hr-HR"/>
    </w:rPr>
  </w:style>
  <w:style w:type="paragraph" w:styleId="Header">
    <w:name w:val="header"/>
    <w:basedOn w:val="Normal"/>
    <w:link w:val="HeaderChar"/>
    <w:uiPriority w:val="99"/>
    <w:unhideWhenUsed/>
    <w:rsid w:val="00657764"/>
    <w:pPr>
      <w:tabs>
        <w:tab w:val="center" w:pos="4536"/>
        <w:tab w:val="right" w:pos="9072"/>
      </w:tabs>
    </w:pPr>
  </w:style>
  <w:style w:type="character" w:customStyle="1" w:styleId="HeaderChar">
    <w:name w:val="Header Char"/>
    <w:basedOn w:val="DefaultParagraphFont"/>
    <w:link w:val="Header"/>
    <w:uiPriority w:val="99"/>
    <w:rsid w:val="0065776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57764"/>
    <w:pPr>
      <w:tabs>
        <w:tab w:val="center" w:pos="4536"/>
        <w:tab w:val="right" w:pos="9072"/>
      </w:tabs>
    </w:pPr>
  </w:style>
  <w:style w:type="character" w:customStyle="1" w:styleId="FooterChar">
    <w:name w:val="Footer Char"/>
    <w:basedOn w:val="DefaultParagraphFont"/>
    <w:link w:val="Footer"/>
    <w:uiPriority w:val="99"/>
    <w:rsid w:val="00657764"/>
    <w:rPr>
      <w:rFonts w:ascii="Times New Roman" w:eastAsia="Times New Roman" w:hAnsi="Times New Roman" w:cs="Times New Roman"/>
      <w:sz w:val="24"/>
      <w:szCs w:val="24"/>
      <w:lang w:eastAsia="hr-HR"/>
    </w:rPr>
  </w:style>
  <w:style w:type="table" w:styleId="TableGrid">
    <w:name w:val="Table Grid"/>
    <w:basedOn w:val="TableNormal"/>
    <w:rsid w:val="000C44A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6953">
      <w:bodyDiv w:val="1"/>
      <w:marLeft w:val="0"/>
      <w:marRight w:val="0"/>
      <w:marTop w:val="0"/>
      <w:marBottom w:val="0"/>
      <w:divBdr>
        <w:top w:val="none" w:sz="0" w:space="0" w:color="auto"/>
        <w:left w:val="none" w:sz="0" w:space="0" w:color="auto"/>
        <w:bottom w:val="none" w:sz="0" w:space="0" w:color="auto"/>
        <w:right w:val="none" w:sz="0" w:space="0" w:color="auto"/>
      </w:divBdr>
    </w:div>
    <w:div w:id="811218401">
      <w:bodyDiv w:val="1"/>
      <w:marLeft w:val="0"/>
      <w:marRight w:val="0"/>
      <w:marTop w:val="0"/>
      <w:marBottom w:val="0"/>
      <w:divBdr>
        <w:top w:val="none" w:sz="0" w:space="0" w:color="auto"/>
        <w:left w:val="none" w:sz="0" w:space="0" w:color="auto"/>
        <w:bottom w:val="none" w:sz="0" w:space="0" w:color="auto"/>
        <w:right w:val="none" w:sz="0" w:space="0" w:color="auto"/>
      </w:divBdr>
    </w:div>
    <w:div w:id="982589310">
      <w:bodyDiv w:val="1"/>
      <w:marLeft w:val="0"/>
      <w:marRight w:val="0"/>
      <w:marTop w:val="0"/>
      <w:marBottom w:val="0"/>
      <w:divBdr>
        <w:top w:val="none" w:sz="0" w:space="0" w:color="auto"/>
        <w:left w:val="none" w:sz="0" w:space="0" w:color="auto"/>
        <w:bottom w:val="none" w:sz="0" w:space="0" w:color="auto"/>
        <w:right w:val="none" w:sz="0" w:space="0" w:color="auto"/>
      </w:divBdr>
    </w:div>
    <w:div w:id="1161505058">
      <w:bodyDiv w:val="1"/>
      <w:marLeft w:val="0"/>
      <w:marRight w:val="0"/>
      <w:marTop w:val="0"/>
      <w:marBottom w:val="0"/>
      <w:divBdr>
        <w:top w:val="none" w:sz="0" w:space="0" w:color="auto"/>
        <w:left w:val="none" w:sz="0" w:space="0" w:color="auto"/>
        <w:bottom w:val="none" w:sz="0" w:space="0" w:color="auto"/>
        <w:right w:val="none" w:sz="0" w:space="0" w:color="auto"/>
      </w:divBdr>
    </w:div>
    <w:div w:id="1400251174">
      <w:bodyDiv w:val="1"/>
      <w:marLeft w:val="0"/>
      <w:marRight w:val="0"/>
      <w:marTop w:val="0"/>
      <w:marBottom w:val="0"/>
      <w:divBdr>
        <w:top w:val="none" w:sz="0" w:space="0" w:color="auto"/>
        <w:left w:val="none" w:sz="0" w:space="0" w:color="auto"/>
        <w:bottom w:val="none" w:sz="0" w:space="0" w:color="auto"/>
        <w:right w:val="none" w:sz="0" w:space="0" w:color="auto"/>
      </w:divBdr>
    </w:div>
    <w:div w:id="1482963750">
      <w:bodyDiv w:val="1"/>
      <w:marLeft w:val="0"/>
      <w:marRight w:val="0"/>
      <w:marTop w:val="0"/>
      <w:marBottom w:val="0"/>
      <w:divBdr>
        <w:top w:val="none" w:sz="0" w:space="0" w:color="auto"/>
        <w:left w:val="none" w:sz="0" w:space="0" w:color="auto"/>
        <w:bottom w:val="none" w:sz="0" w:space="0" w:color="auto"/>
        <w:right w:val="none" w:sz="0" w:space="0" w:color="auto"/>
      </w:divBdr>
    </w:div>
    <w:div w:id="21201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5295</Characters>
  <Application>Microsoft Office Word</Application>
  <DocSecurity>4</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Horvat</dc:creator>
  <cp:lastModifiedBy>Domagoj Dodig</cp:lastModifiedBy>
  <cp:revision>2</cp:revision>
  <cp:lastPrinted>2020-05-12T13:48:00Z</cp:lastPrinted>
  <dcterms:created xsi:type="dcterms:W3CDTF">2021-12-14T10:07:00Z</dcterms:created>
  <dcterms:modified xsi:type="dcterms:W3CDTF">2021-12-14T10:07:00Z</dcterms:modified>
</cp:coreProperties>
</file>