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B446" w14:textId="77777777" w:rsidR="008F0628" w:rsidRPr="00093C4D" w:rsidRDefault="008F0628" w:rsidP="00633B21">
      <w:pPr>
        <w:jc w:val="right"/>
        <w:rPr>
          <w:rFonts w:ascii="Times New Roman" w:hAnsi="Times New Roman" w:cs="Times New Roman"/>
          <w:color w:val="FF0000"/>
          <w:sz w:val="24"/>
          <w:szCs w:val="24"/>
        </w:rPr>
      </w:pPr>
    </w:p>
    <w:p w14:paraId="3AF6AE9B" w14:textId="77777777" w:rsidR="00093C4D" w:rsidRDefault="00093C4D" w:rsidP="00510E9A">
      <w:pPr>
        <w:jc w:val="both"/>
        <w:rPr>
          <w:rFonts w:ascii="Times New Roman" w:hAnsi="Times New Roman" w:cs="Times New Roman"/>
          <w:b/>
          <w:sz w:val="24"/>
          <w:szCs w:val="24"/>
        </w:rPr>
      </w:pPr>
    </w:p>
    <w:p w14:paraId="24954D99" w14:textId="77777777" w:rsidR="00093C4D" w:rsidRPr="00C05854" w:rsidRDefault="00093C4D" w:rsidP="00093C4D">
      <w:pPr>
        <w:rPr>
          <w:rFonts w:ascii="Times New Roman" w:hAnsi="Times New Roman" w:cs="Times New Roman"/>
          <w:b/>
          <w:sz w:val="24"/>
          <w:szCs w:val="24"/>
        </w:rPr>
      </w:pPr>
    </w:p>
    <w:p w14:paraId="0ECE9F88" w14:textId="77777777" w:rsidR="00093C4D" w:rsidRPr="00C05854" w:rsidRDefault="00093C4D" w:rsidP="00093C4D">
      <w:pPr>
        <w:jc w:val="center"/>
        <w:rPr>
          <w:rFonts w:ascii="Times New Roman" w:hAnsi="Times New Roman" w:cs="Times New Roman"/>
          <w:sz w:val="24"/>
          <w:szCs w:val="24"/>
        </w:rPr>
      </w:pPr>
      <w:r w:rsidRPr="00C05854">
        <w:rPr>
          <w:rFonts w:ascii="Times New Roman" w:hAnsi="Times New Roman" w:cs="Times New Roman"/>
          <w:noProof/>
          <w:sz w:val="24"/>
          <w:szCs w:val="24"/>
          <w:lang w:eastAsia="hr-HR"/>
        </w:rPr>
        <w:drawing>
          <wp:inline distT="0" distB="0" distL="0" distR="0" wp14:anchorId="5ADFBDA6" wp14:editId="547B6E1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7CAD9AF" w14:textId="77777777" w:rsidR="00093C4D" w:rsidRPr="00C05854" w:rsidRDefault="00093C4D" w:rsidP="00093C4D">
      <w:pPr>
        <w:spacing w:before="60" w:after="1680"/>
        <w:jc w:val="center"/>
        <w:rPr>
          <w:rFonts w:ascii="Times New Roman" w:hAnsi="Times New Roman" w:cs="Times New Roman"/>
          <w:sz w:val="24"/>
          <w:szCs w:val="24"/>
        </w:rPr>
      </w:pPr>
      <w:r w:rsidRPr="00C05854">
        <w:rPr>
          <w:rFonts w:ascii="Times New Roman" w:hAnsi="Times New Roman" w:cs="Times New Roman"/>
          <w:sz w:val="24"/>
          <w:szCs w:val="24"/>
        </w:rPr>
        <w:t>VLADA REPUBLIKE HRVATSKE</w:t>
      </w:r>
    </w:p>
    <w:p w14:paraId="2C0DC7AC" w14:textId="600D59BD" w:rsidR="00093C4D" w:rsidRPr="00C05854" w:rsidRDefault="00093C4D" w:rsidP="00093C4D">
      <w:pPr>
        <w:tabs>
          <w:tab w:val="right" w:pos="9070"/>
        </w:tabs>
        <w:spacing w:after="2400"/>
        <w:rPr>
          <w:rFonts w:ascii="Times New Roman" w:hAnsi="Times New Roman" w:cs="Times New Roman"/>
          <w:b/>
          <w:sz w:val="24"/>
          <w:szCs w:val="24"/>
        </w:rPr>
      </w:pPr>
      <w:r w:rsidRPr="00C05854">
        <w:rPr>
          <w:rFonts w:ascii="Times New Roman" w:hAnsi="Times New Roman" w:cs="Times New Roman"/>
          <w:b/>
          <w:sz w:val="24"/>
          <w:szCs w:val="24"/>
        </w:rPr>
        <w:tab/>
      </w:r>
      <w:r w:rsidRPr="00C05854">
        <w:rPr>
          <w:rFonts w:ascii="Times New Roman" w:hAnsi="Times New Roman" w:cs="Times New Roman"/>
          <w:sz w:val="24"/>
          <w:szCs w:val="24"/>
        </w:rPr>
        <w:t xml:space="preserve">Zagreb,  </w:t>
      </w:r>
      <w:r w:rsidR="001F7482">
        <w:rPr>
          <w:rFonts w:ascii="Times New Roman" w:hAnsi="Times New Roman" w:cs="Times New Roman"/>
          <w:sz w:val="24"/>
          <w:szCs w:val="24"/>
        </w:rPr>
        <w:t xml:space="preserve">23. </w:t>
      </w:r>
      <w:r w:rsidR="003E2F43">
        <w:rPr>
          <w:rFonts w:ascii="Times New Roman" w:hAnsi="Times New Roman" w:cs="Times New Roman"/>
          <w:sz w:val="24"/>
          <w:szCs w:val="24"/>
        </w:rPr>
        <w:t xml:space="preserve">prosinca </w:t>
      </w:r>
      <w:r w:rsidRPr="00C05854">
        <w:rPr>
          <w:rFonts w:ascii="Times New Roman" w:hAnsi="Times New Roman" w:cs="Times New Roman"/>
          <w:sz w:val="24"/>
          <w:szCs w:val="24"/>
        </w:rPr>
        <w:t>2021.</w:t>
      </w:r>
    </w:p>
    <w:p w14:paraId="27B1D4B2" w14:textId="77777777" w:rsidR="00093C4D" w:rsidRPr="00C05854" w:rsidRDefault="00093C4D" w:rsidP="00093C4D">
      <w:pPr>
        <w:rPr>
          <w:rFonts w:ascii="Times New Roman" w:hAnsi="Times New Roman" w:cs="Times New Roman"/>
          <w:b/>
          <w:sz w:val="24"/>
          <w:szCs w:val="24"/>
        </w:rPr>
      </w:pPr>
    </w:p>
    <w:p w14:paraId="6C3987E1" w14:textId="77777777" w:rsidR="00093C4D" w:rsidRPr="00C05854" w:rsidRDefault="00093C4D" w:rsidP="00093C4D">
      <w:pPr>
        <w:rPr>
          <w:rFonts w:ascii="Times New Roman" w:hAnsi="Times New Roman" w:cs="Times New Roman"/>
          <w:b/>
          <w:sz w:val="24"/>
          <w:szCs w:val="24"/>
        </w:rPr>
      </w:pPr>
      <w:r w:rsidRPr="00C05854">
        <w:rPr>
          <w:rFonts w:ascii="Times New Roman" w:hAnsi="Times New Roman" w:cs="Times New Roman"/>
          <w:b/>
          <w:sz w:val="24"/>
          <w:szCs w:val="24"/>
        </w:rPr>
        <w:t>PREDLAGATELJ:</w:t>
      </w:r>
      <w:r w:rsidRPr="00C05854">
        <w:rPr>
          <w:rFonts w:ascii="Times New Roman" w:hAnsi="Times New Roman" w:cs="Times New Roman"/>
          <w:b/>
          <w:sz w:val="24"/>
          <w:szCs w:val="24"/>
        </w:rPr>
        <w:tab/>
      </w:r>
      <w:r w:rsidRPr="00C05854">
        <w:rPr>
          <w:rFonts w:ascii="Times New Roman" w:hAnsi="Times New Roman" w:cs="Times New Roman"/>
          <w:sz w:val="24"/>
          <w:szCs w:val="24"/>
        </w:rPr>
        <w:t xml:space="preserve">Ministarstvo gospodarstva i održivog razvoja </w:t>
      </w:r>
    </w:p>
    <w:p w14:paraId="761EAD0F" w14:textId="77777777" w:rsidR="00093C4D" w:rsidRPr="00C05854" w:rsidRDefault="00093C4D" w:rsidP="00093C4D">
      <w:pPr>
        <w:pBdr>
          <w:bottom w:val="single" w:sz="4" w:space="1" w:color="auto"/>
        </w:pBdr>
        <w:rPr>
          <w:rFonts w:ascii="Times New Roman" w:hAnsi="Times New Roman" w:cs="Times New Roman"/>
          <w:b/>
          <w:sz w:val="24"/>
          <w:szCs w:val="24"/>
        </w:rPr>
      </w:pPr>
    </w:p>
    <w:p w14:paraId="11E20F10" w14:textId="77777777" w:rsidR="00093C4D" w:rsidRPr="00C05854" w:rsidRDefault="00093C4D" w:rsidP="00093C4D">
      <w:pPr>
        <w:ind w:left="2124" w:hanging="1416"/>
        <w:rPr>
          <w:rFonts w:ascii="Times New Roman" w:hAnsi="Times New Roman" w:cs="Times New Roman"/>
          <w:b/>
          <w:sz w:val="24"/>
          <w:szCs w:val="24"/>
        </w:rPr>
      </w:pPr>
    </w:p>
    <w:p w14:paraId="2868A0F8" w14:textId="77777777" w:rsidR="00093C4D" w:rsidRPr="00093C4D" w:rsidRDefault="00093C4D" w:rsidP="00E267DA">
      <w:pPr>
        <w:ind w:left="1276" w:hanging="1276"/>
        <w:rPr>
          <w:rFonts w:ascii="Times New Roman" w:hAnsi="Times New Roman" w:cs="Times New Roman"/>
          <w:sz w:val="24"/>
          <w:szCs w:val="24"/>
        </w:rPr>
      </w:pPr>
      <w:r w:rsidRPr="00C05854">
        <w:rPr>
          <w:rFonts w:ascii="Times New Roman" w:hAnsi="Times New Roman" w:cs="Times New Roman"/>
          <w:b/>
          <w:sz w:val="24"/>
          <w:szCs w:val="24"/>
        </w:rPr>
        <w:t xml:space="preserve">PREDMET: </w:t>
      </w:r>
      <w:r>
        <w:rPr>
          <w:rFonts w:ascii="Times New Roman" w:hAnsi="Times New Roman" w:cs="Times New Roman"/>
          <w:b/>
          <w:sz w:val="24"/>
          <w:szCs w:val="24"/>
        </w:rPr>
        <w:t xml:space="preserve"> </w:t>
      </w:r>
      <w:r>
        <w:rPr>
          <w:rFonts w:ascii="Times New Roman" w:hAnsi="Times New Roman" w:cs="Times New Roman"/>
          <w:sz w:val="24"/>
          <w:szCs w:val="24"/>
        </w:rPr>
        <w:t>Prijedlog odluke</w:t>
      </w:r>
      <w:r w:rsidRPr="00093C4D">
        <w:rPr>
          <w:rFonts w:ascii="Times New Roman" w:hAnsi="Times New Roman" w:cs="Times New Roman"/>
          <w:sz w:val="24"/>
          <w:szCs w:val="24"/>
        </w:rPr>
        <w:t xml:space="preserve"> o davanju suglasnosti društvu Hrvatska elektroprivreda d.d. </w:t>
      </w:r>
    </w:p>
    <w:p w14:paraId="50F420DC" w14:textId="77777777" w:rsidR="00093C4D" w:rsidRDefault="00093C4D" w:rsidP="00E267DA">
      <w:pPr>
        <w:rPr>
          <w:rFonts w:ascii="Times New Roman" w:hAnsi="Times New Roman" w:cs="Times New Roman"/>
          <w:sz w:val="24"/>
          <w:szCs w:val="24"/>
        </w:rPr>
      </w:pPr>
      <w:r>
        <w:rPr>
          <w:rFonts w:ascii="Times New Roman" w:hAnsi="Times New Roman" w:cs="Times New Roman"/>
          <w:sz w:val="24"/>
          <w:szCs w:val="24"/>
        </w:rPr>
        <w:t xml:space="preserve">                       </w:t>
      </w:r>
      <w:r w:rsidRPr="00093C4D">
        <w:rPr>
          <w:rFonts w:ascii="Times New Roman" w:hAnsi="Times New Roman" w:cs="Times New Roman"/>
          <w:sz w:val="24"/>
          <w:szCs w:val="24"/>
        </w:rPr>
        <w:t>za kreditno zaduženje kod Europske investicijske banke</w:t>
      </w:r>
      <w:r>
        <w:rPr>
          <w:rFonts w:ascii="Times New Roman" w:hAnsi="Times New Roman" w:cs="Times New Roman"/>
          <w:sz w:val="24"/>
          <w:szCs w:val="24"/>
        </w:rPr>
        <w:t xml:space="preserve"> </w:t>
      </w:r>
      <w:r w:rsidRPr="00093C4D">
        <w:rPr>
          <w:rFonts w:ascii="Times New Roman" w:hAnsi="Times New Roman" w:cs="Times New Roman"/>
          <w:sz w:val="24"/>
          <w:szCs w:val="24"/>
        </w:rPr>
        <w:t xml:space="preserve">radi refundacije već </w:t>
      </w:r>
    </w:p>
    <w:p w14:paraId="409D7ECC" w14:textId="77777777" w:rsidR="00E267DA" w:rsidRPr="00093C4D" w:rsidRDefault="00093C4D" w:rsidP="00E267DA">
      <w:pPr>
        <w:rPr>
          <w:rFonts w:ascii="Times New Roman" w:hAnsi="Times New Roman" w:cs="Times New Roman"/>
          <w:sz w:val="24"/>
          <w:szCs w:val="24"/>
        </w:rPr>
      </w:pPr>
      <w:r>
        <w:rPr>
          <w:rFonts w:ascii="Times New Roman" w:hAnsi="Times New Roman" w:cs="Times New Roman"/>
          <w:sz w:val="24"/>
          <w:szCs w:val="24"/>
        </w:rPr>
        <w:t xml:space="preserve">                       </w:t>
      </w:r>
      <w:r w:rsidRPr="00093C4D">
        <w:rPr>
          <w:rFonts w:ascii="Times New Roman" w:hAnsi="Times New Roman" w:cs="Times New Roman"/>
          <w:sz w:val="24"/>
          <w:szCs w:val="24"/>
        </w:rPr>
        <w:t xml:space="preserve">utrošenih sredstava u projekte iz segmenta obnovljivih izvora </w:t>
      </w:r>
      <w:r w:rsidR="006C5C59">
        <w:rPr>
          <w:rFonts w:ascii="Times New Roman" w:hAnsi="Times New Roman" w:cs="Times New Roman"/>
          <w:sz w:val="24"/>
          <w:szCs w:val="24"/>
        </w:rPr>
        <w:t>energije</w:t>
      </w:r>
      <w:r w:rsidR="00E267DA">
        <w:rPr>
          <w:rFonts w:ascii="Times New Roman" w:hAnsi="Times New Roman" w:cs="Times New Roman"/>
          <w:sz w:val="24"/>
          <w:szCs w:val="24"/>
        </w:rPr>
        <w:t xml:space="preserve">                   </w:t>
      </w:r>
    </w:p>
    <w:p w14:paraId="75164102" w14:textId="77777777" w:rsidR="00093C4D" w:rsidRDefault="00093C4D" w:rsidP="00E267DA">
      <w:pPr>
        <w:rPr>
          <w:rFonts w:ascii="Times New Roman" w:hAnsi="Times New Roman" w:cs="Times New Roman"/>
          <w:sz w:val="24"/>
          <w:szCs w:val="24"/>
        </w:rPr>
      </w:pPr>
    </w:p>
    <w:p w14:paraId="71C8CEF4" w14:textId="77777777" w:rsidR="00093C4D" w:rsidRPr="00C05854" w:rsidRDefault="00093C4D" w:rsidP="00093C4D">
      <w:pPr>
        <w:ind w:left="1276" w:hanging="1276"/>
        <w:rPr>
          <w:rFonts w:ascii="Times New Roman" w:hAnsi="Times New Roman" w:cs="Times New Roman"/>
          <w:sz w:val="24"/>
          <w:szCs w:val="24"/>
        </w:rPr>
      </w:pPr>
    </w:p>
    <w:p w14:paraId="3FB84FC4" w14:textId="77777777" w:rsidR="00093C4D" w:rsidRPr="00C05854" w:rsidRDefault="00093C4D" w:rsidP="00093C4D">
      <w:pPr>
        <w:pBdr>
          <w:bottom w:val="single" w:sz="4" w:space="1" w:color="auto"/>
        </w:pBdr>
        <w:rPr>
          <w:rFonts w:ascii="Times New Roman" w:hAnsi="Times New Roman" w:cs="Times New Roman"/>
          <w:b/>
          <w:sz w:val="24"/>
          <w:szCs w:val="24"/>
        </w:rPr>
      </w:pPr>
    </w:p>
    <w:p w14:paraId="1CD8E60D" w14:textId="77777777" w:rsidR="00093C4D" w:rsidRPr="00C05854" w:rsidRDefault="00093C4D" w:rsidP="00093C4D">
      <w:pPr>
        <w:rPr>
          <w:rFonts w:ascii="Times New Roman" w:hAnsi="Times New Roman" w:cs="Times New Roman"/>
          <w:b/>
          <w:sz w:val="24"/>
          <w:szCs w:val="24"/>
        </w:rPr>
      </w:pPr>
    </w:p>
    <w:p w14:paraId="47FE3E04" w14:textId="77777777" w:rsidR="00093C4D" w:rsidRPr="00C05854" w:rsidRDefault="00093C4D" w:rsidP="00093C4D">
      <w:pPr>
        <w:rPr>
          <w:rFonts w:ascii="Times New Roman" w:hAnsi="Times New Roman" w:cs="Times New Roman"/>
          <w:b/>
          <w:sz w:val="24"/>
          <w:szCs w:val="24"/>
        </w:rPr>
      </w:pPr>
    </w:p>
    <w:p w14:paraId="7F9DE941" w14:textId="77777777" w:rsidR="00093C4D" w:rsidRPr="00C05854" w:rsidRDefault="00093C4D" w:rsidP="00093C4D">
      <w:pPr>
        <w:rPr>
          <w:rFonts w:ascii="Times New Roman" w:hAnsi="Times New Roman" w:cs="Times New Roman"/>
          <w:b/>
          <w:sz w:val="24"/>
          <w:szCs w:val="24"/>
        </w:rPr>
      </w:pPr>
    </w:p>
    <w:p w14:paraId="680A5F97" w14:textId="77777777" w:rsidR="00093C4D" w:rsidRPr="00C05854" w:rsidRDefault="00093C4D" w:rsidP="00093C4D">
      <w:pPr>
        <w:rPr>
          <w:rFonts w:ascii="Times New Roman" w:hAnsi="Times New Roman" w:cs="Times New Roman"/>
          <w:b/>
          <w:sz w:val="24"/>
          <w:szCs w:val="24"/>
        </w:rPr>
      </w:pPr>
    </w:p>
    <w:p w14:paraId="71022328" w14:textId="77777777" w:rsidR="00093C4D" w:rsidRPr="00C05854" w:rsidRDefault="00093C4D" w:rsidP="00093C4D">
      <w:pPr>
        <w:rPr>
          <w:rFonts w:ascii="Times New Roman" w:hAnsi="Times New Roman" w:cs="Times New Roman"/>
          <w:b/>
          <w:sz w:val="24"/>
          <w:szCs w:val="24"/>
        </w:rPr>
      </w:pPr>
    </w:p>
    <w:p w14:paraId="7A0BA6AB" w14:textId="77777777" w:rsidR="00093C4D" w:rsidRPr="00C05854" w:rsidRDefault="00093C4D" w:rsidP="00093C4D">
      <w:pPr>
        <w:rPr>
          <w:rFonts w:ascii="Times New Roman" w:hAnsi="Times New Roman" w:cs="Times New Roman"/>
          <w:b/>
          <w:sz w:val="24"/>
          <w:szCs w:val="24"/>
        </w:rPr>
      </w:pPr>
    </w:p>
    <w:p w14:paraId="2C05F91D" w14:textId="77777777" w:rsidR="00093C4D" w:rsidRPr="00C05854" w:rsidRDefault="00093C4D" w:rsidP="00093C4D">
      <w:pPr>
        <w:rPr>
          <w:rFonts w:ascii="Times New Roman" w:hAnsi="Times New Roman" w:cs="Times New Roman"/>
          <w:b/>
          <w:sz w:val="24"/>
          <w:szCs w:val="24"/>
        </w:rPr>
      </w:pPr>
    </w:p>
    <w:p w14:paraId="7C32A546" w14:textId="77777777" w:rsidR="00093C4D" w:rsidRPr="00C05854" w:rsidRDefault="00093C4D" w:rsidP="00093C4D">
      <w:pPr>
        <w:rPr>
          <w:rFonts w:ascii="Times New Roman" w:hAnsi="Times New Roman" w:cs="Times New Roman"/>
          <w:b/>
          <w:sz w:val="24"/>
          <w:szCs w:val="24"/>
        </w:rPr>
      </w:pPr>
    </w:p>
    <w:p w14:paraId="3DFB632B" w14:textId="77777777" w:rsidR="00093C4D" w:rsidRPr="00C05854" w:rsidRDefault="00093C4D" w:rsidP="00093C4D">
      <w:pPr>
        <w:rPr>
          <w:rFonts w:ascii="Times New Roman" w:hAnsi="Times New Roman" w:cs="Times New Roman"/>
          <w:b/>
          <w:sz w:val="24"/>
          <w:szCs w:val="24"/>
        </w:rPr>
      </w:pPr>
    </w:p>
    <w:p w14:paraId="70184275" w14:textId="77777777" w:rsidR="00093C4D" w:rsidRPr="00C05854" w:rsidRDefault="00093C4D" w:rsidP="00093C4D">
      <w:pPr>
        <w:rPr>
          <w:rFonts w:ascii="Times New Roman" w:hAnsi="Times New Roman" w:cs="Times New Roman"/>
          <w:sz w:val="24"/>
          <w:szCs w:val="24"/>
        </w:rPr>
      </w:pPr>
    </w:p>
    <w:p w14:paraId="6DBA7A89" w14:textId="77777777" w:rsidR="00093C4D" w:rsidRPr="001F7482" w:rsidRDefault="00093C4D" w:rsidP="00EE46F9">
      <w:pPr>
        <w:pBdr>
          <w:top w:val="single" w:sz="4" w:space="1" w:color="404040"/>
        </w:pBdr>
        <w:tabs>
          <w:tab w:val="center" w:pos="4536"/>
          <w:tab w:val="right" w:pos="9072"/>
        </w:tabs>
        <w:jc w:val="center"/>
        <w:rPr>
          <w:rFonts w:ascii="Times New Roman" w:hAnsi="Times New Roman" w:cs="Times New Roman"/>
          <w:color w:val="404040"/>
          <w:spacing w:val="20"/>
          <w:sz w:val="20"/>
          <w:szCs w:val="20"/>
        </w:rPr>
      </w:pPr>
      <w:r w:rsidRPr="001F7482">
        <w:rPr>
          <w:rFonts w:ascii="Times New Roman" w:hAnsi="Times New Roman" w:cs="Times New Roman"/>
          <w:color w:val="404040"/>
          <w:spacing w:val="20"/>
          <w:sz w:val="20"/>
          <w:szCs w:val="20"/>
        </w:rPr>
        <w:t>Banski dvori | Trg Sv. Marka 2  | 10000 Zagreb | tel. 01 4569 222 | vlada.gov.hr</w:t>
      </w:r>
    </w:p>
    <w:p w14:paraId="545B84EE" w14:textId="77777777" w:rsidR="001F7482" w:rsidRDefault="001F7482" w:rsidP="00510E9A">
      <w:pPr>
        <w:jc w:val="both"/>
        <w:rPr>
          <w:rFonts w:ascii="Times New Roman" w:hAnsi="Times New Roman" w:cs="Times New Roman"/>
          <w:sz w:val="24"/>
          <w:szCs w:val="24"/>
        </w:rPr>
      </w:pPr>
    </w:p>
    <w:p w14:paraId="76939FAB" w14:textId="027FB6F6" w:rsidR="001F7482" w:rsidRPr="001F7482" w:rsidRDefault="001F7482" w:rsidP="001F7482">
      <w:pPr>
        <w:jc w:val="right"/>
        <w:rPr>
          <w:rFonts w:ascii="Times New Roman" w:hAnsi="Times New Roman" w:cs="Times New Roman"/>
          <w:b/>
          <w:sz w:val="24"/>
          <w:szCs w:val="24"/>
        </w:rPr>
      </w:pPr>
      <w:r w:rsidRPr="001F7482">
        <w:rPr>
          <w:rFonts w:ascii="Times New Roman" w:hAnsi="Times New Roman" w:cs="Times New Roman"/>
          <w:b/>
          <w:sz w:val="24"/>
          <w:szCs w:val="24"/>
        </w:rPr>
        <w:lastRenderedPageBreak/>
        <w:t>Prijedlog</w:t>
      </w:r>
    </w:p>
    <w:p w14:paraId="6B0C9A3F" w14:textId="77777777" w:rsidR="001F7482" w:rsidRDefault="001F7482" w:rsidP="00510E9A">
      <w:pPr>
        <w:jc w:val="both"/>
        <w:rPr>
          <w:rFonts w:ascii="Times New Roman" w:hAnsi="Times New Roman" w:cs="Times New Roman"/>
          <w:sz w:val="24"/>
          <w:szCs w:val="24"/>
        </w:rPr>
      </w:pPr>
    </w:p>
    <w:p w14:paraId="02CE9225" w14:textId="77777777" w:rsidR="001F7482" w:rsidRDefault="001F7482" w:rsidP="00510E9A">
      <w:pPr>
        <w:jc w:val="both"/>
        <w:rPr>
          <w:rFonts w:ascii="Times New Roman" w:hAnsi="Times New Roman" w:cs="Times New Roman"/>
          <w:sz w:val="24"/>
          <w:szCs w:val="24"/>
        </w:rPr>
      </w:pPr>
    </w:p>
    <w:p w14:paraId="4A07D0A8" w14:textId="7B281886" w:rsidR="001F7482" w:rsidRDefault="001F7482" w:rsidP="00510E9A">
      <w:pPr>
        <w:jc w:val="both"/>
        <w:rPr>
          <w:rFonts w:ascii="Times New Roman" w:hAnsi="Times New Roman" w:cs="Times New Roman"/>
          <w:sz w:val="24"/>
          <w:szCs w:val="24"/>
        </w:rPr>
      </w:pPr>
    </w:p>
    <w:p w14:paraId="4C41BC3F" w14:textId="77777777" w:rsidR="001F7482" w:rsidRDefault="001F7482" w:rsidP="00510E9A">
      <w:pPr>
        <w:jc w:val="both"/>
        <w:rPr>
          <w:rFonts w:ascii="Times New Roman" w:hAnsi="Times New Roman" w:cs="Times New Roman"/>
          <w:sz w:val="24"/>
          <w:szCs w:val="24"/>
        </w:rPr>
      </w:pPr>
    </w:p>
    <w:p w14:paraId="25FBD9AD" w14:textId="49C94924" w:rsidR="00510E9A" w:rsidRPr="00093C4D" w:rsidRDefault="00510E9A" w:rsidP="00510E9A">
      <w:pPr>
        <w:jc w:val="both"/>
        <w:rPr>
          <w:rFonts w:ascii="Times New Roman" w:hAnsi="Times New Roman" w:cs="Times New Roman"/>
          <w:sz w:val="24"/>
          <w:szCs w:val="24"/>
        </w:rPr>
      </w:pPr>
      <w:r w:rsidRPr="00093C4D">
        <w:rPr>
          <w:rFonts w:ascii="Times New Roman" w:hAnsi="Times New Roman" w:cs="Times New Roman"/>
          <w:sz w:val="24"/>
          <w:szCs w:val="24"/>
        </w:rPr>
        <w:t>Na temelju članka 82. Zakona o proračunu („Narodne novine“, broj 87/08, 136/12, 15/15</w:t>
      </w:r>
      <w:r w:rsidR="0012752F">
        <w:rPr>
          <w:rFonts w:ascii="Times New Roman" w:hAnsi="Times New Roman" w:cs="Times New Roman"/>
          <w:sz w:val="24"/>
          <w:szCs w:val="24"/>
        </w:rPr>
        <w:t xml:space="preserve">), a u </w:t>
      </w:r>
      <w:r w:rsidR="00976D99" w:rsidRPr="00093C4D">
        <w:rPr>
          <w:rFonts w:ascii="Times New Roman" w:hAnsi="Times New Roman" w:cs="Times New Roman"/>
          <w:sz w:val="24"/>
          <w:szCs w:val="24"/>
        </w:rPr>
        <w:t xml:space="preserve">vezi </w:t>
      </w:r>
      <w:r w:rsidR="0012752F">
        <w:rPr>
          <w:rFonts w:ascii="Times New Roman" w:hAnsi="Times New Roman" w:cs="Times New Roman"/>
          <w:sz w:val="24"/>
          <w:szCs w:val="24"/>
        </w:rPr>
        <w:t>s člankom</w:t>
      </w:r>
      <w:r w:rsidR="00976D99" w:rsidRPr="00093C4D">
        <w:rPr>
          <w:rFonts w:ascii="Times New Roman" w:hAnsi="Times New Roman" w:cs="Times New Roman"/>
          <w:sz w:val="24"/>
          <w:szCs w:val="24"/>
        </w:rPr>
        <w:t xml:space="preserve"> 49</w:t>
      </w:r>
      <w:r w:rsidRPr="00093C4D">
        <w:rPr>
          <w:rFonts w:ascii="Times New Roman" w:hAnsi="Times New Roman" w:cs="Times New Roman"/>
          <w:sz w:val="24"/>
          <w:szCs w:val="24"/>
        </w:rPr>
        <w:t>. Zakona o izvršavanju državnog pror</w:t>
      </w:r>
      <w:r w:rsidR="00370CC1" w:rsidRPr="00093C4D">
        <w:rPr>
          <w:rFonts w:ascii="Times New Roman" w:hAnsi="Times New Roman" w:cs="Times New Roman"/>
          <w:sz w:val="24"/>
          <w:szCs w:val="24"/>
        </w:rPr>
        <w:t>ačuna Republike Hrvatske za 2021</w:t>
      </w:r>
      <w:r w:rsidRPr="00093C4D">
        <w:rPr>
          <w:rFonts w:ascii="Times New Roman" w:hAnsi="Times New Roman" w:cs="Times New Roman"/>
          <w:sz w:val="24"/>
          <w:szCs w:val="24"/>
        </w:rPr>
        <w:t xml:space="preserve">. godinu („Narodne novine“, broj </w:t>
      </w:r>
      <w:r w:rsidR="0012752F">
        <w:rPr>
          <w:rFonts w:ascii="Times New Roman" w:hAnsi="Times New Roman" w:cs="Times New Roman"/>
          <w:sz w:val="24"/>
          <w:szCs w:val="24"/>
        </w:rPr>
        <w:t xml:space="preserve">135/20, </w:t>
      </w:r>
      <w:r w:rsidR="00976D99" w:rsidRPr="00093C4D">
        <w:rPr>
          <w:rFonts w:ascii="Times New Roman" w:hAnsi="Times New Roman" w:cs="Times New Roman"/>
          <w:sz w:val="24"/>
          <w:szCs w:val="24"/>
        </w:rPr>
        <w:t>69/21</w:t>
      </w:r>
      <w:r w:rsidR="0012752F">
        <w:rPr>
          <w:rFonts w:ascii="Times New Roman" w:hAnsi="Times New Roman" w:cs="Times New Roman"/>
          <w:sz w:val="24"/>
          <w:szCs w:val="24"/>
        </w:rPr>
        <w:t>, 122/21</w:t>
      </w:r>
      <w:r w:rsidRPr="00093C4D">
        <w:rPr>
          <w:rFonts w:ascii="Times New Roman" w:hAnsi="Times New Roman" w:cs="Times New Roman"/>
          <w:sz w:val="24"/>
          <w:szCs w:val="24"/>
        </w:rPr>
        <w:t>) Vlada Republike Hrvatske je na sjednici održanoj ___________ 20</w:t>
      </w:r>
      <w:r w:rsidR="00976D99" w:rsidRPr="00093C4D">
        <w:rPr>
          <w:rFonts w:ascii="Times New Roman" w:hAnsi="Times New Roman" w:cs="Times New Roman"/>
          <w:sz w:val="24"/>
          <w:szCs w:val="24"/>
        </w:rPr>
        <w:t>21</w:t>
      </w:r>
      <w:r w:rsidRPr="00093C4D">
        <w:rPr>
          <w:rFonts w:ascii="Times New Roman" w:hAnsi="Times New Roman" w:cs="Times New Roman"/>
          <w:sz w:val="24"/>
          <w:szCs w:val="24"/>
        </w:rPr>
        <w:t>. godine donijela</w:t>
      </w:r>
    </w:p>
    <w:p w14:paraId="49DA77B9" w14:textId="10DFA890" w:rsidR="000D6693" w:rsidRDefault="000D6693" w:rsidP="00510E9A">
      <w:pPr>
        <w:jc w:val="both"/>
        <w:rPr>
          <w:rFonts w:ascii="Times New Roman" w:hAnsi="Times New Roman" w:cs="Times New Roman"/>
          <w:sz w:val="24"/>
          <w:szCs w:val="24"/>
        </w:rPr>
      </w:pPr>
    </w:p>
    <w:p w14:paraId="6F525076" w14:textId="77777777" w:rsidR="001F7482" w:rsidRPr="00093C4D" w:rsidRDefault="001F7482" w:rsidP="00510E9A">
      <w:pPr>
        <w:jc w:val="both"/>
        <w:rPr>
          <w:rFonts w:ascii="Times New Roman" w:hAnsi="Times New Roman" w:cs="Times New Roman"/>
          <w:sz w:val="24"/>
          <w:szCs w:val="24"/>
        </w:rPr>
      </w:pPr>
    </w:p>
    <w:p w14:paraId="5D2FBEAF" w14:textId="4722EFFD" w:rsidR="00510E9A" w:rsidRDefault="00510E9A" w:rsidP="00510E9A">
      <w:pPr>
        <w:jc w:val="center"/>
        <w:rPr>
          <w:rFonts w:ascii="Times New Roman" w:hAnsi="Times New Roman" w:cs="Times New Roman"/>
          <w:b/>
          <w:sz w:val="24"/>
          <w:szCs w:val="24"/>
        </w:rPr>
      </w:pPr>
      <w:r w:rsidRPr="00093C4D">
        <w:rPr>
          <w:rFonts w:ascii="Times New Roman" w:hAnsi="Times New Roman" w:cs="Times New Roman"/>
          <w:b/>
          <w:sz w:val="24"/>
          <w:szCs w:val="24"/>
        </w:rPr>
        <w:t>O</w:t>
      </w:r>
      <w:r w:rsidR="001F7482">
        <w:rPr>
          <w:rFonts w:ascii="Times New Roman" w:hAnsi="Times New Roman" w:cs="Times New Roman"/>
          <w:b/>
          <w:sz w:val="24"/>
          <w:szCs w:val="24"/>
        </w:rPr>
        <w:t xml:space="preserve"> </w:t>
      </w:r>
      <w:r w:rsidRPr="00093C4D">
        <w:rPr>
          <w:rFonts w:ascii="Times New Roman" w:hAnsi="Times New Roman" w:cs="Times New Roman"/>
          <w:b/>
          <w:sz w:val="24"/>
          <w:szCs w:val="24"/>
        </w:rPr>
        <w:t>D</w:t>
      </w:r>
      <w:r w:rsidR="001F7482">
        <w:rPr>
          <w:rFonts w:ascii="Times New Roman" w:hAnsi="Times New Roman" w:cs="Times New Roman"/>
          <w:b/>
          <w:sz w:val="24"/>
          <w:szCs w:val="24"/>
        </w:rPr>
        <w:t xml:space="preserve"> </w:t>
      </w:r>
      <w:r w:rsidRPr="00093C4D">
        <w:rPr>
          <w:rFonts w:ascii="Times New Roman" w:hAnsi="Times New Roman" w:cs="Times New Roman"/>
          <w:b/>
          <w:sz w:val="24"/>
          <w:szCs w:val="24"/>
        </w:rPr>
        <w:t>L</w:t>
      </w:r>
      <w:r w:rsidR="001F7482">
        <w:rPr>
          <w:rFonts w:ascii="Times New Roman" w:hAnsi="Times New Roman" w:cs="Times New Roman"/>
          <w:b/>
          <w:sz w:val="24"/>
          <w:szCs w:val="24"/>
        </w:rPr>
        <w:t xml:space="preserve"> </w:t>
      </w:r>
      <w:r w:rsidRPr="00093C4D">
        <w:rPr>
          <w:rFonts w:ascii="Times New Roman" w:hAnsi="Times New Roman" w:cs="Times New Roman"/>
          <w:b/>
          <w:sz w:val="24"/>
          <w:szCs w:val="24"/>
        </w:rPr>
        <w:t>U</w:t>
      </w:r>
      <w:r w:rsidR="001F7482">
        <w:rPr>
          <w:rFonts w:ascii="Times New Roman" w:hAnsi="Times New Roman" w:cs="Times New Roman"/>
          <w:b/>
          <w:sz w:val="24"/>
          <w:szCs w:val="24"/>
        </w:rPr>
        <w:t xml:space="preserve"> </w:t>
      </w:r>
      <w:r w:rsidRPr="00093C4D">
        <w:rPr>
          <w:rFonts w:ascii="Times New Roman" w:hAnsi="Times New Roman" w:cs="Times New Roman"/>
          <w:b/>
          <w:sz w:val="24"/>
          <w:szCs w:val="24"/>
        </w:rPr>
        <w:t>K</w:t>
      </w:r>
      <w:r w:rsidR="001F7482">
        <w:rPr>
          <w:rFonts w:ascii="Times New Roman" w:hAnsi="Times New Roman" w:cs="Times New Roman"/>
          <w:b/>
          <w:sz w:val="24"/>
          <w:szCs w:val="24"/>
        </w:rPr>
        <w:t xml:space="preserve"> </w:t>
      </w:r>
      <w:r w:rsidRPr="00093C4D">
        <w:rPr>
          <w:rFonts w:ascii="Times New Roman" w:hAnsi="Times New Roman" w:cs="Times New Roman"/>
          <w:b/>
          <w:sz w:val="24"/>
          <w:szCs w:val="24"/>
        </w:rPr>
        <w:t>U</w:t>
      </w:r>
    </w:p>
    <w:p w14:paraId="225D94F4" w14:textId="77777777" w:rsidR="001F7482" w:rsidRPr="00093C4D" w:rsidRDefault="001F7482" w:rsidP="00510E9A">
      <w:pPr>
        <w:jc w:val="center"/>
        <w:rPr>
          <w:rFonts w:ascii="Times New Roman" w:hAnsi="Times New Roman" w:cs="Times New Roman"/>
          <w:b/>
          <w:sz w:val="24"/>
          <w:szCs w:val="24"/>
        </w:rPr>
      </w:pPr>
    </w:p>
    <w:p w14:paraId="0BB32E8C" w14:textId="77777777" w:rsidR="00510E9A" w:rsidRPr="00093C4D" w:rsidRDefault="00510E9A" w:rsidP="00976D99">
      <w:pPr>
        <w:jc w:val="center"/>
        <w:rPr>
          <w:rFonts w:ascii="Times New Roman" w:hAnsi="Times New Roman" w:cs="Times New Roman"/>
          <w:b/>
          <w:sz w:val="24"/>
          <w:szCs w:val="24"/>
        </w:rPr>
      </w:pPr>
      <w:r w:rsidRPr="00093C4D">
        <w:rPr>
          <w:rFonts w:ascii="Times New Roman" w:hAnsi="Times New Roman" w:cs="Times New Roman"/>
          <w:b/>
          <w:sz w:val="24"/>
          <w:szCs w:val="24"/>
        </w:rPr>
        <w:t xml:space="preserve">o davanju suglasnosti društvu Hrvatska elektroprivreda d.d. </w:t>
      </w:r>
    </w:p>
    <w:p w14:paraId="740D64B5" w14:textId="77777777" w:rsidR="00976D99" w:rsidRPr="00093C4D" w:rsidRDefault="00976D99" w:rsidP="006348FC">
      <w:pPr>
        <w:jc w:val="center"/>
        <w:rPr>
          <w:rFonts w:ascii="Times New Roman" w:hAnsi="Times New Roman" w:cs="Times New Roman"/>
          <w:b/>
          <w:sz w:val="24"/>
          <w:szCs w:val="24"/>
        </w:rPr>
      </w:pPr>
      <w:r w:rsidRPr="00093C4D">
        <w:rPr>
          <w:rFonts w:ascii="Times New Roman" w:hAnsi="Times New Roman" w:cs="Times New Roman"/>
          <w:b/>
          <w:sz w:val="24"/>
          <w:szCs w:val="24"/>
        </w:rPr>
        <w:t xml:space="preserve">za kreditno zaduženje kod </w:t>
      </w:r>
      <w:r w:rsidR="00181FD3" w:rsidRPr="00093C4D">
        <w:rPr>
          <w:rFonts w:ascii="Times New Roman" w:hAnsi="Times New Roman" w:cs="Times New Roman"/>
          <w:b/>
          <w:sz w:val="24"/>
          <w:szCs w:val="24"/>
        </w:rPr>
        <w:t>Europske investicijske banke</w:t>
      </w:r>
      <w:r w:rsidR="00093C4D">
        <w:rPr>
          <w:rFonts w:ascii="Times New Roman" w:hAnsi="Times New Roman" w:cs="Times New Roman"/>
          <w:b/>
          <w:sz w:val="24"/>
          <w:szCs w:val="24"/>
        </w:rPr>
        <w:t xml:space="preserve"> </w:t>
      </w:r>
      <w:r w:rsidR="00093C4D" w:rsidRPr="00093C4D">
        <w:rPr>
          <w:rFonts w:ascii="Times New Roman" w:hAnsi="Times New Roman" w:cs="Times New Roman"/>
          <w:b/>
          <w:sz w:val="24"/>
          <w:szCs w:val="24"/>
        </w:rPr>
        <w:t>radi refundacije već utrošenih sredstava u projekte iz segm</w:t>
      </w:r>
      <w:r w:rsidR="006C5C59">
        <w:rPr>
          <w:rFonts w:ascii="Times New Roman" w:hAnsi="Times New Roman" w:cs="Times New Roman"/>
          <w:b/>
          <w:sz w:val="24"/>
          <w:szCs w:val="24"/>
        </w:rPr>
        <w:t>enta obnovljivih izvora energije</w:t>
      </w:r>
    </w:p>
    <w:p w14:paraId="5C8D0D91" w14:textId="77777777" w:rsidR="001F7482" w:rsidRDefault="001F7482" w:rsidP="00976D99">
      <w:pPr>
        <w:jc w:val="center"/>
        <w:rPr>
          <w:rFonts w:ascii="Times New Roman" w:hAnsi="Times New Roman" w:cs="Times New Roman"/>
          <w:b/>
          <w:sz w:val="24"/>
          <w:szCs w:val="24"/>
        </w:rPr>
      </w:pPr>
    </w:p>
    <w:p w14:paraId="40DD6845" w14:textId="43E5A8E4" w:rsidR="00976D99" w:rsidRPr="00093C4D" w:rsidRDefault="00976D99" w:rsidP="00976D99">
      <w:pPr>
        <w:jc w:val="center"/>
        <w:rPr>
          <w:rFonts w:ascii="Times New Roman" w:hAnsi="Times New Roman" w:cs="Times New Roman"/>
          <w:b/>
          <w:sz w:val="24"/>
          <w:szCs w:val="24"/>
        </w:rPr>
      </w:pPr>
      <w:r w:rsidRPr="00093C4D">
        <w:rPr>
          <w:rFonts w:ascii="Times New Roman" w:hAnsi="Times New Roman" w:cs="Times New Roman"/>
          <w:b/>
          <w:sz w:val="24"/>
          <w:szCs w:val="24"/>
        </w:rPr>
        <w:t xml:space="preserve">  </w:t>
      </w:r>
    </w:p>
    <w:p w14:paraId="08F5E3EE" w14:textId="77777777" w:rsidR="00B771E9" w:rsidRPr="00093C4D" w:rsidRDefault="00510E9A" w:rsidP="002B3E2B">
      <w:pPr>
        <w:jc w:val="center"/>
        <w:rPr>
          <w:rFonts w:ascii="Times New Roman" w:hAnsi="Times New Roman" w:cs="Times New Roman"/>
          <w:b/>
          <w:sz w:val="24"/>
          <w:szCs w:val="24"/>
        </w:rPr>
      </w:pPr>
      <w:r w:rsidRPr="00093C4D">
        <w:rPr>
          <w:rFonts w:ascii="Times New Roman" w:hAnsi="Times New Roman" w:cs="Times New Roman"/>
          <w:b/>
          <w:sz w:val="24"/>
          <w:szCs w:val="24"/>
        </w:rPr>
        <w:t>I.</w:t>
      </w:r>
    </w:p>
    <w:p w14:paraId="5C35D22A" w14:textId="77777777" w:rsidR="00976D99" w:rsidRPr="00093C4D" w:rsidRDefault="00510E9A" w:rsidP="00976D99">
      <w:pPr>
        <w:jc w:val="both"/>
        <w:rPr>
          <w:rFonts w:ascii="Times New Roman" w:hAnsi="Times New Roman" w:cs="Times New Roman"/>
          <w:sz w:val="24"/>
          <w:szCs w:val="24"/>
        </w:rPr>
      </w:pPr>
      <w:r w:rsidRPr="00093C4D">
        <w:rPr>
          <w:rFonts w:ascii="Times New Roman" w:hAnsi="Times New Roman" w:cs="Times New Roman"/>
          <w:sz w:val="24"/>
          <w:szCs w:val="24"/>
        </w:rPr>
        <w:t xml:space="preserve">Daje se suglasnost </w:t>
      </w:r>
      <w:r w:rsidR="004C62AC">
        <w:rPr>
          <w:rFonts w:ascii="Times New Roman" w:hAnsi="Times New Roman" w:cs="Times New Roman"/>
          <w:sz w:val="24"/>
          <w:szCs w:val="24"/>
        </w:rPr>
        <w:t>društvu Hrvatska</w:t>
      </w:r>
      <w:r w:rsidRPr="00093C4D">
        <w:rPr>
          <w:rFonts w:ascii="Times New Roman" w:hAnsi="Times New Roman" w:cs="Times New Roman"/>
          <w:sz w:val="24"/>
          <w:szCs w:val="24"/>
        </w:rPr>
        <w:t xml:space="preserve"> elektroprivre</w:t>
      </w:r>
      <w:r w:rsidR="004C62AC">
        <w:rPr>
          <w:rFonts w:ascii="Times New Roman" w:hAnsi="Times New Roman" w:cs="Times New Roman"/>
          <w:sz w:val="24"/>
          <w:szCs w:val="24"/>
        </w:rPr>
        <w:t>da</w:t>
      </w:r>
      <w:r w:rsidR="00976D99" w:rsidRPr="00093C4D">
        <w:rPr>
          <w:rFonts w:ascii="Times New Roman" w:hAnsi="Times New Roman" w:cs="Times New Roman"/>
          <w:sz w:val="24"/>
          <w:szCs w:val="24"/>
        </w:rPr>
        <w:t xml:space="preserve"> d.d. za kreditno zaduženje kod </w:t>
      </w:r>
      <w:r w:rsidR="0089368E" w:rsidRPr="00093C4D">
        <w:rPr>
          <w:rFonts w:ascii="Times New Roman" w:hAnsi="Times New Roman" w:cs="Times New Roman"/>
          <w:sz w:val="24"/>
          <w:szCs w:val="24"/>
        </w:rPr>
        <w:t>Europske investicijske banke, Luksemburg</w:t>
      </w:r>
      <w:r w:rsidR="00976D99" w:rsidRPr="00093C4D">
        <w:rPr>
          <w:rFonts w:ascii="Times New Roman" w:hAnsi="Times New Roman" w:cs="Times New Roman"/>
          <w:sz w:val="24"/>
          <w:szCs w:val="24"/>
        </w:rPr>
        <w:t xml:space="preserve">, u iznosu od </w:t>
      </w:r>
      <w:r w:rsidR="0089368E" w:rsidRPr="00093C4D">
        <w:rPr>
          <w:rFonts w:ascii="Times New Roman" w:hAnsi="Times New Roman" w:cs="Times New Roman"/>
          <w:sz w:val="24"/>
          <w:szCs w:val="24"/>
        </w:rPr>
        <w:t>63.000.000,00</w:t>
      </w:r>
      <w:r w:rsidR="00976D99" w:rsidRPr="00093C4D">
        <w:rPr>
          <w:rFonts w:ascii="Times New Roman" w:hAnsi="Times New Roman" w:cs="Times New Roman"/>
          <w:sz w:val="24"/>
          <w:szCs w:val="24"/>
        </w:rPr>
        <w:t xml:space="preserve"> </w:t>
      </w:r>
      <w:r w:rsidR="005D3AED">
        <w:rPr>
          <w:rFonts w:ascii="Times New Roman" w:hAnsi="Times New Roman" w:cs="Times New Roman"/>
          <w:sz w:val="24"/>
          <w:szCs w:val="24"/>
        </w:rPr>
        <w:t xml:space="preserve">EUR </w:t>
      </w:r>
      <w:r w:rsidR="00976D99" w:rsidRPr="00093C4D">
        <w:rPr>
          <w:rFonts w:ascii="Times New Roman" w:hAnsi="Times New Roman" w:cs="Times New Roman"/>
          <w:sz w:val="24"/>
          <w:szCs w:val="24"/>
        </w:rPr>
        <w:t>(</w:t>
      </w:r>
      <w:r w:rsidR="0089368E" w:rsidRPr="00093C4D">
        <w:rPr>
          <w:rFonts w:ascii="Times New Roman" w:hAnsi="Times New Roman" w:cs="Times New Roman"/>
          <w:sz w:val="24"/>
          <w:szCs w:val="24"/>
        </w:rPr>
        <w:t>šezdsettrimilijuna eura</w:t>
      </w:r>
      <w:r w:rsidR="00976D99" w:rsidRPr="00093C4D">
        <w:rPr>
          <w:rFonts w:ascii="Times New Roman" w:hAnsi="Times New Roman" w:cs="Times New Roman"/>
          <w:sz w:val="24"/>
          <w:szCs w:val="24"/>
        </w:rPr>
        <w:t>), uvećano za kamate, naknade i troškove, radi</w:t>
      </w:r>
      <w:r w:rsidR="0089368E" w:rsidRPr="00093C4D">
        <w:rPr>
          <w:rFonts w:ascii="Times New Roman" w:hAnsi="Times New Roman" w:cs="Times New Roman"/>
          <w:sz w:val="24"/>
          <w:szCs w:val="24"/>
        </w:rPr>
        <w:t xml:space="preserve"> refundacije već utrošenih sredstava </w:t>
      </w:r>
      <w:r w:rsidR="004C62AC">
        <w:rPr>
          <w:rFonts w:ascii="Times New Roman" w:hAnsi="Times New Roman" w:cs="Times New Roman"/>
          <w:sz w:val="24"/>
          <w:szCs w:val="24"/>
        </w:rPr>
        <w:t>Hrvatske</w:t>
      </w:r>
      <w:r w:rsidR="004C62AC" w:rsidRPr="00093C4D">
        <w:rPr>
          <w:rFonts w:ascii="Times New Roman" w:hAnsi="Times New Roman" w:cs="Times New Roman"/>
          <w:sz w:val="24"/>
          <w:szCs w:val="24"/>
        </w:rPr>
        <w:t xml:space="preserve"> elektroprivre</w:t>
      </w:r>
      <w:r w:rsidR="004C62AC">
        <w:rPr>
          <w:rFonts w:ascii="Times New Roman" w:hAnsi="Times New Roman" w:cs="Times New Roman"/>
          <w:sz w:val="24"/>
          <w:szCs w:val="24"/>
        </w:rPr>
        <w:t>de</w:t>
      </w:r>
      <w:r w:rsidR="004C62AC" w:rsidRPr="00093C4D">
        <w:rPr>
          <w:rFonts w:ascii="Times New Roman" w:hAnsi="Times New Roman" w:cs="Times New Roman"/>
          <w:sz w:val="24"/>
          <w:szCs w:val="24"/>
        </w:rPr>
        <w:t xml:space="preserve"> </w:t>
      </w:r>
      <w:r w:rsidR="0089368E" w:rsidRPr="00093C4D">
        <w:rPr>
          <w:rFonts w:ascii="Times New Roman" w:hAnsi="Times New Roman" w:cs="Times New Roman"/>
          <w:sz w:val="24"/>
          <w:szCs w:val="24"/>
        </w:rPr>
        <w:t>d.d. u projekte iz segm</w:t>
      </w:r>
      <w:r w:rsidR="006C5C59">
        <w:rPr>
          <w:rFonts w:ascii="Times New Roman" w:hAnsi="Times New Roman" w:cs="Times New Roman"/>
          <w:sz w:val="24"/>
          <w:szCs w:val="24"/>
        </w:rPr>
        <w:t>enta obnovljivih izvora energije</w:t>
      </w:r>
      <w:r w:rsidR="00976D99" w:rsidRPr="00093C4D">
        <w:rPr>
          <w:rFonts w:ascii="Times New Roman" w:hAnsi="Times New Roman" w:cs="Times New Roman"/>
          <w:sz w:val="24"/>
          <w:szCs w:val="24"/>
        </w:rPr>
        <w:t>.</w:t>
      </w:r>
    </w:p>
    <w:p w14:paraId="17CC71A6" w14:textId="77777777" w:rsidR="00732AC9" w:rsidRPr="00093C4D" w:rsidRDefault="00732AC9" w:rsidP="00976D99">
      <w:pPr>
        <w:jc w:val="both"/>
        <w:rPr>
          <w:rFonts w:ascii="Times New Roman" w:hAnsi="Times New Roman" w:cs="Times New Roman"/>
          <w:sz w:val="24"/>
          <w:szCs w:val="24"/>
        </w:rPr>
      </w:pPr>
    </w:p>
    <w:p w14:paraId="19309F5C" w14:textId="77777777" w:rsidR="00F72791" w:rsidRPr="00093C4D" w:rsidRDefault="00976D99" w:rsidP="002B3E2B">
      <w:pPr>
        <w:jc w:val="center"/>
        <w:rPr>
          <w:rFonts w:ascii="Times New Roman" w:hAnsi="Times New Roman" w:cs="Times New Roman"/>
          <w:b/>
          <w:sz w:val="24"/>
          <w:szCs w:val="24"/>
        </w:rPr>
      </w:pPr>
      <w:r w:rsidRPr="00093C4D">
        <w:rPr>
          <w:rFonts w:ascii="Times New Roman" w:hAnsi="Times New Roman" w:cs="Times New Roman"/>
          <w:b/>
          <w:sz w:val="24"/>
          <w:szCs w:val="24"/>
        </w:rPr>
        <w:t>II.</w:t>
      </w:r>
    </w:p>
    <w:p w14:paraId="795E4CC8" w14:textId="77777777" w:rsidR="00976D99" w:rsidRPr="00093C4D" w:rsidRDefault="00976D99" w:rsidP="00976D99">
      <w:pPr>
        <w:ind w:firstLine="708"/>
        <w:jc w:val="both"/>
        <w:rPr>
          <w:rFonts w:ascii="Times New Roman" w:hAnsi="Times New Roman" w:cs="Times New Roman"/>
          <w:sz w:val="24"/>
          <w:szCs w:val="24"/>
        </w:rPr>
      </w:pPr>
      <w:r w:rsidRPr="00093C4D">
        <w:rPr>
          <w:rFonts w:ascii="Times New Roman" w:hAnsi="Times New Roman" w:cs="Times New Roman"/>
          <w:sz w:val="24"/>
          <w:szCs w:val="24"/>
        </w:rPr>
        <w:t>Suglasnost iz točke I. ove Odluke, daje se uz sljedeće uvjete:</w:t>
      </w:r>
    </w:p>
    <w:p w14:paraId="31B495FC" w14:textId="77777777" w:rsidR="00976D99" w:rsidRPr="00093C4D" w:rsidRDefault="00976D99" w:rsidP="00976D99">
      <w:pPr>
        <w:ind w:firstLine="708"/>
        <w:jc w:val="both"/>
        <w:rPr>
          <w:rFonts w:ascii="Times New Roman" w:hAnsi="Times New Roman" w:cs="Times New Roman"/>
          <w:sz w:val="24"/>
          <w:szCs w:val="24"/>
        </w:rPr>
      </w:pPr>
    </w:p>
    <w:tbl>
      <w:tblPr>
        <w:tblW w:w="10065" w:type="dxa"/>
        <w:tblInd w:w="-489" w:type="dxa"/>
        <w:tblLayout w:type="fixed"/>
        <w:tblLook w:val="01E0" w:firstRow="1" w:lastRow="1" w:firstColumn="1" w:lastColumn="1" w:noHBand="0" w:noVBand="0"/>
      </w:tblPr>
      <w:tblGrid>
        <w:gridCol w:w="3544"/>
        <w:gridCol w:w="6521"/>
      </w:tblGrid>
      <w:tr w:rsidR="00976D99" w:rsidRPr="00093C4D" w14:paraId="5B11F91C" w14:textId="77777777" w:rsidTr="00732AC9">
        <w:tc>
          <w:tcPr>
            <w:tcW w:w="3544" w:type="dxa"/>
          </w:tcPr>
          <w:p w14:paraId="77EAABCD" w14:textId="77777777" w:rsidR="00976D99" w:rsidRPr="00093C4D" w:rsidRDefault="00976D99" w:rsidP="00976D9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davatelj kredita:</w:t>
            </w:r>
          </w:p>
          <w:p w14:paraId="00CDCDB7" w14:textId="77777777" w:rsidR="00976D99" w:rsidRPr="00093C4D" w:rsidRDefault="00976D99" w:rsidP="00976D99">
            <w:pPr>
              <w:tabs>
                <w:tab w:val="left" w:pos="2835"/>
                <w:tab w:val="left" w:pos="3119"/>
              </w:tabs>
              <w:ind w:left="284" w:hanging="284"/>
              <w:jc w:val="both"/>
              <w:rPr>
                <w:rFonts w:ascii="Times New Roman" w:hAnsi="Times New Roman" w:cs="Times New Roman"/>
                <w:sz w:val="24"/>
                <w:szCs w:val="24"/>
              </w:rPr>
            </w:pPr>
          </w:p>
          <w:p w14:paraId="72598ADE" w14:textId="77777777" w:rsidR="003B654B" w:rsidRDefault="00976D99" w:rsidP="00976D9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korisnik kredita:</w:t>
            </w:r>
          </w:p>
          <w:p w14:paraId="703158FD" w14:textId="77777777" w:rsidR="00976D99" w:rsidRPr="003B654B" w:rsidRDefault="00976D99" w:rsidP="003B654B">
            <w:pPr>
              <w:tabs>
                <w:tab w:val="left" w:pos="2835"/>
                <w:tab w:val="left" w:pos="3119"/>
              </w:tabs>
              <w:contextualSpacing/>
              <w:jc w:val="both"/>
            </w:pPr>
            <w:r w:rsidRPr="003B654B">
              <w:t xml:space="preserve"> </w:t>
            </w:r>
          </w:p>
          <w:p w14:paraId="302FCE55" w14:textId="77777777" w:rsidR="003B654B" w:rsidRDefault="003B654B" w:rsidP="003B654B">
            <w:pPr>
              <w:pStyle w:val="ListParagraph"/>
              <w:ind w:left="284" w:hanging="284"/>
            </w:pPr>
            <w:r w:rsidRPr="003B654B">
              <w:t>-</w:t>
            </w:r>
            <w:r>
              <w:t xml:space="preserve">   iznos kredita:</w:t>
            </w:r>
          </w:p>
          <w:p w14:paraId="350B666D" w14:textId="77777777" w:rsidR="00976D99" w:rsidRPr="003B654B" w:rsidRDefault="00976D99" w:rsidP="003B654B">
            <w:pPr>
              <w:pStyle w:val="ListParagraph"/>
              <w:tabs>
                <w:tab w:val="left" w:pos="2835"/>
                <w:tab w:val="left" w:pos="3119"/>
              </w:tabs>
              <w:ind w:left="284" w:hanging="284"/>
              <w:jc w:val="both"/>
            </w:pPr>
          </w:p>
        </w:tc>
        <w:tc>
          <w:tcPr>
            <w:tcW w:w="6521" w:type="dxa"/>
          </w:tcPr>
          <w:p w14:paraId="11652B62" w14:textId="77777777" w:rsidR="00976D99" w:rsidRPr="00093C4D" w:rsidRDefault="00DE7B74" w:rsidP="00976D99">
            <w:pPr>
              <w:tabs>
                <w:tab w:val="left" w:pos="2835"/>
                <w:tab w:val="left" w:pos="3119"/>
              </w:tabs>
              <w:ind w:left="284" w:hanging="284"/>
              <w:jc w:val="both"/>
              <w:rPr>
                <w:rFonts w:ascii="Times New Roman" w:hAnsi="Times New Roman" w:cs="Times New Roman"/>
                <w:sz w:val="24"/>
                <w:szCs w:val="24"/>
              </w:rPr>
            </w:pPr>
            <w:r w:rsidRPr="00093C4D">
              <w:rPr>
                <w:rFonts w:ascii="Times New Roman" w:hAnsi="Times New Roman" w:cs="Times New Roman"/>
                <w:sz w:val="24"/>
                <w:szCs w:val="24"/>
              </w:rPr>
              <w:t>Europska investicijska banka, Luksemburg</w:t>
            </w:r>
          </w:p>
          <w:p w14:paraId="713E0286" w14:textId="77777777" w:rsidR="00976D99" w:rsidRPr="00093C4D" w:rsidRDefault="00976D99" w:rsidP="00976D99">
            <w:pPr>
              <w:tabs>
                <w:tab w:val="left" w:pos="2835"/>
                <w:tab w:val="left" w:pos="3119"/>
              </w:tabs>
              <w:ind w:left="284" w:hanging="284"/>
              <w:jc w:val="both"/>
              <w:rPr>
                <w:rFonts w:ascii="Times New Roman" w:hAnsi="Times New Roman" w:cs="Times New Roman"/>
                <w:sz w:val="24"/>
                <w:szCs w:val="24"/>
              </w:rPr>
            </w:pPr>
          </w:p>
          <w:p w14:paraId="72F3CA29" w14:textId="77777777" w:rsidR="00976D99" w:rsidRDefault="00976D99" w:rsidP="00976D99">
            <w:pPr>
              <w:tabs>
                <w:tab w:val="left" w:pos="2835"/>
                <w:tab w:val="left" w:pos="3119"/>
              </w:tabs>
              <w:ind w:left="284" w:hanging="284"/>
              <w:jc w:val="both"/>
              <w:rPr>
                <w:rFonts w:ascii="Times New Roman" w:hAnsi="Times New Roman" w:cs="Times New Roman"/>
                <w:sz w:val="24"/>
                <w:szCs w:val="24"/>
              </w:rPr>
            </w:pPr>
            <w:r w:rsidRPr="00093C4D">
              <w:rPr>
                <w:rFonts w:ascii="Times New Roman" w:hAnsi="Times New Roman" w:cs="Times New Roman"/>
                <w:sz w:val="24"/>
                <w:szCs w:val="24"/>
              </w:rPr>
              <w:t>Hrvatska elektroprivreda – dioničko društvo</w:t>
            </w:r>
          </w:p>
          <w:p w14:paraId="0D9F6DED" w14:textId="77777777" w:rsidR="003B654B" w:rsidRDefault="003B654B" w:rsidP="00976D99">
            <w:pPr>
              <w:tabs>
                <w:tab w:val="left" w:pos="2835"/>
                <w:tab w:val="left" w:pos="3119"/>
              </w:tabs>
              <w:ind w:left="284" w:hanging="284"/>
              <w:jc w:val="both"/>
              <w:rPr>
                <w:rFonts w:ascii="Times New Roman" w:hAnsi="Times New Roman" w:cs="Times New Roman"/>
                <w:sz w:val="24"/>
                <w:szCs w:val="24"/>
              </w:rPr>
            </w:pPr>
          </w:p>
          <w:p w14:paraId="3848C748" w14:textId="77777777" w:rsidR="003B654B" w:rsidRPr="00093C4D" w:rsidRDefault="003B654B" w:rsidP="00976D99">
            <w:pPr>
              <w:tabs>
                <w:tab w:val="left" w:pos="2835"/>
                <w:tab w:val="left" w:pos="3119"/>
              </w:tabs>
              <w:ind w:left="284" w:hanging="284"/>
              <w:jc w:val="both"/>
              <w:rPr>
                <w:rFonts w:ascii="Times New Roman" w:hAnsi="Times New Roman" w:cs="Times New Roman"/>
                <w:sz w:val="24"/>
                <w:szCs w:val="24"/>
              </w:rPr>
            </w:pPr>
            <w:r>
              <w:rPr>
                <w:rFonts w:ascii="Times New Roman" w:hAnsi="Times New Roman" w:cs="Times New Roman"/>
                <w:sz w:val="24"/>
                <w:szCs w:val="24"/>
              </w:rPr>
              <w:t>63.000.000,00 EUR</w:t>
            </w:r>
          </w:p>
        </w:tc>
      </w:tr>
      <w:tr w:rsidR="00976D99" w:rsidRPr="00093C4D" w14:paraId="775298B1" w14:textId="77777777" w:rsidTr="00732AC9">
        <w:tc>
          <w:tcPr>
            <w:tcW w:w="3544" w:type="dxa"/>
          </w:tcPr>
          <w:p w14:paraId="5B8E8CD9" w14:textId="77777777" w:rsidR="00976D99" w:rsidRPr="00093C4D" w:rsidRDefault="00976D99" w:rsidP="00976D9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namjena:</w:t>
            </w:r>
          </w:p>
        </w:tc>
        <w:tc>
          <w:tcPr>
            <w:tcW w:w="6521" w:type="dxa"/>
          </w:tcPr>
          <w:p w14:paraId="06BE4D55" w14:textId="77777777" w:rsidR="00976D99" w:rsidRPr="00093C4D" w:rsidRDefault="00DE7B74" w:rsidP="00DE7B74">
            <w:pPr>
              <w:tabs>
                <w:tab w:val="left" w:pos="2835"/>
                <w:tab w:val="left" w:pos="3119"/>
              </w:tabs>
              <w:jc w:val="both"/>
              <w:rPr>
                <w:rFonts w:ascii="Times New Roman" w:hAnsi="Times New Roman" w:cs="Times New Roman"/>
                <w:sz w:val="24"/>
                <w:szCs w:val="24"/>
              </w:rPr>
            </w:pPr>
            <w:r w:rsidRPr="00093C4D">
              <w:rPr>
                <w:rFonts w:ascii="Times New Roman" w:hAnsi="Times New Roman" w:cs="Times New Roman"/>
                <w:sz w:val="24"/>
                <w:szCs w:val="24"/>
              </w:rPr>
              <w:t>Refundacija već utrošenih sredstava HEP-a d.d. u projekte iz segmenta obnovljivih izvora energija</w:t>
            </w:r>
          </w:p>
          <w:p w14:paraId="4DA969F4" w14:textId="77777777" w:rsidR="009F5F6B" w:rsidRPr="00093C4D" w:rsidRDefault="009F5F6B" w:rsidP="00DE7B74">
            <w:pPr>
              <w:tabs>
                <w:tab w:val="left" w:pos="2835"/>
                <w:tab w:val="left" w:pos="3119"/>
              </w:tabs>
              <w:jc w:val="both"/>
              <w:rPr>
                <w:rFonts w:ascii="Times New Roman" w:hAnsi="Times New Roman" w:cs="Times New Roman"/>
                <w:sz w:val="24"/>
                <w:szCs w:val="24"/>
              </w:rPr>
            </w:pPr>
          </w:p>
        </w:tc>
      </w:tr>
      <w:tr w:rsidR="00976D99" w:rsidRPr="00093C4D" w14:paraId="31DF462B" w14:textId="77777777" w:rsidTr="00732AC9">
        <w:tc>
          <w:tcPr>
            <w:tcW w:w="3544" w:type="dxa"/>
          </w:tcPr>
          <w:p w14:paraId="36B8C373" w14:textId="77777777" w:rsidR="00976D99" w:rsidRPr="00093C4D" w:rsidRDefault="00976D99" w:rsidP="00976D9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 xml:space="preserve">način i rok korištenja: </w:t>
            </w:r>
          </w:p>
          <w:p w14:paraId="692EE413" w14:textId="77777777" w:rsidR="00976D99" w:rsidRDefault="00976D99" w:rsidP="00976D99">
            <w:pPr>
              <w:tabs>
                <w:tab w:val="left" w:pos="2835"/>
                <w:tab w:val="left" w:pos="3119"/>
              </w:tabs>
              <w:ind w:left="284" w:hanging="284"/>
              <w:jc w:val="both"/>
              <w:rPr>
                <w:rFonts w:ascii="Times New Roman" w:hAnsi="Times New Roman" w:cs="Times New Roman"/>
                <w:sz w:val="24"/>
                <w:szCs w:val="24"/>
              </w:rPr>
            </w:pPr>
          </w:p>
          <w:p w14:paraId="46F089D0" w14:textId="77777777" w:rsidR="005D3AED" w:rsidRPr="00093C4D" w:rsidRDefault="005D3AED" w:rsidP="005D3AED">
            <w:pPr>
              <w:tabs>
                <w:tab w:val="left" w:pos="2835"/>
                <w:tab w:val="left" w:pos="3119"/>
              </w:tabs>
              <w:jc w:val="both"/>
              <w:rPr>
                <w:rFonts w:ascii="Times New Roman" w:hAnsi="Times New Roman" w:cs="Times New Roman"/>
                <w:sz w:val="24"/>
                <w:szCs w:val="24"/>
              </w:rPr>
            </w:pPr>
          </w:p>
          <w:p w14:paraId="14E3D365" w14:textId="77777777" w:rsidR="00976D99" w:rsidRPr="00093C4D" w:rsidRDefault="00976D99" w:rsidP="00976D9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 xml:space="preserve">rok vraćanja: </w:t>
            </w:r>
          </w:p>
          <w:p w14:paraId="03319393" w14:textId="77777777" w:rsidR="009F5F6B" w:rsidRPr="00093C4D" w:rsidRDefault="009F5F6B" w:rsidP="009F5F6B">
            <w:pPr>
              <w:rPr>
                <w:rFonts w:ascii="Times New Roman" w:hAnsi="Times New Roman" w:cs="Times New Roman"/>
                <w:sz w:val="24"/>
                <w:szCs w:val="24"/>
              </w:rPr>
            </w:pPr>
          </w:p>
          <w:p w14:paraId="1FF725A0" w14:textId="77777777" w:rsidR="002B3E7F" w:rsidRPr="00093C4D" w:rsidRDefault="002B3E7F" w:rsidP="00976D9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period počeka za otplatu glavnice:</w:t>
            </w:r>
          </w:p>
        </w:tc>
        <w:tc>
          <w:tcPr>
            <w:tcW w:w="6521" w:type="dxa"/>
          </w:tcPr>
          <w:p w14:paraId="676B3FF2" w14:textId="77777777" w:rsidR="00976D99" w:rsidRDefault="006348FC" w:rsidP="00976D99">
            <w:pPr>
              <w:tabs>
                <w:tab w:val="left" w:pos="2835"/>
                <w:tab w:val="left" w:pos="3119"/>
              </w:tabs>
              <w:ind w:left="284" w:hanging="284"/>
              <w:jc w:val="both"/>
              <w:rPr>
                <w:rFonts w:ascii="Times New Roman" w:hAnsi="Times New Roman" w:cs="Times New Roman"/>
                <w:sz w:val="24"/>
                <w:szCs w:val="24"/>
              </w:rPr>
            </w:pPr>
            <w:r w:rsidRPr="00093C4D">
              <w:rPr>
                <w:rFonts w:ascii="Times New Roman" w:hAnsi="Times New Roman" w:cs="Times New Roman"/>
                <w:sz w:val="24"/>
                <w:szCs w:val="24"/>
              </w:rPr>
              <w:t>Kredit se može povlačiti do 1</w:t>
            </w:r>
            <w:r w:rsidR="005D3AED">
              <w:rPr>
                <w:rFonts w:ascii="Times New Roman" w:hAnsi="Times New Roman" w:cs="Times New Roman"/>
                <w:sz w:val="24"/>
                <w:szCs w:val="24"/>
              </w:rPr>
              <w:t xml:space="preserve">8 mjeseci od dana potpisivanja </w:t>
            </w:r>
            <w:r w:rsidR="008832E7" w:rsidRPr="00093C4D">
              <w:rPr>
                <w:rFonts w:ascii="Times New Roman" w:hAnsi="Times New Roman" w:cs="Times New Roman"/>
                <w:sz w:val="24"/>
                <w:szCs w:val="24"/>
              </w:rPr>
              <w:t>u</w:t>
            </w:r>
            <w:r w:rsidRPr="00093C4D">
              <w:rPr>
                <w:rFonts w:ascii="Times New Roman" w:hAnsi="Times New Roman" w:cs="Times New Roman"/>
                <w:sz w:val="24"/>
                <w:szCs w:val="24"/>
              </w:rPr>
              <w:t>govora.</w:t>
            </w:r>
          </w:p>
          <w:p w14:paraId="18810913" w14:textId="77777777" w:rsidR="005D3AED" w:rsidRPr="00093C4D" w:rsidRDefault="005D3AED" w:rsidP="00976D99">
            <w:pPr>
              <w:tabs>
                <w:tab w:val="left" w:pos="2835"/>
                <w:tab w:val="left" w:pos="3119"/>
              </w:tabs>
              <w:ind w:left="284" w:hanging="284"/>
              <w:jc w:val="both"/>
              <w:rPr>
                <w:rFonts w:ascii="Times New Roman" w:hAnsi="Times New Roman" w:cs="Times New Roman"/>
                <w:sz w:val="24"/>
                <w:szCs w:val="24"/>
              </w:rPr>
            </w:pPr>
          </w:p>
          <w:p w14:paraId="2945CF6F" w14:textId="77777777" w:rsidR="00976D99" w:rsidRPr="00093C4D" w:rsidRDefault="002B3E7F" w:rsidP="00976D9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Do 16 godina amortizirajuće ili 7 godina jednokratno.</w:t>
            </w:r>
          </w:p>
          <w:p w14:paraId="76338B45" w14:textId="77777777" w:rsidR="005D3AED" w:rsidRDefault="005D3AED" w:rsidP="002B3E7F">
            <w:pPr>
              <w:tabs>
                <w:tab w:val="left" w:pos="2835"/>
                <w:tab w:val="left" w:pos="3119"/>
              </w:tabs>
              <w:autoSpaceDE w:val="0"/>
              <w:autoSpaceDN w:val="0"/>
              <w:adjustRightInd w:val="0"/>
              <w:rPr>
                <w:rFonts w:ascii="Times New Roman" w:hAnsi="Times New Roman" w:cs="Times New Roman"/>
                <w:sz w:val="24"/>
                <w:szCs w:val="24"/>
              </w:rPr>
            </w:pPr>
          </w:p>
          <w:p w14:paraId="3272CDE1" w14:textId="77777777" w:rsidR="002B3E7F" w:rsidRPr="00093C4D" w:rsidRDefault="002B3E7F" w:rsidP="002B3E7F">
            <w:pPr>
              <w:tabs>
                <w:tab w:val="left" w:pos="2835"/>
                <w:tab w:val="left" w:pos="3119"/>
              </w:tabs>
              <w:autoSpaceDE w:val="0"/>
              <w:autoSpaceDN w:val="0"/>
              <w:adjustRightInd w:val="0"/>
              <w:rPr>
                <w:rFonts w:ascii="Times New Roman" w:hAnsi="Times New Roman" w:cs="Times New Roman"/>
                <w:sz w:val="24"/>
                <w:szCs w:val="24"/>
              </w:rPr>
            </w:pPr>
            <w:r w:rsidRPr="00093C4D">
              <w:rPr>
                <w:rFonts w:ascii="Times New Roman" w:hAnsi="Times New Roman" w:cs="Times New Roman"/>
                <w:sz w:val="24"/>
                <w:szCs w:val="24"/>
              </w:rPr>
              <w:t>Do 4 godine.</w:t>
            </w:r>
          </w:p>
          <w:p w14:paraId="7950F54B" w14:textId="77777777" w:rsidR="009F5F6B" w:rsidRPr="00093C4D" w:rsidRDefault="009F5F6B" w:rsidP="002B3E7F">
            <w:pPr>
              <w:tabs>
                <w:tab w:val="left" w:pos="2835"/>
                <w:tab w:val="left" w:pos="3119"/>
              </w:tabs>
              <w:autoSpaceDE w:val="0"/>
              <w:autoSpaceDN w:val="0"/>
              <w:adjustRightInd w:val="0"/>
              <w:rPr>
                <w:rFonts w:ascii="Times New Roman" w:hAnsi="Times New Roman" w:cs="Times New Roman"/>
                <w:sz w:val="24"/>
                <w:szCs w:val="24"/>
              </w:rPr>
            </w:pPr>
          </w:p>
        </w:tc>
      </w:tr>
      <w:tr w:rsidR="00976D99" w:rsidRPr="00093C4D" w14:paraId="4E75D392" w14:textId="77777777" w:rsidTr="00732AC9">
        <w:tc>
          <w:tcPr>
            <w:tcW w:w="3544" w:type="dxa"/>
          </w:tcPr>
          <w:p w14:paraId="5D93A647" w14:textId="77777777" w:rsidR="00976D99" w:rsidRPr="005D3AED" w:rsidRDefault="005D3AED" w:rsidP="005D3AED">
            <w:pPr>
              <w:tabs>
                <w:tab w:val="left" w:pos="1588"/>
                <w:tab w:val="left" w:pos="2439"/>
                <w:tab w:val="left" w:pos="2835"/>
                <w:tab w:val="left" w:pos="3119"/>
              </w:tabs>
              <w:ind w:right="278"/>
              <w:contextualSpacing/>
              <w:jc w:val="both"/>
              <w:rPr>
                <w:rFonts w:ascii="Times New Roman" w:hAnsi="Times New Roman" w:cs="Times New Roman"/>
                <w:sz w:val="24"/>
                <w:szCs w:val="24"/>
              </w:rPr>
            </w:pPr>
            <w:r w:rsidRPr="005D3AE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976D99" w:rsidRPr="005D3AED">
              <w:rPr>
                <w:rFonts w:ascii="Times New Roman" w:hAnsi="Times New Roman" w:cs="Times New Roman"/>
                <w:sz w:val="24"/>
                <w:szCs w:val="24"/>
              </w:rPr>
              <w:t>redovna kamatna stopa:</w:t>
            </w:r>
          </w:p>
        </w:tc>
        <w:tc>
          <w:tcPr>
            <w:tcW w:w="6521" w:type="dxa"/>
          </w:tcPr>
          <w:p w14:paraId="045ED6A7" w14:textId="77777777" w:rsidR="005A78A7" w:rsidRPr="00093C4D" w:rsidRDefault="005A78A7" w:rsidP="005D3AED">
            <w:pPr>
              <w:tabs>
                <w:tab w:val="left" w:pos="2835"/>
                <w:tab w:val="left" w:pos="3119"/>
              </w:tabs>
              <w:ind w:left="34" w:hanging="34"/>
              <w:jc w:val="both"/>
              <w:rPr>
                <w:rFonts w:ascii="Times New Roman" w:hAnsi="Times New Roman" w:cs="Times New Roman"/>
                <w:sz w:val="24"/>
                <w:szCs w:val="24"/>
              </w:rPr>
            </w:pPr>
            <w:r w:rsidRPr="00093C4D">
              <w:rPr>
                <w:rFonts w:ascii="Times New Roman" w:hAnsi="Times New Roman" w:cs="Times New Roman"/>
                <w:sz w:val="24"/>
                <w:szCs w:val="24"/>
              </w:rPr>
              <w:t>Mogućnost izbora varijabilne ili fiksne kamatne stope;</w:t>
            </w:r>
            <w:r w:rsidRPr="00093C4D">
              <w:rPr>
                <w:rFonts w:ascii="Times New Roman" w:eastAsia="Times New Roman" w:hAnsi="Times New Roman" w:cs="Times New Roman"/>
                <w:sz w:val="24"/>
                <w:szCs w:val="24"/>
                <w:lang w:eastAsia="hr-HR"/>
              </w:rPr>
              <w:t xml:space="preserve"> </w:t>
            </w:r>
            <w:r w:rsidR="005A6776" w:rsidRPr="00093C4D">
              <w:rPr>
                <w:rFonts w:ascii="Times New Roman" w:hAnsi="Times New Roman" w:cs="Times New Roman"/>
                <w:sz w:val="24"/>
                <w:szCs w:val="24"/>
              </w:rPr>
              <w:t>o</w:t>
            </w:r>
            <w:r w:rsidRPr="00093C4D">
              <w:rPr>
                <w:rFonts w:ascii="Times New Roman" w:hAnsi="Times New Roman" w:cs="Times New Roman"/>
                <w:sz w:val="24"/>
                <w:szCs w:val="24"/>
              </w:rPr>
              <w:t xml:space="preserve"> odabiru kamatnih</w:t>
            </w:r>
          </w:p>
          <w:p w14:paraId="455D6483" w14:textId="77777777" w:rsidR="005A78A7" w:rsidRPr="00093C4D" w:rsidRDefault="005A78A7" w:rsidP="005D3AED">
            <w:pPr>
              <w:tabs>
                <w:tab w:val="left" w:pos="2835"/>
                <w:tab w:val="left" w:pos="3119"/>
              </w:tabs>
              <w:ind w:left="34" w:hanging="34"/>
              <w:jc w:val="both"/>
              <w:rPr>
                <w:rFonts w:ascii="Times New Roman" w:hAnsi="Times New Roman" w:cs="Times New Roman"/>
                <w:sz w:val="24"/>
                <w:szCs w:val="24"/>
              </w:rPr>
            </w:pPr>
            <w:r w:rsidRPr="00093C4D">
              <w:rPr>
                <w:rFonts w:ascii="Times New Roman" w:hAnsi="Times New Roman" w:cs="Times New Roman"/>
                <w:sz w:val="24"/>
                <w:szCs w:val="24"/>
              </w:rPr>
              <w:t xml:space="preserve">stopa odlučuje Društvo, u trenutku povlačenja pojedinačnih tranši kredita. </w:t>
            </w:r>
          </w:p>
          <w:p w14:paraId="2AE5D700" w14:textId="77777777" w:rsidR="00976D99" w:rsidRPr="00093C4D" w:rsidRDefault="00976D99" w:rsidP="005A78A7">
            <w:pPr>
              <w:tabs>
                <w:tab w:val="left" w:pos="2835"/>
                <w:tab w:val="left" w:pos="3119"/>
              </w:tabs>
              <w:ind w:left="284" w:hanging="284"/>
              <w:rPr>
                <w:rFonts w:ascii="Times New Roman" w:hAnsi="Times New Roman" w:cs="Times New Roman"/>
                <w:sz w:val="24"/>
                <w:szCs w:val="24"/>
              </w:rPr>
            </w:pPr>
          </w:p>
        </w:tc>
      </w:tr>
      <w:tr w:rsidR="00976D99" w:rsidRPr="00093C4D" w14:paraId="3B34B191" w14:textId="77777777" w:rsidTr="00732AC9">
        <w:tc>
          <w:tcPr>
            <w:tcW w:w="3544" w:type="dxa"/>
          </w:tcPr>
          <w:p w14:paraId="19426733" w14:textId="77777777" w:rsidR="00976D99" w:rsidRPr="00093C4D" w:rsidRDefault="00976D99" w:rsidP="00EE46F9">
            <w:pPr>
              <w:pStyle w:val="ListParagraph"/>
              <w:numPr>
                <w:ilvl w:val="0"/>
                <w:numId w:val="2"/>
              </w:numPr>
              <w:tabs>
                <w:tab w:val="left" w:pos="2835"/>
                <w:tab w:val="left" w:pos="3119"/>
              </w:tabs>
              <w:ind w:left="284" w:hanging="284"/>
              <w:contextualSpacing/>
              <w:jc w:val="both"/>
            </w:pPr>
            <w:r w:rsidRPr="00093C4D">
              <w:rPr>
                <w:rFonts w:eastAsiaTheme="minorHAnsi"/>
                <w:lang w:val="hr-HR"/>
              </w:rPr>
              <w:t>naknada za</w:t>
            </w:r>
            <w:r w:rsidRPr="00093C4D">
              <w:t xml:space="preserve"> obradu kredita: </w:t>
            </w:r>
          </w:p>
          <w:p w14:paraId="237DDD3B" w14:textId="77777777" w:rsidR="001A34B3" w:rsidRPr="00093C4D" w:rsidRDefault="001A34B3" w:rsidP="00EE46F9">
            <w:pPr>
              <w:tabs>
                <w:tab w:val="left" w:pos="2835"/>
                <w:tab w:val="left" w:pos="3119"/>
              </w:tabs>
              <w:contextualSpacing/>
              <w:jc w:val="both"/>
              <w:rPr>
                <w:rFonts w:ascii="Times New Roman" w:hAnsi="Times New Roman" w:cs="Times New Roman"/>
                <w:sz w:val="24"/>
                <w:szCs w:val="24"/>
              </w:rPr>
            </w:pPr>
          </w:p>
          <w:p w14:paraId="2E9CE1C6" w14:textId="77777777" w:rsidR="00E0168C" w:rsidRPr="00093C4D" w:rsidRDefault="00E0168C" w:rsidP="00EE46F9">
            <w:pPr>
              <w:tabs>
                <w:tab w:val="left" w:pos="2835"/>
                <w:tab w:val="left" w:pos="3119"/>
              </w:tabs>
              <w:contextualSpacing/>
              <w:jc w:val="both"/>
              <w:rPr>
                <w:rFonts w:ascii="Times New Roman" w:hAnsi="Times New Roman" w:cs="Times New Roman"/>
                <w:sz w:val="24"/>
                <w:szCs w:val="24"/>
              </w:rPr>
            </w:pPr>
          </w:p>
          <w:p w14:paraId="538E2B64" w14:textId="77777777" w:rsidR="00E11B93" w:rsidRPr="00093C4D" w:rsidRDefault="00E11B93" w:rsidP="00EE46F9">
            <w:pPr>
              <w:tabs>
                <w:tab w:val="left" w:pos="2835"/>
                <w:tab w:val="left" w:pos="3119"/>
              </w:tabs>
              <w:contextualSpacing/>
              <w:jc w:val="both"/>
              <w:rPr>
                <w:rFonts w:ascii="Times New Roman" w:hAnsi="Times New Roman" w:cs="Times New Roman"/>
                <w:sz w:val="24"/>
                <w:szCs w:val="24"/>
              </w:rPr>
            </w:pPr>
          </w:p>
          <w:p w14:paraId="10237997" w14:textId="77777777" w:rsidR="004F1432" w:rsidRPr="00F72791" w:rsidRDefault="001A34B3" w:rsidP="00EE46F9">
            <w:pPr>
              <w:pStyle w:val="ListParagraph"/>
              <w:numPr>
                <w:ilvl w:val="0"/>
                <w:numId w:val="2"/>
              </w:numPr>
              <w:tabs>
                <w:tab w:val="left" w:pos="2835"/>
                <w:tab w:val="left" w:pos="3119"/>
              </w:tabs>
              <w:ind w:left="321"/>
              <w:contextualSpacing/>
              <w:jc w:val="both"/>
            </w:pPr>
            <w:r w:rsidRPr="00093C4D">
              <w:t xml:space="preserve">naknada za </w:t>
            </w:r>
            <w:r w:rsidR="00E0168C" w:rsidRPr="00093C4D">
              <w:t>odobrena a neiskorištena sredstva</w:t>
            </w:r>
            <w:r w:rsidRPr="00093C4D">
              <w:t>:</w:t>
            </w:r>
          </w:p>
          <w:p w14:paraId="3BFC5CAA" w14:textId="77777777" w:rsidR="00AA3A11" w:rsidRDefault="00AA3A11" w:rsidP="00AA3A11">
            <w:pPr>
              <w:pStyle w:val="ListParagraph"/>
              <w:tabs>
                <w:tab w:val="left" w:pos="2835"/>
                <w:tab w:val="left" w:pos="3119"/>
              </w:tabs>
              <w:ind w:left="321"/>
              <w:contextualSpacing/>
              <w:jc w:val="both"/>
            </w:pPr>
          </w:p>
          <w:p w14:paraId="5B7BB22F" w14:textId="77777777" w:rsidR="005A6776" w:rsidRPr="00093C4D" w:rsidRDefault="00370CC1" w:rsidP="00EE46F9">
            <w:pPr>
              <w:pStyle w:val="ListParagraph"/>
              <w:numPr>
                <w:ilvl w:val="0"/>
                <w:numId w:val="2"/>
              </w:numPr>
              <w:tabs>
                <w:tab w:val="left" w:pos="2835"/>
                <w:tab w:val="left" w:pos="3119"/>
              </w:tabs>
              <w:ind w:left="321"/>
              <w:contextualSpacing/>
              <w:jc w:val="both"/>
            </w:pPr>
            <w:r w:rsidRPr="00093C4D">
              <w:t>jamstva</w:t>
            </w:r>
            <w:r w:rsidR="009F5F6B" w:rsidRPr="00093C4D">
              <w:t xml:space="preserve"> (između ostalih)</w:t>
            </w:r>
            <w:r w:rsidR="005A6776" w:rsidRPr="00093C4D">
              <w:t>:</w:t>
            </w:r>
          </w:p>
          <w:p w14:paraId="336F9967" w14:textId="77777777" w:rsidR="00222009" w:rsidRPr="00093C4D" w:rsidRDefault="00222009" w:rsidP="00EE46F9">
            <w:pPr>
              <w:pStyle w:val="ListParagraph"/>
              <w:tabs>
                <w:tab w:val="left" w:pos="2835"/>
                <w:tab w:val="left" w:pos="3119"/>
              </w:tabs>
              <w:ind w:left="284"/>
              <w:contextualSpacing/>
              <w:jc w:val="both"/>
              <w:rPr>
                <w:rFonts w:eastAsiaTheme="minorHAnsi"/>
                <w:lang w:val="hr-HR"/>
              </w:rPr>
            </w:pPr>
          </w:p>
          <w:p w14:paraId="5B5CE693"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16066D4C"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0F9BB290"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631DE965"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0D8FB28B"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5CC132B8"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7AC3ADD5" w14:textId="77777777" w:rsidR="005A6776" w:rsidRPr="00093C4D" w:rsidRDefault="005A6776" w:rsidP="00EE46F9">
            <w:pPr>
              <w:pStyle w:val="ListParagraph"/>
              <w:tabs>
                <w:tab w:val="left" w:pos="2835"/>
                <w:tab w:val="left" w:pos="3119"/>
              </w:tabs>
              <w:ind w:left="284"/>
              <w:contextualSpacing/>
              <w:jc w:val="both"/>
              <w:rPr>
                <w:rFonts w:eastAsiaTheme="minorHAnsi"/>
                <w:lang w:val="hr-HR"/>
              </w:rPr>
            </w:pPr>
          </w:p>
          <w:p w14:paraId="3FF0C149" w14:textId="77777777" w:rsidR="00222009" w:rsidRPr="00093C4D" w:rsidRDefault="00222009" w:rsidP="00EE46F9">
            <w:pPr>
              <w:pStyle w:val="ListParagraph"/>
              <w:tabs>
                <w:tab w:val="left" w:pos="2835"/>
                <w:tab w:val="left" w:pos="3119"/>
              </w:tabs>
              <w:ind w:left="284"/>
              <w:contextualSpacing/>
              <w:jc w:val="both"/>
              <w:rPr>
                <w:rFonts w:eastAsiaTheme="minorHAnsi"/>
                <w:lang w:val="hr-HR"/>
              </w:rPr>
            </w:pPr>
          </w:p>
          <w:p w14:paraId="1233DF92" w14:textId="77777777" w:rsidR="00222009" w:rsidRPr="00093C4D" w:rsidRDefault="00222009" w:rsidP="00EE46F9">
            <w:pPr>
              <w:pStyle w:val="ListParagraph"/>
              <w:tabs>
                <w:tab w:val="left" w:pos="2835"/>
                <w:tab w:val="left" w:pos="3119"/>
              </w:tabs>
              <w:ind w:left="284"/>
              <w:contextualSpacing/>
              <w:jc w:val="both"/>
              <w:rPr>
                <w:rFonts w:eastAsiaTheme="minorHAnsi"/>
                <w:lang w:val="hr-HR"/>
              </w:rPr>
            </w:pPr>
          </w:p>
          <w:p w14:paraId="6B14938B" w14:textId="77777777" w:rsidR="00E11B93" w:rsidRPr="00093C4D" w:rsidRDefault="00E11B93" w:rsidP="00EE46F9">
            <w:pPr>
              <w:pStyle w:val="ListParagraph"/>
              <w:tabs>
                <w:tab w:val="left" w:pos="2835"/>
                <w:tab w:val="left" w:pos="3119"/>
              </w:tabs>
              <w:ind w:left="284"/>
              <w:contextualSpacing/>
              <w:jc w:val="both"/>
              <w:rPr>
                <w:rFonts w:eastAsiaTheme="minorHAnsi"/>
                <w:lang w:val="hr-HR"/>
              </w:rPr>
            </w:pPr>
          </w:p>
          <w:p w14:paraId="0F6D1B7C" w14:textId="77777777" w:rsidR="00976D99" w:rsidRPr="00093C4D" w:rsidRDefault="00976D99" w:rsidP="00EE46F9">
            <w:pPr>
              <w:tabs>
                <w:tab w:val="left" w:pos="2835"/>
                <w:tab w:val="left" w:pos="3119"/>
              </w:tabs>
              <w:jc w:val="both"/>
              <w:rPr>
                <w:rFonts w:ascii="Times New Roman" w:hAnsi="Times New Roman" w:cs="Times New Roman"/>
                <w:sz w:val="24"/>
                <w:szCs w:val="24"/>
              </w:rPr>
            </w:pPr>
          </w:p>
          <w:p w14:paraId="67C40B62" w14:textId="77777777" w:rsidR="00976D99" w:rsidRPr="00093C4D" w:rsidRDefault="00976D99" w:rsidP="00EE46F9">
            <w:pPr>
              <w:tabs>
                <w:tab w:val="left" w:pos="2835"/>
                <w:tab w:val="left" w:pos="3119"/>
              </w:tabs>
              <w:jc w:val="both"/>
              <w:rPr>
                <w:rFonts w:ascii="Times New Roman" w:hAnsi="Times New Roman" w:cs="Times New Roman"/>
                <w:sz w:val="24"/>
                <w:szCs w:val="24"/>
              </w:rPr>
            </w:pPr>
          </w:p>
          <w:p w14:paraId="66F5964D" w14:textId="77777777" w:rsidR="001A34B3" w:rsidRPr="00093C4D" w:rsidRDefault="001A34B3" w:rsidP="00EE46F9">
            <w:pPr>
              <w:pStyle w:val="ListParagraph"/>
              <w:tabs>
                <w:tab w:val="left" w:pos="2835"/>
                <w:tab w:val="left" w:pos="3119"/>
              </w:tabs>
              <w:ind w:left="284"/>
              <w:contextualSpacing/>
              <w:jc w:val="both"/>
              <w:rPr>
                <w:rFonts w:eastAsiaTheme="minorHAnsi"/>
                <w:lang w:val="hr-HR"/>
              </w:rPr>
            </w:pPr>
          </w:p>
          <w:p w14:paraId="7693F0CB" w14:textId="77777777" w:rsidR="001A34B3" w:rsidRPr="00093C4D" w:rsidRDefault="001A34B3" w:rsidP="00EE46F9">
            <w:pPr>
              <w:pStyle w:val="ListParagraph"/>
              <w:tabs>
                <w:tab w:val="left" w:pos="2835"/>
                <w:tab w:val="left" w:pos="3119"/>
              </w:tabs>
              <w:ind w:left="284"/>
              <w:contextualSpacing/>
              <w:jc w:val="both"/>
              <w:rPr>
                <w:rFonts w:eastAsiaTheme="minorHAnsi"/>
                <w:lang w:val="hr-HR"/>
              </w:rPr>
            </w:pPr>
          </w:p>
          <w:p w14:paraId="2489A05F" w14:textId="77777777" w:rsidR="005432F9" w:rsidRPr="00093C4D" w:rsidRDefault="005432F9" w:rsidP="00EE46F9">
            <w:pPr>
              <w:pStyle w:val="ListParagraph"/>
              <w:tabs>
                <w:tab w:val="left" w:pos="2835"/>
                <w:tab w:val="left" w:pos="3119"/>
              </w:tabs>
              <w:ind w:left="284"/>
              <w:contextualSpacing/>
              <w:jc w:val="both"/>
              <w:rPr>
                <w:rFonts w:eastAsiaTheme="minorHAnsi"/>
                <w:lang w:val="hr-HR"/>
              </w:rPr>
            </w:pPr>
          </w:p>
          <w:p w14:paraId="4EDA2378" w14:textId="77777777" w:rsidR="005432F9" w:rsidRPr="00093C4D" w:rsidRDefault="005432F9" w:rsidP="00EE46F9">
            <w:pPr>
              <w:pStyle w:val="ListParagraph"/>
              <w:tabs>
                <w:tab w:val="left" w:pos="2835"/>
                <w:tab w:val="left" w:pos="3119"/>
              </w:tabs>
              <w:ind w:left="284"/>
              <w:contextualSpacing/>
              <w:jc w:val="both"/>
              <w:rPr>
                <w:rFonts w:eastAsiaTheme="minorHAnsi"/>
                <w:lang w:val="hr-HR"/>
              </w:rPr>
            </w:pPr>
          </w:p>
          <w:p w14:paraId="218F8CF6" w14:textId="77777777" w:rsidR="006E1E54" w:rsidRPr="00093C4D" w:rsidRDefault="006E1E54" w:rsidP="00EE46F9">
            <w:pPr>
              <w:tabs>
                <w:tab w:val="left" w:pos="2835"/>
                <w:tab w:val="left" w:pos="3119"/>
              </w:tabs>
              <w:contextualSpacing/>
              <w:jc w:val="both"/>
              <w:rPr>
                <w:rFonts w:ascii="Times New Roman" w:hAnsi="Times New Roman" w:cs="Times New Roman"/>
                <w:sz w:val="24"/>
                <w:szCs w:val="24"/>
              </w:rPr>
            </w:pPr>
          </w:p>
          <w:p w14:paraId="1B1F6F18" w14:textId="77777777" w:rsidR="006E1E54" w:rsidRDefault="006E1E54" w:rsidP="00EE46F9">
            <w:pPr>
              <w:pStyle w:val="ListParagraph"/>
              <w:tabs>
                <w:tab w:val="left" w:pos="2835"/>
                <w:tab w:val="left" w:pos="3119"/>
              </w:tabs>
              <w:ind w:left="284"/>
              <w:contextualSpacing/>
              <w:jc w:val="both"/>
              <w:rPr>
                <w:rFonts w:eastAsiaTheme="minorHAnsi"/>
                <w:lang w:val="hr-HR"/>
              </w:rPr>
            </w:pPr>
          </w:p>
          <w:p w14:paraId="1FF5A843" w14:textId="77777777" w:rsidR="00EE46F9" w:rsidRDefault="00EE46F9" w:rsidP="00EE46F9">
            <w:pPr>
              <w:pStyle w:val="ListParagraph"/>
              <w:tabs>
                <w:tab w:val="left" w:pos="2835"/>
                <w:tab w:val="left" w:pos="3119"/>
              </w:tabs>
              <w:ind w:left="284"/>
              <w:contextualSpacing/>
              <w:jc w:val="both"/>
              <w:rPr>
                <w:rFonts w:eastAsiaTheme="minorHAnsi"/>
                <w:lang w:val="hr-HR"/>
              </w:rPr>
            </w:pPr>
          </w:p>
          <w:p w14:paraId="2E44E330" w14:textId="77777777" w:rsidR="00EE46F9" w:rsidRDefault="00EE46F9" w:rsidP="00EE46F9">
            <w:pPr>
              <w:pStyle w:val="ListParagraph"/>
              <w:tabs>
                <w:tab w:val="left" w:pos="2835"/>
                <w:tab w:val="left" w:pos="3119"/>
              </w:tabs>
              <w:ind w:left="284"/>
              <w:contextualSpacing/>
              <w:jc w:val="both"/>
              <w:rPr>
                <w:rFonts w:eastAsiaTheme="minorHAnsi"/>
                <w:lang w:val="hr-HR"/>
              </w:rPr>
            </w:pPr>
          </w:p>
          <w:p w14:paraId="23CC81E7" w14:textId="77777777" w:rsidR="00820B4D" w:rsidRPr="00B771E9" w:rsidRDefault="00820B4D" w:rsidP="00B771E9">
            <w:pPr>
              <w:tabs>
                <w:tab w:val="left" w:pos="2835"/>
                <w:tab w:val="left" w:pos="3119"/>
              </w:tabs>
              <w:contextualSpacing/>
              <w:jc w:val="both"/>
            </w:pPr>
          </w:p>
          <w:p w14:paraId="77A0501C" w14:textId="77777777" w:rsidR="001A34B3" w:rsidRPr="00093C4D" w:rsidRDefault="00370CC1" w:rsidP="00EE46F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financijski pokazatelji</w:t>
            </w:r>
            <w:r w:rsidR="005432F9" w:rsidRPr="00093C4D">
              <w:rPr>
                <w:rFonts w:eastAsiaTheme="minorHAnsi"/>
                <w:lang w:val="hr-HR"/>
              </w:rPr>
              <w:t>:</w:t>
            </w:r>
          </w:p>
          <w:p w14:paraId="5C2E302A" w14:textId="77777777" w:rsidR="001A34B3" w:rsidRPr="00093C4D" w:rsidRDefault="001A34B3" w:rsidP="00EE46F9">
            <w:pPr>
              <w:pStyle w:val="ListParagraph"/>
              <w:tabs>
                <w:tab w:val="left" w:pos="2835"/>
                <w:tab w:val="left" w:pos="3119"/>
              </w:tabs>
              <w:ind w:left="284"/>
              <w:contextualSpacing/>
              <w:jc w:val="both"/>
              <w:rPr>
                <w:rFonts w:eastAsiaTheme="minorHAnsi"/>
                <w:lang w:val="hr-HR"/>
              </w:rPr>
            </w:pPr>
          </w:p>
          <w:p w14:paraId="72FAADF8" w14:textId="77777777" w:rsidR="007007A9" w:rsidRPr="00093C4D" w:rsidRDefault="007007A9" w:rsidP="00EE46F9">
            <w:pPr>
              <w:tabs>
                <w:tab w:val="left" w:pos="2835"/>
                <w:tab w:val="left" w:pos="3119"/>
              </w:tabs>
              <w:contextualSpacing/>
              <w:jc w:val="both"/>
              <w:rPr>
                <w:rFonts w:ascii="Times New Roman" w:hAnsi="Times New Roman" w:cs="Times New Roman"/>
                <w:sz w:val="24"/>
                <w:szCs w:val="24"/>
              </w:rPr>
            </w:pPr>
          </w:p>
          <w:p w14:paraId="15F106D2" w14:textId="77777777" w:rsidR="007007A9" w:rsidRPr="00093C4D" w:rsidRDefault="007007A9" w:rsidP="00EE46F9">
            <w:pPr>
              <w:tabs>
                <w:tab w:val="left" w:pos="2835"/>
                <w:tab w:val="left" w:pos="3119"/>
              </w:tabs>
              <w:contextualSpacing/>
              <w:jc w:val="both"/>
              <w:rPr>
                <w:rFonts w:ascii="Times New Roman" w:hAnsi="Times New Roman" w:cs="Times New Roman"/>
                <w:sz w:val="24"/>
                <w:szCs w:val="24"/>
              </w:rPr>
            </w:pPr>
          </w:p>
          <w:p w14:paraId="5A9F665A" w14:textId="77777777" w:rsidR="00976D99" w:rsidRPr="00EE46F9" w:rsidRDefault="005432F9" w:rsidP="00EE46F9">
            <w:pPr>
              <w:pStyle w:val="ListParagraph"/>
              <w:numPr>
                <w:ilvl w:val="0"/>
                <w:numId w:val="2"/>
              </w:numPr>
              <w:tabs>
                <w:tab w:val="left" w:pos="2835"/>
                <w:tab w:val="left" w:pos="3119"/>
              </w:tabs>
              <w:ind w:left="284" w:hanging="284"/>
              <w:contextualSpacing/>
              <w:jc w:val="both"/>
              <w:rPr>
                <w:rFonts w:eastAsiaTheme="minorHAnsi"/>
                <w:lang w:val="hr-HR"/>
              </w:rPr>
            </w:pPr>
            <w:r w:rsidRPr="00093C4D">
              <w:rPr>
                <w:rFonts w:eastAsiaTheme="minorHAnsi"/>
                <w:lang w:val="hr-HR"/>
              </w:rPr>
              <w:t>mjerodavno pravo:</w:t>
            </w:r>
          </w:p>
        </w:tc>
        <w:tc>
          <w:tcPr>
            <w:tcW w:w="6521" w:type="dxa"/>
          </w:tcPr>
          <w:p w14:paraId="30267026" w14:textId="77777777" w:rsidR="00976D99" w:rsidRPr="00093C4D" w:rsidRDefault="002B49AE"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80.000,00 EUR</w:t>
            </w:r>
            <w:r w:rsidR="00E0168C" w:rsidRPr="00093C4D">
              <w:rPr>
                <w:rFonts w:ascii="Times New Roman" w:eastAsia="Arial" w:hAnsi="Times New Roman" w:cs="Times New Roman"/>
                <w:sz w:val="24"/>
                <w:szCs w:val="24"/>
                <w:lang w:bidi="en-US"/>
              </w:rPr>
              <w:t xml:space="preserve"> </w:t>
            </w:r>
            <w:r w:rsidR="00E0168C" w:rsidRPr="00093C4D">
              <w:rPr>
                <w:rFonts w:ascii="Times New Roman" w:hAnsi="Times New Roman" w:cs="Times New Roman"/>
                <w:sz w:val="24"/>
                <w:szCs w:val="24"/>
              </w:rPr>
              <w:t>koji se oduzima od prve isplate. Ako se prva isplata ne dogodi u prvih šest mjeseci, naknada se plaća nakon prvih šest mjeseci nakon potpisivanja ugovora)</w:t>
            </w:r>
            <w:r w:rsidR="005432F9" w:rsidRPr="00093C4D">
              <w:rPr>
                <w:rFonts w:ascii="Times New Roman" w:hAnsi="Times New Roman" w:cs="Times New Roman"/>
                <w:sz w:val="24"/>
                <w:szCs w:val="24"/>
              </w:rPr>
              <w:t>.</w:t>
            </w:r>
          </w:p>
          <w:p w14:paraId="4DA93965" w14:textId="77777777" w:rsidR="00E0168C" w:rsidRPr="00093C4D" w:rsidRDefault="00E0168C" w:rsidP="00EE46F9">
            <w:pPr>
              <w:tabs>
                <w:tab w:val="left" w:pos="2835"/>
                <w:tab w:val="left" w:pos="3119"/>
              </w:tabs>
              <w:autoSpaceDE w:val="0"/>
              <w:autoSpaceDN w:val="0"/>
              <w:adjustRightInd w:val="0"/>
              <w:jc w:val="both"/>
              <w:rPr>
                <w:rFonts w:ascii="Times New Roman" w:hAnsi="Times New Roman" w:cs="Times New Roman"/>
                <w:sz w:val="24"/>
                <w:szCs w:val="24"/>
              </w:rPr>
            </w:pPr>
          </w:p>
          <w:p w14:paraId="700BBE7E" w14:textId="77777777" w:rsidR="004F1432" w:rsidRPr="00093C4D" w:rsidRDefault="00E0168C"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0,5% godišnje</w:t>
            </w:r>
            <w:r w:rsidR="005A78A7" w:rsidRPr="00093C4D">
              <w:rPr>
                <w:rFonts w:ascii="Times New Roman" w:hAnsi="Times New Roman" w:cs="Times New Roman"/>
                <w:sz w:val="24"/>
                <w:szCs w:val="24"/>
              </w:rPr>
              <w:t xml:space="preserve"> (plaća se od 180-og dana od potpisivanja ugovora do potpune isplate kredita)</w:t>
            </w:r>
            <w:r w:rsidR="005432F9" w:rsidRPr="00093C4D">
              <w:rPr>
                <w:rFonts w:ascii="Times New Roman" w:hAnsi="Times New Roman" w:cs="Times New Roman"/>
                <w:sz w:val="24"/>
                <w:szCs w:val="24"/>
              </w:rPr>
              <w:t>.</w:t>
            </w:r>
          </w:p>
          <w:p w14:paraId="0D97C9B5" w14:textId="77777777" w:rsidR="00AA3A11" w:rsidRDefault="00AA3A11" w:rsidP="00EE46F9">
            <w:pPr>
              <w:tabs>
                <w:tab w:val="left" w:pos="2835"/>
                <w:tab w:val="left" w:pos="3119"/>
              </w:tabs>
              <w:autoSpaceDE w:val="0"/>
              <w:autoSpaceDN w:val="0"/>
              <w:adjustRightInd w:val="0"/>
              <w:jc w:val="both"/>
              <w:rPr>
                <w:rFonts w:ascii="Times New Roman" w:hAnsi="Times New Roman" w:cs="Times New Roman"/>
                <w:sz w:val="24"/>
                <w:szCs w:val="24"/>
              </w:rPr>
            </w:pPr>
          </w:p>
          <w:p w14:paraId="1321E7D1" w14:textId="77777777" w:rsidR="005A6776" w:rsidRPr="00093C4D" w:rsidRDefault="005A6776"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EE46F9">
              <w:rPr>
                <w:rFonts w:ascii="Times New Roman" w:hAnsi="Times New Roman" w:cs="Times New Roman"/>
                <w:sz w:val="24"/>
                <w:szCs w:val="24"/>
              </w:rPr>
              <w:t xml:space="preserve">  </w:t>
            </w:r>
            <w:r w:rsidRPr="00093C4D">
              <w:rPr>
                <w:rFonts w:ascii="Times New Roman" w:hAnsi="Times New Roman" w:cs="Times New Roman"/>
                <w:sz w:val="24"/>
                <w:szCs w:val="24"/>
              </w:rPr>
              <w:t>Ograničenja na akvizicije i pripajanja, buduća zaduženja</w:t>
            </w:r>
            <w:r w:rsidR="00732AC9" w:rsidRPr="00093C4D">
              <w:rPr>
                <w:rFonts w:ascii="Times New Roman" w:hAnsi="Times New Roman" w:cs="Times New Roman"/>
                <w:sz w:val="24"/>
                <w:szCs w:val="24"/>
              </w:rPr>
              <w:t>;</w:t>
            </w:r>
          </w:p>
          <w:p w14:paraId="16C70635" w14:textId="37FE4252" w:rsidR="005A6776" w:rsidRPr="00093C4D" w:rsidRDefault="005A6776"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B330B8">
              <w:rPr>
                <w:rFonts w:ascii="Times New Roman" w:hAnsi="Times New Roman" w:cs="Times New Roman"/>
                <w:sz w:val="24"/>
                <w:szCs w:val="24"/>
              </w:rPr>
              <w:t xml:space="preserve"> Zabrana zaloga</w:t>
            </w:r>
            <w:r w:rsidRPr="00093C4D">
              <w:rPr>
                <w:rFonts w:ascii="Times New Roman" w:hAnsi="Times New Roman" w:cs="Times New Roman"/>
                <w:sz w:val="24"/>
                <w:szCs w:val="24"/>
              </w:rPr>
              <w:t xml:space="preserve"> - garantira vjerovniku da dužnik neće opterećivati svoju imovinu odnosno da će to učiniti samo ako time neće ugroziti sigurnost ili prioritet potraživanja vjerovnika, odnosno to je osiguranje da tražbina vjerovnika bude jednako pokrivena (osigurana) kao što je i</w:t>
            </w:r>
            <w:r w:rsidR="00732AC9" w:rsidRPr="00093C4D">
              <w:rPr>
                <w:rFonts w:ascii="Times New Roman" w:hAnsi="Times New Roman" w:cs="Times New Roman"/>
                <w:sz w:val="24"/>
                <w:szCs w:val="24"/>
              </w:rPr>
              <w:t xml:space="preserve"> bila u trenutku kad je nastala;</w:t>
            </w:r>
          </w:p>
          <w:p w14:paraId="6C45EB74" w14:textId="09C15EFF" w:rsidR="005A6776" w:rsidRPr="00093C4D" w:rsidRDefault="005A6776"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EE46F9">
              <w:rPr>
                <w:rFonts w:ascii="Times New Roman" w:hAnsi="Times New Roman" w:cs="Times New Roman"/>
                <w:sz w:val="24"/>
                <w:szCs w:val="24"/>
              </w:rPr>
              <w:t xml:space="preserve">  </w:t>
            </w:r>
            <w:r w:rsidR="00B330B8">
              <w:rPr>
                <w:rFonts w:ascii="Times New Roman" w:hAnsi="Times New Roman" w:cs="Times New Roman"/>
                <w:sz w:val="24"/>
                <w:szCs w:val="24"/>
              </w:rPr>
              <w:t>J</w:t>
            </w:r>
            <w:r w:rsidR="009F5F6B" w:rsidRPr="00093C4D">
              <w:rPr>
                <w:rFonts w:ascii="Times New Roman" w:hAnsi="Times New Roman" w:cs="Times New Roman"/>
                <w:sz w:val="24"/>
                <w:szCs w:val="24"/>
              </w:rPr>
              <w:t>ednak položaj</w:t>
            </w:r>
            <w:r w:rsidR="00F90D9A" w:rsidRPr="00093C4D">
              <w:rPr>
                <w:rFonts w:ascii="Times New Roman" w:hAnsi="Times New Roman" w:cs="Times New Roman"/>
                <w:sz w:val="24"/>
                <w:szCs w:val="24"/>
              </w:rPr>
              <w:t xml:space="preserve"> </w:t>
            </w:r>
            <w:r w:rsidRPr="00093C4D">
              <w:rPr>
                <w:rFonts w:ascii="Times New Roman" w:hAnsi="Times New Roman" w:cs="Times New Roman"/>
                <w:sz w:val="24"/>
                <w:szCs w:val="24"/>
              </w:rPr>
              <w:t>- sve obveze prema EIB-u bit će isto tretirane kao i prema drugim vjerovnicima</w:t>
            </w:r>
            <w:r w:rsidR="009F5F6B" w:rsidRPr="00093C4D">
              <w:rPr>
                <w:rFonts w:ascii="Times New Roman" w:hAnsi="Times New Roman" w:cs="Times New Roman"/>
                <w:sz w:val="24"/>
                <w:szCs w:val="24"/>
              </w:rPr>
              <w:t>, osim obveza koje prema zakonu koji se općenito primjenjuje na trgovačka društva imaju obvezno pravo prvenstva</w:t>
            </w:r>
            <w:r w:rsidR="00732AC9" w:rsidRPr="00093C4D">
              <w:rPr>
                <w:rFonts w:ascii="Times New Roman" w:hAnsi="Times New Roman" w:cs="Times New Roman"/>
                <w:sz w:val="24"/>
                <w:szCs w:val="24"/>
              </w:rPr>
              <w:t>;</w:t>
            </w:r>
          </w:p>
          <w:p w14:paraId="5166B6ED" w14:textId="77777777" w:rsidR="005A6776" w:rsidRPr="00093C4D" w:rsidRDefault="005A6776"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EE46F9">
              <w:rPr>
                <w:rFonts w:ascii="Times New Roman" w:hAnsi="Times New Roman" w:cs="Times New Roman"/>
                <w:sz w:val="24"/>
                <w:szCs w:val="24"/>
              </w:rPr>
              <w:t xml:space="preserve">  </w:t>
            </w:r>
            <w:r w:rsidR="005432F9" w:rsidRPr="00093C4D">
              <w:rPr>
                <w:rFonts w:ascii="Times New Roman" w:hAnsi="Times New Roman" w:cs="Times New Roman"/>
                <w:sz w:val="24"/>
                <w:szCs w:val="24"/>
              </w:rPr>
              <w:t>O</w:t>
            </w:r>
            <w:r w:rsidRPr="00093C4D">
              <w:rPr>
                <w:rFonts w:ascii="Times New Roman" w:hAnsi="Times New Roman" w:cs="Times New Roman"/>
                <w:sz w:val="24"/>
                <w:szCs w:val="24"/>
              </w:rPr>
              <w:t>graničenja na prodaju imovine</w:t>
            </w:r>
            <w:r w:rsidR="00732AC9" w:rsidRPr="00093C4D">
              <w:rPr>
                <w:rFonts w:ascii="Times New Roman" w:hAnsi="Times New Roman" w:cs="Times New Roman"/>
                <w:sz w:val="24"/>
                <w:szCs w:val="24"/>
              </w:rPr>
              <w:t>;</w:t>
            </w:r>
          </w:p>
          <w:p w14:paraId="6C84909D" w14:textId="77777777" w:rsidR="005A6776" w:rsidRPr="00093C4D" w:rsidRDefault="005A6776"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EE46F9">
              <w:rPr>
                <w:rFonts w:ascii="Times New Roman" w:hAnsi="Times New Roman" w:cs="Times New Roman"/>
                <w:sz w:val="24"/>
                <w:szCs w:val="24"/>
              </w:rPr>
              <w:t xml:space="preserve">  </w:t>
            </w:r>
            <w:r w:rsidR="005432F9" w:rsidRPr="00093C4D">
              <w:rPr>
                <w:rFonts w:ascii="Times New Roman" w:hAnsi="Times New Roman" w:cs="Times New Roman"/>
                <w:sz w:val="24"/>
                <w:szCs w:val="24"/>
              </w:rPr>
              <w:t>P</w:t>
            </w:r>
            <w:r w:rsidRPr="00093C4D">
              <w:rPr>
                <w:rFonts w:ascii="Times New Roman" w:hAnsi="Times New Roman" w:cs="Times New Roman"/>
                <w:sz w:val="24"/>
                <w:szCs w:val="24"/>
              </w:rPr>
              <w:t>romjene u statusu poduzeća</w:t>
            </w:r>
            <w:r w:rsidR="00732AC9" w:rsidRPr="00093C4D">
              <w:rPr>
                <w:rFonts w:ascii="Times New Roman" w:hAnsi="Times New Roman" w:cs="Times New Roman"/>
                <w:sz w:val="24"/>
                <w:szCs w:val="24"/>
              </w:rPr>
              <w:t>;</w:t>
            </w:r>
          </w:p>
          <w:p w14:paraId="34ACD42B" w14:textId="443188A2" w:rsidR="006E1E54" w:rsidRPr="00093C4D" w:rsidRDefault="005A6776"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6E1E54" w:rsidRPr="00093C4D">
              <w:rPr>
                <w:rFonts w:ascii="Times New Roman" w:hAnsi="Times New Roman" w:cs="Times New Roman"/>
                <w:sz w:val="24"/>
                <w:szCs w:val="24"/>
              </w:rPr>
              <w:t xml:space="preserve"> </w:t>
            </w:r>
            <w:r w:rsidR="00D23814">
              <w:rPr>
                <w:rFonts w:ascii="Times New Roman" w:hAnsi="Times New Roman" w:cs="Times New Roman"/>
                <w:sz w:val="24"/>
                <w:szCs w:val="24"/>
              </w:rPr>
              <w:t>Naknadno uvrštenje odredaba</w:t>
            </w:r>
            <w:r w:rsidR="006E1E54" w:rsidRPr="00093C4D">
              <w:rPr>
                <w:rFonts w:ascii="Times New Roman" w:hAnsi="Times New Roman" w:cs="Times New Roman"/>
                <w:sz w:val="24"/>
                <w:szCs w:val="24"/>
              </w:rPr>
              <w:t xml:space="preserve"> –</w:t>
            </w:r>
            <w:r w:rsidRPr="00093C4D">
              <w:rPr>
                <w:rFonts w:ascii="Times New Roman" w:hAnsi="Times New Roman" w:cs="Times New Roman"/>
                <w:sz w:val="24"/>
                <w:szCs w:val="24"/>
              </w:rPr>
              <w:t xml:space="preserve"> </w:t>
            </w:r>
            <w:r w:rsidR="006E1E54" w:rsidRPr="00093C4D">
              <w:rPr>
                <w:rFonts w:ascii="Times New Roman" w:hAnsi="Times New Roman" w:cs="Times New Roman"/>
                <w:sz w:val="24"/>
                <w:szCs w:val="24"/>
              </w:rPr>
              <w:t>ukoliko je po bilo kojem sporazumu o financiranju dana povoljnija odredba</w:t>
            </w:r>
            <w:r w:rsidR="00F90D9A" w:rsidRPr="00093C4D">
              <w:rPr>
                <w:rFonts w:ascii="Times New Roman" w:hAnsi="Times New Roman" w:cs="Times New Roman"/>
                <w:sz w:val="24"/>
                <w:szCs w:val="24"/>
              </w:rPr>
              <w:t>,</w:t>
            </w:r>
            <w:r w:rsidR="006E1E54" w:rsidRPr="00093C4D">
              <w:rPr>
                <w:rFonts w:ascii="Times New Roman" w:hAnsi="Times New Roman" w:cs="Times New Roman"/>
                <w:sz w:val="24"/>
                <w:szCs w:val="24"/>
              </w:rPr>
              <w:t xml:space="preserve"> EIB može zatražiti uključivanje istovrijedne odredb</w:t>
            </w:r>
            <w:r w:rsidR="00F90D9A" w:rsidRPr="00093C4D">
              <w:rPr>
                <w:rFonts w:ascii="Times New Roman" w:hAnsi="Times New Roman" w:cs="Times New Roman"/>
                <w:sz w:val="24"/>
                <w:szCs w:val="24"/>
              </w:rPr>
              <w:t>e</w:t>
            </w:r>
            <w:r w:rsidR="006E1E54" w:rsidRPr="00093C4D">
              <w:rPr>
                <w:rFonts w:ascii="Times New Roman" w:hAnsi="Times New Roman" w:cs="Times New Roman"/>
                <w:sz w:val="24"/>
                <w:szCs w:val="24"/>
              </w:rPr>
              <w:t xml:space="preserve"> u korist Banke po ovom ugovoru, </w:t>
            </w:r>
          </w:p>
          <w:p w14:paraId="65543648" w14:textId="77777777" w:rsidR="006E1E54" w:rsidRPr="00093C4D" w:rsidRDefault="006E1E54"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 U slučaju bankrota ograničava se isplata dividende, akvizicija imovine ili druge investicije.</w:t>
            </w:r>
          </w:p>
          <w:p w14:paraId="6AB35EFE" w14:textId="77777777" w:rsidR="0059437D" w:rsidRDefault="0059437D" w:rsidP="00EE46F9">
            <w:pPr>
              <w:tabs>
                <w:tab w:val="left" w:pos="2835"/>
                <w:tab w:val="left" w:pos="3119"/>
              </w:tabs>
              <w:autoSpaceDE w:val="0"/>
              <w:autoSpaceDN w:val="0"/>
              <w:adjustRightInd w:val="0"/>
              <w:jc w:val="both"/>
              <w:rPr>
                <w:rFonts w:ascii="Times New Roman" w:hAnsi="Times New Roman" w:cs="Times New Roman"/>
                <w:sz w:val="24"/>
                <w:szCs w:val="24"/>
              </w:rPr>
            </w:pPr>
          </w:p>
          <w:p w14:paraId="7E501342" w14:textId="773612A1" w:rsidR="005432F9" w:rsidRPr="00D23814" w:rsidRDefault="005432F9" w:rsidP="00EE46F9">
            <w:pPr>
              <w:tabs>
                <w:tab w:val="left" w:pos="2835"/>
                <w:tab w:val="left" w:pos="3119"/>
              </w:tabs>
              <w:autoSpaceDE w:val="0"/>
              <w:autoSpaceDN w:val="0"/>
              <w:adjustRightInd w:val="0"/>
              <w:jc w:val="both"/>
              <w:rPr>
                <w:rFonts w:ascii="Times New Roman" w:hAnsi="Times New Roman" w:cs="Times New Roman"/>
              </w:rPr>
            </w:pPr>
            <w:r w:rsidRPr="00093C4D">
              <w:rPr>
                <w:rFonts w:ascii="Times New Roman" w:hAnsi="Times New Roman" w:cs="Times New Roman"/>
                <w:sz w:val="24"/>
                <w:szCs w:val="24"/>
              </w:rPr>
              <w:t>-</w:t>
            </w:r>
            <w:r w:rsidRPr="00D23814">
              <w:rPr>
                <w:rFonts w:ascii="Times New Roman" w:hAnsi="Times New Roman" w:cs="Times New Roman"/>
              </w:rPr>
              <w:t>Neto financijski dug/</w:t>
            </w:r>
            <w:r w:rsidR="00D23814" w:rsidRPr="00D23814">
              <w:rPr>
                <w:rFonts w:ascii="Times New Roman" w:hAnsi="Times New Roman" w:cs="Times New Roman"/>
              </w:rPr>
              <w:t>Dobit prije kamata, poreza i amortizacije </w:t>
            </w:r>
            <w:r w:rsidRPr="00D23814">
              <w:rPr>
                <w:rFonts w:ascii="Times New Roman" w:hAnsi="Times New Roman" w:cs="Times New Roman"/>
              </w:rPr>
              <w:t xml:space="preserve"> </w:t>
            </w:r>
            <w:r w:rsidR="004F1432" w:rsidRPr="00D23814">
              <w:rPr>
                <w:rFonts w:ascii="Times New Roman" w:hAnsi="Times New Roman" w:cs="Times New Roman"/>
              </w:rPr>
              <w:t>ne iznad</w:t>
            </w:r>
            <w:r w:rsidRPr="00D23814">
              <w:rPr>
                <w:rFonts w:ascii="Times New Roman" w:hAnsi="Times New Roman" w:cs="Times New Roman"/>
              </w:rPr>
              <w:t xml:space="preserve"> 3.0x; </w:t>
            </w:r>
          </w:p>
          <w:p w14:paraId="60FFB4C6" w14:textId="65D91E24" w:rsidR="005432F9" w:rsidRPr="00093C4D" w:rsidRDefault="005432F9"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w:t>
            </w:r>
            <w:r w:rsidR="00D23814" w:rsidRPr="00D23814">
              <w:rPr>
                <w:rFonts w:ascii="Times New Roman" w:hAnsi="Times New Roman" w:cs="Times New Roman"/>
              </w:rPr>
              <w:t xml:space="preserve"> Dobit prije kamata, poreza i amortizacije</w:t>
            </w:r>
            <w:r w:rsidR="00D23814" w:rsidRPr="00093C4D">
              <w:rPr>
                <w:rFonts w:ascii="Times New Roman" w:hAnsi="Times New Roman" w:cs="Times New Roman"/>
                <w:sz w:val="24"/>
                <w:szCs w:val="24"/>
              </w:rPr>
              <w:t xml:space="preserve"> </w:t>
            </w:r>
            <w:r w:rsidRPr="00093C4D">
              <w:rPr>
                <w:rFonts w:ascii="Times New Roman" w:hAnsi="Times New Roman" w:cs="Times New Roman"/>
                <w:sz w:val="24"/>
                <w:szCs w:val="24"/>
              </w:rPr>
              <w:t>/Neto financijski troškovi ne ispod 6.50x</w:t>
            </w:r>
            <w:r w:rsidR="00732AC9" w:rsidRPr="00093C4D">
              <w:rPr>
                <w:rFonts w:ascii="Times New Roman" w:hAnsi="Times New Roman" w:cs="Times New Roman"/>
                <w:sz w:val="24"/>
                <w:szCs w:val="24"/>
              </w:rPr>
              <w:t>;</w:t>
            </w:r>
          </w:p>
          <w:p w14:paraId="4CC6FC0D" w14:textId="77777777" w:rsidR="005A6776" w:rsidRPr="00093C4D" w:rsidRDefault="005432F9"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-Neto financijski du</w:t>
            </w:r>
            <w:r w:rsidR="00732AC9" w:rsidRPr="00093C4D">
              <w:rPr>
                <w:rFonts w:ascii="Times New Roman" w:hAnsi="Times New Roman" w:cs="Times New Roman"/>
                <w:sz w:val="24"/>
                <w:szCs w:val="24"/>
              </w:rPr>
              <w:t>g/Neto imovina ne više od 0.45x;</w:t>
            </w:r>
          </w:p>
          <w:p w14:paraId="08C05CB0" w14:textId="77777777" w:rsidR="007007A9" w:rsidRPr="00093C4D" w:rsidRDefault="007007A9" w:rsidP="00EE46F9">
            <w:pPr>
              <w:tabs>
                <w:tab w:val="left" w:pos="2835"/>
                <w:tab w:val="left" w:pos="3119"/>
              </w:tabs>
              <w:autoSpaceDE w:val="0"/>
              <w:autoSpaceDN w:val="0"/>
              <w:adjustRightInd w:val="0"/>
              <w:jc w:val="both"/>
              <w:rPr>
                <w:rFonts w:ascii="Times New Roman" w:hAnsi="Times New Roman" w:cs="Times New Roman"/>
                <w:sz w:val="24"/>
                <w:szCs w:val="24"/>
              </w:rPr>
            </w:pPr>
          </w:p>
          <w:p w14:paraId="56B076DF" w14:textId="77777777" w:rsidR="005A6776" w:rsidRPr="00093C4D" w:rsidRDefault="005432F9" w:rsidP="00EE46F9">
            <w:pPr>
              <w:tabs>
                <w:tab w:val="left" w:pos="2835"/>
                <w:tab w:val="left" w:pos="3119"/>
              </w:tabs>
              <w:autoSpaceDE w:val="0"/>
              <w:autoSpaceDN w:val="0"/>
              <w:adjustRightInd w:val="0"/>
              <w:jc w:val="both"/>
              <w:rPr>
                <w:rFonts w:ascii="Times New Roman" w:hAnsi="Times New Roman" w:cs="Times New Roman"/>
                <w:sz w:val="24"/>
                <w:szCs w:val="24"/>
              </w:rPr>
            </w:pPr>
            <w:r w:rsidRPr="00093C4D">
              <w:rPr>
                <w:rFonts w:ascii="Times New Roman" w:hAnsi="Times New Roman" w:cs="Times New Roman"/>
                <w:sz w:val="24"/>
                <w:szCs w:val="24"/>
              </w:rPr>
              <w:t>Luksemburško</w:t>
            </w:r>
          </w:p>
          <w:p w14:paraId="4ACD25EC" w14:textId="77777777" w:rsidR="00976D99" w:rsidRPr="00093C4D" w:rsidRDefault="00976D99" w:rsidP="00EE46F9">
            <w:pPr>
              <w:tabs>
                <w:tab w:val="left" w:pos="2835"/>
                <w:tab w:val="left" w:pos="3119"/>
              </w:tabs>
              <w:autoSpaceDE w:val="0"/>
              <w:autoSpaceDN w:val="0"/>
              <w:adjustRightInd w:val="0"/>
              <w:jc w:val="both"/>
              <w:rPr>
                <w:rFonts w:ascii="Times New Roman" w:hAnsi="Times New Roman" w:cs="Times New Roman"/>
                <w:sz w:val="24"/>
                <w:szCs w:val="24"/>
              </w:rPr>
            </w:pPr>
          </w:p>
        </w:tc>
      </w:tr>
    </w:tbl>
    <w:p w14:paraId="0850122D" w14:textId="4D3C1010" w:rsidR="000F6159" w:rsidRDefault="00976D99" w:rsidP="002B3E2B">
      <w:pPr>
        <w:jc w:val="center"/>
        <w:outlineLvl w:val="0"/>
        <w:rPr>
          <w:rFonts w:ascii="Times New Roman" w:hAnsi="Times New Roman" w:cs="Times New Roman"/>
          <w:b/>
          <w:sz w:val="24"/>
          <w:szCs w:val="24"/>
        </w:rPr>
      </w:pPr>
      <w:r w:rsidRPr="00093C4D">
        <w:rPr>
          <w:rFonts w:ascii="Times New Roman" w:hAnsi="Times New Roman" w:cs="Times New Roman"/>
          <w:b/>
          <w:sz w:val="24"/>
          <w:szCs w:val="24"/>
        </w:rPr>
        <w:t>III.</w:t>
      </w:r>
    </w:p>
    <w:p w14:paraId="14411580" w14:textId="77777777" w:rsidR="001F7482" w:rsidRPr="00EE46F9" w:rsidRDefault="001F7482" w:rsidP="002B3E2B">
      <w:pPr>
        <w:jc w:val="center"/>
        <w:outlineLvl w:val="0"/>
        <w:rPr>
          <w:rFonts w:ascii="Times New Roman" w:hAnsi="Times New Roman" w:cs="Times New Roman"/>
          <w:b/>
          <w:sz w:val="24"/>
          <w:szCs w:val="24"/>
        </w:rPr>
      </w:pPr>
    </w:p>
    <w:p w14:paraId="02D5F6E2" w14:textId="77777777" w:rsidR="00976D99" w:rsidRPr="00093C4D" w:rsidRDefault="00976D99" w:rsidP="001A34B3">
      <w:pPr>
        <w:jc w:val="both"/>
        <w:outlineLvl w:val="0"/>
        <w:rPr>
          <w:rFonts w:ascii="Times New Roman" w:hAnsi="Times New Roman" w:cs="Times New Roman"/>
          <w:sz w:val="24"/>
          <w:szCs w:val="24"/>
        </w:rPr>
      </w:pPr>
      <w:r w:rsidRPr="00093C4D">
        <w:rPr>
          <w:rFonts w:ascii="Times New Roman" w:hAnsi="Times New Roman" w:cs="Times New Roman"/>
          <w:sz w:val="24"/>
          <w:szCs w:val="24"/>
        </w:rPr>
        <w:t xml:space="preserve">Obvezuje se društvo </w:t>
      </w:r>
      <w:r w:rsidR="00181FD3" w:rsidRPr="00093C4D">
        <w:rPr>
          <w:rFonts w:ascii="Times New Roman" w:hAnsi="Times New Roman" w:cs="Times New Roman"/>
          <w:sz w:val="24"/>
          <w:szCs w:val="24"/>
        </w:rPr>
        <w:t>Hrvatska elektroprivreda d.d</w:t>
      </w:r>
      <w:r w:rsidRPr="00093C4D">
        <w:rPr>
          <w:rFonts w:ascii="Times New Roman" w:hAnsi="Times New Roman" w:cs="Times New Roman"/>
          <w:sz w:val="24"/>
          <w:szCs w:val="24"/>
        </w:rPr>
        <w:t xml:space="preserve">. da otplati kredit iz točke I. ove Odluke do njegove konačne otplate i u slučaju promjene vlasničkih odnosa korisnika kredita. </w:t>
      </w:r>
    </w:p>
    <w:p w14:paraId="656CE7DC" w14:textId="77777777" w:rsidR="00976D99" w:rsidRPr="00093C4D" w:rsidRDefault="00976D99" w:rsidP="00976D99">
      <w:pPr>
        <w:ind w:firstLine="360"/>
        <w:jc w:val="both"/>
        <w:outlineLvl w:val="0"/>
        <w:rPr>
          <w:rFonts w:ascii="Times New Roman" w:hAnsi="Times New Roman" w:cs="Times New Roman"/>
          <w:sz w:val="24"/>
          <w:szCs w:val="24"/>
        </w:rPr>
      </w:pPr>
    </w:p>
    <w:p w14:paraId="1E07BFC3" w14:textId="1FE28141" w:rsidR="000F6159" w:rsidRDefault="00976D99" w:rsidP="002B3E2B">
      <w:pPr>
        <w:jc w:val="center"/>
        <w:outlineLvl w:val="0"/>
        <w:rPr>
          <w:rFonts w:ascii="Times New Roman" w:hAnsi="Times New Roman" w:cs="Times New Roman"/>
          <w:b/>
          <w:sz w:val="24"/>
          <w:szCs w:val="24"/>
        </w:rPr>
      </w:pPr>
      <w:r w:rsidRPr="00093C4D">
        <w:rPr>
          <w:rFonts w:ascii="Times New Roman" w:hAnsi="Times New Roman" w:cs="Times New Roman"/>
          <w:b/>
          <w:sz w:val="24"/>
          <w:szCs w:val="24"/>
        </w:rPr>
        <w:lastRenderedPageBreak/>
        <w:t>IV.</w:t>
      </w:r>
    </w:p>
    <w:p w14:paraId="4F856577" w14:textId="77777777" w:rsidR="001F7482" w:rsidRPr="00EE46F9" w:rsidRDefault="001F7482" w:rsidP="002B3E2B">
      <w:pPr>
        <w:jc w:val="center"/>
        <w:outlineLvl w:val="0"/>
        <w:rPr>
          <w:rFonts w:ascii="Times New Roman" w:hAnsi="Times New Roman" w:cs="Times New Roman"/>
          <w:b/>
          <w:sz w:val="24"/>
          <w:szCs w:val="24"/>
        </w:rPr>
      </w:pPr>
      <w:bookmarkStart w:id="0" w:name="_GoBack"/>
      <w:bookmarkEnd w:id="0"/>
    </w:p>
    <w:p w14:paraId="2A546858" w14:textId="77777777" w:rsidR="00976D99" w:rsidRDefault="00976D99" w:rsidP="00EE46F9">
      <w:pPr>
        <w:jc w:val="both"/>
        <w:outlineLvl w:val="0"/>
        <w:rPr>
          <w:rFonts w:ascii="Times New Roman" w:hAnsi="Times New Roman" w:cs="Times New Roman"/>
          <w:sz w:val="24"/>
          <w:szCs w:val="24"/>
        </w:rPr>
      </w:pPr>
      <w:r w:rsidRPr="00093C4D">
        <w:rPr>
          <w:rFonts w:ascii="Times New Roman" w:hAnsi="Times New Roman" w:cs="Times New Roman"/>
          <w:sz w:val="24"/>
          <w:szCs w:val="24"/>
        </w:rPr>
        <w:t xml:space="preserve">Ova Odluka stupa na snagu danom donošenja. </w:t>
      </w:r>
    </w:p>
    <w:p w14:paraId="0333BCE8" w14:textId="77777777" w:rsidR="00EE46F9" w:rsidRPr="00093C4D" w:rsidRDefault="00EE46F9" w:rsidP="00EE46F9">
      <w:pPr>
        <w:jc w:val="both"/>
        <w:outlineLvl w:val="0"/>
        <w:rPr>
          <w:rFonts w:ascii="Times New Roman" w:hAnsi="Times New Roman" w:cs="Times New Roman"/>
          <w:sz w:val="24"/>
          <w:szCs w:val="24"/>
        </w:rPr>
      </w:pPr>
    </w:p>
    <w:p w14:paraId="72E2C7F3" w14:textId="77777777" w:rsidR="00976D99" w:rsidRPr="00093C4D" w:rsidRDefault="00976D99" w:rsidP="00976D99">
      <w:pPr>
        <w:rPr>
          <w:rFonts w:ascii="Times New Roman" w:hAnsi="Times New Roman" w:cs="Times New Roman"/>
          <w:sz w:val="24"/>
          <w:szCs w:val="24"/>
        </w:rPr>
      </w:pPr>
      <w:r w:rsidRPr="00093C4D">
        <w:rPr>
          <w:rFonts w:ascii="Times New Roman" w:hAnsi="Times New Roman" w:cs="Times New Roman"/>
          <w:sz w:val="24"/>
          <w:szCs w:val="24"/>
        </w:rPr>
        <w:t xml:space="preserve">KLASA: </w:t>
      </w:r>
    </w:p>
    <w:p w14:paraId="011DB3EA" w14:textId="77777777" w:rsidR="00976D99" w:rsidRPr="00093C4D" w:rsidRDefault="00EE46F9" w:rsidP="00976D99">
      <w:pPr>
        <w:rPr>
          <w:rFonts w:ascii="Times New Roman" w:hAnsi="Times New Roman" w:cs="Times New Roman"/>
          <w:sz w:val="24"/>
          <w:szCs w:val="24"/>
        </w:rPr>
      </w:pPr>
      <w:r>
        <w:rPr>
          <w:rFonts w:ascii="Times New Roman" w:hAnsi="Times New Roman" w:cs="Times New Roman"/>
          <w:sz w:val="24"/>
          <w:szCs w:val="24"/>
        </w:rPr>
        <w:t>URBROJ:</w:t>
      </w:r>
    </w:p>
    <w:p w14:paraId="6B8BBB26" w14:textId="77777777" w:rsidR="00EE46F9" w:rsidRPr="00EE46F9" w:rsidRDefault="00EE46F9" w:rsidP="00EE46F9">
      <w:pPr>
        <w:tabs>
          <w:tab w:val="left" w:pos="6300"/>
        </w:tabs>
        <w:rPr>
          <w:rFonts w:ascii="Times New Roman" w:hAnsi="Times New Roman" w:cs="Times New Roman"/>
          <w:sz w:val="24"/>
          <w:szCs w:val="24"/>
        </w:rPr>
      </w:pPr>
      <w:r>
        <w:rPr>
          <w:rFonts w:ascii="Times New Roman" w:hAnsi="Times New Roman" w:cs="Times New Roman"/>
          <w:sz w:val="24"/>
          <w:szCs w:val="24"/>
        </w:rPr>
        <w:tab/>
      </w:r>
      <w:r w:rsidR="00B771E9">
        <w:rPr>
          <w:rFonts w:ascii="Times New Roman" w:hAnsi="Times New Roman" w:cs="Times New Roman"/>
          <w:sz w:val="24"/>
          <w:szCs w:val="24"/>
        </w:rPr>
        <w:t xml:space="preserve">      </w:t>
      </w:r>
      <w:r w:rsidRPr="00EE46F9">
        <w:rPr>
          <w:rFonts w:ascii="Times New Roman" w:hAnsi="Times New Roman" w:cs="Times New Roman"/>
          <w:sz w:val="24"/>
          <w:szCs w:val="24"/>
        </w:rPr>
        <w:t>PREDSJEDNIK</w:t>
      </w:r>
    </w:p>
    <w:p w14:paraId="6A9781E9" w14:textId="77777777" w:rsidR="00EE46F9" w:rsidRPr="00EE46F9" w:rsidRDefault="00EE46F9" w:rsidP="00EE46F9">
      <w:pPr>
        <w:tabs>
          <w:tab w:val="left" w:pos="6300"/>
        </w:tabs>
        <w:rPr>
          <w:rFonts w:ascii="Times New Roman" w:hAnsi="Times New Roman" w:cs="Times New Roman"/>
          <w:sz w:val="24"/>
          <w:szCs w:val="24"/>
        </w:rPr>
      </w:pPr>
    </w:p>
    <w:p w14:paraId="515FBC9B" w14:textId="77777777" w:rsidR="00381853" w:rsidRPr="00096BB5" w:rsidRDefault="00EE46F9" w:rsidP="00096BB5">
      <w:pPr>
        <w:tabs>
          <w:tab w:val="left" w:pos="6300"/>
        </w:tabs>
        <w:rPr>
          <w:rFonts w:ascii="Times New Roman" w:hAnsi="Times New Roman" w:cs="Times New Roman"/>
          <w:sz w:val="24"/>
          <w:szCs w:val="24"/>
        </w:rPr>
      </w:pPr>
      <w:r>
        <w:rPr>
          <w:rFonts w:ascii="Times New Roman" w:hAnsi="Times New Roman" w:cs="Times New Roman"/>
          <w:sz w:val="24"/>
          <w:szCs w:val="24"/>
        </w:rPr>
        <w:tab/>
      </w:r>
      <w:r w:rsidR="000F6159">
        <w:rPr>
          <w:rFonts w:ascii="Times New Roman" w:hAnsi="Times New Roman" w:cs="Times New Roman"/>
          <w:sz w:val="24"/>
          <w:szCs w:val="24"/>
        </w:rPr>
        <w:t>mr. sc. Andrej Plenković</w:t>
      </w:r>
    </w:p>
    <w:p w14:paraId="60D374E7" w14:textId="2A4E4C3E" w:rsidR="002B3E2B" w:rsidRDefault="002B3E2B" w:rsidP="006E431A">
      <w:pPr>
        <w:spacing w:before="60"/>
        <w:jc w:val="center"/>
        <w:rPr>
          <w:rFonts w:ascii="Times New Roman" w:hAnsi="Times New Roman" w:cs="Times New Roman"/>
          <w:b/>
          <w:bCs/>
          <w:sz w:val="24"/>
          <w:szCs w:val="24"/>
        </w:rPr>
      </w:pPr>
    </w:p>
    <w:p w14:paraId="18CFB4D4" w14:textId="7358D55F" w:rsidR="001F7482" w:rsidRDefault="001F7482" w:rsidP="006E431A">
      <w:pPr>
        <w:spacing w:before="60"/>
        <w:jc w:val="center"/>
        <w:rPr>
          <w:rFonts w:ascii="Times New Roman" w:hAnsi="Times New Roman" w:cs="Times New Roman"/>
          <w:b/>
          <w:bCs/>
          <w:sz w:val="24"/>
          <w:szCs w:val="24"/>
        </w:rPr>
      </w:pPr>
    </w:p>
    <w:p w14:paraId="31FE8BBC" w14:textId="0D436645" w:rsidR="001F7482" w:rsidRDefault="001F7482" w:rsidP="006E431A">
      <w:pPr>
        <w:spacing w:before="60"/>
        <w:jc w:val="center"/>
        <w:rPr>
          <w:rFonts w:ascii="Times New Roman" w:hAnsi="Times New Roman" w:cs="Times New Roman"/>
          <w:b/>
          <w:bCs/>
          <w:sz w:val="24"/>
          <w:szCs w:val="24"/>
        </w:rPr>
      </w:pPr>
    </w:p>
    <w:p w14:paraId="6DB716AB" w14:textId="23ED8167" w:rsidR="001F7482" w:rsidRDefault="001F7482" w:rsidP="006E431A">
      <w:pPr>
        <w:spacing w:before="60"/>
        <w:jc w:val="center"/>
        <w:rPr>
          <w:rFonts w:ascii="Times New Roman" w:hAnsi="Times New Roman" w:cs="Times New Roman"/>
          <w:b/>
          <w:bCs/>
          <w:sz w:val="24"/>
          <w:szCs w:val="24"/>
        </w:rPr>
      </w:pPr>
    </w:p>
    <w:p w14:paraId="698A19D1" w14:textId="720D591D" w:rsidR="001F7482" w:rsidRDefault="001F7482" w:rsidP="006E431A">
      <w:pPr>
        <w:spacing w:before="60"/>
        <w:jc w:val="center"/>
        <w:rPr>
          <w:rFonts w:ascii="Times New Roman" w:hAnsi="Times New Roman" w:cs="Times New Roman"/>
          <w:b/>
          <w:bCs/>
          <w:sz w:val="24"/>
          <w:szCs w:val="24"/>
        </w:rPr>
      </w:pPr>
    </w:p>
    <w:p w14:paraId="0520A6D9" w14:textId="50AD894E" w:rsidR="001F7482" w:rsidRDefault="001F7482" w:rsidP="006E431A">
      <w:pPr>
        <w:spacing w:before="60"/>
        <w:jc w:val="center"/>
        <w:rPr>
          <w:rFonts w:ascii="Times New Roman" w:hAnsi="Times New Roman" w:cs="Times New Roman"/>
          <w:b/>
          <w:bCs/>
          <w:sz w:val="24"/>
          <w:szCs w:val="24"/>
        </w:rPr>
      </w:pPr>
    </w:p>
    <w:p w14:paraId="2C795133" w14:textId="452CDF87" w:rsidR="001F7482" w:rsidRDefault="001F7482" w:rsidP="006E431A">
      <w:pPr>
        <w:spacing w:before="60"/>
        <w:jc w:val="center"/>
        <w:rPr>
          <w:rFonts w:ascii="Times New Roman" w:hAnsi="Times New Roman" w:cs="Times New Roman"/>
          <w:b/>
          <w:bCs/>
          <w:sz w:val="24"/>
          <w:szCs w:val="24"/>
        </w:rPr>
      </w:pPr>
    </w:p>
    <w:p w14:paraId="65881B40" w14:textId="318A64F4" w:rsidR="001F7482" w:rsidRDefault="001F7482" w:rsidP="006E431A">
      <w:pPr>
        <w:spacing w:before="60"/>
        <w:jc w:val="center"/>
        <w:rPr>
          <w:rFonts w:ascii="Times New Roman" w:hAnsi="Times New Roman" w:cs="Times New Roman"/>
          <w:b/>
          <w:bCs/>
          <w:sz w:val="24"/>
          <w:szCs w:val="24"/>
        </w:rPr>
      </w:pPr>
    </w:p>
    <w:p w14:paraId="254FC467" w14:textId="002E5C25" w:rsidR="001F7482" w:rsidRDefault="001F7482" w:rsidP="006E431A">
      <w:pPr>
        <w:spacing w:before="60"/>
        <w:jc w:val="center"/>
        <w:rPr>
          <w:rFonts w:ascii="Times New Roman" w:hAnsi="Times New Roman" w:cs="Times New Roman"/>
          <w:b/>
          <w:bCs/>
          <w:sz w:val="24"/>
          <w:szCs w:val="24"/>
        </w:rPr>
      </w:pPr>
    </w:p>
    <w:p w14:paraId="0D9197D0" w14:textId="2579CC06" w:rsidR="001F7482" w:rsidRDefault="001F7482" w:rsidP="006E431A">
      <w:pPr>
        <w:spacing w:before="60"/>
        <w:jc w:val="center"/>
        <w:rPr>
          <w:rFonts w:ascii="Times New Roman" w:hAnsi="Times New Roman" w:cs="Times New Roman"/>
          <w:b/>
          <w:bCs/>
          <w:sz w:val="24"/>
          <w:szCs w:val="24"/>
        </w:rPr>
      </w:pPr>
    </w:p>
    <w:p w14:paraId="4C94D2A2" w14:textId="046175B6" w:rsidR="001F7482" w:rsidRDefault="001F7482" w:rsidP="006E431A">
      <w:pPr>
        <w:spacing w:before="60"/>
        <w:jc w:val="center"/>
        <w:rPr>
          <w:rFonts w:ascii="Times New Roman" w:hAnsi="Times New Roman" w:cs="Times New Roman"/>
          <w:b/>
          <w:bCs/>
          <w:sz w:val="24"/>
          <w:szCs w:val="24"/>
        </w:rPr>
      </w:pPr>
    </w:p>
    <w:p w14:paraId="29ED66F7" w14:textId="1393CCC7" w:rsidR="001F7482" w:rsidRDefault="001F7482" w:rsidP="006E431A">
      <w:pPr>
        <w:spacing w:before="60"/>
        <w:jc w:val="center"/>
        <w:rPr>
          <w:rFonts w:ascii="Times New Roman" w:hAnsi="Times New Roman" w:cs="Times New Roman"/>
          <w:b/>
          <w:bCs/>
          <w:sz w:val="24"/>
          <w:szCs w:val="24"/>
        </w:rPr>
      </w:pPr>
    </w:p>
    <w:p w14:paraId="2823A6DE" w14:textId="7AC54B71" w:rsidR="001F7482" w:rsidRDefault="001F7482" w:rsidP="006E431A">
      <w:pPr>
        <w:spacing w:before="60"/>
        <w:jc w:val="center"/>
        <w:rPr>
          <w:rFonts w:ascii="Times New Roman" w:hAnsi="Times New Roman" w:cs="Times New Roman"/>
          <w:b/>
          <w:bCs/>
          <w:sz w:val="24"/>
          <w:szCs w:val="24"/>
        </w:rPr>
      </w:pPr>
    </w:p>
    <w:p w14:paraId="7DEC221C" w14:textId="66E59A4F" w:rsidR="001F7482" w:rsidRDefault="001F7482" w:rsidP="006E431A">
      <w:pPr>
        <w:spacing w:before="60"/>
        <w:jc w:val="center"/>
        <w:rPr>
          <w:rFonts w:ascii="Times New Roman" w:hAnsi="Times New Roman" w:cs="Times New Roman"/>
          <w:b/>
          <w:bCs/>
          <w:sz w:val="24"/>
          <w:szCs w:val="24"/>
        </w:rPr>
      </w:pPr>
    </w:p>
    <w:p w14:paraId="115DB892" w14:textId="537E73C8" w:rsidR="001F7482" w:rsidRDefault="001F7482" w:rsidP="006E431A">
      <w:pPr>
        <w:spacing w:before="60"/>
        <w:jc w:val="center"/>
        <w:rPr>
          <w:rFonts w:ascii="Times New Roman" w:hAnsi="Times New Roman" w:cs="Times New Roman"/>
          <w:b/>
          <w:bCs/>
          <w:sz w:val="24"/>
          <w:szCs w:val="24"/>
        </w:rPr>
      </w:pPr>
    </w:p>
    <w:p w14:paraId="352CA915" w14:textId="0D5F53EA" w:rsidR="001F7482" w:rsidRDefault="001F7482" w:rsidP="006E431A">
      <w:pPr>
        <w:spacing w:before="60"/>
        <w:jc w:val="center"/>
        <w:rPr>
          <w:rFonts w:ascii="Times New Roman" w:hAnsi="Times New Roman" w:cs="Times New Roman"/>
          <w:b/>
          <w:bCs/>
          <w:sz w:val="24"/>
          <w:szCs w:val="24"/>
        </w:rPr>
      </w:pPr>
    </w:p>
    <w:p w14:paraId="1D22DDD9" w14:textId="5DA59D41" w:rsidR="001F7482" w:rsidRDefault="001F7482" w:rsidP="006E431A">
      <w:pPr>
        <w:spacing w:before="60"/>
        <w:jc w:val="center"/>
        <w:rPr>
          <w:rFonts w:ascii="Times New Roman" w:hAnsi="Times New Roman" w:cs="Times New Roman"/>
          <w:b/>
          <w:bCs/>
          <w:sz w:val="24"/>
          <w:szCs w:val="24"/>
        </w:rPr>
      </w:pPr>
    </w:p>
    <w:p w14:paraId="358EB522" w14:textId="3EC7B01E" w:rsidR="001F7482" w:rsidRDefault="001F7482" w:rsidP="006E431A">
      <w:pPr>
        <w:spacing w:before="60"/>
        <w:jc w:val="center"/>
        <w:rPr>
          <w:rFonts w:ascii="Times New Roman" w:hAnsi="Times New Roman" w:cs="Times New Roman"/>
          <w:b/>
          <w:bCs/>
          <w:sz w:val="24"/>
          <w:szCs w:val="24"/>
        </w:rPr>
      </w:pPr>
    </w:p>
    <w:p w14:paraId="0DBC55C7" w14:textId="0D3375D5" w:rsidR="001F7482" w:rsidRDefault="001F7482" w:rsidP="006E431A">
      <w:pPr>
        <w:spacing w:before="60"/>
        <w:jc w:val="center"/>
        <w:rPr>
          <w:rFonts w:ascii="Times New Roman" w:hAnsi="Times New Roman" w:cs="Times New Roman"/>
          <w:b/>
          <w:bCs/>
          <w:sz w:val="24"/>
          <w:szCs w:val="24"/>
        </w:rPr>
      </w:pPr>
    </w:p>
    <w:p w14:paraId="0A3C2B3F" w14:textId="4153D293" w:rsidR="001F7482" w:rsidRDefault="001F7482" w:rsidP="006E431A">
      <w:pPr>
        <w:spacing w:before="60"/>
        <w:jc w:val="center"/>
        <w:rPr>
          <w:rFonts w:ascii="Times New Roman" w:hAnsi="Times New Roman" w:cs="Times New Roman"/>
          <w:b/>
          <w:bCs/>
          <w:sz w:val="24"/>
          <w:szCs w:val="24"/>
        </w:rPr>
      </w:pPr>
    </w:p>
    <w:p w14:paraId="47C21E34" w14:textId="7D0D91B2" w:rsidR="001F7482" w:rsidRDefault="001F7482" w:rsidP="006E431A">
      <w:pPr>
        <w:spacing w:before="60"/>
        <w:jc w:val="center"/>
        <w:rPr>
          <w:rFonts w:ascii="Times New Roman" w:hAnsi="Times New Roman" w:cs="Times New Roman"/>
          <w:b/>
          <w:bCs/>
          <w:sz w:val="24"/>
          <w:szCs w:val="24"/>
        </w:rPr>
      </w:pPr>
    </w:p>
    <w:p w14:paraId="0C9B4D95" w14:textId="3CFC009B" w:rsidR="001F7482" w:rsidRDefault="001F7482" w:rsidP="006E431A">
      <w:pPr>
        <w:spacing w:before="60"/>
        <w:jc w:val="center"/>
        <w:rPr>
          <w:rFonts w:ascii="Times New Roman" w:hAnsi="Times New Roman" w:cs="Times New Roman"/>
          <w:b/>
          <w:bCs/>
          <w:sz w:val="24"/>
          <w:szCs w:val="24"/>
        </w:rPr>
      </w:pPr>
    </w:p>
    <w:p w14:paraId="2AB00BFB" w14:textId="3EC87593" w:rsidR="001F7482" w:rsidRDefault="001F7482" w:rsidP="006E431A">
      <w:pPr>
        <w:spacing w:before="60"/>
        <w:jc w:val="center"/>
        <w:rPr>
          <w:rFonts w:ascii="Times New Roman" w:hAnsi="Times New Roman" w:cs="Times New Roman"/>
          <w:b/>
          <w:bCs/>
          <w:sz w:val="24"/>
          <w:szCs w:val="24"/>
        </w:rPr>
      </w:pPr>
    </w:p>
    <w:p w14:paraId="2B5356A1" w14:textId="372F2A3E" w:rsidR="001F7482" w:rsidRDefault="001F7482" w:rsidP="006E431A">
      <w:pPr>
        <w:spacing w:before="60"/>
        <w:jc w:val="center"/>
        <w:rPr>
          <w:rFonts w:ascii="Times New Roman" w:hAnsi="Times New Roman" w:cs="Times New Roman"/>
          <w:b/>
          <w:bCs/>
          <w:sz w:val="24"/>
          <w:szCs w:val="24"/>
        </w:rPr>
      </w:pPr>
    </w:p>
    <w:p w14:paraId="27745881" w14:textId="35740762" w:rsidR="001F7482" w:rsidRDefault="001F7482" w:rsidP="006E431A">
      <w:pPr>
        <w:spacing w:before="60"/>
        <w:jc w:val="center"/>
        <w:rPr>
          <w:rFonts w:ascii="Times New Roman" w:hAnsi="Times New Roman" w:cs="Times New Roman"/>
          <w:b/>
          <w:bCs/>
          <w:sz w:val="24"/>
          <w:szCs w:val="24"/>
        </w:rPr>
      </w:pPr>
    </w:p>
    <w:p w14:paraId="3F4C0F1F" w14:textId="63ECEDE7" w:rsidR="001F7482" w:rsidRDefault="001F7482" w:rsidP="006E431A">
      <w:pPr>
        <w:spacing w:before="60"/>
        <w:jc w:val="center"/>
        <w:rPr>
          <w:rFonts w:ascii="Times New Roman" w:hAnsi="Times New Roman" w:cs="Times New Roman"/>
          <w:b/>
          <w:bCs/>
          <w:sz w:val="24"/>
          <w:szCs w:val="24"/>
        </w:rPr>
      </w:pPr>
    </w:p>
    <w:p w14:paraId="136FA85D" w14:textId="3D9AAB69" w:rsidR="001F7482" w:rsidRDefault="001F7482" w:rsidP="006E431A">
      <w:pPr>
        <w:spacing w:before="60"/>
        <w:jc w:val="center"/>
        <w:rPr>
          <w:rFonts w:ascii="Times New Roman" w:hAnsi="Times New Roman" w:cs="Times New Roman"/>
          <w:b/>
          <w:bCs/>
          <w:sz w:val="24"/>
          <w:szCs w:val="24"/>
        </w:rPr>
      </w:pPr>
    </w:p>
    <w:p w14:paraId="71AEBAC0" w14:textId="573F4F42" w:rsidR="001F7482" w:rsidRDefault="001F7482" w:rsidP="006E431A">
      <w:pPr>
        <w:spacing w:before="60"/>
        <w:jc w:val="center"/>
        <w:rPr>
          <w:rFonts w:ascii="Times New Roman" w:hAnsi="Times New Roman" w:cs="Times New Roman"/>
          <w:b/>
          <w:bCs/>
          <w:sz w:val="24"/>
          <w:szCs w:val="24"/>
        </w:rPr>
      </w:pPr>
    </w:p>
    <w:p w14:paraId="32D08C64" w14:textId="05A6A402" w:rsidR="001F7482" w:rsidRDefault="001F7482" w:rsidP="006E431A">
      <w:pPr>
        <w:spacing w:before="60"/>
        <w:jc w:val="center"/>
        <w:rPr>
          <w:rFonts w:ascii="Times New Roman" w:hAnsi="Times New Roman" w:cs="Times New Roman"/>
          <w:b/>
          <w:bCs/>
          <w:sz w:val="24"/>
          <w:szCs w:val="24"/>
        </w:rPr>
      </w:pPr>
    </w:p>
    <w:p w14:paraId="64EEA5BC" w14:textId="3259024D" w:rsidR="001F7482" w:rsidRDefault="001F7482" w:rsidP="006E431A">
      <w:pPr>
        <w:spacing w:before="60"/>
        <w:jc w:val="center"/>
        <w:rPr>
          <w:rFonts w:ascii="Times New Roman" w:hAnsi="Times New Roman" w:cs="Times New Roman"/>
          <w:b/>
          <w:bCs/>
          <w:sz w:val="24"/>
          <w:szCs w:val="24"/>
        </w:rPr>
      </w:pPr>
    </w:p>
    <w:p w14:paraId="1BBA181F" w14:textId="77777777" w:rsidR="001F7482" w:rsidRDefault="001F7482" w:rsidP="006E431A">
      <w:pPr>
        <w:spacing w:before="60"/>
        <w:jc w:val="center"/>
        <w:rPr>
          <w:rFonts w:ascii="Times New Roman" w:hAnsi="Times New Roman" w:cs="Times New Roman"/>
          <w:b/>
          <w:bCs/>
          <w:sz w:val="24"/>
          <w:szCs w:val="24"/>
        </w:rPr>
      </w:pPr>
    </w:p>
    <w:p w14:paraId="2B389FA8" w14:textId="77777777" w:rsidR="006E431A" w:rsidRPr="006E431A" w:rsidRDefault="006E431A" w:rsidP="006E431A">
      <w:pPr>
        <w:spacing w:before="60"/>
        <w:jc w:val="center"/>
        <w:rPr>
          <w:rFonts w:ascii="Times New Roman" w:hAnsi="Times New Roman" w:cs="Times New Roman"/>
          <w:b/>
          <w:bCs/>
          <w:sz w:val="24"/>
          <w:szCs w:val="24"/>
        </w:rPr>
      </w:pPr>
      <w:r w:rsidRPr="006E431A">
        <w:rPr>
          <w:rFonts w:ascii="Times New Roman" w:hAnsi="Times New Roman" w:cs="Times New Roman"/>
          <w:b/>
          <w:bCs/>
          <w:sz w:val="24"/>
          <w:szCs w:val="24"/>
        </w:rPr>
        <w:t>OBRAZLOŽENJE</w:t>
      </w:r>
    </w:p>
    <w:p w14:paraId="3651AC6D" w14:textId="77777777" w:rsidR="006E431A" w:rsidRPr="006E431A" w:rsidRDefault="006E431A" w:rsidP="006E431A">
      <w:pPr>
        <w:pStyle w:val="NoSpacing"/>
        <w:jc w:val="both"/>
      </w:pPr>
    </w:p>
    <w:p w14:paraId="76509481" w14:textId="77777777" w:rsidR="006E431A" w:rsidRPr="006E431A" w:rsidRDefault="006E431A" w:rsidP="006E431A">
      <w:pPr>
        <w:pStyle w:val="NoSpacing"/>
        <w:jc w:val="both"/>
      </w:pPr>
      <w:r w:rsidRPr="006E431A">
        <w:t>Člankom 49. Zakona o izvršavanju državnog proračuna Republike Hrvatske za 2021. godinu propisano je da pravna osoba u većinskom vlasništvu ili suvlasništvu Republike Hrvatske sklapa ugovore o kreditu, ugovore o zajmu u kojima je zajmoprimac ili daje jamstva na osnovi odluke o suglasnosti Vlade ako vrijednost posla ili jamstvo prelazi iznos od 7.500.000,00 kuna.</w:t>
      </w:r>
    </w:p>
    <w:p w14:paraId="0C5E20F0" w14:textId="77777777" w:rsidR="006E431A" w:rsidRPr="006E431A" w:rsidRDefault="006E431A" w:rsidP="006E431A">
      <w:pPr>
        <w:jc w:val="both"/>
        <w:rPr>
          <w:rFonts w:ascii="Times New Roman" w:hAnsi="Times New Roman" w:cs="Times New Roman"/>
          <w:color w:val="FF0000"/>
          <w:sz w:val="24"/>
          <w:szCs w:val="24"/>
        </w:rPr>
      </w:pPr>
    </w:p>
    <w:p w14:paraId="12224546" w14:textId="77777777" w:rsidR="006E431A" w:rsidRPr="006E431A" w:rsidRDefault="006E431A" w:rsidP="006E431A">
      <w:pPr>
        <w:jc w:val="both"/>
        <w:rPr>
          <w:rFonts w:ascii="Times New Roman" w:hAnsi="Times New Roman" w:cs="Times New Roman"/>
          <w:bCs/>
          <w:sz w:val="24"/>
          <w:szCs w:val="24"/>
        </w:rPr>
      </w:pPr>
      <w:r w:rsidRPr="006E431A">
        <w:rPr>
          <w:rFonts w:ascii="Times New Roman" w:hAnsi="Times New Roman" w:cs="Times New Roman"/>
          <w:sz w:val="24"/>
          <w:szCs w:val="24"/>
        </w:rPr>
        <w:t xml:space="preserve">Budući da </w:t>
      </w:r>
      <w:r w:rsidR="00096BB5">
        <w:rPr>
          <w:rFonts w:ascii="Times New Roman" w:hAnsi="Times New Roman" w:cs="Times New Roman"/>
          <w:sz w:val="24"/>
          <w:szCs w:val="24"/>
        </w:rPr>
        <w:t>društvo Hrvatska elektroprivreda d.d.</w:t>
      </w:r>
      <w:r w:rsidRPr="006E431A">
        <w:rPr>
          <w:rFonts w:ascii="Times New Roman" w:hAnsi="Times New Roman" w:cs="Times New Roman"/>
          <w:sz w:val="24"/>
          <w:szCs w:val="24"/>
        </w:rPr>
        <w:t>, kao pravna osoba u većinskom vlasništvu Republike Hrvatske, planira dugoročno kreditno zaduženje</w:t>
      </w:r>
      <w:r w:rsidRPr="006E431A">
        <w:rPr>
          <w:rFonts w:ascii="Times New Roman" w:hAnsi="Times New Roman" w:cs="Times New Roman"/>
          <w:bCs/>
          <w:sz w:val="24"/>
          <w:szCs w:val="24"/>
        </w:rPr>
        <w:t xml:space="preserve"> kod Europske investicijske banke, u iznosu koji prelazi iznos iz članka 49. Zakona, odnosno u iznosu od 63.000.000,00 eura, za realizaciju planiranog dugoročnog kreditnog zaduženja potrebna je odluka o suglasnosti Vlade Republike Hrvatske za isto kreditno zaduženje.</w:t>
      </w:r>
    </w:p>
    <w:p w14:paraId="47C836BE" w14:textId="77777777" w:rsidR="006E431A" w:rsidRPr="006E431A" w:rsidRDefault="006E431A" w:rsidP="006E431A">
      <w:pPr>
        <w:jc w:val="both"/>
        <w:rPr>
          <w:rFonts w:ascii="Times New Roman" w:hAnsi="Times New Roman" w:cs="Times New Roman"/>
          <w:bCs/>
          <w:sz w:val="24"/>
          <w:szCs w:val="24"/>
        </w:rPr>
      </w:pPr>
    </w:p>
    <w:p w14:paraId="66E8E638" w14:textId="77777777" w:rsidR="006E431A" w:rsidRPr="006E431A" w:rsidRDefault="006E431A" w:rsidP="006E431A">
      <w:pPr>
        <w:autoSpaceDE w:val="0"/>
        <w:autoSpaceDN w:val="0"/>
        <w:adjustRightInd w:val="0"/>
        <w:jc w:val="both"/>
        <w:rPr>
          <w:rFonts w:ascii="Times New Roman" w:hAnsi="Times New Roman" w:cs="Times New Roman"/>
          <w:sz w:val="24"/>
          <w:szCs w:val="24"/>
        </w:rPr>
      </w:pPr>
      <w:r w:rsidRPr="006E431A">
        <w:rPr>
          <w:rFonts w:ascii="Times New Roman" w:hAnsi="Times New Roman" w:cs="Times New Roman"/>
          <w:sz w:val="24"/>
          <w:szCs w:val="24"/>
        </w:rPr>
        <w:t xml:space="preserve">Nadzorni odbor Društva je na sjednici održanoj 26. studenog 2021. donio Odluku (33-1.1/2021.) o davanju suglasnosti Upravi Društva za zaduženje kod Europske investicijske banke sklapanjem ugovora o dugoročnom kreditu za potrebe refundacije sredstava utrošenih za izgradnju novih kapaciteta obnovljivih izvora energije u iznosu do 63.000.000,00 eura. </w:t>
      </w:r>
    </w:p>
    <w:p w14:paraId="0FD4F253" w14:textId="77777777" w:rsidR="006E431A" w:rsidRPr="006E431A" w:rsidRDefault="006E431A" w:rsidP="006E431A">
      <w:pPr>
        <w:jc w:val="both"/>
        <w:rPr>
          <w:rFonts w:ascii="Times New Roman" w:hAnsi="Times New Roman" w:cs="Times New Roman"/>
          <w:sz w:val="24"/>
          <w:szCs w:val="24"/>
        </w:rPr>
      </w:pPr>
    </w:p>
    <w:p w14:paraId="776116EB" w14:textId="77777777" w:rsidR="006E431A" w:rsidRPr="006E431A" w:rsidRDefault="006E431A" w:rsidP="006E431A">
      <w:pPr>
        <w:pStyle w:val="BodyTextIndent3"/>
        <w:ind w:left="0"/>
        <w:contextualSpacing/>
        <w:jc w:val="both"/>
        <w:rPr>
          <w:sz w:val="24"/>
          <w:szCs w:val="24"/>
        </w:rPr>
      </w:pPr>
      <w:r w:rsidRPr="006E431A">
        <w:rPr>
          <w:sz w:val="24"/>
          <w:szCs w:val="24"/>
        </w:rPr>
        <w:t>Donošenje ove Odluke neće imati utjecaj na rashode i izdatke Državnog proračuna Republike Hrvatske, budući da odobrenje ovoga kreditnog zaduženja kao i sama isplata kredita nije uvjetovana davanjem jamstva Republike Hrvatske.</w:t>
      </w:r>
    </w:p>
    <w:p w14:paraId="62B91B1F" w14:textId="77777777" w:rsidR="006E431A" w:rsidRPr="006E431A" w:rsidRDefault="006E431A" w:rsidP="006E431A">
      <w:pPr>
        <w:pStyle w:val="BodyTextIndent3"/>
        <w:ind w:left="0"/>
        <w:contextualSpacing/>
        <w:jc w:val="both"/>
        <w:rPr>
          <w:sz w:val="24"/>
          <w:szCs w:val="24"/>
        </w:rPr>
      </w:pPr>
    </w:p>
    <w:p w14:paraId="725267E0" w14:textId="77777777" w:rsidR="006E431A" w:rsidRPr="006E431A" w:rsidRDefault="006E431A" w:rsidP="006E431A">
      <w:pPr>
        <w:pStyle w:val="BodyTextIndent3"/>
        <w:ind w:left="0"/>
        <w:contextualSpacing/>
        <w:jc w:val="both"/>
        <w:rPr>
          <w:sz w:val="24"/>
          <w:szCs w:val="24"/>
        </w:rPr>
      </w:pPr>
      <w:r w:rsidRPr="006E431A">
        <w:rPr>
          <w:sz w:val="24"/>
          <w:szCs w:val="24"/>
        </w:rPr>
        <w:t xml:space="preserve">Nacrtom Ugovora o dugoročnom kreditu s Europskom investicijskom bankom nisu predviđeni  instrumenti osiguranja poput mjenica, zadužnica i dr. </w:t>
      </w:r>
    </w:p>
    <w:p w14:paraId="5E67E0A1" w14:textId="77777777" w:rsidR="006E431A" w:rsidRPr="006E431A" w:rsidRDefault="006E431A" w:rsidP="006E431A">
      <w:pPr>
        <w:pStyle w:val="BodyTextIndent3"/>
        <w:ind w:left="0"/>
        <w:contextualSpacing/>
        <w:jc w:val="both"/>
        <w:rPr>
          <w:sz w:val="24"/>
          <w:szCs w:val="24"/>
        </w:rPr>
      </w:pPr>
      <w:r w:rsidRPr="006E431A">
        <w:rPr>
          <w:sz w:val="24"/>
          <w:szCs w:val="24"/>
        </w:rPr>
        <w:t>Ugovor također predviđa određene odredbe vezane uz praćenje poslovanja Društva, poput financijskih pokazatelja te odredbi vezano uz prodaju imovine, ograničenja na akvizicije i pripajanja, buduća zaduženja i dr., a koji predstavljaju uobičajene odredbe za ovakvu vrstu dugoročnog financiranja od strane razvojnih banaka.</w:t>
      </w:r>
    </w:p>
    <w:p w14:paraId="52215BD3" w14:textId="77777777" w:rsidR="006E431A" w:rsidRPr="006E431A" w:rsidRDefault="006E431A" w:rsidP="006E431A">
      <w:pPr>
        <w:pStyle w:val="BodyTextIndent3"/>
        <w:ind w:left="0"/>
        <w:contextualSpacing/>
        <w:jc w:val="both"/>
        <w:rPr>
          <w:sz w:val="24"/>
          <w:szCs w:val="24"/>
        </w:rPr>
      </w:pPr>
    </w:p>
    <w:p w14:paraId="64CC9799" w14:textId="77777777" w:rsidR="006E431A" w:rsidRPr="006E431A" w:rsidRDefault="006E431A" w:rsidP="006E431A">
      <w:pPr>
        <w:pStyle w:val="BodyTextIndent3"/>
        <w:ind w:left="0"/>
        <w:contextualSpacing/>
        <w:jc w:val="both"/>
        <w:rPr>
          <w:sz w:val="24"/>
          <w:szCs w:val="24"/>
        </w:rPr>
      </w:pPr>
      <w:r w:rsidRPr="006E431A">
        <w:rPr>
          <w:sz w:val="24"/>
          <w:szCs w:val="24"/>
        </w:rPr>
        <w:t xml:space="preserve">Konačni komercijalni uvjeti utvrđuju se nakon podnošenja zahtjeva za korištenjem pojedine tranše kredita od strane Društva, a u okviru osnovnih uvjeta utvrđenih ugovorom o dugoročnom kreditu o načinu korištenja i otplate kredita (iznos, maksimalni rok otplate, maksimalni rok počeka te vrsta kamate stope: varijabilna ili fiksna). </w:t>
      </w:r>
    </w:p>
    <w:p w14:paraId="17E0C2A5" w14:textId="77777777" w:rsidR="006E431A" w:rsidRPr="006E431A" w:rsidRDefault="006E431A" w:rsidP="006E431A">
      <w:pPr>
        <w:pStyle w:val="BodyTextIndent3"/>
        <w:ind w:left="0"/>
        <w:contextualSpacing/>
        <w:jc w:val="both"/>
        <w:rPr>
          <w:sz w:val="24"/>
          <w:szCs w:val="24"/>
        </w:rPr>
      </w:pPr>
      <w:r w:rsidRPr="006E431A">
        <w:rPr>
          <w:sz w:val="24"/>
          <w:szCs w:val="24"/>
        </w:rPr>
        <w:t xml:space="preserve">Konačni uvjeti korištenja i otplate, precizno se definiraju nakon podnošenja zahtjeva za korištenjem kredita (tzv. </w:t>
      </w:r>
      <w:r w:rsidRPr="006E431A">
        <w:rPr>
          <w:i/>
          <w:sz w:val="24"/>
          <w:szCs w:val="24"/>
        </w:rPr>
        <w:t>Disbursement Request</w:t>
      </w:r>
      <w:r w:rsidRPr="006E431A">
        <w:rPr>
          <w:sz w:val="24"/>
          <w:szCs w:val="24"/>
        </w:rPr>
        <w:t xml:space="preserve">) od strane Društva, na temelju obavijesti/ponude EIB-a  (tzv. </w:t>
      </w:r>
      <w:r w:rsidRPr="006E431A">
        <w:rPr>
          <w:i/>
          <w:sz w:val="24"/>
          <w:szCs w:val="24"/>
        </w:rPr>
        <w:t>Disbursement Notice</w:t>
      </w:r>
      <w:r w:rsidRPr="006E431A">
        <w:rPr>
          <w:sz w:val="24"/>
          <w:szCs w:val="24"/>
        </w:rPr>
        <w:t>).</w:t>
      </w:r>
    </w:p>
    <w:p w14:paraId="2497E34C" w14:textId="77777777" w:rsidR="006E431A" w:rsidRPr="006E431A" w:rsidRDefault="006E431A" w:rsidP="006E431A">
      <w:pPr>
        <w:pStyle w:val="BodyTextIndent3"/>
        <w:contextualSpacing/>
        <w:jc w:val="both"/>
        <w:rPr>
          <w:sz w:val="24"/>
          <w:szCs w:val="24"/>
        </w:rPr>
      </w:pPr>
    </w:p>
    <w:p w14:paraId="71F7ACA7" w14:textId="77777777" w:rsidR="006E431A" w:rsidRPr="006E431A" w:rsidRDefault="0059437D" w:rsidP="006E431A">
      <w:pPr>
        <w:pStyle w:val="BodyTextIndent3"/>
        <w:ind w:left="0"/>
        <w:contextualSpacing/>
        <w:jc w:val="both"/>
        <w:rPr>
          <w:sz w:val="24"/>
          <w:szCs w:val="24"/>
        </w:rPr>
      </w:pPr>
      <w:r>
        <w:rPr>
          <w:sz w:val="24"/>
          <w:szCs w:val="24"/>
        </w:rPr>
        <w:t xml:space="preserve"> Na dan 11. listopada</w:t>
      </w:r>
      <w:r w:rsidR="006E431A" w:rsidRPr="006E431A">
        <w:rPr>
          <w:sz w:val="24"/>
          <w:szCs w:val="24"/>
        </w:rPr>
        <w:t xml:space="preserve"> 2021. EIB je dostavio slijedeće indikacije komercijalnih uvjeta:</w:t>
      </w:r>
    </w:p>
    <w:p w14:paraId="45A77EE6" w14:textId="77777777" w:rsidR="006E431A" w:rsidRPr="006E431A" w:rsidRDefault="006E431A" w:rsidP="006E431A">
      <w:pPr>
        <w:pStyle w:val="BodyTextIndent3"/>
        <w:ind w:left="0"/>
        <w:contextualSpacing/>
        <w:jc w:val="both"/>
        <w:rPr>
          <w:sz w:val="24"/>
          <w:szCs w:val="24"/>
        </w:rPr>
      </w:pPr>
    </w:p>
    <w:p w14:paraId="45BC1DB0" w14:textId="77777777" w:rsidR="006E431A" w:rsidRPr="006E431A" w:rsidRDefault="006E431A" w:rsidP="006E431A">
      <w:pPr>
        <w:pStyle w:val="BodyTextIndent3"/>
        <w:ind w:left="0"/>
        <w:contextualSpacing/>
        <w:jc w:val="both"/>
        <w:rPr>
          <w:sz w:val="24"/>
          <w:szCs w:val="24"/>
        </w:rPr>
      </w:pPr>
      <w:r w:rsidRPr="006E431A">
        <w:rPr>
          <w:sz w:val="24"/>
          <w:szCs w:val="24"/>
        </w:rPr>
        <w:t>1.</w:t>
      </w:r>
      <w:r w:rsidRPr="006E431A">
        <w:rPr>
          <w:sz w:val="24"/>
          <w:szCs w:val="24"/>
        </w:rPr>
        <w:tab/>
        <w:t xml:space="preserve">16 godina (do 4 godine počeka) uz amortizirajuću polugodišnju otplatu glavnice i kamata: </w:t>
      </w:r>
    </w:p>
    <w:p w14:paraId="5CCBC480" w14:textId="77777777" w:rsidR="006E431A" w:rsidRPr="006E431A" w:rsidRDefault="006E431A" w:rsidP="006E431A">
      <w:pPr>
        <w:pStyle w:val="BodyTextIndent3"/>
        <w:ind w:left="708"/>
        <w:contextualSpacing/>
        <w:jc w:val="both"/>
        <w:rPr>
          <w:sz w:val="24"/>
          <w:szCs w:val="24"/>
        </w:rPr>
      </w:pPr>
      <w:r w:rsidRPr="006E431A">
        <w:rPr>
          <w:sz w:val="24"/>
          <w:szCs w:val="24"/>
        </w:rPr>
        <w:t>fiksna kamatna stopa: 1,208%; varijabilna kamatna stopa: EURIBOR 6mj. + 85 baznih poena (uz primjenu tzv. zero floor klauzule),</w:t>
      </w:r>
    </w:p>
    <w:p w14:paraId="103E3AFE" w14:textId="77777777" w:rsidR="006E431A" w:rsidRPr="006E431A" w:rsidRDefault="006E431A" w:rsidP="006E431A">
      <w:pPr>
        <w:pStyle w:val="BodyTextIndent3"/>
        <w:ind w:left="708"/>
        <w:contextualSpacing/>
        <w:jc w:val="both"/>
        <w:rPr>
          <w:sz w:val="24"/>
          <w:szCs w:val="24"/>
        </w:rPr>
      </w:pPr>
    </w:p>
    <w:p w14:paraId="3E69E99B" w14:textId="77777777" w:rsidR="006E431A" w:rsidRPr="006E431A" w:rsidRDefault="006E431A" w:rsidP="006E431A">
      <w:pPr>
        <w:pStyle w:val="BodyTextIndent3"/>
        <w:ind w:left="0"/>
        <w:contextualSpacing/>
        <w:jc w:val="both"/>
        <w:rPr>
          <w:sz w:val="24"/>
          <w:szCs w:val="24"/>
        </w:rPr>
      </w:pPr>
      <w:r w:rsidRPr="006E431A">
        <w:rPr>
          <w:sz w:val="24"/>
          <w:szCs w:val="24"/>
        </w:rPr>
        <w:t>2.</w:t>
      </w:r>
      <w:r w:rsidRPr="006E431A">
        <w:rPr>
          <w:sz w:val="24"/>
          <w:szCs w:val="24"/>
        </w:rPr>
        <w:tab/>
        <w:t>7 godišna uz jednokratnu otplatu glavnice i polugodišnje plaćanje kamate:</w:t>
      </w:r>
    </w:p>
    <w:p w14:paraId="0033B628" w14:textId="77777777" w:rsidR="004A6081" w:rsidRPr="006E431A" w:rsidRDefault="006E431A" w:rsidP="006E431A">
      <w:pPr>
        <w:pStyle w:val="BodyTextIndent3"/>
        <w:ind w:left="708"/>
        <w:contextualSpacing/>
        <w:jc w:val="both"/>
        <w:rPr>
          <w:sz w:val="24"/>
          <w:szCs w:val="24"/>
        </w:rPr>
      </w:pPr>
      <w:r w:rsidRPr="006E431A">
        <w:rPr>
          <w:sz w:val="24"/>
          <w:szCs w:val="24"/>
        </w:rPr>
        <w:lastRenderedPageBreak/>
        <w:t>fiksna kamatna stopa: 0,878%; varijabilna kamatna stopa: EURIBOR 6mj. + 80 baznih poena (uz primjenu tzv. zero floor klauzule).</w:t>
      </w:r>
    </w:p>
    <w:sectPr w:rsidR="004A6081" w:rsidRPr="006E4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53CF8" w14:textId="77777777" w:rsidR="0061268A" w:rsidRDefault="0061268A" w:rsidP="00BB5F16">
      <w:pPr>
        <w:spacing w:line="240" w:lineRule="auto"/>
      </w:pPr>
      <w:r>
        <w:separator/>
      </w:r>
    </w:p>
  </w:endnote>
  <w:endnote w:type="continuationSeparator" w:id="0">
    <w:p w14:paraId="6E4C9425" w14:textId="77777777" w:rsidR="0061268A" w:rsidRDefault="0061268A" w:rsidP="00BB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D831" w14:textId="77777777" w:rsidR="0061268A" w:rsidRDefault="0061268A" w:rsidP="00BB5F16">
      <w:pPr>
        <w:spacing w:line="240" w:lineRule="auto"/>
      </w:pPr>
      <w:r>
        <w:separator/>
      </w:r>
    </w:p>
  </w:footnote>
  <w:footnote w:type="continuationSeparator" w:id="0">
    <w:p w14:paraId="6E52299A" w14:textId="77777777" w:rsidR="0061268A" w:rsidRDefault="0061268A" w:rsidP="00BB5F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4AC"/>
    <w:multiLevelType w:val="hybridMultilevel"/>
    <w:tmpl w:val="288AB530"/>
    <w:lvl w:ilvl="0" w:tplc="5DFCEAFC">
      <w:numFmt w:val="bullet"/>
      <w:lvlText w:val="-"/>
      <w:lvlJc w:val="left"/>
      <w:pPr>
        <w:ind w:left="720" w:hanging="360"/>
      </w:pPr>
      <w:rPr>
        <w:rFonts w:ascii="Arial" w:eastAsia="Arial" w:hAnsi="Arial" w:cs="Arial" w:hint="default"/>
        <w:w w:val="99"/>
        <w:sz w:val="20"/>
        <w:szCs w:val="20"/>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595389"/>
    <w:multiLevelType w:val="hybridMultilevel"/>
    <w:tmpl w:val="E9B45A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04084A"/>
    <w:multiLevelType w:val="hybridMultilevel"/>
    <w:tmpl w:val="69D48622"/>
    <w:lvl w:ilvl="0" w:tplc="B69C1E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BC3BBC"/>
    <w:multiLevelType w:val="hybridMultilevel"/>
    <w:tmpl w:val="E19A897C"/>
    <w:lvl w:ilvl="0" w:tplc="37180F9A">
      <w:start w:val="2"/>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346134B"/>
    <w:multiLevelType w:val="hybridMultilevel"/>
    <w:tmpl w:val="AAB6AB30"/>
    <w:lvl w:ilvl="0" w:tplc="5DFCEAFC">
      <w:numFmt w:val="bullet"/>
      <w:lvlText w:val="-"/>
      <w:lvlJc w:val="left"/>
      <w:pPr>
        <w:ind w:left="720" w:hanging="360"/>
      </w:pPr>
      <w:rPr>
        <w:rFonts w:ascii="Arial" w:eastAsia="Arial" w:hAnsi="Arial" w:cs="Arial" w:hint="default"/>
        <w:w w:val="99"/>
        <w:sz w:val="20"/>
        <w:szCs w:val="20"/>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AA2279"/>
    <w:multiLevelType w:val="hybridMultilevel"/>
    <w:tmpl w:val="611CEF62"/>
    <w:lvl w:ilvl="0" w:tplc="0088D736">
      <w:numFmt w:val="bullet"/>
      <w:lvlText w:val="-"/>
      <w:lvlJc w:val="left"/>
      <w:pPr>
        <w:ind w:left="465" w:hanging="358"/>
      </w:pPr>
      <w:rPr>
        <w:rFonts w:ascii="Arial" w:eastAsia="Arial" w:hAnsi="Arial" w:cs="Arial" w:hint="default"/>
        <w:w w:val="99"/>
        <w:sz w:val="20"/>
        <w:szCs w:val="20"/>
        <w:lang w:val="en-US" w:eastAsia="en-US" w:bidi="en-US"/>
      </w:rPr>
    </w:lvl>
    <w:lvl w:ilvl="1" w:tplc="BF56D472">
      <w:numFmt w:val="bullet"/>
      <w:lvlText w:val="•"/>
      <w:lvlJc w:val="left"/>
      <w:pPr>
        <w:ind w:left="1065" w:hanging="358"/>
      </w:pPr>
      <w:rPr>
        <w:rFonts w:hint="default"/>
        <w:lang w:val="en-US" w:eastAsia="en-US" w:bidi="en-US"/>
      </w:rPr>
    </w:lvl>
    <w:lvl w:ilvl="2" w:tplc="BEE85188">
      <w:numFmt w:val="bullet"/>
      <w:lvlText w:val="•"/>
      <w:lvlJc w:val="left"/>
      <w:pPr>
        <w:ind w:left="1670" w:hanging="358"/>
      </w:pPr>
      <w:rPr>
        <w:rFonts w:hint="default"/>
        <w:lang w:val="en-US" w:eastAsia="en-US" w:bidi="en-US"/>
      </w:rPr>
    </w:lvl>
    <w:lvl w:ilvl="3" w:tplc="5E5AF9A8">
      <w:numFmt w:val="bullet"/>
      <w:lvlText w:val="•"/>
      <w:lvlJc w:val="left"/>
      <w:pPr>
        <w:ind w:left="2275" w:hanging="358"/>
      </w:pPr>
      <w:rPr>
        <w:rFonts w:hint="default"/>
        <w:lang w:val="en-US" w:eastAsia="en-US" w:bidi="en-US"/>
      </w:rPr>
    </w:lvl>
    <w:lvl w:ilvl="4" w:tplc="3C0E3468">
      <w:numFmt w:val="bullet"/>
      <w:lvlText w:val="•"/>
      <w:lvlJc w:val="left"/>
      <w:pPr>
        <w:ind w:left="2880" w:hanging="358"/>
      </w:pPr>
      <w:rPr>
        <w:rFonts w:hint="default"/>
        <w:lang w:val="en-US" w:eastAsia="en-US" w:bidi="en-US"/>
      </w:rPr>
    </w:lvl>
    <w:lvl w:ilvl="5" w:tplc="E4D8C172">
      <w:numFmt w:val="bullet"/>
      <w:lvlText w:val="•"/>
      <w:lvlJc w:val="left"/>
      <w:pPr>
        <w:ind w:left="3486" w:hanging="358"/>
      </w:pPr>
      <w:rPr>
        <w:rFonts w:hint="default"/>
        <w:lang w:val="en-US" w:eastAsia="en-US" w:bidi="en-US"/>
      </w:rPr>
    </w:lvl>
    <w:lvl w:ilvl="6" w:tplc="B2A4C226">
      <w:numFmt w:val="bullet"/>
      <w:lvlText w:val="•"/>
      <w:lvlJc w:val="left"/>
      <w:pPr>
        <w:ind w:left="4091" w:hanging="358"/>
      </w:pPr>
      <w:rPr>
        <w:rFonts w:hint="default"/>
        <w:lang w:val="en-US" w:eastAsia="en-US" w:bidi="en-US"/>
      </w:rPr>
    </w:lvl>
    <w:lvl w:ilvl="7" w:tplc="B69AAFD2">
      <w:numFmt w:val="bullet"/>
      <w:lvlText w:val="•"/>
      <w:lvlJc w:val="left"/>
      <w:pPr>
        <w:ind w:left="4696" w:hanging="358"/>
      </w:pPr>
      <w:rPr>
        <w:rFonts w:hint="default"/>
        <w:lang w:val="en-US" w:eastAsia="en-US" w:bidi="en-US"/>
      </w:rPr>
    </w:lvl>
    <w:lvl w:ilvl="8" w:tplc="79A04BE0">
      <w:numFmt w:val="bullet"/>
      <w:lvlText w:val="•"/>
      <w:lvlJc w:val="left"/>
      <w:pPr>
        <w:ind w:left="5301" w:hanging="358"/>
      </w:pPr>
      <w:rPr>
        <w:rFonts w:hint="default"/>
        <w:lang w:val="en-US" w:eastAsia="en-US" w:bidi="en-US"/>
      </w:rPr>
    </w:lvl>
  </w:abstractNum>
  <w:abstractNum w:abstractNumId="6" w15:restartNumberingAfterBreak="0">
    <w:nsid w:val="7B3745D6"/>
    <w:multiLevelType w:val="hybridMultilevel"/>
    <w:tmpl w:val="F7483C56"/>
    <w:lvl w:ilvl="0" w:tplc="2850DD7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8A"/>
    <w:rsid w:val="0000487C"/>
    <w:rsid w:val="00004B8D"/>
    <w:rsid w:val="0000732B"/>
    <w:rsid w:val="000122A5"/>
    <w:rsid w:val="0001369E"/>
    <w:rsid w:val="000137E1"/>
    <w:rsid w:val="00013D36"/>
    <w:rsid w:val="00014FAB"/>
    <w:rsid w:val="000204F8"/>
    <w:rsid w:val="00021435"/>
    <w:rsid w:val="00030385"/>
    <w:rsid w:val="000318CA"/>
    <w:rsid w:val="00042218"/>
    <w:rsid w:val="00045BB6"/>
    <w:rsid w:val="000502A1"/>
    <w:rsid w:val="00052501"/>
    <w:rsid w:val="000543C4"/>
    <w:rsid w:val="000547C2"/>
    <w:rsid w:val="0005627A"/>
    <w:rsid w:val="00064BD7"/>
    <w:rsid w:val="00065799"/>
    <w:rsid w:val="00065B4C"/>
    <w:rsid w:val="000674F6"/>
    <w:rsid w:val="00071083"/>
    <w:rsid w:val="0007292A"/>
    <w:rsid w:val="00073015"/>
    <w:rsid w:val="000800C5"/>
    <w:rsid w:val="00081146"/>
    <w:rsid w:val="00087508"/>
    <w:rsid w:val="00090510"/>
    <w:rsid w:val="00091821"/>
    <w:rsid w:val="00093847"/>
    <w:rsid w:val="00093C4D"/>
    <w:rsid w:val="00093CB9"/>
    <w:rsid w:val="0009501B"/>
    <w:rsid w:val="00095342"/>
    <w:rsid w:val="00096BB5"/>
    <w:rsid w:val="000A23B2"/>
    <w:rsid w:val="000B1F08"/>
    <w:rsid w:val="000B4CF4"/>
    <w:rsid w:val="000B6A20"/>
    <w:rsid w:val="000C1502"/>
    <w:rsid w:val="000C5ABC"/>
    <w:rsid w:val="000D1B6C"/>
    <w:rsid w:val="000D436B"/>
    <w:rsid w:val="000D48D0"/>
    <w:rsid w:val="000D4B52"/>
    <w:rsid w:val="000D6693"/>
    <w:rsid w:val="000E16E1"/>
    <w:rsid w:val="000F5A7C"/>
    <w:rsid w:val="000F6159"/>
    <w:rsid w:val="00100955"/>
    <w:rsid w:val="00110781"/>
    <w:rsid w:val="00113A61"/>
    <w:rsid w:val="00121B79"/>
    <w:rsid w:val="0012752F"/>
    <w:rsid w:val="00145F9F"/>
    <w:rsid w:val="0015412F"/>
    <w:rsid w:val="00156EC8"/>
    <w:rsid w:val="00161B17"/>
    <w:rsid w:val="001668AA"/>
    <w:rsid w:val="00166F23"/>
    <w:rsid w:val="001818AB"/>
    <w:rsid w:val="00181FD3"/>
    <w:rsid w:val="00184093"/>
    <w:rsid w:val="00184F7D"/>
    <w:rsid w:val="001922C3"/>
    <w:rsid w:val="001A2990"/>
    <w:rsid w:val="001A34B3"/>
    <w:rsid w:val="001B1569"/>
    <w:rsid w:val="001C5276"/>
    <w:rsid w:val="001D2D56"/>
    <w:rsid w:val="001D2F58"/>
    <w:rsid w:val="001F15AA"/>
    <w:rsid w:val="001F5FFA"/>
    <w:rsid w:val="001F7482"/>
    <w:rsid w:val="00200A28"/>
    <w:rsid w:val="002030CE"/>
    <w:rsid w:val="00215D48"/>
    <w:rsid w:val="00222009"/>
    <w:rsid w:val="00241B8D"/>
    <w:rsid w:val="002420AF"/>
    <w:rsid w:val="0024249E"/>
    <w:rsid w:val="00252AD4"/>
    <w:rsid w:val="00257F42"/>
    <w:rsid w:val="00264BB7"/>
    <w:rsid w:val="0026743F"/>
    <w:rsid w:val="00271034"/>
    <w:rsid w:val="00273222"/>
    <w:rsid w:val="00284655"/>
    <w:rsid w:val="002908BC"/>
    <w:rsid w:val="0029498E"/>
    <w:rsid w:val="002A03EB"/>
    <w:rsid w:val="002A687F"/>
    <w:rsid w:val="002B3E2B"/>
    <w:rsid w:val="002B3E7F"/>
    <w:rsid w:val="002B49AE"/>
    <w:rsid w:val="002B7C7C"/>
    <w:rsid w:val="002C0F1B"/>
    <w:rsid w:val="002C30AA"/>
    <w:rsid w:val="002C417F"/>
    <w:rsid w:val="002D4662"/>
    <w:rsid w:val="002D69AD"/>
    <w:rsid w:val="002D762C"/>
    <w:rsid w:val="002E16DE"/>
    <w:rsid w:val="002E6ECA"/>
    <w:rsid w:val="002F03D0"/>
    <w:rsid w:val="002F2A5C"/>
    <w:rsid w:val="00302C00"/>
    <w:rsid w:val="003114D2"/>
    <w:rsid w:val="00316734"/>
    <w:rsid w:val="00323CE6"/>
    <w:rsid w:val="00324868"/>
    <w:rsid w:val="003265BE"/>
    <w:rsid w:val="003273E3"/>
    <w:rsid w:val="00331646"/>
    <w:rsid w:val="003319F5"/>
    <w:rsid w:val="0034208B"/>
    <w:rsid w:val="00343C68"/>
    <w:rsid w:val="003501AC"/>
    <w:rsid w:val="0035577D"/>
    <w:rsid w:val="0035773B"/>
    <w:rsid w:val="00364928"/>
    <w:rsid w:val="0036569E"/>
    <w:rsid w:val="00370CC1"/>
    <w:rsid w:val="003750EF"/>
    <w:rsid w:val="00375170"/>
    <w:rsid w:val="00377350"/>
    <w:rsid w:val="00381853"/>
    <w:rsid w:val="003819CA"/>
    <w:rsid w:val="00390F0A"/>
    <w:rsid w:val="00393653"/>
    <w:rsid w:val="00395FB6"/>
    <w:rsid w:val="00397121"/>
    <w:rsid w:val="003A1243"/>
    <w:rsid w:val="003A5125"/>
    <w:rsid w:val="003B4055"/>
    <w:rsid w:val="003B654B"/>
    <w:rsid w:val="003C1C95"/>
    <w:rsid w:val="003C1E3F"/>
    <w:rsid w:val="003D3E14"/>
    <w:rsid w:val="003D6C41"/>
    <w:rsid w:val="003D7364"/>
    <w:rsid w:val="003E2F43"/>
    <w:rsid w:val="003E3C79"/>
    <w:rsid w:val="003E52F1"/>
    <w:rsid w:val="003F28AE"/>
    <w:rsid w:val="003F3560"/>
    <w:rsid w:val="00403D8C"/>
    <w:rsid w:val="00407C5D"/>
    <w:rsid w:val="004121E9"/>
    <w:rsid w:val="004171CA"/>
    <w:rsid w:val="004175A1"/>
    <w:rsid w:val="004370E2"/>
    <w:rsid w:val="004418DC"/>
    <w:rsid w:val="00444C91"/>
    <w:rsid w:val="00450CE3"/>
    <w:rsid w:val="0045167B"/>
    <w:rsid w:val="004542C8"/>
    <w:rsid w:val="00461836"/>
    <w:rsid w:val="00473C22"/>
    <w:rsid w:val="00473D8D"/>
    <w:rsid w:val="00483461"/>
    <w:rsid w:val="0048636D"/>
    <w:rsid w:val="0049212A"/>
    <w:rsid w:val="00492448"/>
    <w:rsid w:val="004934D3"/>
    <w:rsid w:val="004A2BEB"/>
    <w:rsid w:val="004A431C"/>
    <w:rsid w:val="004A6081"/>
    <w:rsid w:val="004A7235"/>
    <w:rsid w:val="004B1039"/>
    <w:rsid w:val="004B5BE6"/>
    <w:rsid w:val="004B7BDB"/>
    <w:rsid w:val="004C4511"/>
    <w:rsid w:val="004C62AC"/>
    <w:rsid w:val="004C7352"/>
    <w:rsid w:val="004D04C5"/>
    <w:rsid w:val="004D3F61"/>
    <w:rsid w:val="004E1722"/>
    <w:rsid w:val="004E4232"/>
    <w:rsid w:val="004F1432"/>
    <w:rsid w:val="004F19F1"/>
    <w:rsid w:val="0050252C"/>
    <w:rsid w:val="00502D4D"/>
    <w:rsid w:val="005050A7"/>
    <w:rsid w:val="00505626"/>
    <w:rsid w:val="005109CD"/>
    <w:rsid w:val="00510E9A"/>
    <w:rsid w:val="0051440A"/>
    <w:rsid w:val="00517DA7"/>
    <w:rsid w:val="0052303D"/>
    <w:rsid w:val="005259AD"/>
    <w:rsid w:val="00526DDA"/>
    <w:rsid w:val="00532C44"/>
    <w:rsid w:val="0053488A"/>
    <w:rsid w:val="005432F9"/>
    <w:rsid w:val="005502B4"/>
    <w:rsid w:val="0056429F"/>
    <w:rsid w:val="005643C7"/>
    <w:rsid w:val="00565656"/>
    <w:rsid w:val="00570BEC"/>
    <w:rsid w:val="00571D46"/>
    <w:rsid w:val="00574159"/>
    <w:rsid w:val="00584590"/>
    <w:rsid w:val="005861C9"/>
    <w:rsid w:val="005931BC"/>
    <w:rsid w:val="0059437D"/>
    <w:rsid w:val="0059591D"/>
    <w:rsid w:val="00596B94"/>
    <w:rsid w:val="005A0012"/>
    <w:rsid w:val="005A256F"/>
    <w:rsid w:val="005A6776"/>
    <w:rsid w:val="005A78A7"/>
    <w:rsid w:val="005C3568"/>
    <w:rsid w:val="005C41DB"/>
    <w:rsid w:val="005D3AED"/>
    <w:rsid w:val="005D4158"/>
    <w:rsid w:val="005E1488"/>
    <w:rsid w:val="005E6CE7"/>
    <w:rsid w:val="005F0535"/>
    <w:rsid w:val="0060082D"/>
    <w:rsid w:val="0061268A"/>
    <w:rsid w:val="00613F67"/>
    <w:rsid w:val="006168DE"/>
    <w:rsid w:val="00626553"/>
    <w:rsid w:val="00626ABA"/>
    <w:rsid w:val="00630A91"/>
    <w:rsid w:val="00633B21"/>
    <w:rsid w:val="006348FC"/>
    <w:rsid w:val="006400F4"/>
    <w:rsid w:val="006453C0"/>
    <w:rsid w:val="00652539"/>
    <w:rsid w:val="0065785D"/>
    <w:rsid w:val="00657C95"/>
    <w:rsid w:val="006625B5"/>
    <w:rsid w:val="00662C80"/>
    <w:rsid w:val="00664A8A"/>
    <w:rsid w:val="0066680E"/>
    <w:rsid w:val="00667E79"/>
    <w:rsid w:val="00671F94"/>
    <w:rsid w:val="00674CBC"/>
    <w:rsid w:val="00674CCF"/>
    <w:rsid w:val="006755F5"/>
    <w:rsid w:val="006774C8"/>
    <w:rsid w:val="00681DED"/>
    <w:rsid w:val="00685682"/>
    <w:rsid w:val="00687237"/>
    <w:rsid w:val="006A41E5"/>
    <w:rsid w:val="006B00E6"/>
    <w:rsid w:val="006B194D"/>
    <w:rsid w:val="006B2192"/>
    <w:rsid w:val="006B28B8"/>
    <w:rsid w:val="006B47AF"/>
    <w:rsid w:val="006B5962"/>
    <w:rsid w:val="006B5B17"/>
    <w:rsid w:val="006C5C59"/>
    <w:rsid w:val="006D3487"/>
    <w:rsid w:val="006D701A"/>
    <w:rsid w:val="006E16F8"/>
    <w:rsid w:val="006E18F8"/>
    <w:rsid w:val="006E1E54"/>
    <w:rsid w:val="006E431A"/>
    <w:rsid w:val="006E51E2"/>
    <w:rsid w:val="006E5210"/>
    <w:rsid w:val="006F29C8"/>
    <w:rsid w:val="006F3D02"/>
    <w:rsid w:val="00700414"/>
    <w:rsid w:val="007007A9"/>
    <w:rsid w:val="00701057"/>
    <w:rsid w:val="00704A53"/>
    <w:rsid w:val="00706000"/>
    <w:rsid w:val="007072E0"/>
    <w:rsid w:val="00715D08"/>
    <w:rsid w:val="00716CC2"/>
    <w:rsid w:val="00720758"/>
    <w:rsid w:val="00723C06"/>
    <w:rsid w:val="0072625E"/>
    <w:rsid w:val="007302F5"/>
    <w:rsid w:val="00732AC9"/>
    <w:rsid w:val="0073699D"/>
    <w:rsid w:val="00744753"/>
    <w:rsid w:val="0075398F"/>
    <w:rsid w:val="00766365"/>
    <w:rsid w:val="00770CB0"/>
    <w:rsid w:val="00775FFC"/>
    <w:rsid w:val="00776C28"/>
    <w:rsid w:val="0077750B"/>
    <w:rsid w:val="00782132"/>
    <w:rsid w:val="007A2E26"/>
    <w:rsid w:val="007A4A05"/>
    <w:rsid w:val="007A7161"/>
    <w:rsid w:val="007A7C72"/>
    <w:rsid w:val="007C0F02"/>
    <w:rsid w:val="007C16E5"/>
    <w:rsid w:val="007C353C"/>
    <w:rsid w:val="007C609D"/>
    <w:rsid w:val="007C6E15"/>
    <w:rsid w:val="007D0A18"/>
    <w:rsid w:val="007D1AB8"/>
    <w:rsid w:val="007D2271"/>
    <w:rsid w:val="007D617E"/>
    <w:rsid w:val="007E5353"/>
    <w:rsid w:val="007E6DB5"/>
    <w:rsid w:val="007E7CCF"/>
    <w:rsid w:val="00802027"/>
    <w:rsid w:val="008102AD"/>
    <w:rsid w:val="00820B4D"/>
    <w:rsid w:val="00822E2B"/>
    <w:rsid w:val="00824853"/>
    <w:rsid w:val="00840158"/>
    <w:rsid w:val="00841B14"/>
    <w:rsid w:val="008431F8"/>
    <w:rsid w:val="00844785"/>
    <w:rsid w:val="00847A39"/>
    <w:rsid w:val="008620DB"/>
    <w:rsid w:val="00864418"/>
    <w:rsid w:val="0086713D"/>
    <w:rsid w:val="00872CF9"/>
    <w:rsid w:val="0087539C"/>
    <w:rsid w:val="00875E44"/>
    <w:rsid w:val="00875F30"/>
    <w:rsid w:val="008832E7"/>
    <w:rsid w:val="0088622F"/>
    <w:rsid w:val="00886523"/>
    <w:rsid w:val="00892B54"/>
    <w:rsid w:val="00893523"/>
    <w:rsid w:val="0089368E"/>
    <w:rsid w:val="00894968"/>
    <w:rsid w:val="00897943"/>
    <w:rsid w:val="008A18C9"/>
    <w:rsid w:val="008A3638"/>
    <w:rsid w:val="008A582B"/>
    <w:rsid w:val="008A7840"/>
    <w:rsid w:val="008B42D0"/>
    <w:rsid w:val="008B48B7"/>
    <w:rsid w:val="008C4DD1"/>
    <w:rsid w:val="008D7559"/>
    <w:rsid w:val="008E38EB"/>
    <w:rsid w:val="008E4401"/>
    <w:rsid w:val="008E6184"/>
    <w:rsid w:val="008F0628"/>
    <w:rsid w:val="008F129A"/>
    <w:rsid w:val="00906426"/>
    <w:rsid w:val="009116C2"/>
    <w:rsid w:val="00915A05"/>
    <w:rsid w:val="00935A38"/>
    <w:rsid w:val="00935B94"/>
    <w:rsid w:val="00937D49"/>
    <w:rsid w:val="00940683"/>
    <w:rsid w:val="00943235"/>
    <w:rsid w:val="00950C1F"/>
    <w:rsid w:val="009557BE"/>
    <w:rsid w:val="00956C88"/>
    <w:rsid w:val="00961E84"/>
    <w:rsid w:val="00965355"/>
    <w:rsid w:val="00967B64"/>
    <w:rsid w:val="00976D99"/>
    <w:rsid w:val="00977278"/>
    <w:rsid w:val="009801C8"/>
    <w:rsid w:val="00995AFC"/>
    <w:rsid w:val="009A4324"/>
    <w:rsid w:val="009A6D52"/>
    <w:rsid w:val="009A76C7"/>
    <w:rsid w:val="009C3FE8"/>
    <w:rsid w:val="009E43F7"/>
    <w:rsid w:val="009F5F6B"/>
    <w:rsid w:val="00A04BBF"/>
    <w:rsid w:val="00A05BC1"/>
    <w:rsid w:val="00A05C80"/>
    <w:rsid w:val="00A05D44"/>
    <w:rsid w:val="00A171B2"/>
    <w:rsid w:val="00A20618"/>
    <w:rsid w:val="00A20F44"/>
    <w:rsid w:val="00A21F9F"/>
    <w:rsid w:val="00A22672"/>
    <w:rsid w:val="00A24EB6"/>
    <w:rsid w:val="00A3704F"/>
    <w:rsid w:val="00A4440C"/>
    <w:rsid w:val="00A462EB"/>
    <w:rsid w:val="00A4653C"/>
    <w:rsid w:val="00A46815"/>
    <w:rsid w:val="00A516DD"/>
    <w:rsid w:val="00A631BE"/>
    <w:rsid w:val="00A64BE5"/>
    <w:rsid w:val="00A825E7"/>
    <w:rsid w:val="00A867B0"/>
    <w:rsid w:val="00A876AB"/>
    <w:rsid w:val="00A90A49"/>
    <w:rsid w:val="00A91258"/>
    <w:rsid w:val="00A96B73"/>
    <w:rsid w:val="00AA3A11"/>
    <w:rsid w:val="00AA6D32"/>
    <w:rsid w:val="00AB3172"/>
    <w:rsid w:val="00AC7BF1"/>
    <w:rsid w:val="00AD332F"/>
    <w:rsid w:val="00AD3728"/>
    <w:rsid w:val="00AD53BD"/>
    <w:rsid w:val="00AD69DA"/>
    <w:rsid w:val="00AE3E4C"/>
    <w:rsid w:val="00AE75E6"/>
    <w:rsid w:val="00AF13D1"/>
    <w:rsid w:val="00AF6185"/>
    <w:rsid w:val="00B02A34"/>
    <w:rsid w:val="00B07BB8"/>
    <w:rsid w:val="00B122E1"/>
    <w:rsid w:val="00B17977"/>
    <w:rsid w:val="00B30CDC"/>
    <w:rsid w:val="00B330B8"/>
    <w:rsid w:val="00B3590C"/>
    <w:rsid w:val="00B362AE"/>
    <w:rsid w:val="00B400B1"/>
    <w:rsid w:val="00B40511"/>
    <w:rsid w:val="00B661B2"/>
    <w:rsid w:val="00B75E39"/>
    <w:rsid w:val="00B771E9"/>
    <w:rsid w:val="00B80890"/>
    <w:rsid w:val="00B82E16"/>
    <w:rsid w:val="00B90264"/>
    <w:rsid w:val="00B94E86"/>
    <w:rsid w:val="00B95EBE"/>
    <w:rsid w:val="00BA7FC7"/>
    <w:rsid w:val="00BB0E32"/>
    <w:rsid w:val="00BB2830"/>
    <w:rsid w:val="00BB5F16"/>
    <w:rsid w:val="00BC4B8C"/>
    <w:rsid w:val="00BD15C7"/>
    <w:rsid w:val="00BD684A"/>
    <w:rsid w:val="00BE2A5E"/>
    <w:rsid w:val="00BF7580"/>
    <w:rsid w:val="00C049E5"/>
    <w:rsid w:val="00C12A69"/>
    <w:rsid w:val="00C159D5"/>
    <w:rsid w:val="00C16031"/>
    <w:rsid w:val="00C165D8"/>
    <w:rsid w:val="00C2244A"/>
    <w:rsid w:val="00C278AD"/>
    <w:rsid w:val="00C27BD6"/>
    <w:rsid w:val="00C31E51"/>
    <w:rsid w:val="00C3333C"/>
    <w:rsid w:val="00C42281"/>
    <w:rsid w:val="00C44260"/>
    <w:rsid w:val="00C44491"/>
    <w:rsid w:val="00C44C54"/>
    <w:rsid w:val="00C45A9F"/>
    <w:rsid w:val="00C57E25"/>
    <w:rsid w:val="00C74204"/>
    <w:rsid w:val="00C809D5"/>
    <w:rsid w:val="00C966B1"/>
    <w:rsid w:val="00C97E33"/>
    <w:rsid w:val="00CA5B11"/>
    <w:rsid w:val="00CB1C85"/>
    <w:rsid w:val="00CB2D78"/>
    <w:rsid w:val="00CB4906"/>
    <w:rsid w:val="00CC094B"/>
    <w:rsid w:val="00CC7F69"/>
    <w:rsid w:val="00CE1122"/>
    <w:rsid w:val="00CE44AD"/>
    <w:rsid w:val="00CE477B"/>
    <w:rsid w:val="00CE632D"/>
    <w:rsid w:val="00CF4DFF"/>
    <w:rsid w:val="00D03909"/>
    <w:rsid w:val="00D042CB"/>
    <w:rsid w:val="00D04E4A"/>
    <w:rsid w:val="00D06B55"/>
    <w:rsid w:val="00D15240"/>
    <w:rsid w:val="00D21B7F"/>
    <w:rsid w:val="00D23814"/>
    <w:rsid w:val="00D24FAF"/>
    <w:rsid w:val="00D25E3E"/>
    <w:rsid w:val="00D26B78"/>
    <w:rsid w:val="00D31C07"/>
    <w:rsid w:val="00D42F44"/>
    <w:rsid w:val="00D5471B"/>
    <w:rsid w:val="00D6124B"/>
    <w:rsid w:val="00D615CD"/>
    <w:rsid w:val="00D62A29"/>
    <w:rsid w:val="00D631A6"/>
    <w:rsid w:val="00D633FF"/>
    <w:rsid w:val="00D6495C"/>
    <w:rsid w:val="00D64AA5"/>
    <w:rsid w:val="00D64EA1"/>
    <w:rsid w:val="00D71E8D"/>
    <w:rsid w:val="00D75383"/>
    <w:rsid w:val="00D75FB5"/>
    <w:rsid w:val="00D8275A"/>
    <w:rsid w:val="00D84433"/>
    <w:rsid w:val="00D85822"/>
    <w:rsid w:val="00D859D1"/>
    <w:rsid w:val="00D94A93"/>
    <w:rsid w:val="00DA1965"/>
    <w:rsid w:val="00DA2545"/>
    <w:rsid w:val="00DB04A9"/>
    <w:rsid w:val="00DB04CA"/>
    <w:rsid w:val="00DB3DC1"/>
    <w:rsid w:val="00DB7B15"/>
    <w:rsid w:val="00DC2162"/>
    <w:rsid w:val="00DC390B"/>
    <w:rsid w:val="00DD26B7"/>
    <w:rsid w:val="00DD2939"/>
    <w:rsid w:val="00DD4124"/>
    <w:rsid w:val="00DD4991"/>
    <w:rsid w:val="00DD555A"/>
    <w:rsid w:val="00DD6899"/>
    <w:rsid w:val="00DE5C78"/>
    <w:rsid w:val="00DE7B74"/>
    <w:rsid w:val="00DF176C"/>
    <w:rsid w:val="00DF5052"/>
    <w:rsid w:val="00DF5BE9"/>
    <w:rsid w:val="00DF6142"/>
    <w:rsid w:val="00DF6A4D"/>
    <w:rsid w:val="00E0168C"/>
    <w:rsid w:val="00E11B93"/>
    <w:rsid w:val="00E2217C"/>
    <w:rsid w:val="00E26629"/>
    <w:rsid w:val="00E267DA"/>
    <w:rsid w:val="00E47667"/>
    <w:rsid w:val="00E605FA"/>
    <w:rsid w:val="00E60857"/>
    <w:rsid w:val="00E6155D"/>
    <w:rsid w:val="00E6446D"/>
    <w:rsid w:val="00E70EB9"/>
    <w:rsid w:val="00E74E6B"/>
    <w:rsid w:val="00E8791F"/>
    <w:rsid w:val="00E952DF"/>
    <w:rsid w:val="00E958B2"/>
    <w:rsid w:val="00EA178E"/>
    <w:rsid w:val="00EC0553"/>
    <w:rsid w:val="00ED4E39"/>
    <w:rsid w:val="00ED7351"/>
    <w:rsid w:val="00EE46F9"/>
    <w:rsid w:val="00EE4982"/>
    <w:rsid w:val="00EE6710"/>
    <w:rsid w:val="00EF0DD5"/>
    <w:rsid w:val="00EF2DDB"/>
    <w:rsid w:val="00EF569F"/>
    <w:rsid w:val="00F05E8C"/>
    <w:rsid w:val="00F06D57"/>
    <w:rsid w:val="00F3273A"/>
    <w:rsid w:val="00F35B6C"/>
    <w:rsid w:val="00F43E0B"/>
    <w:rsid w:val="00F5673B"/>
    <w:rsid w:val="00F57ABB"/>
    <w:rsid w:val="00F610B1"/>
    <w:rsid w:val="00F62B97"/>
    <w:rsid w:val="00F66DE6"/>
    <w:rsid w:val="00F700FC"/>
    <w:rsid w:val="00F72791"/>
    <w:rsid w:val="00F73040"/>
    <w:rsid w:val="00F740D9"/>
    <w:rsid w:val="00F75358"/>
    <w:rsid w:val="00F90D9A"/>
    <w:rsid w:val="00F94708"/>
    <w:rsid w:val="00F94C89"/>
    <w:rsid w:val="00F95669"/>
    <w:rsid w:val="00F97808"/>
    <w:rsid w:val="00FA6022"/>
    <w:rsid w:val="00FA784B"/>
    <w:rsid w:val="00FB1977"/>
    <w:rsid w:val="00FC686F"/>
    <w:rsid w:val="00FE7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9712"/>
  <w15:docId w15:val="{3463AC40-4AF3-4536-9084-8A1A147E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9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8A"/>
    <w:rPr>
      <w:rFonts w:ascii="Tahoma" w:hAnsi="Tahoma" w:cs="Tahoma"/>
      <w:sz w:val="16"/>
      <w:szCs w:val="16"/>
    </w:rPr>
  </w:style>
  <w:style w:type="paragraph" w:styleId="BodyText">
    <w:name w:val="Body Text"/>
    <w:basedOn w:val="Normal"/>
    <w:link w:val="BodyTextChar"/>
    <w:uiPriority w:val="99"/>
    <w:rsid w:val="008F0628"/>
    <w:pPr>
      <w:spacing w:line="360" w:lineRule="auto"/>
      <w:jc w:val="both"/>
    </w:pPr>
    <w:rPr>
      <w:rFonts w:ascii="Arial" w:eastAsia="Times New Roman" w:hAnsi="Arial" w:cs="Arial"/>
      <w:szCs w:val="24"/>
    </w:rPr>
  </w:style>
  <w:style w:type="character" w:customStyle="1" w:styleId="BodyTextChar">
    <w:name w:val="Body Text Char"/>
    <w:basedOn w:val="DefaultParagraphFont"/>
    <w:link w:val="BodyText"/>
    <w:uiPriority w:val="99"/>
    <w:rsid w:val="008F0628"/>
    <w:rPr>
      <w:rFonts w:ascii="Arial" w:eastAsia="Times New Roman" w:hAnsi="Arial" w:cs="Arial"/>
      <w:szCs w:val="24"/>
    </w:rPr>
  </w:style>
  <w:style w:type="paragraph" w:styleId="ListParagraph">
    <w:name w:val="List Paragraph"/>
    <w:aliases w:val="Bullets,Odlomak popisa1,List Paragraph1,Heading 12,References,Akapit z listą BS,List Paragraph 1,List Paragraph (numbered (a)),Numbered Paragraph,Main numbered paragraph,Numbered List Paragraph,123 List Paragraph,List Paragraph nowy"/>
    <w:basedOn w:val="Normal"/>
    <w:link w:val="ListParagraphChar"/>
    <w:uiPriority w:val="34"/>
    <w:qFormat/>
    <w:rsid w:val="00D15240"/>
    <w:pPr>
      <w:spacing w:line="240" w:lineRule="auto"/>
      <w:ind w:left="708"/>
    </w:pPr>
    <w:rPr>
      <w:rFonts w:ascii="Times New Roman" w:eastAsia="Times New Roman" w:hAnsi="Times New Roman" w:cs="Times New Roman"/>
      <w:sz w:val="24"/>
      <w:szCs w:val="24"/>
      <w:lang w:val="en-GB"/>
    </w:rPr>
  </w:style>
  <w:style w:type="character" w:customStyle="1" w:styleId="ListParagraphChar">
    <w:name w:val="List Paragraph Char"/>
    <w:aliases w:val="Bullets Char,Odlomak popisa1 Char,List Paragraph1 Char,Heading 12 Char,References Char,Akapit z listą BS Char,List Paragraph 1 Char,List Paragraph (numbered (a)) Char,Numbered Paragraph Char,Main numbered paragraph Char"/>
    <w:link w:val="ListParagraph"/>
    <w:uiPriority w:val="34"/>
    <w:rsid w:val="00D15240"/>
    <w:rPr>
      <w:rFonts w:ascii="Times New Roman" w:eastAsia="Times New Roman" w:hAnsi="Times New Roman" w:cs="Times New Roman"/>
      <w:sz w:val="24"/>
      <w:szCs w:val="24"/>
      <w:lang w:val="en-GB"/>
    </w:rPr>
  </w:style>
  <w:style w:type="character" w:customStyle="1" w:styleId="BoldEIB">
    <w:name w:val="Bold EIB"/>
    <w:basedOn w:val="DefaultParagraphFont"/>
    <w:rsid w:val="00D03909"/>
    <w:rPr>
      <w:rFonts w:ascii="Arial" w:eastAsia="Arial" w:hAnsi="Arial" w:cs="Arial"/>
      <w:b/>
      <w:sz w:val="20"/>
      <w:szCs w:val="20"/>
    </w:rPr>
  </w:style>
  <w:style w:type="character" w:styleId="CommentReference">
    <w:name w:val="annotation reference"/>
    <w:basedOn w:val="DefaultParagraphFont"/>
    <w:uiPriority w:val="99"/>
    <w:semiHidden/>
    <w:unhideWhenUsed/>
    <w:rsid w:val="008B42D0"/>
    <w:rPr>
      <w:sz w:val="16"/>
      <w:szCs w:val="16"/>
    </w:rPr>
  </w:style>
  <w:style w:type="paragraph" w:styleId="CommentText">
    <w:name w:val="annotation text"/>
    <w:basedOn w:val="Normal"/>
    <w:link w:val="CommentTextChar"/>
    <w:uiPriority w:val="99"/>
    <w:semiHidden/>
    <w:unhideWhenUsed/>
    <w:rsid w:val="008B42D0"/>
    <w:pPr>
      <w:spacing w:line="240" w:lineRule="auto"/>
    </w:pPr>
    <w:rPr>
      <w:sz w:val="20"/>
      <w:szCs w:val="20"/>
    </w:rPr>
  </w:style>
  <w:style w:type="character" w:customStyle="1" w:styleId="CommentTextChar">
    <w:name w:val="Comment Text Char"/>
    <w:basedOn w:val="DefaultParagraphFont"/>
    <w:link w:val="CommentText"/>
    <w:uiPriority w:val="99"/>
    <w:semiHidden/>
    <w:rsid w:val="008B42D0"/>
    <w:rPr>
      <w:sz w:val="20"/>
      <w:szCs w:val="20"/>
    </w:rPr>
  </w:style>
  <w:style w:type="paragraph" w:styleId="CommentSubject">
    <w:name w:val="annotation subject"/>
    <w:basedOn w:val="CommentText"/>
    <w:next w:val="CommentText"/>
    <w:link w:val="CommentSubjectChar"/>
    <w:uiPriority w:val="99"/>
    <w:semiHidden/>
    <w:unhideWhenUsed/>
    <w:rsid w:val="008B42D0"/>
    <w:rPr>
      <w:b/>
      <w:bCs/>
    </w:rPr>
  </w:style>
  <w:style w:type="character" w:customStyle="1" w:styleId="CommentSubjectChar">
    <w:name w:val="Comment Subject Char"/>
    <w:basedOn w:val="CommentTextChar"/>
    <w:link w:val="CommentSubject"/>
    <w:uiPriority w:val="99"/>
    <w:semiHidden/>
    <w:rsid w:val="008B42D0"/>
    <w:rPr>
      <w:b/>
      <w:bCs/>
      <w:sz w:val="20"/>
      <w:szCs w:val="20"/>
    </w:rPr>
  </w:style>
  <w:style w:type="paragraph" w:styleId="FootnoteText">
    <w:name w:val="footnote text"/>
    <w:basedOn w:val="Normal"/>
    <w:link w:val="FootnoteTextChar"/>
    <w:uiPriority w:val="99"/>
    <w:semiHidden/>
    <w:unhideWhenUsed/>
    <w:rsid w:val="00BB5F1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BB5F16"/>
    <w:rPr>
      <w:sz w:val="20"/>
      <w:szCs w:val="20"/>
      <w:lang w:val="en-US"/>
    </w:rPr>
  </w:style>
  <w:style w:type="character" w:styleId="FootnoteReference">
    <w:name w:val="footnote reference"/>
    <w:basedOn w:val="DefaultParagraphFont"/>
    <w:uiPriority w:val="99"/>
    <w:semiHidden/>
    <w:unhideWhenUsed/>
    <w:rsid w:val="00BB5F16"/>
    <w:rPr>
      <w:vertAlign w:val="superscript"/>
    </w:rPr>
  </w:style>
  <w:style w:type="paragraph" w:styleId="Header">
    <w:name w:val="header"/>
    <w:basedOn w:val="Normal"/>
    <w:link w:val="HeaderChar"/>
    <w:uiPriority w:val="99"/>
    <w:unhideWhenUsed/>
    <w:rsid w:val="00EE46F9"/>
    <w:pPr>
      <w:tabs>
        <w:tab w:val="center" w:pos="4536"/>
        <w:tab w:val="right" w:pos="9072"/>
      </w:tabs>
      <w:spacing w:line="240" w:lineRule="auto"/>
    </w:pPr>
  </w:style>
  <w:style w:type="character" w:customStyle="1" w:styleId="HeaderChar">
    <w:name w:val="Header Char"/>
    <w:basedOn w:val="DefaultParagraphFont"/>
    <w:link w:val="Header"/>
    <w:uiPriority w:val="99"/>
    <w:rsid w:val="00EE46F9"/>
  </w:style>
  <w:style w:type="paragraph" w:styleId="Footer">
    <w:name w:val="footer"/>
    <w:basedOn w:val="Normal"/>
    <w:link w:val="FooterChar"/>
    <w:uiPriority w:val="99"/>
    <w:unhideWhenUsed/>
    <w:rsid w:val="00EE46F9"/>
    <w:pPr>
      <w:tabs>
        <w:tab w:val="center" w:pos="4536"/>
        <w:tab w:val="right" w:pos="9072"/>
      </w:tabs>
      <w:spacing w:line="240" w:lineRule="auto"/>
    </w:pPr>
  </w:style>
  <w:style w:type="character" w:customStyle="1" w:styleId="FooterChar">
    <w:name w:val="Footer Char"/>
    <w:basedOn w:val="DefaultParagraphFont"/>
    <w:link w:val="Footer"/>
    <w:uiPriority w:val="99"/>
    <w:rsid w:val="00EE46F9"/>
  </w:style>
  <w:style w:type="paragraph" w:styleId="BodyTextIndent3">
    <w:name w:val="Body Text Indent 3"/>
    <w:basedOn w:val="Normal"/>
    <w:link w:val="BodyTextIndent3Char"/>
    <w:unhideWhenUsed/>
    <w:rsid w:val="006E431A"/>
    <w:pPr>
      <w:spacing w:after="120" w:line="240" w:lineRule="auto"/>
      <w:ind w:left="283"/>
    </w:pPr>
    <w:rPr>
      <w:rFonts w:ascii="Times New Roman" w:eastAsia="Times New Roman" w:hAnsi="Times New Roman" w:cs="Times New Roman"/>
      <w:sz w:val="16"/>
      <w:szCs w:val="16"/>
      <w:lang w:eastAsia="hr-HR"/>
    </w:rPr>
  </w:style>
  <w:style w:type="character" w:customStyle="1" w:styleId="BodyTextIndent3Char">
    <w:name w:val="Body Text Indent 3 Char"/>
    <w:basedOn w:val="DefaultParagraphFont"/>
    <w:link w:val="BodyTextIndent3"/>
    <w:rsid w:val="006E431A"/>
    <w:rPr>
      <w:rFonts w:ascii="Times New Roman" w:eastAsia="Times New Roman" w:hAnsi="Times New Roman" w:cs="Times New Roman"/>
      <w:sz w:val="16"/>
      <w:szCs w:val="16"/>
      <w:lang w:eastAsia="hr-HR"/>
    </w:rPr>
  </w:style>
  <w:style w:type="paragraph" w:styleId="NoSpacing">
    <w:name w:val="No Spacing"/>
    <w:uiPriority w:val="1"/>
    <w:qFormat/>
    <w:rsid w:val="006E431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3FAB-5F4C-4607-A6B7-FF049EAE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5961</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HEP</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Sučić Funko</dc:creator>
  <cp:lastModifiedBy>Domagoj Dodig</cp:lastModifiedBy>
  <cp:revision>2</cp:revision>
  <cp:lastPrinted>2021-12-02T11:58:00Z</cp:lastPrinted>
  <dcterms:created xsi:type="dcterms:W3CDTF">2021-12-21T08:00:00Z</dcterms:created>
  <dcterms:modified xsi:type="dcterms:W3CDTF">2021-12-21T08:00:00Z</dcterms:modified>
</cp:coreProperties>
</file>