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E90C" w14:textId="600916EF" w:rsidR="00E61F4C" w:rsidRPr="00E61F4C" w:rsidRDefault="00E61F4C" w:rsidP="00E61F4C">
      <w:pPr>
        <w:spacing w:line="276" w:lineRule="auto"/>
        <w:jc w:val="center"/>
        <w:rPr>
          <w:rFonts w:eastAsia="Calibri"/>
        </w:rPr>
      </w:pPr>
      <w:bookmarkStart w:id="0" w:name="_GoBack"/>
      <w:bookmarkEnd w:id="0"/>
      <w:r w:rsidRPr="001C18CC">
        <w:rPr>
          <w:noProof/>
        </w:rPr>
        <w:drawing>
          <wp:inline distT="0" distB="0" distL="0" distR="0" wp14:anchorId="5B428714" wp14:editId="224502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fldChar w:fldCharType="begin"/>
      </w:r>
      <w:r w:rsidRPr="001C18CC">
        <w:instrText xml:space="preserve"> INCLUDEPICTURE "http://www.inet.hr/~box/images/grb-rh.gif" \* MERGEFORMATINET </w:instrText>
      </w:r>
      <w:r w:rsidRPr="001C18CC">
        <w:fldChar w:fldCharType="end"/>
      </w:r>
    </w:p>
    <w:p w14:paraId="0FCA9719" w14:textId="59071AD7" w:rsidR="00F76901" w:rsidRPr="001C18CC" w:rsidRDefault="00E61F4C" w:rsidP="00F76901">
      <w:pPr>
        <w:spacing w:before="60" w:after="1680"/>
        <w:jc w:val="center"/>
      </w:pPr>
      <w:r w:rsidRPr="001C18CC">
        <w:t>VLADA REPUBLIKE HRVATSKE</w:t>
      </w:r>
    </w:p>
    <w:p w14:paraId="2C61179A" w14:textId="3ED42B49" w:rsidR="00E61F4C" w:rsidRPr="00095AF5" w:rsidRDefault="00E61F4C" w:rsidP="00E61F4C">
      <w:pPr>
        <w:spacing w:after="2400"/>
        <w:jc w:val="right"/>
      </w:pPr>
      <w:r w:rsidRPr="00095AF5">
        <w:t>Zagreb,</w:t>
      </w:r>
      <w:r>
        <w:t xml:space="preserve"> 30. prosinca</w:t>
      </w:r>
      <w:r w:rsidRPr="00095AF5">
        <w:t xml:space="preserve"> 2021.</w:t>
      </w:r>
    </w:p>
    <w:p w14:paraId="23D33801" w14:textId="77777777" w:rsidR="00E61F4C" w:rsidRPr="00095AF5" w:rsidRDefault="00E61F4C" w:rsidP="00E61F4C">
      <w:pPr>
        <w:jc w:val="both"/>
      </w:pPr>
      <w:r w:rsidRPr="00095AF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1F4C" w:rsidRPr="00095AF5" w14:paraId="210F822F" w14:textId="77777777" w:rsidTr="006750A4">
        <w:tc>
          <w:tcPr>
            <w:tcW w:w="1951" w:type="dxa"/>
          </w:tcPr>
          <w:p w14:paraId="791835A8" w14:textId="77777777" w:rsidR="00E61F4C" w:rsidRPr="00095AF5" w:rsidRDefault="00E61F4C" w:rsidP="006750A4">
            <w:pPr>
              <w:spacing w:line="360" w:lineRule="auto"/>
            </w:pPr>
            <w:r w:rsidRPr="00095AF5">
              <w:rPr>
                <w:b/>
                <w:smallCaps/>
              </w:rPr>
              <w:t>Predlagatelj</w:t>
            </w:r>
            <w:r w:rsidRPr="00095AF5">
              <w:rPr>
                <w:b/>
              </w:rPr>
              <w:t>:</w:t>
            </w:r>
          </w:p>
        </w:tc>
        <w:tc>
          <w:tcPr>
            <w:tcW w:w="7229" w:type="dxa"/>
          </w:tcPr>
          <w:p w14:paraId="30CF702F" w14:textId="77777777" w:rsidR="00E61F4C" w:rsidRPr="00095AF5" w:rsidRDefault="00E61F4C" w:rsidP="006750A4">
            <w:pPr>
              <w:spacing w:line="360" w:lineRule="auto"/>
            </w:pPr>
            <w:r w:rsidRPr="00095AF5">
              <w:t xml:space="preserve">Ministarstvo </w:t>
            </w:r>
            <w:r>
              <w:t xml:space="preserve">pravosuđa i </w:t>
            </w:r>
            <w:r w:rsidRPr="00095AF5">
              <w:t>uprave</w:t>
            </w:r>
          </w:p>
        </w:tc>
      </w:tr>
    </w:tbl>
    <w:p w14:paraId="6B020702" w14:textId="77777777" w:rsidR="00E61F4C" w:rsidRPr="00095AF5" w:rsidRDefault="00E61F4C" w:rsidP="00E61F4C">
      <w:pPr>
        <w:jc w:val="both"/>
      </w:pPr>
      <w:r w:rsidRPr="00095AF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1F4C" w:rsidRPr="00095AF5" w14:paraId="6C27955B" w14:textId="77777777" w:rsidTr="006750A4">
        <w:tc>
          <w:tcPr>
            <w:tcW w:w="1951" w:type="dxa"/>
          </w:tcPr>
          <w:p w14:paraId="47D3D1EF" w14:textId="77777777" w:rsidR="00E61F4C" w:rsidRPr="00095AF5" w:rsidRDefault="00E61F4C" w:rsidP="006750A4">
            <w:pPr>
              <w:spacing w:line="360" w:lineRule="auto"/>
            </w:pPr>
            <w:r w:rsidRPr="00095AF5">
              <w:rPr>
                <w:b/>
                <w:smallCaps/>
              </w:rPr>
              <w:t>Predmet</w:t>
            </w:r>
            <w:r w:rsidRPr="00095AF5">
              <w:rPr>
                <w:b/>
              </w:rPr>
              <w:t>:</w:t>
            </w:r>
          </w:p>
        </w:tc>
        <w:tc>
          <w:tcPr>
            <w:tcW w:w="7229" w:type="dxa"/>
          </w:tcPr>
          <w:p w14:paraId="2429A18E" w14:textId="5FDE88EF" w:rsidR="00E61F4C" w:rsidRPr="00095AF5" w:rsidRDefault="003C43BF" w:rsidP="006750A4">
            <w:pPr>
              <w:spacing w:line="360" w:lineRule="auto"/>
              <w:jc w:val="both"/>
            </w:pPr>
            <w:r>
              <w:t>Prijedlog zaključka o prihvaćanju Detaljnog</w:t>
            </w:r>
            <w:r w:rsidR="00E61F4C">
              <w:t xml:space="preserve"> plan</w:t>
            </w:r>
            <w:r>
              <w:t>a</w:t>
            </w:r>
            <w:r w:rsidR="00E61F4C">
              <w:t xml:space="preserve"> izlaganja na javni uvid podataka prikupljenih katastarskom izmjerom, osnivanja, obnove i otvaranja zemljišnih knjiga</w:t>
            </w:r>
          </w:p>
        </w:tc>
      </w:tr>
    </w:tbl>
    <w:p w14:paraId="4599BCEB" w14:textId="77777777" w:rsidR="00E61F4C" w:rsidRPr="00095AF5" w:rsidRDefault="00E61F4C" w:rsidP="00E61F4C">
      <w:pPr>
        <w:jc w:val="both"/>
      </w:pPr>
      <w:r w:rsidRPr="00095AF5">
        <w:t>__________________________________________________________________________</w:t>
      </w:r>
    </w:p>
    <w:p w14:paraId="35F15CC3" w14:textId="77777777" w:rsidR="00E61F4C" w:rsidRPr="00095AF5" w:rsidRDefault="00E61F4C" w:rsidP="00E61F4C">
      <w:pPr>
        <w:jc w:val="both"/>
      </w:pPr>
    </w:p>
    <w:p w14:paraId="07807312" w14:textId="77777777" w:rsidR="00E61F4C" w:rsidRPr="00095AF5" w:rsidRDefault="00E61F4C" w:rsidP="00E61F4C">
      <w:pPr>
        <w:jc w:val="both"/>
      </w:pPr>
    </w:p>
    <w:p w14:paraId="65CB1EED" w14:textId="77777777" w:rsidR="00E61F4C" w:rsidRPr="001C18CC" w:rsidRDefault="00E61F4C" w:rsidP="00E61F4C">
      <w:pPr>
        <w:jc w:val="both"/>
      </w:pPr>
    </w:p>
    <w:p w14:paraId="3C6E5C70" w14:textId="77777777" w:rsidR="00E61F4C" w:rsidRDefault="00E61F4C" w:rsidP="00E61F4C"/>
    <w:p w14:paraId="70DD1591" w14:textId="77777777" w:rsidR="00E61F4C" w:rsidRDefault="00E61F4C" w:rsidP="00E61F4C"/>
    <w:p w14:paraId="6C91568E" w14:textId="75CFF66B" w:rsidR="00E61F4C" w:rsidRDefault="00E61F4C" w:rsidP="00E61F4C"/>
    <w:p w14:paraId="0720387F" w14:textId="3CD9D68B" w:rsidR="00E61F4C" w:rsidRDefault="00E61F4C" w:rsidP="00E61F4C"/>
    <w:p w14:paraId="556D3B91" w14:textId="5A9318CB" w:rsidR="00E61F4C" w:rsidRDefault="00E61F4C" w:rsidP="00E61F4C"/>
    <w:p w14:paraId="582B0BE5" w14:textId="06743C77" w:rsidR="00E61F4C" w:rsidRDefault="00E61F4C" w:rsidP="00E61F4C"/>
    <w:p w14:paraId="344066C4" w14:textId="25B33643" w:rsidR="00E61F4C" w:rsidRDefault="00E61F4C" w:rsidP="00E61F4C"/>
    <w:p w14:paraId="67355FA3" w14:textId="2090FAB1" w:rsidR="00E61F4C" w:rsidRDefault="00E61F4C" w:rsidP="00E61F4C"/>
    <w:p w14:paraId="74EE0C39" w14:textId="34D5CFC8" w:rsidR="00F76901" w:rsidRDefault="00F76901" w:rsidP="00E61F4C"/>
    <w:p w14:paraId="0990E940" w14:textId="5D72BA45" w:rsidR="00F76901" w:rsidRDefault="00F76901" w:rsidP="00E61F4C"/>
    <w:p w14:paraId="34AD9B68" w14:textId="086BA9A1" w:rsidR="00F76901" w:rsidRDefault="00F76901" w:rsidP="00E61F4C"/>
    <w:p w14:paraId="6E8E6675" w14:textId="3E756DA8" w:rsidR="00F76901" w:rsidRDefault="00F76901" w:rsidP="00E61F4C"/>
    <w:p w14:paraId="331BDE71" w14:textId="2EA6206E" w:rsidR="00F76901" w:rsidRDefault="00F76901" w:rsidP="00E61F4C"/>
    <w:p w14:paraId="51790965" w14:textId="2B6A4906" w:rsidR="00E61F4C" w:rsidRDefault="00E61F4C" w:rsidP="00E61F4C"/>
    <w:p w14:paraId="5F5A1788" w14:textId="1E45A7A2" w:rsidR="00E61F4C" w:rsidRDefault="00E61F4C" w:rsidP="00E61F4C"/>
    <w:p w14:paraId="41226F5F" w14:textId="522997BF" w:rsidR="00E61F4C" w:rsidRPr="001C18CC" w:rsidRDefault="00E61F4C" w:rsidP="00E61F4C"/>
    <w:p w14:paraId="503FA358" w14:textId="7115E932" w:rsidR="00E61F4C" w:rsidRPr="00E61F4C" w:rsidRDefault="00E61F4C" w:rsidP="00E61F4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1C18CC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7FE823AC" w14:textId="5EE77A8A" w:rsidR="00545E0F" w:rsidRDefault="00F76901" w:rsidP="000C2B7E">
      <w:pPr>
        <w:spacing w:after="160" w:line="259" w:lineRule="auto"/>
        <w:ind w:left="7080" w:firstLine="708"/>
        <w:rPr>
          <w:rFonts w:eastAsia="Calibri"/>
        </w:rPr>
      </w:pPr>
      <w:r>
        <w:rPr>
          <w:rFonts w:eastAsia="Calibri"/>
        </w:rPr>
        <w:br w:type="page"/>
      </w:r>
      <w:r w:rsidR="00545E0F">
        <w:rPr>
          <w:rFonts w:eastAsia="Calibri"/>
        </w:rPr>
        <w:lastRenderedPageBreak/>
        <w:t xml:space="preserve">PRIJEDLOG </w:t>
      </w:r>
    </w:p>
    <w:p w14:paraId="14C3F5D8" w14:textId="77777777" w:rsidR="00E61F4C" w:rsidRDefault="00E61F4C" w:rsidP="00545E0F">
      <w:pPr>
        <w:spacing w:line="276" w:lineRule="auto"/>
        <w:jc w:val="right"/>
        <w:rPr>
          <w:rFonts w:eastAsia="Calibri"/>
        </w:rPr>
      </w:pPr>
    </w:p>
    <w:p w14:paraId="7FE823AD" w14:textId="77777777" w:rsidR="00545E0F" w:rsidRDefault="00545E0F" w:rsidP="00545E0F">
      <w:pPr>
        <w:spacing w:line="276" w:lineRule="auto"/>
        <w:jc w:val="right"/>
        <w:rPr>
          <w:rFonts w:eastAsia="Calibri"/>
        </w:rPr>
      </w:pPr>
    </w:p>
    <w:p w14:paraId="7FE823AE" w14:textId="0DB1C67F" w:rsidR="00545E0F" w:rsidRDefault="00545E0F" w:rsidP="00E61F4C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Na temelju članka 31. stavka 3. Zakona o Vladi Republike Hrvatske (Narodne novine, broj 150/11, 119/14, 93/16 i 116/18) Vlada Republike Hrvatske je na sjednici održanoj ____________ 2021. donijela</w:t>
      </w:r>
    </w:p>
    <w:p w14:paraId="5A5663D5" w14:textId="301ADAA5" w:rsidR="00E61F4C" w:rsidRDefault="00E61F4C" w:rsidP="00E61F4C">
      <w:pPr>
        <w:spacing w:line="276" w:lineRule="auto"/>
        <w:ind w:firstLine="708"/>
        <w:jc w:val="both"/>
        <w:rPr>
          <w:rFonts w:eastAsia="Calibri"/>
        </w:rPr>
      </w:pPr>
    </w:p>
    <w:p w14:paraId="7FE823AF" w14:textId="77777777" w:rsidR="00545E0F" w:rsidRPr="00E61F4C" w:rsidRDefault="00545E0F" w:rsidP="00545E0F">
      <w:pPr>
        <w:spacing w:line="276" w:lineRule="auto"/>
        <w:jc w:val="both"/>
        <w:rPr>
          <w:rFonts w:eastAsia="Calibri"/>
          <w:b/>
        </w:rPr>
      </w:pPr>
    </w:p>
    <w:p w14:paraId="7FE823B0" w14:textId="40523012" w:rsidR="00545E0F" w:rsidRPr="00E61F4C" w:rsidRDefault="00545E0F" w:rsidP="00545E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 w:rsidRPr="00E61F4C">
        <w:rPr>
          <w:rFonts w:eastAsia="Calibri"/>
          <w:b/>
          <w:bCs/>
        </w:rPr>
        <w:t>Z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A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K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L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J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U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Č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A</w:t>
      </w:r>
      <w:r w:rsidR="00E61F4C">
        <w:rPr>
          <w:rFonts w:eastAsia="Calibri"/>
          <w:b/>
          <w:bCs/>
        </w:rPr>
        <w:t xml:space="preserve"> </w:t>
      </w:r>
      <w:r w:rsidRPr="00E61F4C">
        <w:rPr>
          <w:rFonts w:eastAsia="Calibri"/>
          <w:b/>
          <w:bCs/>
        </w:rPr>
        <w:t>K</w:t>
      </w:r>
    </w:p>
    <w:p w14:paraId="7FE823B1" w14:textId="77777777" w:rsidR="00545E0F" w:rsidRDefault="00545E0F" w:rsidP="00545E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</w:rPr>
      </w:pPr>
    </w:p>
    <w:p w14:paraId="7FE823B2" w14:textId="4C73B349" w:rsidR="00545E0F" w:rsidRDefault="00545E0F" w:rsidP="00545E0F">
      <w:pPr>
        <w:spacing w:line="276" w:lineRule="auto"/>
        <w:jc w:val="both"/>
      </w:pPr>
      <w:r>
        <w:rPr>
          <w:rFonts w:eastAsia="Calibri"/>
          <w:bCs/>
        </w:rPr>
        <w:t>1.</w:t>
      </w:r>
      <w:r>
        <w:t xml:space="preserve"> Prihvaća se Detaljni plan izlaganja na javni uvid podataka prikupljenih katastarskom izmjerom, osnivanja, obnove i otvaranja zemljišnih knjiga (u daljnjem tekstu: Detaljni plan), u tekstu koji je Vladi Republike Hrvatske dostavilo Ministarstvo pravosuđa i</w:t>
      </w:r>
      <w:r w:rsidR="00E61F4C">
        <w:t xml:space="preserve"> uprave aktom KLASA: 011-02/21-01/177</w:t>
      </w:r>
      <w:r>
        <w:t>, URBROJ:</w:t>
      </w:r>
      <w:r w:rsidR="00E61F4C">
        <w:t xml:space="preserve"> 514-04-03-01-0102-21-10 od 15. prosinca </w:t>
      </w:r>
      <w:r>
        <w:t>2021., a u svrhu provedbe mjera iz Nacionalnog plana oporavka i otpornosti 2021.-2026. s ciljem usklađenja podataka u zemljišnoj knjizi i katastru.</w:t>
      </w:r>
    </w:p>
    <w:p w14:paraId="7FE823B3" w14:textId="77777777" w:rsidR="00545E0F" w:rsidRDefault="00545E0F" w:rsidP="00545E0F">
      <w:pPr>
        <w:spacing w:line="276" w:lineRule="auto"/>
        <w:jc w:val="both"/>
      </w:pPr>
      <w:r>
        <w:rPr>
          <w:shd w:val="clear" w:color="auto" w:fill="FFFFFF"/>
        </w:rPr>
        <w:t xml:space="preserve"> </w:t>
      </w:r>
    </w:p>
    <w:p w14:paraId="7FE823B4" w14:textId="77777777" w:rsidR="00545E0F" w:rsidRDefault="00545E0F" w:rsidP="00545E0F">
      <w:pPr>
        <w:spacing w:line="276" w:lineRule="auto"/>
        <w:jc w:val="both"/>
      </w:pPr>
      <w:r>
        <w:t>2. Zadužuju se Ministarstvo pravosuđa i uprave te Državna geodetska uprava osigurati provedbu i praćenje provedbe Detaljnog plana.</w:t>
      </w:r>
    </w:p>
    <w:p w14:paraId="7FE823B5" w14:textId="77777777" w:rsidR="00545E0F" w:rsidRDefault="00545E0F" w:rsidP="00545E0F">
      <w:pPr>
        <w:spacing w:line="276" w:lineRule="auto"/>
        <w:jc w:val="both"/>
      </w:pPr>
    </w:p>
    <w:p w14:paraId="7FE823B6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  <w:r>
        <w:t>3</w:t>
      </w:r>
      <w:r>
        <w:rPr>
          <w:rFonts w:eastAsia="Calibri"/>
          <w:lang w:eastAsia="en-US"/>
        </w:rPr>
        <w:t xml:space="preserve">. Sredstva potrebna za provedbu Detaljnog plana za Državnu geodetsku upravu osigurana su u Prijedlogu Financijskog plana za razdoblje 2022.-2024. u okviru razdjela 076 Ministarstva prostornoga uređenja, graditeljstva i državne imovine. Sredstva potrebna za provedbu Detaljnog plana za Ministarstvo pravosuđa i uprave nisu planirana u okviru limita ukupnih rashoda u Prijedlogu Financijskog plana 2022.-2024. te će se osigurati preraspodjelom u okviru limita ukupnih rashoda Ministarstva pravosuđa i uprave utvrđenih Smjernicama ekonomske i fiskalne politike za razdoblje 2022.-2024. i sufinanciranjem troškova plaća sudskih savjetnika i zemljišnoknjižnih referenata od strane jedinica lokalne, područne (regionalne) samouprave.   </w:t>
      </w:r>
    </w:p>
    <w:p w14:paraId="7FE823B7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</w:p>
    <w:p w14:paraId="7FE823B8" w14:textId="77777777" w:rsidR="00545E0F" w:rsidRDefault="00545E0F" w:rsidP="00545E0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14:paraId="7FE823B9" w14:textId="77777777" w:rsidR="00545E0F" w:rsidRDefault="00545E0F" w:rsidP="00545E0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KLASA:</w:t>
      </w:r>
    </w:p>
    <w:p w14:paraId="7FE823BA" w14:textId="77777777" w:rsidR="00545E0F" w:rsidRDefault="00545E0F" w:rsidP="00545E0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URBROJ:</w:t>
      </w:r>
    </w:p>
    <w:p w14:paraId="7FE823BB" w14:textId="77777777" w:rsidR="00545E0F" w:rsidRDefault="00545E0F" w:rsidP="00545E0F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Zagreb, </w:t>
      </w:r>
    </w:p>
    <w:p w14:paraId="7FE823BC" w14:textId="77777777" w:rsidR="00545E0F" w:rsidRDefault="00545E0F" w:rsidP="00545E0F">
      <w:pPr>
        <w:autoSpaceDE w:val="0"/>
        <w:autoSpaceDN w:val="0"/>
        <w:adjustRightInd w:val="0"/>
        <w:spacing w:line="276" w:lineRule="auto"/>
        <w:ind w:left="5664"/>
        <w:jc w:val="center"/>
        <w:rPr>
          <w:rFonts w:eastAsia="Calibri"/>
        </w:rPr>
      </w:pPr>
      <w:r>
        <w:rPr>
          <w:rFonts w:eastAsia="Calibri"/>
        </w:rPr>
        <w:t>PREDSJEDNIK</w:t>
      </w:r>
    </w:p>
    <w:p w14:paraId="7FE823BD" w14:textId="77777777" w:rsidR="00545E0F" w:rsidRDefault="00545E0F" w:rsidP="00545E0F">
      <w:pPr>
        <w:autoSpaceDE w:val="0"/>
        <w:autoSpaceDN w:val="0"/>
        <w:adjustRightInd w:val="0"/>
        <w:spacing w:line="276" w:lineRule="auto"/>
        <w:ind w:left="5664"/>
        <w:jc w:val="center"/>
        <w:rPr>
          <w:rFonts w:eastAsia="Calibri"/>
        </w:rPr>
      </w:pPr>
    </w:p>
    <w:p w14:paraId="7FE823BE" w14:textId="77777777" w:rsidR="00545E0F" w:rsidRDefault="00545E0F" w:rsidP="00545E0F">
      <w:pPr>
        <w:spacing w:line="276" w:lineRule="auto"/>
        <w:ind w:left="5664"/>
        <w:jc w:val="center"/>
        <w:rPr>
          <w:rFonts w:eastAsia="Calibri"/>
        </w:rPr>
      </w:pPr>
      <w:r>
        <w:rPr>
          <w:rFonts w:eastAsia="Calibri"/>
        </w:rPr>
        <w:t>mr. sc. Andrej Plenković</w:t>
      </w:r>
    </w:p>
    <w:p w14:paraId="7FE823BF" w14:textId="77777777" w:rsidR="00545E0F" w:rsidRDefault="00545E0F" w:rsidP="00545E0F">
      <w:pPr>
        <w:spacing w:line="276" w:lineRule="auto"/>
        <w:jc w:val="center"/>
      </w:pPr>
    </w:p>
    <w:p w14:paraId="7FE823C0" w14:textId="77777777" w:rsidR="00545E0F" w:rsidRDefault="00545E0F" w:rsidP="00545E0F">
      <w:pPr>
        <w:spacing w:line="276" w:lineRule="auto"/>
        <w:jc w:val="center"/>
      </w:pPr>
    </w:p>
    <w:p w14:paraId="7FE823C1" w14:textId="77777777" w:rsidR="00545E0F" w:rsidRDefault="00545E0F" w:rsidP="00545E0F">
      <w:pPr>
        <w:spacing w:line="276" w:lineRule="auto"/>
        <w:jc w:val="center"/>
      </w:pPr>
    </w:p>
    <w:p w14:paraId="7FE823C2" w14:textId="77777777" w:rsidR="00545E0F" w:rsidRDefault="00545E0F" w:rsidP="00545E0F">
      <w:pPr>
        <w:spacing w:line="276" w:lineRule="auto"/>
        <w:jc w:val="center"/>
      </w:pPr>
    </w:p>
    <w:p w14:paraId="7FE823C3" w14:textId="77777777" w:rsidR="00545E0F" w:rsidRDefault="00545E0F" w:rsidP="00545E0F">
      <w:pPr>
        <w:spacing w:line="276" w:lineRule="auto"/>
        <w:jc w:val="center"/>
      </w:pPr>
    </w:p>
    <w:p w14:paraId="7FE823C4" w14:textId="77777777" w:rsidR="00545E0F" w:rsidRDefault="00545E0F" w:rsidP="00545E0F">
      <w:pPr>
        <w:spacing w:line="276" w:lineRule="auto"/>
        <w:jc w:val="center"/>
      </w:pPr>
    </w:p>
    <w:p w14:paraId="7FE823C5" w14:textId="77777777" w:rsidR="00545E0F" w:rsidRDefault="00545E0F" w:rsidP="00545E0F">
      <w:pPr>
        <w:spacing w:line="276" w:lineRule="auto"/>
        <w:jc w:val="center"/>
      </w:pPr>
    </w:p>
    <w:p w14:paraId="70FE927E" w14:textId="77777777" w:rsidR="00E61F4C" w:rsidRDefault="00E61F4C" w:rsidP="00545E0F">
      <w:pPr>
        <w:spacing w:line="276" w:lineRule="auto"/>
        <w:jc w:val="center"/>
      </w:pPr>
    </w:p>
    <w:p w14:paraId="7FE823C9" w14:textId="7700B3CC" w:rsidR="00545E0F" w:rsidRDefault="00545E0F" w:rsidP="00545E0F">
      <w:pPr>
        <w:spacing w:line="276" w:lineRule="auto"/>
        <w:jc w:val="center"/>
      </w:pPr>
      <w:r>
        <w:t>OBRAZLOŽENJE</w:t>
      </w:r>
    </w:p>
    <w:p w14:paraId="7FE823CA" w14:textId="77777777" w:rsidR="00545E0F" w:rsidRDefault="00545E0F" w:rsidP="00545E0F">
      <w:pPr>
        <w:spacing w:line="276" w:lineRule="auto"/>
        <w:jc w:val="center"/>
      </w:pPr>
    </w:p>
    <w:p w14:paraId="7FE823CB" w14:textId="77777777" w:rsidR="00545E0F" w:rsidRDefault="00545E0F" w:rsidP="00545E0F">
      <w:pPr>
        <w:spacing w:line="276" w:lineRule="auto"/>
        <w:jc w:val="both"/>
      </w:pPr>
      <w:r>
        <w:rPr>
          <w:rFonts w:eastAsia="Calibri"/>
        </w:rPr>
        <w:t xml:space="preserve">Predloženim Zaključkom </w:t>
      </w:r>
      <w:r>
        <w:t>prihvaća se Detaljni plan izlaganja na javni uvid podataka prikupljenih katastarskom izmjerom, osnivanja, obnove i otvaranja zemljišnih knjiga (dalje: Detaljni plan).</w:t>
      </w:r>
    </w:p>
    <w:p w14:paraId="7FE823CC" w14:textId="77777777" w:rsidR="00545E0F" w:rsidRDefault="00545E0F" w:rsidP="00545E0F">
      <w:pPr>
        <w:spacing w:line="276" w:lineRule="auto"/>
        <w:jc w:val="both"/>
      </w:pPr>
    </w:p>
    <w:p w14:paraId="7FE823CD" w14:textId="77777777" w:rsidR="00545E0F" w:rsidRDefault="00545E0F" w:rsidP="00545E0F">
      <w:pPr>
        <w:jc w:val="both"/>
        <w:rPr>
          <w:bCs/>
        </w:rPr>
      </w:pPr>
      <w:r>
        <w:t xml:space="preserve">Nacionalnim planom oporavka i otpornosti 2021.-2026. predviđeno je provođenje postupaka osnivanja i obnova zemljišnih knjiga kojima se omogućuje da se podaci zemljišnih knjiga i katastara u cijelosti usklade sa stvarnim stanjem što dovodi do pojačane gospodarske aktivnosti na područjima na kojima su postupci dovršeni (mogućnost izgradnje infrastrukturnih i komunalnih objekata, uređena evidencija obveznika komunalne naknade itd.). </w:t>
      </w:r>
      <w:r>
        <w:rPr>
          <w:bCs/>
        </w:rPr>
        <w:t xml:space="preserve">Predviđenim postupcima značajno bi se povećao broj katastarskih čestica u Bazi zemljišnih podataka (BZP).  </w:t>
      </w:r>
    </w:p>
    <w:p w14:paraId="7FE823CE" w14:textId="77777777" w:rsidR="00545E0F" w:rsidRDefault="00545E0F" w:rsidP="00545E0F">
      <w:pPr>
        <w:jc w:val="both"/>
        <w:rPr>
          <w:shd w:val="clear" w:color="auto" w:fill="FFFFFF"/>
        </w:rPr>
      </w:pPr>
    </w:p>
    <w:p w14:paraId="7FE823CF" w14:textId="77777777" w:rsidR="00545E0F" w:rsidRDefault="00545E0F" w:rsidP="00545E0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Također je u Višegodišnjem programu katastarskih izmjera građevinskih područja za razdoblje od 2021. do 2030. kojega je donio Hrvatski sabor 1. listopada 2021. definiran potprogram B) Dovršetak započetih postupaka obnove katastra i zemljišnih knjiga.</w:t>
      </w:r>
    </w:p>
    <w:p w14:paraId="7FE823D0" w14:textId="77777777" w:rsidR="00545E0F" w:rsidRDefault="00545E0F" w:rsidP="00545E0F">
      <w:pPr>
        <w:jc w:val="both"/>
      </w:pPr>
    </w:p>
    <w:p w14:paraId="7FE823D1" w14:textId="77777777" w:rsidR="00545E0F" w:rsidRDefault="00545E0F" w:rsidP="00545E0F">
      <w:pPr>
        <w:spacing w:line="276" w:lineRule="auto"/>
        <w:jc w:val="both"/>
      </w:pPr>
      <w:r>
        <w:t>Od 2003. godine u Republici Hrvatskoj u postupcima osnivanja i obnove zemljišnih knjiga otvorene su zemljišne knjige za 357 katastarskih općina (u cijelosti 311 i dijelovi 46 katastarskih općina). U tijeku su postupci obnove zemljišnih knjiga za 95 katastarskih općina te postupci osnivanja zemljišnih knjiga za 26 katastarskih općina.</w:t>
      </w:r>
    </w:p>
    <w:p w14:paraId="7FE823D2" w14:textId="77777777" w:rsidR="00545E0F" w:rsidRDefault="00545E0F" w:rsidP="00545E0F">
      <w:pPr>
        <w:spacing w:line="276" w:lineRule="auto"/>
        <w:jc w:val="both"/>
      </w:pPr>
    </w:p>
    <w:p w14:paraId="7FE823D3" w14:textId="77777777" w:rsidR="00545E0F" w:rsidRDefault="00545E0F" w:rsidP="00545E0F">
      <w:pPr>
        <w:spacing w:line="276" w:lineRule="auto"/>
        <w:jc w:val="both"/>
      </w:pPr>
      <w:r>
        <w:t>Detaljnim planom izlaganja na javni uvid podataka prikupljenih katastarskom izmjerom, osnivanja i obnove zemljišnih knjiga iz 2018. godine je u potpunosti dovršeno 8 k.o., 11 k.o. je u postotku dovršenosti do 50%, a 19 k.o. do 99 % dovršenosti,  te 49 k.o. nije započelo s postupkom obnove zemljišne knjige. Ukupan postotak dovršenosti cjelokupnog Detaljnog plana iz 2018. godine iznosi oko 30 %.</w:t>
      </w:r>
    </w:p>
    <w:p w14:paraId="7FE823D4" w14:textId="77777777" w:rsidR="00545E0F" w:rsidRDefault="00545E0F" w:rsidP="00545E0F">
      <w:pPr>
        <w:spacing w:line="276" w:lineRule="auto"/>
        <w:jc w:val="both"/>
      </w:pPr>
    </w:p>
    <w:p w14:paraId="7FE823D5" w14:textId="77777777" w:rsidR="00545E0F" w:rsidRDefault="00545E0F" w:rsidP="00545E0F">
      <w:pPr>
        <w:spacing w:line="276" w:lineRule="auto"/>
        <w:jc w:val="both"/>
      </w:pPr>
      <w:r>
        <w:t>U Detaljnom planu predviđeni su postupci osnivanja ili obnove zemljišne knjige za 69 k.o. iz Detaljnog plana iz 2018., kao nastavak započetih postupaka.</w:t>
      </w:r>
    </w:p>
    <w:p w14:paraId="7FE823D6" w14:textId="77777777" w:rsidR="00545E0F" w:rsidRDefault="00545E0F" w:rsidP="00545E0F">
      <w:pPr>
        <w:spacing w:line="276" w:lineRule="auto"/>
        <w:jc w:val="both"/>
      </w:pPr>
      <w:r>
        <w:t>Usporedno s Detaljnim planom iz 2018. od 1. siječnja 2019. do danas otvorene su zemljišne knjige za 83 katastarske općine.</w:t>
      </w:r>
    </w:p>
    <w:p w14:paraId="7FE823D7" w14:textId="77777777" w:rsidR="00545E0F" w:rsidRDefault="00545E0F" w:rsidP="00545E0F">
      <w:pPr>
        <w:spacing w:line="276" w:lineRule="auto"/>
        <w:jc w:val="both"/>
      </w:pPr>
    </w:p>
    <w:p w14:paraId="7FE823D8" w14:textId="77777777" w:rsidR="00545E0F" w:rsidRDefault="00545E0F" w:rsidP="00545E0F">
      <w:pPr>
        <w:spacing w:line="276" w:lineRule="auto"/>
        <w:jc w:val="both"/>
      </w:pPr>
      <w:r>
        <w:t xml:space="preserve">Detaljnim planom predviđeni su postupci obnove zemljišne knjige za 94 k.o., a koji postupci su trenutno u tijeku te za 72 k.o. za koje je dovršena katastarska izmjera i potvrđen elaborat katastarske izmjere, a postupak osnivanja ili obnove zemljišne knjige nije započeo. </w:t>
      </w:r>
    </w:p>
    <w:p w14:paraId="7FE823D9" w14:textId="77777777" w:rsidR="00545E0F" w:rsidRDefault="00545E0F" w:rsidP="00545E0F">
      <w:pPr>
        <w:spacing w:line="276" w:lineRule="auto"/>
        <w:jc w:val="both"/>
      </w:pPr>
    </w:p>
    <w:p w14:paraId="7FE823DA" w14:textId="77777777" w:rsidR="00545E0F" w:rsidRDefault="00545E0F" w:rsidP="00545E0F">
      <w:pPr>
        <w:spacing w:line="276" w:lineRule="auto"/>
        <w:jc w:val="both"/>
      </w:pPr>
      <w:r>
        <w:t>Digitalizacijom postupaka i izmjenama odredbi Zakona o zemljišnim knjigama (Narodne novine, broj 63/19, dalje: ZZK) koje se odnose na postupke osnivanja, obnove i dopune zemljišne knjige, postupci se dodatno ubrzavaju i pojednostavljuju.</w:t>
      </w:r>
    </w:p>
    <w:p w14:paraId="7FE823DB" w14:textId="77777777" w:rsidR="00545E0F" w:rsidRDefault="00545E0F" w:rsidP="00545E0F">
      <w:pPr>
        <w:spacing w:line="276" w:lineRule="auto"/>
        <w:jc w:val="both"/>
        <w:rPr>
          <w:rFonts w:eastAsia="Calibri"/>
        </w:rPr>
      </w:pPr>
      <w:r>
        <w:t xml:space="preserve"> </w:t>
      </w:r>
    </w:p>
    <w:p w14:paraId="7FE823DC" w14:textId="77777777" w:rsidR="00545E0F" w:rsidRDefault="00545E0F" w:rsidP="00545E0F">
      <w:pPr>
        <w:spacing w:line="276" w:lineRule="auto"/>
        <w:ind w:left="14" w:right="14"/>
        <w:jc w:val="both"/>
      </w:pPr>
      <w:r>
        <w:t xml:space="preserve">Ministarstvo pravosuđa i uprave te Državna geodetska uprava su proveli analizu stanja na zemljišnoknjižnim odjelima i katastarskim uredima te su utvrdili da je za provedbu Detaljnog plana potrebno osigurati dodatno zapošljavanje na određeno vrijeme za </w:t>
      </w:r>
      <w:r>
        <w:rPr>
          <w:rFonts w:eastAsia="Calibri"/>
        </w:rPr>
        <w:t xml:space="preserve">21 zemljišnoknjižnog </w:t>
      </w:r>
      <w:r>
        <w:rPr>
          <w:rFonts w:eastAsia="Calibri"/>
        </w:rPr>
        <w:lastRenderedPageBreak/>
        <w:t>referenta, 10 viših zemljišnoknjižnih referenata, 119 sudskih savjetnika i 1</w:t>
      </w:r>
      <w:r>
        <w:t xml:space="preserve">50 geodetsko-katastarskih službenika. </w:t>
      </w:r>
    </w:p>
    <w:p w14:paraId="7FE823DD" w14:textId="77777777" w:rsidR="00545E0F" w:rsidRDefault="00545E0F" w:rsidP="00545E0F">
      <w:pPr>
        <w:spacing w:line="276" w:lineRule="auto"/>
        <w:jc w:val="both"/>
      </w:pPr>
      <w:r>
        <w:t xml:space="preserve">Sukladno članku 184. stavcima 1. i 2. ZZK-a raspravu za postupak sastavljanja uložaka, kao i sve radnje koje prethode raspravi za sastavljanje uložaka zemljišne knjige koja se osniva ili obnavlja provode ovlašteni zemljišnoknjižni referent ili sudski savjetnik. </w:t>
      </w:r>
    </w:p>
    <w:p w14:paraId="7FE823DE" w14:textId="77777777" w:rsidR="00545E0F" w:rsidRDefault="00545E0F" w:rsidP="00545E0F">
      <w:pPr>
        <w:spacing w:line="276" w:lineRule="auto"/>
        <w:jc w:val="both"/>
      </w:pPr>
    </w:p>
    <w:p w14:paraId="7FE823DF" w14:textId="77777777" w:rsidR="00545E0F" w:rsidRDefault="00545E0F" w:rsidP="00545E0F">
      <w:pPr>
        <w:spacing w:line="276" w:lineRule="auto"/>
        <w:jc w:val="both"/>
      </w:pPr>
      <w:r>
        <w:t>Prema  članku 184. stavku 3. ZZK-a propisano je da se rasprava za postupak sastavljanja uloška zemljišne knjige neće provoditi kada su podaci zemljišne knjige istovjetni s podacima prikupljenim u katastarskoj izmjeri ili tehničkoj reambulaciji odnosno istovjetni s podacima postojećeg katastarskog operata koji je u službenoj uporabi.</w:t>
      </w:r>
    </w:p>
    <w:p w14:paraId="7FE823E0" w14:textId="77777777" w:rsidR="00545E0F" w:rsidRDefault="00545E0F" w:rsidP="00545E0F">
      <w:pPr>
        <w:spacing w:line="276" w:lineRule="auto"/>
        <w:jc w:val="both"/>
      </w:pPr>
    </w:p>
    <w:p w14:paraId="7FE823E1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Uz navedeno, Pravilnikom o izlaganju na javni uvid elaborata katastarske izmjere (Narodne novine, broj 59/20) propisani su postupci i detaljno opisane radnje koje  omogućavaju učinkovitije izlaganje na javni uvid.</w:t>
      </w:r>
    </w:p>
    <w:p w14:paraId="7FE823E2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</w:p>
    <w:p w14:paraId="7FE823E3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Također, sukladno članku 233. ZZK-a poslovi osnivanja, obnove i dopune zemljišnih knjiga su poslovi od interesa za Republiku Hrvatsku i financiraju se iz sredstava proračuna i (ili) drugih izvora, a sve temeljem odluke o osnivanju ili obnovi zemljišne knjige za određenu katastarsku općinu koju u skladu sa ZZK-om donosi ministar nadležan za poslove pravosuđa (članak 185. ZZK-a).</w:t>
      </w:r>
    </w:p>
    <w:p w14:paraId="7FE823E4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</w:p>
    <w:p w14:paraId="7FE823E5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Financijska sredstva za provedbu postupaka i osnivanja zemljišne knjige osiguravaju se sporazumom sklopljenim između ministarstva nadležnog za poslove pravosuđa i jedinice lokalne, područne (regionalne) samouprave, pravne osobe koje upravljaju javnim dobrom u općoj uporabi ili pravne osobe koje obavljaju djelatnosti određene posebnim zakonima kao javne usluge, a sve temeljem članka 233. stavka 3. ZZK-a. Sporazumom se osiguravaju sredstva za financiranje materijalnih troškova postupaka osnivanja ili obnove zemljišnih knjiga. Jedinice lokalne, područne (regionalne) samouprave financiraju troškove na postupcima osnivanja i obnove zemljišne knjige, a uzimajući u obzir da postoji veliki interes navedenih jedinica za sufinanciranjem predmetnih postupaka, dodatnim zapošljavanjem državnih službenika na određeno vrijeme temeljem Detaljnog plana proveli bi se postupci osnivanja i obnove zemljišne knjige za svih 166 katastarskih općina. Također, Zakonom o državnoj izmjeri i katastru nekretnina (Narodne novine, broj 112/18) člankom 8. propisana je mogućnost financiranja troškova od strane jedinica lokalne, područne (regionalne) samouprave, na temelju provedbe višegodišnjih i godišnjih programa katastarskih izmjera.</w:t>
      </w:r>
    </w:p>
    <w:p w14:paraId="7FE823E6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</w:p>
    <w:p w14:paraId="7FE823E7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Člankom 61. stavcima 5. i 6. Zakona o državnim službenicima (Narodne novine, broj </w:t>
      </w:r>
      <w:hyperlink r:id="rId9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92/05</w:t>
        </w:r>
      </w:hyperlink>
      <w:r w:rsidRPr="00545E0F">
        <w:rPr>
          <w:rFonts w:eastAsia="Calibri"/>
          <w:lang w:eastAsia="en-US"/>
        </w:rPr>
        <w:t>, </w:t>
      </w:r>
      <w:hyperlink r:id="rId10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140/05</w:t>
        </w:r>
      </w:hyperlink>
      <w:r w:rsidRPr="00545E0F">
        <w:rPr>
          <w:rFonts w:eastAsia="Calibri"/>
          <w:lang w:eastAsia="en-US"/>
        </w:rPr>
        <w:t>, </w:t>
      </w:r>
      <w:hyperlink r:id="rId11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142/06</w:t>
        </w:r>
      </w:hyperlink>
      <w:r w:rsidRPr="00545E0F">
        <w:rPr>
          <w:rFonts w:eastAsia="Calibri"/>
          <w:lang w:eastAsia="en-US"/>
        </w:rPr>
        <w:t>, </w:t>
      </w:r>
      <w:hyperlink r:id="rId12" w:history="1">
        <w:r w:rsidRPr="00545E0F">
          <w:rPr>
            <w:rStyle w:val="Hyperlink"/>
            <w:rFonts w:eastAsia="Calibri"/>
            <w:bCs/>
            <w:color w:val="auto"/>
            <w:u w:val="none"/>
            <w:bdr w:val="none" w:sz="0" w:space="0" w:color="auto" w:frame="1"/>
            <w:lang w:eastAsia="en-US"/>
          </w:rPr>
          <w:t>77/07</w:t>
        </w:r>
      </w:hyperlink>
      <w:r w:rsidRPr="00545E0F">
        <w:rPr>
          <w:rFonts w:eastAsia="Calibri"/>
          <w:lang w:eastAsia="en-US"/>
        </w:rPr>
        <w:t>, </w:t>
      </w:r>
      <w:hyperlink r:id="rId13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107/07</w:t>
        </w:r>
      </w:hyperlink>
      <w:r w:rsidRPr="00545E0F">
        <w:rPr>
          <w:rFonts w:eastAsia="Calibri"/>
          <w:lang w:eastAsia="en-US"/>
        </w:rPr>
        <w:t>, </w:t>
      </w:r>
      <w:hyperlink r:id="rId14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27/08</w:t>
        </w:r>
      </w:hyperlink>
      <w:r w:rsidRPr="00545E0F">
        <w:rPr>
          <w:rFonts w:eastAsia="Calibri"/>
          <w:lang w:eastAsia="en-US"/>
        </w:rPr>
        <w:t>, </w:t>
      </w:r>
      <w:hyperlink r:id="rId15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34/11</w:t>
        </w:r>
      </w:hyperlink>
      <w:r w:rsidRPr="00545E0F">
        <w:rPr>
          <w:rFonts w:eastAsia="Calibri"/>
          <w:lang w:eastAsia="en-US"/>
        </w:rPr>
        <w:t>, </w:t>
      </w:r>
      <w:hyperlink r:id="rId16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49/11</w:t>
        </w:r>
      </w:hyperlink>
      <w:r w:rsidRPr="00545E0F">
        <w:rPr>
          <w:rFonts w:eastAsia="Calibri"/>
          <w:lang w:eastAsia="en-US"/>
        </w:rPr>
        <w:t>, </w:t>
      </w:r>
      <w:hyperlink r:id="rId17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150/11</w:t>
        </w:r>
      </w:hyperlink>
      <w:r w:rsidRPr="00545E0F">
        <w:rPr>
          <w:rFonts w:eastAsia="Calibri"/>
          <w:lang w:eastAsia="en-US"/>
        </w:rPr>
        <w:t>, </w:t>
      </w:r>
      <w:hyperlink r:id="rId18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34/12</w:t>
        </w:r>
      </w:hyperlink>
      <w:r w:rsidRPr="00545E0F">
        <w:rPr>
          <w:rFonts w:eastAsia="Calibri"/>
          <w:lang w:eastAsia="en-US"/>
        </w:rPr>
        <w:t>, </w:t>
      </w:r>
      <w:hyperlink r:id="rId19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49/12</w:t>
        </w:r>
      </w:hyperlink>
      <w:r w:rsidRPr="00545E0F">
        <w:rPr>
          <w:rFonts w:eastAsia="Calibri"/>
          <w:lang w:eastAsia="en-US"/>
        </w:rPr>
        <w:t>, </w:t>
      </w:r>
      <w:hyperlink r:id="rId20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37/13</w:t>
        </w:r>
      </w:hyperlink>
      <w:r w:rsidRPr="00545E0F">
        <w:rPr>
          <w:rFonts w:eastAsia="Calibri"/>
          <w:lang w:eastAsia="en-US"/>
        </w:rPr>
        <w:t>, </w:t>
      </w:r>
      <w:hyperlink r:id="rId21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38/13</w:t>
        </w:r>
      </w:hyperlink>
      <w:hyperlink r:id="rId22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01/15</w:t>
        </w:r>
      </w:hyperlink>
      <w:r w:rsidRPr="00545E0F">
        <w:rPr>
          <w:rFonts w:eastAsia="Calibri"/>
          <w:lang w:eastAsia="en-US"/>
        </w:rPr>
        <w:t>, </w:t>
      </w:r>
      <w:hyperlink r:id="rId23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138/15</w:t>
        </w:r>
      </w:hyperlink>
      <w:r w:rsidRPr="00545E0F">
        <w:rPr>
          <w:rFonts w:eastAsia="Calibri"/>
          <w:lang w:eastAsia="en-US"/>
        </w:rPr>
        <w:t>, </w:t>
      </w:r>
      <w:hyperlink r:id="rId24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61/17</w:t>
        </w:r>
      </w:hyperlink>
      <w:r w:rsidRPr="00545E0F">
        <w:rPr>
          <w:rFonts w:eastAsia="Calibri"/>
          <w:lang w:eastAsia="en-US"/>
        </w:rPr>
        <w:t>, </w:t>
      </w:r>
      <w:hyperlink r:id="rId25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70/19</w:t>
        </w:r>
      </w:hyperlink>
      <w:r w:rsidRPr="00545E0F">
        <w:rPr>
          <w:rFonts w:eastAsia="Calibri"/>
          <w:lang w:eastAsia="en-US"/>
        </w:rPr>
        <w:t xml:space="preserve"> i </w:t>
      </w:r>
      <w:hyperlink r:id="rId26" w:history="1">
        <w:r w:rsidRPr="00545E0F">
          <w:rPr>
            <w:rStyle w:val="Hyperlink"/>
            <w:rFonts w:eastAsia="Calibri"/>
            <w:bCs/>
            <w:color w:val="auto"/>
            <w:u w:val="none"/>
            <w:lang w:eastAsia="en-US"/>
          </w:rPr>
          <w:t>98/19</w:t>
        </w:r>
      </w:hyperlink>
      <w:r w:rsidRPr="00545E0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propisano je da se osoba može primiti u državnu službu na određeno vrijeme u trajanju dužem od godinu dana, i to radi obavljanja poslova koji se odnose na izvršavanje obveza iz posebnih programa Vlade Republike Hrvatske, do izvršenja tih obveza. Iz navedenog članka proizlazi da navedeni sudski savjetnici i zemljišnoknjižni referenti mogu biti zaposleni na određeno vrijeme duže od godinu bez prekidanja radnog odnosa, </w:t>
      </w:r>
      <w:r>
        <w:rPr>
          <w:rFonts w:eastAsia="Calibri"/>
          <w:lang w:eastAsia="en-US"/>
        </w:rPr>
        <w:lastRenderedPageBreak/>
        <w:t>odnosno potrebno je da budu zaposleni dok traju poslovi obnove zemljišne knjige za sve katastarske općine na općinskom sudu.</w:t>
      </w:r>
    </w:p>
    <w:p w14:paraId="7FE823E8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</w:p>
    <w:p w14:paraId="7FE823E9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Dosadašnja praksa u kojoj su sudjelovale jedinice lokalne, regionalne (područne) samouprave pokazala se pozitivnom i učinkovitom. Osim što je na taj način osigurana provedba postupaka, te su podaci zemljišne knjige i katastra usklađeni, navedene jedinice također su imale koristi u vidu investicija, povećanja prometa nekretnina, mogućnosti korištenja sredstava iz fondova Europske unije, točniju evidenciju korisnika komunalnih usluga i slično.</w:t>
      </w:r>
    </w:p>
    <w:p w14:paraId="7FE823EA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</w:p>
    <w:p w14:paraId="7FE823EB" w14:textId="77777777" w:rsidR="00545E0F" w:rsidRDefault="00545E0F" w:rsidP="00545E0F">
      <w:pPr>
        <w:spacing w:line="276" w:lineRule="auto"/>
        <w:jc w:val="both"/>
        <w:rPr>
          <w:rFonts w:eastAsia="Calibri"/>
        </w:rPr>
      </w:pPr>
      <w:r>
        <w:t xml:space="preserve">S obzirom na potrebu provedbe postupaka </w:t>
      </w:r>
      <w:r>
        <w:rPr>
          <w:rFonts w:eastAsia="Calibri"/>
        </w:rPr>
        <w:t>sređivanja katastarskih i zemljišnoknjižnih podataka, kao i mogućnost sudjelovanja jedinica lokalne samouprave na predmetnim poslovima na područjima katastarskih općina na kojima su izmjere dovršene, predloženi Detaljni plan predstavlja učinkovitu mjeru za ubrzanje i nastavak provedbe započetih opisanih poslova.</w:t>
      </w:r>
    </w:p>
    <w:p w14:paraId="7FE823EC" w14:textId="77777777" w:rsidR="00545E0F" w:rsidRDefault="00545E0F" w:rsidP="00545E0F">
      <w:pPr>
        <w:spacing w:line="276" w:lineRule="auto"/>
        <w:jc w:val="both"/>
        <w:rPr>
          <w:rFonts w:eastAsia="Calibri"/>
        </w:rPr>
      </w:pPr>
    </w:p>
    <w:p w14:paraId="7FE823ED" w14:textId="77777777" w:rsidR="00545E0F" w:rsidRDefault="00545E0F" w:rsidP="00545E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Uređeno zemljišnoknjižno stanje koje pretpostavlja uređenu zemljišnu knjigu i katastar osnovni je preduvjet za razvoj gospodarstva i stvaranje povoljne investicijske klime.</w:t>
      </w:r>
    </w:p>
    <w:p w14:paraId="7FE823EE" w14:textId="77777777" w:rsidR="00545E0F" w:rsidRDefault="00545E0F" w:rsidP="00545E0F"/>
    <w:p w14:paraId="7FE823EF" w14:textId="77777777" w:rsidR="00545E0F" w:rsidRDefault="00545E0F" w:rsidP="00545E0F"/>
    <w:p w14:paraId="7FE823F0" w14:textId="77777777" w:rsidR="00177757" w:rsidRDefault="00177757"/>
    <w:sectPr w:rsidR="0017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7A"/>
    <w:rsid w:val="000C2B7E"/>
    <w:rsid w:val="00177757"/>
    <w:rsid w:val="003C43BF"/>
    <w:rsid w:val="00460853"/>
    <w:rsid w:val="00545E0F"/>
    <w:rsid w:val="008662CA"/>
    <w:rsid w:val="00E61F4C"/>
    <w:rsid w:val="00EA3D37"/>
    <w:rsid w:val="00EC177A"/>
    <w:rsid w:val="00F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23AC"/>
  <w15:chartTrackingRefBased/>
  <w15:docId w15:val="{0761FC2B-BAA2-4E84-8E66-5E5A67DA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E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1F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1F4C"/>
  </w:style>
  <w:style w:type="table" w:styleId="TableGrid">
    <w:name w:val="Table Grid"/>
    <w:basedOn w:val="TableNormal"/>
    <w:rsid w:val="00E6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33061" TargetMode="External"/><Relationship Id="rId18" Type="http://schemas.openxmlformats.org/officeDocument/2006/relationships/hyperlink" Target="https://www.zakon.hr/cms.htm?id=33071" TargetMode="External"/><Relationship Id="rId26" Type="http://schemas.openxmlformats.org/officeDocument/2006/relationships/hyperlink" Target="https://www.zakon.hr/cms.htm?id=4076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3307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zakon.hr/cms.htm?id=33059" TargetMode="External"/><Relationship Id="rId17" Type="http://schemas.openxmlformats.org/officeDocument/2006/relationships/hyperlink" Target="https://www.zakon.hr/cms.htm?id=33069" TargetMode="External"/><Relationship Id="rId25" Type="http://schemas.openxmlformats.org/officeDocument/2006/relationships/hyperlink" Target="https://www.zakon.hr/cms.htm?id=398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3067" TargetMode="External"/><Relationship Id="rId20" Type="http://schemas.openxmlformats.org/officeDocument/2006/relationships/hyperlink" Target="https://www.zakon.hr/cms.htm?id=3307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kon.hr/cms.htm?id=33057" TargetMode="External"/><Relationship Id="rId24" Type="http://schemas.openxmlformats.org/officeDocument/2006/relationships/hyperlink" Target="https://www.zakon.hr/cms.htm?id=3308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zakon.hr/cms.htm?id=33065" TargetMode="External"/><Relationship Id="rId23" Type="http://schemas.openxmlformats.org/officeDocument/2006/relationships/hyperlink" Target="https://www.zakon.hr/cms.htm?id=330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33055" TargetMode="External"/><Relationship Id="rId19" Type="http://schemas.openxmlformats.org/officeDocument/2006/relationships/hyperlink" Target="https://www.zakon.hr/cms.htm?id=3307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akon.hr/cms.htm?id=33053" TargetMode="External"/><Relationship Id="rId14" Type="http://schemas.openxmlformats.org/officeDocument/2006/relationships/hyperlink" Target="https://www.zakon.hr/cms.htm?id=33063" TargetMode="External"/><Relationship Id="rId22" Type="http://schemas.openxmlformats.org/officeDocument/2006/relationships/hyperlink" Target="https://www.zakon.hr/cms.htm?id=330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AZJMDCZ6QSYZ-7492995-5930</_dlc_DocId>
    <_dlc_DocIdUrl xmlns="a494813a-d0d8-4dad-94cb-0d196f36ba15">
      <Url>https://ekoordinacije.vlada.hr/unutarnja-vanjska-politika/_layouts/15/DocIdRedir.aspx?ID=AZJMDCZ6QSYZ-7492995-5930</Url>
      <Description>AZJMDCZ6QSYZ-7492995-5930</Description>
    </_dlc_DocIdUrl>
  </documentManagement>
</p:properties>
</file>

<file path=customXml/itemProps1.xml><?xml version="1.0" encoding="utf-8"?>
<ds:datastoreItem xmlns:ds="http://schemas.openxmlformats.org/officeDocument/2006/customXml" ds:itemID="{ABFE106E-C01A-44CB-9E24-F404E6B38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70136-6632-4BAB-B062-903DEEEB38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69640D-21D2-477A-B85D-7FF9BA67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23652-D972-4498-99C9-BCE422CCB8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1550</Words>
  <Characters>8839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Anaković</dc:creator>
  <cp:keywords/>
  <dc:description/>
  <cp:lastModifiedBy>Barbara Galović</cp:lastModifiedBy>
  <cp:revision>2</cp:revision>
  <dcterms:created xsi:type="dcterms:W3CDTF">2021-12-30T09:43:00Z</dcterms:created>
  <dcterms:modified xsi:type="dcterms:W3CDTF">2021-12-30T09:43:00Z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159df17c-51f8-4b02-8271-ac97433fc23c</vt:lpwstr>
  </property>
</Properties>
</file>