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DF" w:rsidRDefault="00A921DF" w:rsidP="00A921DF"/>
    <w:p w:rsidR="00A921DF" w:rsidRDefault="00A921DF" w:rsidP="00A921DF">
      <w:pPr>
        <w:jc w:val="right"/>
        <w:rPr>
          <w:b/>
          <w:lang w:eastAsia="en-US"/>
        </w:rPr>
      </w:pPr>
    </w:p>
    <w:p w:rsidR="00A921DF" w:rsidRPr="00865DCC" w:rsidRDefault="00A921DF" w:rsidP="00A921DF">
      <w:pPr>
        <w:jc w:val="center"/>
        <w:rPr>
          <w:sz w:val="20"/>
          <w:szCs w:val="20"/>
        </w:rPr>
      </w:pPr>
      <w:r w:rsidRPr="00865DCC">
        <w:rPr>
          <w:noProof/>
          <w:sz w:val="20"/>
          <w:szCs w:val="20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DF" w:rsidRDefault="00A921DF" w:rsidP="00A921DF">
      <w:pPr>
        <w:spacing w:before="60" w:after="1680"/>
        <w:jc w:val="center"/>
        <w:rPr>
          <w:sz w:val="28"/>
          <w:szCs w:val="20"/>
        </w:rPr>
      </w:pPr>
      <w:r w:rsidRPr="00865DCC">
        <w:rPr>
          <w:sz w:val="28"/>
          <w:szCs w:val="20"/>
        </w:rPr>
        <w:t>VLADA REPUBLIKE HRVATSKE</w:t>
      </w:r>
    </w:p>
    <w:p w:rsidR="001B4741" w:rsidRDefault="001B4741" w:rsidP="001B4741">
      <w:pPr>
        <w:jc w:val="right"/>
      </w:pPr>
      <w:r>
        <w:t>Zagreb, 16. rujna 2021.</w:t>
      </w: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pPr>
        <w:jc w:val="right"/>
      </w:pPr>
    </w:p>
    <w:p w:rsidR="001B4741" w:rsidRDefault="001B4741" w:rsidP="001B4741"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B4741" w:rsidTr="00684587">
        <w:tc>
          <w:tcPr>
            <w:tcW w:w="1949" w:type="dxa"/>
          </w:tcPr>
          <w:p w:rsidR="001B4741" w:rsidRDefault="001B4741" w:rsidP="00684587">
            <w:pPr>
              <w:rPr>
                <w:b/>
                <w:smallCaps/>
              </w:rPr>
            </w:pPr>
          </w:p>
          <w:p w:rsidR="001B4741" w:rsidRDefault="001B4741" w:rsidP="00684587"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123" w:type="dxa"/>
          </w:tcPr>
          <w:p w:rsidR="001B4741" w:rsidRDefault="001B4741" w:rsidP="00684587"/>
          <w:p w:rsidR="001B4741" w:rsidRDefault="001B4741" w:rsidP="00684587">
            <w:r>
              <w:t>Ministarstvo 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1B4741" w:rsidTr="00684587">
        <w:tc>
          <w:tcPr>
            <w:tcW w:w="1940" w:type="dxa"/>
          </w:tcPr>
          <w:p w:rsidR="001B4741" w:rsidRDefault="001B4741" w:rsidP="00684587">
            <w:pPr>
              <w:jc w:val="both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132" w:type="dxa"/>
          </w:tcPr>
          <w:p w:rsidR="001B4741" w:rsidRDefault="001B4741" w:rsidP="001B4741">
            <w:pPr>
              <w:jc w:val="both"/>
            </w:pPr>
            <w:r>
              <w:t xml:space="preserve">Prijedlog zaključka o </w:t>
            </w:r>
            <w:r w:rsidRPr="00865DCC">
              <w:t xml:space="preserve"> provedbi zakonodavnih aktivnosti povezanih s uvođenjem eura kao službene valute u Republici Hrvatskoj</w:t>
            </w:r>
          </w:p>
        </w:tc>
      </w:tr>
      <w:tr w:rsidR="001B4741" w:rsidTr="00684587">
        <w:tc>
          <w:tcPr>
            <w:tcW w:w="1940" w:type="dxa"/>
            <w:tcBorders>
              <w:bottom w:val="single" w:sz="4" w:space="0" w:color="auto"/>
            </w:tcBorders>
          </w:tcPr>
          <w:p w:rsidR="001B4741" w:rsidRDefault="001B4741" w:rsidP="00684587">
            <w:pPr>
              <w:jc w:val="right"/>
              <w:rPr>
                <w:b/>
                <w:smallCaps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:rsidR="001B4741" w:rsidRDefault="001B4741" w:rsidP="00684587"/>
        </w:tc>
      </w:tr>
    </w:tbl>
    <w:p w:rsidR="001B4741" w:rsidRDefault="001B4741" w:rsidP="001B4741">
      <w:pPr>
        <w:rPr>
          <w:rFonts w:asciiTheme="minorHAnsi" w:eastAsiaTheme="minorHAnsi" w:hAnsiTheme="minorHAnsi" w:cstheme="minorBidi"/>
          <w:sz w:val="22"/>
          <w:lang w:eastAsia="en-US"/>
        </w:rPr>
      </w:pPr>
      <w:r>
        <w:t>__________________________________________________________________________</w:t>
      </w: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1B4741" w:rsidRDefault="001B4741" w:rsidP="001B4741">
      <w:pPr>
        <w:jc w:val="center"/>
        <w:rPr>
          <w:b/>
        </w:rPr>
      </w:pPr>
    </w:p>
    <w:p w:rsidR="00A921DF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A921DF" w:rsidRPr="00865DCC" w:rsidRDefault="00A921DF" w:rsidP="00A921DF">
      <w:pPr>
        <w:rPr>
          <w:sz w:val="20"/>
          <w:szCs w:val="20"/>
        </w:rPr>
      </w:pPr>
    </w:p>
    <w:p w:rsidR="00A921DF" w:rsidRPr="00865DCC" w:rsidRDefault="00A921DF" w:rsidP="00A921D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865DCC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:rsidR="00A921DF" w:rsidRPr="00865DCC" w:rsidRDefault="00A921DF" w:rsidP="00A921DF">
      <w:pPr>
        <w:jc w:val="right"/>
        <w:rPr>
          <w:b/>
          <w:lang w:eastAsia="en-US"/>
        </w:rPr>
      </w:pPr>
      <w:r w:rsidRPr="00865DCC">
        <w:rPr>
          <w:b/>
          <w:lang w:eastAsia="en-US"/>
        </w:rPr>
        <w:lastRenderedPageBreak/>
        <w:t>PRIJEDLOG</w:t>
      </w:r>
    </w:p>
    <w:p w:rsidR="00A921DF" w:rsidRPr="00865DCC" w:rsidRDefault="00A921DF" w:rsidP="00A921DF">
      <w:pPr>
        <w:jc w:val="right"/>
        <w:rPr>
          <w:b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  <w:r w:rsidRPr="00865DCC">
        <w:rPr>
          <w:rFonts w:eastAsia="Calibri"/>
          <w:lang w:eastAsia="en-US"/>
        </w:rPr>
        <w:tab/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Na temelju članka 31. stavka 3. Zakona o Vladi Republike Hrvatske („Narodne novine“, broj 150/11., 119/14., 93/16. i 116/18.), Vlada Republike Hrvatske je na sjednici održanoj </w:t>
      </w:r>
      <w:r w:rsidR="00EB4293" w:rsidRPr="00865DCC">
        <w:rPr>
          <w:rFonts w:eastAsia="Calibri"/>
          <w:lang w:eastAsia="en-US"/>
        </w:rPr>
        <w:t>16</w:t>
      </w:r>
      <w:r w:rsidRPr="00865DCC">
        <w:rPr>
          <w:rFonts w:eastAsia="Calibri"/>
          <w:lang w:eastAsia="en-US"/>
        </w:rPr>
        <w:t>. rujna 2021. donijela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center"/>
        <w:rPr>
          <w:rFonts w:eastAsia="Calibri"/>
          <w:b/>
          <w:lang w:eastAsia="en-US"/>
        </w:rPr>
      </w:pPr>
      <w:r w:rsidRPr="00865DCC">
        <w:rPr>
          <w:rFonts w:eastAsia="Calibri"/>
          <w:b/>
          <w:lang w:eastAsia="en-US"/>
        </w:rPr>
        <w:t>Z A K LJ U Č A K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1. </w:t>
      </w:r>
      <w:r w:rsidR="006F64A7" w:rsidRPr="00865DCC">
        <w:rPr>
          <w:rFonts w:eastAsia="Calibri"/>
          <w:lang w:eastAsia="en-US"/>
        </w:rPr>
        <w:t>S ciljem provedbe Nacionalnog plana z</w:t>
      </w:r>
      <w:r w:rsidRPr="00865DCC">
        <w:rPr>
          <w:rFonts w:eastAsia="Calibri"/>
          <w:lang w:eastAsia="en-US"/>
        </w:rPr>
        <w:t>amjene hrvatske kune eurom</w:t>
      </w:r>
      <w:r w:rsidR="006F64A7" w:rsidRPr="00865DCC">
        <w:rPr>
          <w:rFonts w:eastAsia="Calibri"/>
          <w:lang w:eastAsia="en-US"/>
        </w:rPr>
        <w:t>,</w:t>
      </w:r>
      <w:r w:rsidRPr="00865DCC">
        <w:rPr>
          <w:rFonts w:eastAsia="Calibri"/>
          <w:lang w:eastAsia="en-US"/>
        </w:rPr>
        <w:t xml:space="preserve"> utvrđuje se </w:t>
      </w:r>
      <w:r w:rsidR="004176B1" w:rsidRPr="00865DCC">
        <w:rPr>
          <w:rFonts w:eastAsia="Calibri"/>
          <w:lang w:eastAsia="en-US"/>
        </w:rPr>
        <w:t>p</w:t>
      </w:r>
      <w:r w:rsidRPr="00865DCC">
        <w:rPr>
          <w:rFonts w:eastAsia="Calibri"/>
          <w:lang w:eastAsia="en-US"/>
        </w:rPr>
        <w:t xml:space="preserve">opis zakona i </w:t>
      </w:r>
      <w:proofErr w:type="spellStart"/>
      <w:r w:rsidRPr="00865DCC">
        <w:rPr>
          <w:rFonts w:eastAsia="Calibri"/>
          <w:lang w:eastAsia="en-US"/>
        </w:rPr>
        <w:t>podzakonskih</w:t>
      </w:r>
      <w:proofErr w:type="spellEnd"/>
      <w:r w:rsidRPr="00865DCC">
        <w:rPr>
          <w:rFonts w:eastAsia="Calibri"/>
          <w:lang w:eastAsia="en-US"/>
        </w:rPr>
        <w:t xml:space="preserve"> propisa koje će biti potrebno </w:t>
      </w:r>
      <w:r w:rsidR="000B7BEB" w:rsidRPr="00865DCC">
        <w:rPr>
          <w:rFonts w:eastAsia="Calibri"/>
          <w:lang w:eastAsia="en-US"/>
        </w:rPr>
        <w:t>izmijeniti,</w:t>
      </w:r>
      <w:r w:rsidR="006F64A7" w:rsidRPr="00865DCC">
        <w:rPr>
          <w:rFonts w:eastAsia="Calibri"/>
          <w:lang w:eastAsia="en-US"/>
        </w:rPr>
        <w:t xml:space="preserve"> </w:t>
      </w:r>
      <w:r w:rsidR="005F5C41" w:rsidRPr="00865DCC">
        <w:rPr>
          <w:rFonts w:eastAsia="Calibri"/>
          <w:lang w:eastAsia="en-US"/>
        </w:rPr>
        <w:t xml:space="preserve">a </w:t>
      </w:r>
      <w:r w:rsidR="004176B1" w:rsidRPr="00865DCC">
        <w:rPr>
          <w:rFonts w:eastAsia="Calibri"/>
          <w:lang w:eastAsia="en-US"/>
        </w:rPr>
        <w:t>koji se nalazi u prilogu ovoga Zaključka i čini njegov sastavni dio,</w:t>
      </w:r>
      <w:r w:rsidR="006F64A7" w:rsidRPr="00865DCC">
        <w:rPr>
          <w:rFonts w:eastAsia="Calibri"/>
          <w:lang w:eastAsia="en-US"/>
        </w:rPr>
        <w:t xml:space="preserve"> radi pune </w:t>
      </w:r>
      <w:r w:rsidRPr="00865DCC">
        <w:rPr>
          <w:rFonts w:eastAsia="Calibri"/>
          <w:lang w:eastAsia="en-US"/>
        </w:rPr>
        <w:t>prilagodbe hrvatskog zakonodavstva uvođenju eura kao službene valute u Republici Hrvatskoj</w:t>
      </w:r>
      <w:r w:rsidR="004176B1" w:rsidRPr="00865DCC">
        <w:rPr>
          <w:rFonts w:eastAsia="Calibri"/>
          <w:lang w:eastAsia="en-US"/>
        </w:rPr>
        <w:t>, sukladno Odluci o donošenju Nacionalnog plana zamjene hrvatske kune eurom (</w:t>
      </w:r>
      <w:r w:rsidR="0094568C">
        <w:rPr>
          <w:rFonts w:eastAsia="Calibri"/>
          <w:lang w:eastAsia="en-US"/>
        </w:rPr>
        <w:t>„</w:t>
      </w:r>
      <w:r w:rsidR="004176B1" w:rsidRPr="00865DCC">
        <w:rPr>
          <w:rFonts w:eastAsia="Calibri"/>
          <w:lang w:eastAsia="en-US"/>
        </w:rPr>
        <w:t>Narodne novine</w:t>
      </w:r>
      <w:r w:rsidR="0094568C">
        <w:rPr>
          <w:rFonts w:eastAsia="Calibri"/>
          <w:lang w:eastAsia="en-US"/>
        </w:rPr>
        <w:t>“</w:t>
      </w:r>
      <w:r w:rsidR="004176B1" w:rsidRPr="00865DCC">
        <w:rPr>
          <w:rFonts w:eastAsia="Calibri"/>
          <w:lang w:eastAsia="en-US"/>
        </w:rPr>
        <w:t>, broj 146/20</w:t>
      </w:r>
      <w:r w:rsidR="0094568C">
        <w:rPr>
          <w:rFonts w:eastAsia="Calibri"/>
          <w:lang w:eastAsia="en-US"/>
        </w:rPr>
        <w:t>.</w:t>
      </w:r>
      <w:r w:rsidR="004176B1" w:rsidRPr="00865DCC">
        <w:rPr>
          <w:rFonts w:eastAsia="Calibri"/>
          <w:lang w:eastAsia="en-US"/>
        </w:rPr>
        <w:t>)</w:t>
      </w:r>
      <w:r w:rsidRPr="00865DCC">
        <w:rPr>
          <w:rFonts w:eastAsia="Calibri"/>
          <w:lang w:eastAsia="en-US"/>
        </w:rPr>
        <w:t xml:space="preserve">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2. </w:t>
      </w:r>
      <w:r w:rsidR="004176B1" w:rsidRPr="00865DCC">
        <w:rPr>
          <w:rFonts w:eastAsia="Calibri"/>
          <w:lang w:eastAsia="en-US"/>
        </w:rPr>
        <w:t>P</w:t>
      </w:r>
      <w:r w:rsidRPr="00865DCC">
        <w:rPr>
          <w:rFonts w:eastAsia="Calibri"/>
          <w:lang w:eastAsia="en-US"/>
        </w:rPr>
        <w:t>opis iz točke 1. ovoga Zaključka</w:t>
      </w:r>
      <w:r w:rsidR="004176B1" w:rsidRPr="00865DCC">
        <w:rPr>
          <w:rFonts w:eastAsia="Calibri"/>
          <w:lang w:eastAsia="en-US"/>
        </w:rPr>
        <w:t xml:space="preserve"> sadrži </w:t>
      </w:r>
      <w:r w:rsidRPr="00865DCC">
        <w:rPr>
          <w:rFonts w:eastAsia="Calibri"/>
          <w:lang w:eastAsia="en-US"/>
        </w:rPr>
        <w:t xml:space="preserve">dvije skupine </w:t>
      </w:r>
      <w:r w:rsidR="004176B1" w:rsidRPr="00865DCC">
        <w:rPr>
          <w:rFonts w:eastAsia="Calibri"/>
          <w:lang w:eastAsia="en-US"/>
        </w:rPr>
        <w:t xml:space="preserve">zakona i </w:t>
      </w:r>
      <w:proofErr w:type="spellStart"/>
      <w:r w:rsidR="004176B1" w:rsidRPr="00865DCC">
        <w:rPr>
          <w:rFonts w:eastAsia="Calibri"/>
          <w:lang w:eastAsia="en-US"/>
        </w:rPr>
        <w:t>podzakonskih</w:t>
      </w:r>
      <w:proofErr w:type="spellEnd"/>
      <w:r w:rsidR="004176B1" w:rsidRPr="00865DCC">
        <w:rPr>
          <w:rFonts w:eastAsia="Calibri"/>
          <w:lang w:eastAsia="en-US"/>
        </w:rPr>
        <w:t xml:space="preserve"> propisa </w:t>
      </w:r>
      <w:r w:rsidRPr="00865DCC">
        <w:rPr>
          <w:rFonts w:eastAsia="Calibri"/>
          <w:lang w:eastAsia="en-US"/>
        </w:rPr>
        <w:t xml:space="preserve">i to kako slijedi: </w:t>
      </w:r>
    </w:p>
    <w:p w:rsidR="00A921DF" w:rsidRPr="00865DCC" w:rsidRDefault="00A921DF" w:rsidP="00A921DF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I. skupina – zakoni i </w:t>
      </w:r>
      <w:proofErr w:type="spellStart"/>
      <w:r w:rsidRPr="00865DCC">
        <w:rPr>
          <w:rFonts w:eastAsia="Calibri"/>
          <w:lang w:eastAsia="en-US"/>
        </w:rPr>
        <w:t>podzakonski</w:t>
      </w:r>
      <w:proofErr w:type="spellEnd"/>
      <w:r w:rsidRPr="00865DCC">
        <w:rPr>
          <w:rFonts w:eastAsia="Calibri"/>
          <w:lang w:eastAsia="en-US"/>
        </w:rPr>
        <w:t xml:space="preserve"> propisi koji sadržavaju značajnija pozivanja na hrvatsku kunu i potrebno ih je izmijeniti prije uvođenja eura kao službene valute u Republici Hrvatskoj, </w:t>
      </w:r>
    </w:p>
    <w:p w:rsidR="00A921DF" w:rsidRPr="00865DCC" w:rsidRDefault="00A921DF" w:rsidP="00A921DF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II. skupina - zakoni i </w:t>
      </w:r>
      <w:proofErr w:type="spellStart"/>
      <w:r w:rsidRPr="00865DCC">
        <w:rPr>
          <w:rFonts w:eastAsia="Calibri"/>
          <w:lang w:eastAsia="en-US"/>
        </w:rPr>
        <w:t>podzakonski</w:t>
      </w:r>
      <w:proofErr w:type="spellEnd"/>
      <w:r w:rsidRPr="00865DCC">
        <w:rPr>
          <w:rFonts w:eastAsia="Calibri"/>
          <w:lang w:eastAsia="en-US"/>
        </w:rPr>
        <w:t xml:space="preserve"> propisi koji sadrže manji broj odredbi vezanih uz hrvatsku kunu, a čije izmjene su predviđene prilikom sljedeće redovne izmjene propisa zbog neke druge potreb</w:t>
      </w:r>
      <w:r w:rsidR="004176B1" w:rsidRPr="00865DCC">
        <w:rPr>
          <w:rFonts w:eastAsia="Calibri"/>
          <w:lang w:eastAsia="en-US"/>
        </w:rPr>
        <w:t>e</w:t>
      </w:r>
      <w:r w:rsidRPr="00865DCC">
        <w:rPr>
          <w:rFonts w:eastAsia="Calibri"/>
          <w:lang w:eastAsia="en-US"/>
        </w:rPr>
        <w:t xml:space="preserve">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3. Zadužuju se tijela državne uprave da: 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E23FDA" w:rsidRPr="00865DCC" w:rsidRDefault="00917CEF" w:rsidP="008B0356">
      <w:pPr>
        <w:pStyle w:val="Odlomakpopis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nacrte odgovarajućih izmjena </w:t>
      </w:r>
      <w:r w:rsidR="00E23FDA" w:rsidRPr="00865DCC">
        <w:rPr>
          <w:rFonts w:eastAsia="Calibri"/>
          <w:lang w:eastAsia="en-US"/>
        </w:rPr>
        <w:t>zakon</w:t>
      </w:r>
      <w:r w:rsidRPr="00865DCC">
        <w:rPr>
          <w:rFonts w:eastAsia="Calibri"/>
          <w:lang w:eastAsia="en-US"/>
        </w:rPr>
        <w:t>a</w:t>
      </w:r>
      <w:r w:rsidR="00E23FDA" w:rsidRPr="00865DCC">
        <w:rPr>
          <w:rFonts w:eastAsia="Calibri"/>
          <w:lang w:eastAsia="en-US"/>
        </w:rPr>
        <w:t xml:space="preserve"> koji su navedeni u I. skupini iz točke 2. </w:t>
      </w:r>
      <w:proofErr w:type="spellStart"/>
      <w:r w:rsidR="00E23FDA" w:rsidRPr="00865DCC">
        <w:rPr>
          <w:rFonts w:eastAsia="Calibri"/>
          <w:lang w:eastAsia="en-US"/>
        </w:rPr>
        <w:t>podtočke</w:t>
      </w:r>
      <w:proofErr w:type="spellEnd"/>
      <w:r w:rsidR="00E23FDA" w:rsidRPr="00865DCC">
        <w:rPr>
          <w:rFonts w:eastAsia="Calibri"/>
          <w:lang w:eastAsia="en-US"/>
        </w:rPr>
        <w:t xml:space="preserve"> a) ovoga Zaključka upute u proceduru Vlade Republike Hrvatske </w:t>
      </w:r>
      <w:r w:rsidR="00A921DF" w:rsidRPr="00865DCC">
        <w:rPr>
          <w:rFonts w:eastAsia="Calibri"/>
          <w:lang w:eastAsia="en-US"/>
        </w:rPr>
        <w:t>najkasnije do 15. srpnja 2022.</w:t>
      </w:r>
      <w:r w:rsidR="00E23FDA" w:rsidRPr="00865DCC">
        <w:rPr>
          <w:rFonts w:eastAsia="Calibri"/>
          <w:lang w:eastAsia="en-US"/>
        </w:rPr>
        <w:t xml:space="preserve"> </w:t>
      </w:r>
    </w:p>
    <w:p w:rsidR="00A921DF" w:rsidRPr="00865DCC" w:rsidRDefault="00917CEF" w:rsidP="008B0356">
      <w:pPr>
        <w:pStyle w:val="Odlomakpopis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nacrte odgovarajućih izmjena </w:t>
      </w:r>
      <w:r w:rsidR="00E23FDA" w:rsidRPr="00865DCC">
        <w:rPr>
          <w:rFonts w:eastAsia="Calibri"/>
          <w:lang w:eastAsia="en-US"/>
        </w:rPr>
        <w:t>zakon</w:t>
      </w:r>
      <w:r w:rsidRPr="00865DCC">
        <w:rPr>
          <w:rFonts w:eastAsia="Calibri"/>
          <w:lang w:eastAsia="en-US"/>
        </w:rPr>
        <w:t>a</w:t>
      </w:r>
      <w:r w:rsidR="00E23FDA" w:rsidRPr="00865DCC">
        <w:rPr>
          <w:rFonts w:eastAsia="Calibri"/>
          <w:lang w:eastAsia="en-US"/>
        </w:rPr>
        <w:t xml:space="preserve"> koji su navedeni u II. skupini iz točke 2. </w:t>
      </w:r>
      <w:proofErr w:type="spellStart"/>
      <w:r w:rsidR="00E23FDA" w:rsidRPr="00865DCC">
        <w:rPr>
          <w:rFonts w:eastAsia="Calibri"/>
          <w:lang w:eastAsia="en-US"/>
        </w:rPr>
        <w:t>podtočke</w:t>
      </w:r>
      <w:proofErr w:type="spellEnd"/>
      <w:r w:rsidR="00E23FDA" w:rsidRPr="00865DCC">
        <w:rPr>
          <w:rFonts w:eastAsia="Calibri"/>
          <w:lang w:eastAsia="en-US"/>
        </w:rPr>
        <w:t xml:space="preserve"> b) ovoga </w:t>
      </w:r>
      <w:r w:rsidR="0082179D" w:rsidRPr="00865DCC">
        <w:rPr>
          <w:rFonts w:eastAsia="Calibri"/>
          <w:lang w:eastAsia="en-US"/>
        </w:rPr>
        <w:t>Z</w:t>
      </w:r>
      <w:r w:rsidR="00E23FDA" w:rsidRPr="00865DCC">
        <w:rPr>
          <w:rFonts w:eastAsia="Calibri"/>
          <w:lang w:eastAsia="en-US"/>
        </w:rPr>
        <w:t>aključka upu</w:t>
      </w:r>
      <w:r w:rsidR="00A921DF" w:rsidRPr="00865DCC">
        <w:rPr>
          <w:rFonts w:eastAsia="Calibri"/>
          <w:lang w:eastAsia="en-US"/>
        </w:rPr>
        <w:t>t</w:t>
      </w:r>
      <w:r w:rsidR="00E23FDA" w:rsidRPr="00865DCC">
        <w:rPr>
          <w:rFonts w:eastAsia="Calibri"/>
          <w:lang w:eastAsia="en-US"/>
        </w:rPr>
        <w:t>e u proceduru Vladi Republike Hrvatske t</w:t>
      </w:r>
      <w:r w:rsidR="00A921DF" w:rsidRPr="00865DCC">
        <w:rPr>
          <w:rFonts w:eastAsia="Calibri"/>
          <w:lang w:eastAsia="en-US"/>
        </w:rPr>
        <w:t xml:space="preserve">ijekom 2022. i 2023. </w:t>
      </w:r>
      <w:r w:rsidR="00126576" w:rsidRPr="00865DCC">
        <w:rPr>
          <w:rFonts w:eastAsia="Calibri"/>
          <w:lang w:eastAsia="en-US"/>
        </w:rPr>
        <w:t xml:space="preserve">godine </w:t>
      </w:r>
      <w:r w:rsidR="00A921DF" w:rsidRPr="00865DCC">
        <w:rPr>
          <w:rFonts w:eastAsia="Calibri"/>
          <w:lang w:eastAsia="en-US"/>
        </w:rPr>
        <w:t xml:space="preserve">te </w:t>
      </w:r>
      <w:r w:rsidR="00E23FDA" w:rsidRPr="00865DCC">
        <w:rPr>
          <w:rFonts w:eastAsia="Calibri"/>
          <w:lang w:eastAsia="en-US"/>
        </w:rPr>
        <w:t xml:space="preserve">po potrebi </w:t>
      </w:r>
      <w:r w:rsidR="002C3E07" w:rsidRPr="00865DCC">
        <w:rPr>
          <w:rFonts w:eastAsia="Calibri"/>
          <w:lang w:eastAsia="en-US"/>
        </w:rPr>
        <w:t xml:space="preserve">i </w:t>
      </w:r>
      <w:r w:rsidR="00A921DF" w:rsidRPr="00865DCC">
        <w:rPr>
          <w:rFonts w:eastAsia="Calibri"/>
          <w:lang w:eastAsia="en-US"/>
        </w:rPr>
        <w:t>u razdoblju nakon toga</w:t>
      </w:r>
      <w:r w:rsidR="00E23FDA" w:rsidRPr="00865DCC">
        <w:rPr>
          <w:rFonts w:eastAsia="Calibri"/>
          <w:lang w:eastAsia="en-US"/>
        </w:rPr>
        <w:t>.</w:t>
      </w:r>
      <w:r w:rsidR="00A921DF" w:rsidRPr="00865DCC">
        <w:rPr>
          <w:rFonts w:eastAsia="Calibri"/>
          <w:lang w:eastAsia="en-US"/>
        </w:rPr>
        <w:t xml:space="preserve">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4. Zadužuju se tijela državne uprave da </w:t>
      </w:r>
      <w:r w:rsidR="009F63B4" w:rsidRPr="00865DCC">
        <w:rPr>
          <w:rFonts w:eastAsia="Calibri"/>
          <w:lang w:eastAsia="en-US"/>
        </w:rPr>
        <w:t>izrade n</w:t>
      </w:r>
      <w:r w:rsidRPr="00865DCC">
        <w:rPr>
          <w:rFonts w:eastAsia="Calibri"/>
          <w:lang w:eastAsia="en-US"/>
        </w:rPr>
        <w:t>acrt</w:t>
      </w:r>
      <w:r w:rsidR="00E23FDA" w:rsidRPr="00865DCC">
        <w:rPr>
          <w:rFonts w:eastAsia="Calibri"/>
          <w:lang w:eastAsia="en-US"/>
        </w:rPr>
        <w:t>e</w:t>
      </w:r>
      <w:r w:rsidRPr="00865DCC">
        <w:rPr>
          <w:rFonts w:eastAsia="Calibri"/>
          <w:lang w:eastAsia="en-US"/>
        </w:rPr>
        <w:t xml:space="preserve"> prijedloga zakona iz točke 3. </w:t>
      </w:r>
      <w:proofErr w:type="spellStart"/>
      <w:r w:rsidRPr="00865DCC">
        <w:rPr>
          <w:rFonts w:eastAsia="Calibri"/>
          <w:lang w:eastAsia="en-US"/>
        </w:rPr>
        <w:t>podtočke</w:t>
      </w:r>
      <w:proofErr w:type="spellEnd"/>
      <w:r w:rsidRPr="00865DCC">
        <w:rPr>
          <w:rFonts w:eastAsia="Calibri"/>
          <w:lang w:eastAsia="en-US"/>
        </w:rPr>
        <w:t xml:space="preserve"> a) ovoga Zaključka </w:t>
      </w:r>
      <w:r w:rsidR="009F63B4" w:rsidRPr="00865DCC">
        <w:rPr>
          <w:rFonts w:eastAsia="Calibri"/>
          <w:lang w:eastAsia="en-US"/>
        </w:rPr>
        <w:t>koji će biti isključivo usmjeren</w:t>
      </w:r>
      <w:r w:rsidR="00126576" w:rsidRPr="00865DCC">
        <w:rPr>
          <w:rFonts w:eastAsia="Calibri"/>
          <w:lang w:eastAsia="en-US"/>
        </w:rPr>
        <w:t>i</w:t>
      </w:r>
      <w:r w:rsidR="009F63B4" w:rsidRPr="00865DCC">
        <w:rPr>
          <w:rFonts w:eastAsia="Calibri"/>
          <w:lang w:eastAsia="en-US"/>
        </w:rPr>
        <w:t xml:space="preserve"> na provedbu zadaća određenih ovim Zaključkom te koj</w:t>
      </w:r>
      <w:r w:rsidR="00126576" w:rsidRPr="00865DCC">
        <w:rPr>
          <w:rFonts w:eastAsia="Calibri"/>
          <w:lang w:eastAsia="en-US"/>
        </w:rPr>
        <w:t>i</w:t>
      </w:r>
      <w:r w:rsidR="009F63B4" w:rsidRPr="00865DCC">
        <w:rPr>
          <w:rFonts w:eastAsia="Calibri"/>
          <w:lang w:eastAsia="en-US"/>
        </w:rPr>
        <w:t xml:space="preserve"> će </w:t>
      </w:r>
      <w:r w:rsidRPr="00865DCC">
        <w:rPr>
          <w:rFonts w:eastAsia="Calibri"/>
          <w:lang w:eastAsia="en-US"/>
        </w:rPr>
        <w:t>sadržavati</w:t>
      </w:r>
      <w:r w:rsidR="009F63B4" w:rsidRPr="00865DCC">
        <w:rPr>
          <w:rFonts w:eastAsia="Calibri"/>
          <w:lang w:eastAsia="en-US"/>
        </w:rPr>
        <w:t xml:space="preserve"> jednoobraznu</w:t>
      </w:r>
      <w:r w:rsidRPr="00865DCC">
        <w:rPr>
          <w:rFonts w:eastAsia="Calibri"/>
          <w:lang w:eastAsia="en-US"/>
        </w:rPr>
        <w:t xml:space="preserve"> </w:t>
      </w:r>
      <w:r w:rsidR="00E23FDA" w:rsidRPr="00865DCC">
        <w:rPr>
          <w:rFonts w:eastAsia="Calibri"/>
          <w:lang w:eastAsia="en-US"/>
        </w:rPr>
        <w:t xml:space="preserve">završnu odredbu </w:t>
      </w:r>
      <w:r w:rsidRPr="00865DCC">
        <w:rPr>
          <w:rFonts w:eastAsia="Calibri"/>
          <w:lang w:eastAsia="en-US"/>
        </w:rPr>
        <w:t xml:space="preserve">o stupanju na snagu 1. siječnja 2023. </w:t>
      </w:r>
      <w:r w:rsidR="00126576" w:rsidRPr="00865DCC">
        <w:rPr>
          <w:rFonts w:eastAsia="Calibri"/>
          <w:lang w:eastAsia="en-US"/>
        </w:rPr>
        <w:t>godine.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323380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5</w:t>
      </w:r>
      <w:r w:rsidR="00A921DF" w:rsidRPr="00865DCC">
        <w:rPr>
          <w:rFonts w:eastAsia="Calibri"/>
          <w:lang w:eastAsia="en-US"/>
        </w:rPr>
        <w:t xml:space="preserve">. Zadužuju se tijela državne uprave da sve </w:t>
      </w:r>
      <w:r w:rsidR="00917CEF" w:rsidRPr="00865DCC">
        <w:rPr>
          <w:rFonts w:eastAsia="Calibri"/>
          <w:lang w:eastAsia="en-US"/>
        </w:rPr>
        <w:t xml:space="preserve">nacrte odgovarajućih izmjena zakona </w:t>
      </w:r>
      <w:r w:rsidR="00A921DF" w:rsidRPr="00865DCC">
        <w:rPr>
          <w:rFonts w:eastAsia="Calibri"/>
          <w:lang w:eastAsia="en-US"/>
        </w:rPr>
        <w:t xml:space="preserve">iz točke 2. ovoga Zaključka </w:t>
      </w:r>
      <w:r w:rsidR="009F63B4" w:rsidRPr="00865DCC">
        <w:rPr>
          <w:rFonts w:eastAsia="Calibri"/>
          <w:lang w:eastAsia="en-US"/>
        </w:rPr>
        <w:t xml:space="preserve">koji će se donijeti tijekom 2022. godine </w:t>
      </w:r>
      <w:r w:rsidR="00917CEF" w:rsidRPr="00865DCC">
        <w:rPr>
          <w:rFonts w:eastAsia="Calibri"/>
          <w:lang w:eastAsia="en-US"/>
        </w:rPr>
        <w:t>uvrste</w:t>
      </w:r>
      <w:r w:rsidR="009F63B4" w:rsidRPr="00865DCC">
        <w:rPr>
          <w:rFonts w:eastAsia="Calibri"/>
          <w:lang w:eastAsia="en-US"/>
        </w:rPr>
        <w:t xml:space="preserve"> </w:t>
      </w:r>
      <w:r w:rsidR="00A921DF" w:rsidRPr="00865DCC">
        <w:rPr>
          <w:rFonts w:eastAsia="Calibri"/>
          <w:lang w:eastAsia="en-US"/>
        </w:rPr>
        <w:t xml:space="preserve">u </w:t>
      </w:r>
      <w:r w:rsidR="00917CEF" w:rsidRPr="00865DCC">
        <w:rPr>
          <w:rFonts w:eastAsia="Calibri"/>
          <w:lang w:eastAsia="en-US"/>
        </w:rPr>
        <w:t xml:space="preserve">Prijedlog </w:t>
      </w:r>
      <w:r w:rsidR="00A921DF" w:rsidRPr="00865DCC">
        <w:rPr>
          <w:rFonts w:eastAsia="Calibri"/>
          <w:lang w:eastAsia="en-US"/>
        </w:rPr>
        <w:t>plan</w:t>
      </w:r>
      <w:r w:rsidR="00917CEF" w:rsidRPr="00865DCC">
        <w:rPr>
          <w:rFonts w:eastAsia="Calibri"/>
          <w:lang w:eastAsia="en-US"/>
        </w:rPr>
        <w:t>a</w:t>
      </w:r>
      <w:r w:rsidR="00A921DF" w:rsidRPr="00865DCC">
        <w:rPr>
          <w:rFonts w:eastAsia="Calibri"/>
          <w:lang w:eastAsia="en-US"/>
        </w:rPr>
        <w:t xml:space="preserve"> zakonodavnih aktivnosti za 2022. </w:t>
      </w:r>
      <w:r w:rsidR="009F63B4" w:rsidRPr="00865DCC">
        <w:rPr>
          <w:rFonts w:eastAsia="Calibri"/>
          <w:lang w:eastAsia="en-US"/>
        </w:rPr>
        <w:t>godinu.</w:t>
      </w:r>
    </w:p>
    <w:p w:rsidR="00A921DF" w:rsidRPr="00865DCC" w:rsidRDefault="00A921DF" w:rsidP="00A921DF">
      <w:pPr>
        <w:pStyle w:val="Odlomakpopisa"/>
        <w:jc w:val="both"/>
        <w:rPr>
          <w:rFonts w:eastAsia="Calibri"/>
          <w:lang w:eastAsia="en-US"/>
        </w:rPr>
      </w:pPr>
    </w:p>
    <w:p w:rsidR="00A921DF" w:rsidRPr="00865DCC" w:rsidRDefault="00323380" w:rsidP="004B3507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6</w:t>
      </w:r>
      <w:r w:rsidR="00A921DF" w:rsidRPr="00865DCC">
        <w:rPr>
          <w:rFonts w:eastAsia="Calibri"/>
          <w:lang w:eastAsia="en-US"/>
        </w:rPr>
        <w:t xml:space="preserve">. Zadužuju se tijela državne uprave da </w:t>
      </w:r>
      <w:r w:rsidR="00126576" w:rsidRPr="00865DCC">
        <w:rPr>
          <w:rFonts w:eastAsia="Calibri"/>
          <w:lang w:eastAsia="en-US"/>
        </w:rPr>
        <w:t xml:space="preserve">odgovarajuće izmjene </w:t>
      </w:r>
      <w:r w:rsidR="00A921DF" w:rsidRPr="00865DCC">
        <w:rPr>
          <w:rFonts w:eastAsia="Calibri"/>
          <w:lang w:eastAsia="en-US"/>
        </w:rPr>
        <w:t>uredb</w:t>
      </w:r>
      <w:r w:rsidR="00765C1B" w:rsidRPr="00865DCC">
        <w:rPr>
          <w:rFonts w:eastAsia="Calibri"/>
          <w:lang w:eastAsia="en-US"/>
        </w:rPr>
        <w:t>i</w:t>
      </w:r>
      <w:r w:rsidR="00A921DF" w:rsidRPr="00865DCC">
        <w:rPr>
          <w:rFonts w:eastAsia="Calibri"/>
          <w:lang w:eastAsia="en-US"/>
        </w:rPr>
        <w:t xml:space="preserve"> i drug</w:t>
      </w:r>
      <w:r w:rsidR="00765C1B" w:rsidRPr="00865DCC">
        <w:rPr>
          <w:rFonts w:eastAsia="Calibri"/>
          <w:lang w:eastAsia="en-US"/>
        </w:rPr>
        <w:t>ih</w:t>
      </w:r>
      <w:r w:rsidR="00A921DF" w:rsidRPr="00865DCC">
        <w:rPr>
          <w:rFonts w:eastAsia="Calibri"/>
          <w:lang w:eastAsia="en-US"/>
        </w:rPr>
        <w:t xml:space="preserve"> propisa koje donosi Vlada Republike Hrvatske pravovremeno upute u proceduru, sukladno Poslovniku Vlade Republike Hrvatske</w:t>
      </w:r>
      <w:r w:rsidR="004B3507">
        <w:rPr>
          <w:rFonts w:eastAsia="Calibri"/>
          <w:lang w:eastAsia="en-US"/>
        </w:rPr>
        <w:t xml:space="preserve"> </w:t>
      </w:r>
      <w:r w:rsidR="004B3507" w:rsidRPr="004B3507">
        <w:rPr>
          <w:rFonts w:eastAsia="Calibri"/>
          <w:lang w:eastAsia="en-US"/>
        </w:rPr>
        <w:t>(„Narodne novine“, br</w:t>
      </w:r>
      <w:r w:rsidR="00F40B4A">
        <w:rPr>
          <w:rFonts w:eastAsia="Calibri"/>
          <w:lang w:eastAsia="en-US"/>
        </w:rPr>
        <w:t xml:space="preserve">. </w:t>
      </w:r>
      <w:r w:rsidR="004B3507" w:rsidRPr="004B3507">
        <w:rPr>
          <w:rFonts w:eastAsia="Calibri"/>
          <w:lang w:eastAsia="en-US"/>
        </w:rPr>
        <w:t>154/11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 121/12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 7/13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 61/15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</w:t>
      </w:r>
      <w:r w:rsidR="004B3507">
        <w:rPr>
          <w:rFonts w:eastAsia="Calibri"/>
          <w:lang w:eastAsia="en-US"/>
        </w:rPr>
        <w:t xml:space="preserve"> </w:t>
      </w:r>
      <w:r w:rsidR="004B3507" w:rsidRPr="004B3507">
        <w:rPr>
          <w:rFonts w:eastAsia="Calibri"/>
          <w:lang w:eastAsia="en-US"/>
        </w:rPr>
        <w:t>99/16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 57/17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, 87/19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 xml:space="preserve"> i 88/20</w:t>
      </w:r>
      <w:r w:rsidR="004B3507">
        <w:rPr>
          <w:rFonts w:eastAsia="Calibri"/>
          <w:lang w:eastAsia="en-US"/>
        </w:rPr>
        <w:t>.</w:t>
      </w:r>
      <w:r w:rsidR="004B3507" w:rsidRPr="004B3507">
        <w:rPr>
          <w:rFonts w:eastAsia="Calibri"/>
          <w:lang w:eastAsia="en-US"/>
        </w:rPr>
        <w:t>)</w:t>
      </w:r>
      <w:r w:rsidR="00A921DF" w:rsidRPr="00865DCC">
        <w:rPr>
          <w:rFonts w:eastAsia="Calibri"/>
          <w:lang w:eastAsia="en-US"/>
        </w:rPr>
        <w:t>, a radi donošenja tih propisa u rokovima koji će omogućiti nesmetanu prilagodbu uvođenju eura kao službene valute u Republici Hrvatskoj.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323380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lastRenderedPageBreak/>
        <w:t>7</w:t>
      </w:r>
      <w:r w:rsidR="00A921DF" w:rsidRPr="00865DCC">
        <w:rPr>
          <w:rFonts w:eastAsia="Calibri"/>
          <w:lang w:eastAsia="en-US"/>
        </w:rPr>
        <w:t>. Zadužuju se č</w:t>
      </w:r>
      <w:r w:rsidR="003732CB" w:rsidRPr="00865DCC">
        <w:rPr>
          <w:rFonts w:eastAsia="Calibri"/>
          <w:lang w:eastAsia="en-US"/>
        </w:rPr>
        <w:t xml:space="preserve">elnici tijela državne uprave i </w:t>
      </w:r>
      <w:r w:rsidR="00A921DF" w:rsidRPr="00865DCC">
        <w:rPr>
          <w:rFonts w:eastAsia="Calibri"/>
          <w:lang w:eastAsia="en-US"/>
        </w:rPr>
        <w:t>čelnici</w:t>
      </w:r>
      <w:r w:rsidR="00765C1B" w:rsidRPr="00865DCC">
        <w:rPr>
          <w:rFonts w:eastAsia="Calibri"/>
          <w:lang w:eastAsia="en-US"/>
        </w:rPr>
        <w:t xml:space="preserve"> drugih</w:t>
      </w:r>
      <w:r w:rsidR="00A921DF" w:rsidRPr="00865DCC">
        <w:rPr>
          <w:rFonts w:eastAsia="Calibri"/>
          <w:lang w:eastAsia="en-US"/>
        </w:rPr>
        <w:t xml:space="preserve"> nadležnih tijela da, </w:t>
      </w:r>
      <w:r w:rsidR="00126576" w:rsidRPr="00865DCC">
        <w:rPr>
          <w:rFonts w:eastAsia="Calibri"/>
          <w:lang w:eastAsia="en-US"/>
        </w:rPr>
        <w:t xml:space="preserve">odgovarajuće izmjene </w:t>
      </w:r>
      <w:proofErr w:type="spellStart"/>
      <w:r w:rsidR="00A921DF" w:rsidRPr="00865DCC">
        <w:rPr>
          <w:rFonts w:eastAsia="Calibri"/>
          <w:lang w:eastAsia="en-US"/>
        </w:rPr>
        <w:t>podzakonsk</w:t>
      </w:r>
      <w:r w:rsidR="00126576" w:rsidRPr="00865DCC">
        <w:rPr>
          <w:rFonts w:eastAsia="Calibri"/>
          <w:lang w:eastAsia="en-US"/>
        </w:rPr>
        <w:t>ih</w:t>
      </w:r>
      <w:proofErr w:type="spellEnd"/>
      <w:r w:rsidR="00A921DF" w:rsidRPr="00865DCC">
        <w:rPr>
          <w:rFonts w:eastAsia="Calibri"/>
          <w:lang w:eastAsia="en-US"/>
        </w:rPr>
        <w:t xml:space="preserve"> propis</w:t>
      </w:r>
      <w:r w:rsidR="00126576" w:rsidRPr="00865DCC">
        <w:rPr>
          <w:rFonts w:eastAsia="Calibri"/>
          <w:lang w:eastAsia="en-US"/>
        </w:rPr>
        <w:t>a</w:t>
      </w:r>
      <w:r w:rsidR="00A921DF" w:rsidRPr="00865DCC">
        <w:rPr>
          <w:rFonts w:eastAsia="Calibri"/>
          <w:lang w:eastAsia="en-US"/>
        </w:rPr>
        <w:t xml:space="preserve"> iz točke </w:t>
      </w:r>
      <w:r w:rsidR="00765C1B" w:rsidRPr="00865DCC">
        <w:rPr>
          <w:rFonts w:eastAsia="Calibri"/>
          <w:lang w:eastAsia="en-US"/>
        </w:rPr>
        <w:t>2</w:t>
      </w:r>
      <w:r w:rsidR="00A921DF" w:rsidRPr="00865DCC">
        <w:rPr>
          <w:rFonts w:eastAsia="Calibri"/>
          <w:lang w:eastAsia="en-US"/>
        </w:rPr>
        <w:t xml:space="preserve">. </w:t>
      </w:r>
      <w:proofErr w:type="spellStart"/>
      <w:r w:rsidR="00A921DF" w:rsidRPr="00865DCC">
        <w:rPr>
          <w:rFonts w:eastAsia="Calibri"/>
          <w:lang w:eastAsia="en-US"/>
        </w:rPr>
        <w:t>podtočke</w:t>
      </w:r>
      <w:proofErr w:type="spellEnd"/>
      <w:r w:rsidR="00A921DF" w:rsidRPr="00865DCC">
        <w:rPr>
          <w:rFonts w:eastAsia="Calibri"/>
          <w:lang w:eastAsia="en-US"/>
        </w:rPr>
        <w:t xml:space="preserve"> a) ovoga Zaključka</w:t>
      </w:r>
      <w:r w:rsidR="003732CB" w:rsidRPr="00865DCC">
        <w:rPr>
          <w:rFonts w:eastAsia="Calibri"/>
          <w:lang w:eastAsia="en-US"/>
        </w:rPr>
        <w:t>,</w:t>
      </w:r>
      <w:r w:rsidR="00A921DF" w:rsidRPr="00865DCC">
        <w:rPr>
          <w:rFonts w:eastAsia="Calibri"/>
          <w:lang w:eastAsia="en-US"/>
        </w:rPr>
        <w:t xml:space="preserve"> donesu najkasnije u roku od 60 dana od d</w:t>
      </w:r>
      <w:r w:rsidR="00126576" w:rsidRPr="00865DCC">
        <w:rPr>
          <w:rFonts w:eastAsia="Calibri"/>
          <w:lang w:eastAsia="en-US"/>
        </w:rPr>
        <w:t>ana stupanja na snagu zakona iz</w:t>
      </w:r>
      <w:r w:rsidR="00A921DF" w:rsidRPr="00865DCC">
        <w:rPr>
          <w:rFonts w:eastAsia="Calibri"/>
          <w:lang w:eastAsia="en-US"/>
        </w:rPr>
        <w:t xml:space="preserve"> točke 3. </w:t>
      </w:r>
      <w:proofErr w:type="spellStart"/>
      <w:r w:rsidR="00A921DF" w:rsidRPr="00865DCC">
        <w:rPr>
          <w:rFonts w:eastAsia="Calibri"/>
          <w:lang w:eastAsia="en-US"/>
        </w:rPr>
        <w:t>podtočke</w:t>
      </w:r>
      <w:proofErr w:type="spellEnd"/>
      <w:r w:rsidR="00A921DF" w:rsidRPr="00865DCC">
        <w:rPr>
          <w:rFonts w:eastAsia="Calibri"/>
          <w:lang w:eastAsia="en-US"/>
        </w:rPr>
        <w:t xml:space="preserve"> a) ovoga Zaključka</w:t>
      </w:r>
      <w:r w:rsidR="00765C1B" w:rsidRPr="00865DCC">
        <w:rPr>
          <w:rFonts w:eastAsia="Calibri"/>
          <w:lang w:eastAsia="en-US"/>
        </w:rPr>
        <w:t>.</w:t>
      </w:r>
      <w:r w:rsidR="00A921DF" w:rsidRPr="00865DCC">
        <w:rPr>
          <w:rFonts w:eastAsia="Calibri"/>
          <w:lang w:eastAsia="en-US"/>
        </w:rPr>
        <w:t xml:space="preserve">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323380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8</w:t>
      </w:r>
      <w:r w:rsidR="00A921DF" w:rsidRPr="00865DCC">
        <w:rPr>
          <w:rFonts w:eastAsia="Calibri"/>
          <w:lang w:eastAsia="en-US"/>
        </w:rPr>
        <w:t>. Zadužuje se Ministarstvo financija za koordinaciju</w:t>
      </w:r>
      <w:r w:rsidR="00A921DF" w:rsidRPr="00865DCC">
        <w:t xml:space="preserve"> </w:t>
      </w:r>
      <w:r w:rsidR="00A921DF" w:rsidRPr="00865DCC">
        <w:rPr>
          <w:rFonts w:eastAsia="Calibri"/>
          <w:lang w:eastAsia="en-US"/>
        </w:rPr>
        <w:t>svih aktivnosti vezanih uz provedbu zadaća utvrđenih u ovom Zaključku i nadzor prove</w:t>
      </w:r>
      <w:r w:rsidR="003732CB" w:rsidRPr="00865DCC">
        <w:rPr>
          <w:rFonts w:eastAsia="Calibri"/>
          <w:lang w:eastAsia="en-US"/>
        </w:rPr>
        <w:t xml:space="preserve">dbe zakonodavnih aktivnosti iz </w:t>
      </w:r>
      <w:r w:rsidR="00A921DF" w:rsidRPr="00865DCC">
        <w:rPr>
          <w:rFonts w:eastAsia="Calibri"/>
          <w:lang w:eastAsia="en-US"/>
        </w:rPr>
        <w:t xml:space="preserve">točke 3. ovoga Zaključka u okviru čega, po potrebi, može predložiti Vladi Republike Hrvatske donošenje dodatnih mjera koje su nužne za njegovu provedbu.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323380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9</w:t>
      </w:r>
      <w:r w:rsidR="00A921DF" w:rsidRPr="00865DCC">
        <w:rPr>
          <w:rFonts w:eastAsia="Calibri"/>
          <w:lang w:eastAsia="en-US"/>
        </w:rPr>
        <w:t>. Ovlašćuje se ministar financija da po potrebi dopuni i</w:t>
      </w:r>
      <w:r w:rsidR="00126576" w:rsidRPr="00865DCC">
        <w:rPr>
          <w:rFonts w:eastAsia="Calibri"/>
          <w:lang w:eastAsia="en-US"/>
        </w:rPr>
        <w:t>/ili</w:t>
      </w:r>
      <w:r w:rsidR="00A921DF" w:rsidRPr="00865DCC">
        <w:rPr>
          <w:rFonts w:eastAsia="Calibri"/>
          <w:lang w:eastAsia="en-US"/>
        </w:rPr>
        <w:t xml:space="preserve"> izmijeni popis iz točke </w:t>
      </w:r>
      <w:r w:rsidR="00765C1B" w:rsidRPr="00865DCC">
        <w:rPr>
          <w:rFonts w:eastAsia="Calibri"/>
          <w:lang w:eastAsia="en-US"/>
        </w:rPr>
        <w:t>1</w:t>
      </w:r>
      <w:r w:rsidR="00A921DF" w:rsidRPr="00865DCC">
        <w:rPr>
          <w:rFonts w:eastAsia="Calibri"/>
          <w:lang w:eastAsia="en-US"/>
        </w:rPr>
        <w:t xml:space="preserve">. ovoga Zaključka o čemu će izvijestiti Ured predsjednika Vlade Republike Hrvatske te da donese posebne upute radi ispunjavanja zadaća utvrđenih ovim Zaključkom.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765C1B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1</w:t>
      </w:r>
      <w:r w:rsidR="00323380" w:rsidRPr="00865DCC">
        <w:rPr>
          <w:rFonts w:eastAsia="Calibri"/>
          <w:lang w:eastAsia="en-US"/>
        </w:rPr>
        <w:t>0</w:t>
      </w:r>
      <w:r w:rsidRPr="00865DCC">
        <w:rPr>
          <w:rFonts w:eastAsia="Calibri"/>
          <w:lang w:eastAsia="en-US"/>
        </w:rPr>
        <w:t>.</w:t>
      </w:r>
      <w:r w:rsidR="00765C1B" w:rsidRPr="00865DCC">
        <w:rPr>
          <w:rFonts w:eastAsia="Calibri"/>
          <w:lang w:eastAsia="en-US"/>
        </w:rPr>
        <w:t xml:space="preserve"> Zadužuje se ministar financija da najmanje jednom mjesečno izvještava Vladu Republike Hrvatske o provedbi ovoga Zaključka. </w:t>
      </w:r>
    </w:p>
    <w:p w:rsidR="00765C1B" w:rsidRPr="00865DCC" w:rsidRDefault="00765C1B" w:rsidP="00A921DF">
      <w:pPr>
        <w:jc w:val="both"/>
        <w:rPr>
          <w:rFonts w:eastAsia="Calibri"/>
          <w:lang w:eastAsia="en-US"/>
        </w:rPr>
      </w:pPr>
    </w:p>
    <w:p w:rsidR="00A921DF" w:rsidRPr="00865DCC" w:rsidRDefault="00323380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11</w:t>
      </w:r>
      <w:r w:rsidR="00765C1B" w:rsidRPr="00865DCC">
        <w:rPr>
          <w:rFonts w:eastAsia="Calibri"/>
          <w:lang w:eastAsia="en-US"/>
        </w:rPr>
        <w:t>.</w:t>
      </w:r>
      <w:r w:rsidR="00A921DF" w:rsidRPr="00865DCC">
        <w:rPr>
          <w:rFonts w:eastAsia="Calibri"/>
          <w:lang w:eastAsia="en-US"/>
        </w:rPr>
        <w:t xml:space="preserve"> Zadužuje se Ministarstvo financija da o ovom Zaključku izvijesti tijela državne uprave i druga nadležna tijela utvrđena u popisu iz točke </w:t>
      </w:r>
      <w:r w:rsidR="00765C1B" w:rsidRPr="00865DCC">
        <w:rPr>
          <w:rFonts w:eastAsia="Calibri"/>
          <w:lang w:eastAsia="en-US"/>
        </w:rPr>
        <w:t>1</w:t>
      </w:r>
      <w:r w:rsidR="00A921DF" w:rsidRPr="00865DCC">
        <w:rPr>
          <w:rFonts w:eastAsia="Calibri"/>
          <w:lang w:eastAsia="en-US"/>
        </w:rPr>
        <w:t xml:space="preserve">. ovoga Zaključka.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KLASA: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URBROJ: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Zagreb,            202</w:t>
      </w:r>
      <w:r w:rsidR="00323380" w:rsidRPr="00865DCC">
        <w:rPr>
          <w:rFonts w:eastAsia="Calibri"/>
          <w:lang w:eastAsia="en-US"/>
        </w:rPr>
        <w:t>1</w:t>
      </w:r>
      <w:r w:rsidRPr="00865DCC">
        <w:rPr>
          <w:rFonts w:eastAsia="Calibri"/>
          <w:lang w:eastAsia="en-US"/>
        </w:rPr>
        <w:t>.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b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b/>
          <w:lang w:eastAsia="en-US"/>
        </w:rPr>
      </w:pP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  <w:t xml:space="preserve"> Predsjednik</w:t>
      </w:r>
    </w:p>
    <w:p w:rsidR="00A921DF" w:rsidRPr="00865DCC" w:rsidRDefault="00A921DF" w:rsidP="00A921DF">
      <w:pPr>
        <w:jc w:val="both"/>
        <w:rPr>
          <w:rFonts w:eastAsia="Calibri"/>
          <w:b/>
          <w:lang w:eastAsia="en-US"/>
        </w:rPr>
      </w:pPr>
    </w:p>
    <w:p w:rsidR="00A921DF" w:rsidRDefault="00A921DF" w:rsidP="00A921DF">
      <w:pPr>
        <w:jc w:val="both"/>
        <w:rPr>
          <w:rFonts w:eastAsia="Calibri"/>
          <w:b/>
          <w:lang w:eastAsia="en-US"/>
        </w:rPr>
      </w:pP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</w:r>
      <w:r w:rsidRPr="00865DCC">
        <w:rPr>
          <w:rFonts w:eastAsia="Calibri"/>
          <w:b/>
          <w:lang w:eastAsia="en-US"/>
        </w:rPr>
        <w:tab/>
        <w:t xml:space="preserve">mr. </w:t>
      </w:r>
      <w:proofErr w:type="spellStart"/>
      <w:r w:rsidRPr="00865DCC">
        <w:rPr>
          <w:rFonts w:eastAsia="Calibri"/>
          <w:b/>
          <w:lang w:eastAsia="en-US"/>
        </w:rPr>
        <w:t>sc</w:t>
      </w:r>
      <w:proofErr w:type="spellEnd"/>
      <w:r w:rsidRPr="00865DCC">
        <w:rPr>
          <w:rFonts w:eastAsia="Calibri"/>
          <w:b/>
          <w:lang w:eastAsia="en-US"/>
        </w:rPr>
        <w:t xml:space="preserve">. Andrej Plenković, v. r. </w:t>
      </w:r>
    </w:p>
    <w:p w:rsidR="007B29C4" w:rsidRDefault="007B29C4" w:rsidP="00A921DF">
      <w:pPr>
        <w:jc w:val="both"/>
        <w:rPr>
          <w:rFonts w:eastAsia="Calibri"/>
          <w:b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Default="007B29C4" w:rsidP="007B29C4">
      <w:pPr>
        <w:rPr>
          <w:rFonts w:eastAsia="Calibri"/>
          <w:spacing w:val="20"/>
          <w:lang w:eastAsia="en-US"/>
        </w:rPr>
      </w:pPr>
      <w:r>
        <w:rPr>
          <w:rFonts w:eastAsia="Calibri"/>
          <w:spacing w:val="20"/>
          <w:lang w:eastAsia="en-US"/>
        </w:rPr>
        <w:t>Prilog:</w:t>
      </w:r>
    </w:p>
    <w:p w:rsidR="007B29C4" w:rsidRDefault="007B29C4" w:rsidP="007B29C4">
      <w:pPr>
        <w:rPr>
          <w:rFonts w:eastAsia="Calibri"/>
          <w:spacing w:val="20"/>
          <w:lang w:eastAsia="en-US"/>
        </w:rPr>
      </w:pPr>
    </w:p>
    <w:p w:rsidR="007B29C4" w:rsidRPr="007B29C4" w:rsidRDefault="007B29C4" w:rsidP="007B29C4">
      <w:pPr>
        <w:rPr>
          <w:rFonts w:eastAsia="Calibri"/>
          <w:spacing w:val="20"/>
          <w:lang w:eastAsia="en-US"/>
        </w:rPr>
      </w:pPr>
      <w:r w:rsidRPr="007B29C4">
        <w:rPr>
          <w:rFonts w:eastAsia="Calibri"/>
          <w:spacing w:val="20"/>
          <w:lang w:eastAsia="en-US"/>
        </w:rPr>
        <w:t>1. Popis propisa I. skupine – Excel tablica</w:t>
      </w:r>
    </w:p>
    <w:p w:rsidR="007B29C4" w:rsidRPr="007B29C4" w:rsidRDefault="007B29C4" w:rsidP="007B29C4">
      <w:pPr>
        <w:rPr>
          <w:rFonts w:eastAsia="Calibri"/>
          <w:spacing w:val="20"/>
          <w:lang w:eastAsia="en-US"/>
        </w:rPr>
      </w:pPr>
      <w:r w:rsidRPr="007B29C4">
        <w:rPr>
          <w:rFonts w:eastAsia="Calibri"/>
          <w:spacing w:val="20"/>
          <w:lang w:eastAsia="en-US"/>
        </w:rPr>
        <w:t>2. Popis propisa II. skupine – Excel tablica</w:t>
      </w:r>
    </w:p>
    <w:p w:rsidR="007B29C4" w:rsidRPr="00865DCC" w:rsidRDefault="007B29C4" w:rsidP="00A921DF">
      <w:pPr>
        <w:jc w:val="both"/>
        <w:rPr>
          <w:rFonts w:eastAsia="Calibri"/>
          <w:b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b/>
          <w:lang w:eastAsia="en-US"/>
        </w:rPr>
      </w:pPr>
    </w:p>
    <w:p w:rsidR="00A921DF" w:rsidRPr="00865DCC" w:rsidRDefault="00A921DF" w:rsidP="00A921DF">
      <w:pPr>
        <w:rPr>
          <w:rFonts w:eastAsia="Calibri"/>
          <w:b/>
          <w:spacing w:val="20"/>
          <w:lang w:eastAsia="en-US"/>
        </w:rPr>
      </w:pPr>
      <w:r w:rsidRPr="00865DCC">
        <w:rPr>
          <w:rFonts w:eastAsia="Calibri"/>
          <w:b/>
          <w:spacing w:val="20"/>
          <w:lang w:eastAsia="en-US"/>
        </w:rPr>
        <w:br w:type="page"/>
      </w:r>
    </w:p>
    <w:p w:rsidR="00A921DF" w:rsidRPr="00865DCC" w:rsidRDefault="00A921DF" w:rsidP="00A921DF">
      <w:pPr>
        <w:rPr>
          <w:rFonts w:eastAsia="Calibri"/>
          <w:b/>
          <w:spacing w:val="20"/>
          <w:lang w:eastAsia="en-US"/>
        </w:rPr>
      </w:pPr>
      <w:bookmarkStart w:id="0" w:name="_GoBack"/>
      <w:bookmarkEnd w:id="0"/>
    </w:p>
    <w:p w:rsidR="00A921DF" w:rsidRPr="00865DCC" w:rsidRDefault="00A921DF" w:rsidP="00A921DF">
      <w:pPr>
        <w:jc w:val="center"/>
        <w:rPr>
          <w:rFonts w:eastAsia="Calibri"/>
          <w:b/>
          <w:spacing w:val="20"/>
          <w:lang w:eastAsia="en-US"/>
        </w:rPr>
      </w:pPr>
      <w:r w:rsidRPr="00865DCC">
        <w:rPr>
          <w:rFonts w:eastAsia="Calibri"/>
          <w:b/>
          <w:spacing w:val="20"/>
          <w:lang w:eastAsia="en-US"/>
        </w:rPr>
        <w:t>O b r a z l o ž e nj e</w:t>
      </w:r>
    </w:p>
    <w:p w:rsidR="00A921DF" w:rsidRPr="00865DCC" w:rsidRDefault="00A921DF" w:rsidP="00A921DF">
      <w:pPr>
        <w:ind w:firstLine="709"/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tabs>
          <w:tab w:val="left" w:pos="0"/>
        </w:tabs>
        <w:jc w:val="both"/>
      </w:pPr>
      <w:r w:rsidRPr="00865DCC">
        <w:t xml:space="preserve">Vlada Republike Hrvatske je na sjednici održanoj 10. svibnja 2018. donijela Strategiju za uvođenje eura kao službene valute u Republici Hrvatskoj. Taj je dokument, među ostalim, predstavio detaljnu analizu koristi i troškova uvođenja eura koja je pokazala da će u slučaju Republike Hrvatske prednosti znatno premašiti nedostatke. U Strategiji za uvođenje eura kao službene valute u Republici Hrvatskoj je također ustanovljeno da zahvaljujući uravnoteženom gospodarskom rastu i ostvarenoj fiskalnoj prilagodbi Hrvatska danas zadovoljava sve formalne kriterije za uvođenje eura osim kriterija koji se tiče dvogodišnjeg sudjelovanja u tečajnom mehanizmu.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t>N</w:t>
      </w:r>
      <w:r w:rsidRPr="00865DCC">
        <w:rPr>
          <w:rFonts w:eastAsia="Calibri"/>
          <w:lang w:eastAsia="en-US"/>
        </w:rPr>
        <w:t xml:space="preserve">akon što je Republika Hrvatska u srpnju prošle godine ušla u europski tečajni mehanizam (ERM II), trenutno je u tijeku provedba preostalih osam reformskih mjera u četiri područja na čiju smo se provedbu obvezali prilikom pridruživanja ERM-u II. Republika Hrvatska je 7. svibnja 2021. dostavila i prvo Izvješće o provedbi preuzetih obveza za ulazak u </w:t>
      </w:r>
      <w:proofErr w:type="spellStart"/>
      <w:r w:rsidRPr="00865DCC">
        <w:rPr>
          <w:rFonts w:eastAsia="Calibri"/>
          <w:lang w:eastAsia="en-US"/>
        </w:rPr>
        <w:t>europodručje</w:t>
      </w:r>
      <w:proofErr w:type="spellEnd"/>
      <w:r w:rsidRPr="00865DCC">
        <w:rPr>
          <w:rFonts w:eastAsia="Calibri"/>
          <w:lang w:eastAsia="en-US"/>
        </w:rPr>
        <w:t xml:space="preserve"> (post </w:t>
      </w:r>
      <w:proofErr w:type="spellStart"/>
      <w:r w:rsidRPr="00865DCC">
        <w:rPr>
          <w:rFonts w:eastAsia="Calibri"/>
          <w:lang w:eastAsia="en-US"/>
        </w:rPr>
        <w:t>entry</w:t>
      </w:r>
      <w:proofErr w:type="spellEnd"/>
      <w:r w:rsidRPr="00865DCC">
        <w:rPr>
          <w:rFonts w:eastAsia="Calibri"/>
          <w:lang w:eastAsia="en-US"/>
        </w:rPr>
        <w:t xml:space="preserve"> </w:t>
      </w:r>
      <w:proofErr w:type="spellStart"/>
      <w:r w:rsidRPr="00865DCC">
        <w:rPr>
          <w:rFonts w:eastAsia="Calibri"/>
          <w:lang w:eastAsia="en-US"/>
        </w:rPr>
        <w:t>comittments</w:t>
      </w:r>
      <w:proofErr w:type="spellEnd"/>
      <w:r w:rsidRPr="00865DCC">
        <w:rPr>
          <w:rFonts w:eastAsia="Calibri"/>
          <w:lang w:eastAsia="en-US"/>
        </w:rPr>
        <w:t xml:space="preserve">) o čemu je Europska komisija izvijestila države članice </w:t>
      </w:r>
      <w:proofErr w:type="spellStart"/>
      <w:r w:rsidRPr="00865DCC">
        <w:rPr>
          <w:rFonts w:eastAsia="Calibri"/>
          <w:lang w:eastAsia="en-US"/>
        </w:rPr>
        <w:t>europodručja</w:t>
      </w:r>
      <w:proofErr w:type="spellEnd"/>
      <w:r w:rsidRPr="00865DCC">
        <w:rPr>
          <w:rFonts w:eastAsia="Calibri"/>
          <w:lang w:eastAsia="en-US"/>
        </w:rPr>
        <w:t xml:space="preserve">. Zaključeno je kako Republika Hrvatska provodi preuzete obveze sukladno definiranim rokovima.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 xml:space="preserve">Uz provedbu navedenih mjera, Vlada Republike Hrvatske na sjednici održanoj 23. prosinca 2020. donijela Nacionalni plan zamjene hrvatske kune eurom (u daljnjem tekstu: Nacionalni plan) u kojem je dan pregled svih važnijih aktivnosti koje će sudionici priprema za uvođenje eura, iz privatnog i javnog sektora, provoditi u okviru priprema za uvođenje eura. Radi provedbe svih aktivnosti iz Nacionalnog plana na operativnoj razini, na sjednici Nacionalnog vijeća za uvođenje eura kao službene valute u Republici Hrvatskoj održanoj 31. prosinca 2020. ustrojen je Upravljački odbor i šest koordinacijskih odbora. Iz djelokruga Ministarstva financija su Koordinacijski odbor za zakonodavne prilagodbe, Koordinacijski odbor za prilagodbu opće države i Koordinacijski odbor za prilagodbu financijskog sustava. Uz to, ustrojeni su Koordinacijski odbor za zamjenu gotovog novca čija je vodeća institucija Hrvatska narodna banka, Koordinacijski odbor za prilagodbu gospodarstva i zaštitu potrošača kojemu je vodeća institucija Ministarstvo gospodarstva i održivog razvoja i Koordinacijski odbor za komunikaciju na čelu s Uredom predsjednika Vlade Republike Hrvatske. </w:t>
      </w: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</w:p>
    <w:p w:rsidR="00A921DF" w:rsidRPr="00865DCC" w:rsidRDefault="00A921DF" w:rsidP="00A921DF">
      <w:pPr>
        <w:jc w:val="both"/>
        <w:rPr>
          <w:rFonts w:eastAsia="Calibri"/>
          <w:lang w:eastAsia="en-US"/>
        </w:rPr>
      </w:pPr>
      <w:r w:rsidRPr="00865DCC">
        <w:rPr>
          <w:rFonts w:eastAsia="Calibri"/>
          <w:lang w:eastAsia="en-US"/>
        </w:rPr>
        <w:t>Koordinacijski odbori su svoje aktivnosti i pripremne radnje već počeli provoditi, a oni zajedno s Upravljačkim odborom usmjeravaju cjelokupan proces kako bi se pripremne aktivnosti u svezi zamjen</w:t>
      </w:r>
      <w:r w:rsidR="000125E4" w:rsidRPr="00865DCC">
        <w:rPr>
          <w:rFonts w:eastAsia="Calibri"/>
          <w:lang w:eastAsia="en-US"/>
        </w:rPr>
        <w:t>e</w:t>
      </w:r>
      <w:r w:rsidRPr="00865DCC">
        <w:rPr>
          <w:rFonts w:eastAsia="Calibri"/>
          <w:lang w:eastAsia="en-US"/>
        </w:rPr>
        <w:t xml:space="preserve"> hrvatske kune eurom odvijale u zadanim okvirima uz smanjenje na najmanju moguću mjeru svih nepoznanica, pri čemu će u razdoblju koje je pred nama iznimno bitni elementi biti vrijeme i učinkovita provedba svih aktivnosti i mjera. Cilj je osigurati nesmetano odvijanje svih pripremnih aktivnosti za zamjenu hrvatske kune eurom i provođenje tog procesa u zadanim okvirima, pri čemu će poseban naglasak biti stavljen na informiranje građana, odnosno na zaštitu potrošača i to osobito na njihovu zaštitu od neopravdanog povećanja cijena.</w:t>
      </w:r>
    </w:p>
    <w:p w:rsidR="00A921DF" w:rsidRPr="00865DCC" w:rsidRDefault="00A921DF" w:rsidP="00A921DF">
      <w:pPr>
        <w:tabs>
          <w:tab w:val="left" w:pos="0"/>
        </w:tabs>
        <w:jc w:val="both"/>
      </w:pPr>
    </w:p>
    <w:p w:rsidR="00A921DF" w:rsidRPr="00865DCC" w:rsidRDefault="00A921DF" w:rsidP="00A921DF">
      <w:pPr>
        <w:jc w:val="both"/>
      </w:pPr>
      <w:r w:rsidRPr="00865DCC">
        <w:t xml:space="preserve">Kako je naprijed navedeno, jedan od ustrojenih koordinacijskih odbora je Koordinacijski odbor za zakonodavne prilagodbe koji je zadužen za niz aktivnosti povezanih s usklađivanjem nacionalnog zakonodavstva u odnosu na uvođenje nove valute. Naime, uvođenje eura kao službene valute u Republici Hrvatskoj zahtijeva prilagodbu pravnog okvira Republike Hrvatske u cilju osiguranja pravne sigurnosti i stvaranja uvjeta za nesmetano i učinkovito funkcioniranje gospodarstva.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lastRenderedPageBreak/>
        <w:t xml:space="preserve">U skladu s tim, u razdoblju koje prethodi uvođenju eura, Vlada Republike Hrvatske će Hrvatskom saboru </w:t>
      </w:r>
      <w:r w:rsidR="00F32030" w:rsidRPr="00865DCC">
        <w:t xml:space="preserve">predložiti </w:t>
      </w:r>
      <w:r w:rsidRPr="00865DCC">
        <w:t xml:space="preserve">donošenje zakona kojim se uređuje uvođenje eura kao službene valute u Republici Hrvatskoj (Zakon o uvođenju eura kao službene valute u Republici Hrvatskoj, u daljnjem tekstu: Zakon o euru).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 xml:space="preserve">Osim donošenja Zakona o euru, za potrebe pune prilagodbe hrvatskog zakonodavstva uvođenju eura potrebno je izmijeniti niz važećih zakonskih i </w:t>
      </w:r>
      <w:proofErr w:type="spellStart"/>
      <w:r w:rsidRPr="00865DCC">
        <w:t>podzakonskih</w:t>
      </w:r>
      <w:proofErr w:type="spellEnd"/>
      <w:r w:rsidRPr="00865DCC">
        <w:t xml:space="preserve"> propisa koji sadržavaju odredbe povezane s kunom. S druge strane, propise koji samo u manjoj mjeri sadržavaju odredbe povezane s kunom neće biti neophodno mijenjati u razdoblju do uvođenja eura jer će Zakonom o euru biti propisano da se iznosi iskazani u kunama smatraju iznosima u eurima uz primjenu pravila preračunavanja primjenom fiksnog tečaja konverzije. Odredbe tih propisa prilagodit će se uvođenju eura kada se propis bude mijenjao ili dopunjavao zbog neke druge potrebe.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 xml:space="preserve">Slijedom navedenog, Ministarstvo financija je kao vodeća institucija za Koordinacijski odbor za zakonodavne prilagodbe zatražilo dostavu popisa važećih zakonskih i </w:t>
      </w:r>
      <w:proofErr w:type="spellStart"/>
      <w:r w:rsidRPr="00865DCC">
        <w:t>podzakonskih</w:t>
      </w:r>
      <w:proofErr w:type="spellEnd"/>
      <w:r w:rsidRPr="00865DCC">
        <w:t xml:space="preserve"> propisa koji sadržavaju odredbe povezane s kunom te se predlaže donošenje ovoga Zaključka.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 xml:space="preserve">Ovim se Zaključkom utvrđuju svi zakonski i </w:t>
      </w:r>
      <w:proofErr w:type="spellStart"/>
      <w:r w:rsidRPr="00865DCC">
        <w:t>podzakonski</w:t>
      </w:r>
      <w:proofErr w:type="spellEnd"/>
      <w:r w:rsidRPr="00865DCC">
        <w:t xml:space="preserve"> propisi koje je potrebno izmijeniti radi pune prilagodbe hrvatskog zakonodavstva uvođenju eura kao službene valute u Republici Hrvatskoj, a isti su podijeljeni u dvije skupine. U prvoj skupini su zakoni i </w:t>
      </w:r>
      <w:proofErr w:type="spellStart"/>
      <w:r w:rsidRPr="00865DCC">
        <w:t>podzakonski</w:t>
      </w:r>
      <w:proofErr w:type="spellEnd"/>
      <w:r w:rsidRPr="00865DCC">
        <w:t xml:space="preserve"> propisi koji sadržavaju značajnija pozivanja i potrebno ih je izmijeniti prije uvođenja eura kao službene valute u Republici Hrvatskoj. U drugoj su skupini zakoni i </w:t>
      </w:r>
      <w:proofErr w:type="spellStart"/>
      <w:r w:rsidRPr="00865DCC">
        <w:t>podzakonski</w:t>
      </w:r>
      <w:proofErr w:type="spellEnd"/>
      <w:r w:rsidRPr="00865DCC">
        <w:t xml:space="preserve"> propisi koji sadrže manji broj odredbi vezanih uz nacionalnu valutu.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 xml:space="preserve">Za sve zakone iz prve skupine propisa planirano je njihovo stupanje na snagu najkasnije s datumom uvođenja eura kao službene valute u Republici Hrvatskoj. Kako je naprijed i navedeno, odredbe propisa iz druge skupine prilagodit će se uvođenju eura kada se propis bude mijenjao ili dopunjavao zbog neke druge potrebe. Pod pretpostavkom da će euro kao službena valuta u Republici Hrvatskoj biti uveden 1. siječnja 2023., svi zakoni koji će se donositi u 2022. trebaju biti utvrđeni u Planu zakonodavnih aktivnosti za 2022. 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>Uz to, ovim se Zaključkom nadležna tijela zadužuju da, radi omogućavanja nesmetane prilagodbe uvođenju eura kao službene valute u Republici Hrvatskoj, u proceduru Vlade Republike Hrvatske pravovremeno upute izmjene uredbi i drugih propisa koje donosi Vlada Republike Hrvatska, odnosno zadužuj</w:t>
      </w:r>
      <w:r w:rsidR="00311091" w:rsidRPr="00865DCC">
        <w:t>u</w:t>
      </w:r>
      <w:r w:rsidRPr="00865DCC">
        <w:t xml:space="preserve"> se čelnici tijela državne uprave i čelnici drugih nadležnih tijela </w:t>
      </w:r>
      <w:r w:rsidR="00311091" w:rsidRPr="00865DCC">
        <w:t xml:space="preserve">da </w:t>
      </w:r>
      <w:proofErr w:type="spellStart"/>
      <w:r w:rsidRPr="00865DCC">
        <w:t>podzakonske</w:t>
      </w:r>
      <w:proofErr w:type="spellEnd"/>
      <w:r w:rsidRPr="00865DCC">
        <w:t xml:space="preserve"> propise donesu najkasnije u roku od 60 dana od da</w:t>
      </w:r>
      <w:r w:rsidR="00311091" w:rsidRPr="00865DCC">
        <w:t xml:space="preserve">na stupanja na snagu zakona iz </w:t>
      </w:r>
      <w:r w:rsidRPr="00865DCC">
        <w:t xml:space="preserve">točke 3. </w:t>
      </w:r>
      <w:proofErr w:type="spellStart"/>
      <w:r w:rsidRPr="00865DCC">
        <w:t>podtočke</w:t>
      </w:r>
      <w:proofErr w:type="spellEnd"/>
      <w:r w:rsidRPr="00865DCC">
        <w:t xml:space="preserve"> a) Zaključka.</w:t>
      </w:r>
    </w:p>
    <w:p w:rsidR="00A921DF" w:rsidRPr="00865DCC" w:rsidRDefault="00A921DF" w:rsidP="00A921DF">
      <w:pPr>
        <w:jc w:val="both"/>
      </w:pPr>
    </w:p>
    <w:p w:rsidR="00A921DF" w:rsidRPr="00865DCC" w:rsidRDefault="00A921DF" w:rsidP="00A921DF">
      <w:pPr>
        <w:jc w:val="both"/>
      </w:pPr>
      <w:r w:rsidRPr="00865DCC">
        <w:t xml:space="preserve">Ministarstvo financija se zadužuje za koordinaciju svih aktivnosti vezanih uz provedbu zadaća utvrđenih u ovom Zaključku, kao i za nadzor njegove provedbe. U tom smislu Ministarstvo financija će po potrebi, moći predložiti Vladi Republike Hrvatske donošenje i dodatnih mjera koje su nužne za njegovu provedbu, a ministra financija se ovlašćuje da po potrebi dopuni i izmjeni popis zakona i drugih propisa koje je potrebno izmijeniti u razdoblju koje prethodi uvođenju eura kao službene valute u Republici Hrvatskoj. </w:t>
      </w:r>
    </w:p>
    <w:p w:rsidR="00A921DF" w:rsidRPr="00865DCC" w:rsidRDefault="00A921DF" w:rsidP="00A921DF"/>
    <w:p w:rsidR="00A921DF" w:rsidRDefault="00A921DF" w:rsidP="00A921DF">
      <w:r w:rsidRPr="00865DCC">
        <w:t>Slijedom svega navedenog, predlaže se donošenje ovoga Zaključka.</w:t>
      </w:r>
      <w:r>
        <w:t xml:space="preserve"> </w:t>
      </w:r>
    </w:p>
    <w:p w:rsidR="00A34F77" w:rsidRDefault="00A34F77"/>
    <w:sectPr w:rsidR="00A3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C51"/>
    <w:multiLevelType w:val="hybridMultilevel"/>
    <w:tmpl w:val="F16074AA"/>
    <w:lvl w:ilvl="0" w:tplc="B97EBE4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A8A"/>
    <w:multiLevelType w:val="hybridMultilevel"/>
    <w:tmpl w:val="34D2E1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098"/>
    <w:multiLevelType w:val="hybridMultilevel"/>
    <w:tmpl w:val="B1967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7836"/>
    <w:multiLevelType w:val="hybridMultilevel"/>
    <w:tmpl w:val="F5DEF0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7F06"/>
    <w:multiLevelType w:val="hybridMultilevel"/>
    <w:tmpl w:val="A4C835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F"/>
    <w:rsid w:val="000125E4"/>
    <w:rsid w:val="000B7BEB"/>
    <w:rsid w:val="00126576"/>
    <w:rsid w:val="001B4741"/>
    <w:rsid w:val="001C24CF"/>
    <w:rsid w:val="002C3E07"/>
    <w:rsid w:val="00311091"/>
    <w:rsid w:val="00323380"/>
    <w:rsid w:val="003732CB"/>
    <w:rsid w:val="004176B1"/>
    <w:rsid w:val="004B3507"/>
    <w:rsid w:val="005F5C41"/>
    <w:rsid w:val="006F64A7"/>
    <w:rsid w:val="00700A62"/>
    <w:rsid w:val="00765C1B"/>
    <w:rsid w:val="007B29C4"/>
    <w:rsid w:val="007F3CED"/>
    <w:rsid w:val="0082179D"/>
    <w:rsid w:val="00865DCC"/>
    <w:rsid w:val="00917CEF"/>
    <w:rsid w:val="0094568C"/>
    <w:rsid w:val="009F63B4"/>
    <w:rsid w:val="00A03E23"/>
    <w:rsid w:val="00A24FCC"/>
    <w:rsid w:val="00A34F77"/>
    <w:rsid w:val="00A921DF"/>
    <w:rsid w:val="00AC739D"/>
    <w:rsid w:val="00C36CF1"/>
    <w:rsid w:val="00E23FDA"/>
    <w:rsid w:val="00EB0968"/>
    <w:rsid w:val="00EB4293"/>
    <w:rsid w:val="00F32030"/>
    <w:rsid w:val="00F40B4A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61D8-2B07-486A-8F60-B48423F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DF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1DF"/>
    <w:pPr>
      <w:ind w:left="720"/>
      <w:contextualSpacing/>
    </w:pPr>
  </w:style>
  <w:style w:type="table" w:styleId="Reetkatablice">
    <w:name w:val="Table Grid"/>
    <w:basedOn w:val="Obinatablica"/>
    <w:rsid w:val="00A921DF"/>
    <w:rPr>
      <w:rFonts w:eastAsia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F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F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AZJMDCZ6QSYZ-1849078857-9639</_dlc_DocId>
    <_dlc_DocIdUrl xmlns="a494813a-d0d8-4dad-94cb-0d196f36ba15">
      <Url>https://ekoordinacije.vlada.hr/koordinacija-gospodarstvo/_layouts/15/DocIdRedir.aspx?ID=AZJMDCZ6QSYZ-1849078857-9639</Url>
      <Description>AZJMDCZ6QSYZ-1849078857-9639</Description>
    </_dlc_DocIdUrl>
  </documentManagement>
</p:properties>
</file>

<file path=customXml/itemProps1.xml><?xml version="1.0" encoding="utf-8"?>
<ds:datastoreItem xmlns:ds="http://schemas.openxmlformats.org/officeDocument/2006/customXml" ds:itemID="{52EB0935-4AE0-45AE-A8D2-FBD70C589218}"/>
</file>

<file path=customXml/itemProps2.xml><?xml version="1.0" encoding="utf-8"?>
<ds:datastoreItem xmlns:ds="http://schemas.openxmlformats.org/officeDocument/2006/customXml" ds:itemID="{2E3C2159-8205-488B-93F3-DE1B595D4DE8}"/>
</file>

<file path=customXml/itemProps3.xml><?xml version="1.0" encoding="utf-8"?>
<ds:datastoreItem xmlns:ds="http://schemas.openxmlformats.org/officeDocument/2006/customXml" ds:itemID="{251A1954-A4DB-47EE-B149-1AE2B6485368}"/>
</file>

<file path=customXml/itemProps4.xml><?xml version="1.0" encoding="utf-8"?>
<ds:datastoreItem xmlns:ds="http://schemas.openxmlformats.org/officeDocument/2006/customXml" ds:itemID="{47B12E8F-71E9-4C23-A03F-74CE2E49E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Badovinac</dc:creator>
  <cp:keywords/>
  <dc:description/>
  <cp:lastModifiedBy>Ljiljana Radelja</cp:lastModifiedBy>
  <cp:revision>2</cp:revision>
  <cp:lastPrinted>2021-07-09T09:02:00Z</cp:lastPrinted>
  <dcterms:created xsi:type="dcterms:W3CDTF">2021-09-09T12:11:00Z</dcterms:created>
  <dcterms:modified xsi:type="dcterms:W3CDTF">2021-09-09T12:11:00Z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6ba601aa-3aef-49a0-a6b7-5441342be4eb</vt:lpwstr>
  </property>
</Properties>
</file>