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F0FE" w14:textId="77777777" w:rsidR="00805D5B" w:rsidRPr="007F0F62" w:rsidRDefault="00805D5B" w:rsidP="0080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7E9744F" wp14:editId="721FB8AA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INCLUDEPICTURE "http://www.inet.hr/~box/images/grb-rh.gif" \* MERGEFORMATINET </w:instrTex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14:paraId="74E834EF" w14:textId="77777777" w:rsidR="00805D5B" w:rsidRPr="007F0F62" w:rsidRDefault="00805D5B" w:rsidP="00805D5B">
      <w:pPr>
        <w:spacing w:before="60" w:after="168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8"/>
          <w:szCs w:val="24"/>
          <w:lang w:eastAsia="hr-HR"/>
        </w:rPr>
        <w:t>VLADA REPUBLIKE HRVATSKE</w:t>
      </w:r>
    </w:p>
    <w:p w14:paraId="0B43ADFD" w14:textId="77777777" w:rsidR="00805D5B" w:rsidRPr="007F0F62" w:rsidRDefault="00805D5B" w:rsidP="00805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766B72" w14:textId="77777777" w:rsidR="00805D5B" w:rsidRPr="007F0F62" w:rsidRDefault="001B7B2B" w:rsidP="00805D5B">
      <w:pPr>
        <w:spacing w:after="22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657A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</w:t>
      </w:r>
      <w:r w:rsidR="00812A3D">
        <w:rPr>
          <w:rFonts w:ascii="Times New Roman" w:eastAsia="Times New Roman" w:hAnsi="Times New Roman" w:cs="Times New Roman"/>
          <w:sz w:val="24"/>
          <w:szCs w:val="24"/>
          <w:lang w:eastAsia="hr-HR"/>
        </w:rPr>
        <w:t>rujn</w:t>
      </w:r>
      <w:r w:rsidR="00657A1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</w:t>
      </w:r>
    </w:p>
    <w:p w14:paraId="6004D884" w14:textId="77777777" w:rsidR="00805D5B" w:rsidRPr="007F0F62" w:rsidRDefault="00805D5B" w:rsidP="00805D5B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F33392" w14:textId="77777777" w:rsidR="00805D5B" w:rsidRPr="007F0F62" w:rsidRDefault="00805D5B" w:rsidP="00805D5B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0E25ED" w14:textId="77777777" w:rsidR="009C2CDD" w:rsidRPr="007F0F62" w:rsidRDefault="009C2CDD" w:rsidP="00805D5B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D1F6A6" w14:textId="77777777" w:rsidR="00805D5B" w:rsidRPr="007F0F62" w:rsidRDefault="00805D5B" w:rsidP="00805D5B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7F0F62" w:rsidRPr="007F0F62" w14:paraId="34063BA5" w14:textId="77777777" w:rsidTr="006D5C6A">
        <w:tc>
          <w:tcPr>
            <w:tcW w:w="1951" w:type="dxa"/>
          </w:tcPr>
          <w:p w14:paraId="7FF01A63" w14:textId="77777777" w:rsidR="009C2CDD" w:rsidRPr="007F0F62" w:rsidRDefault="009C2CDD" w:rsidP="009C2CD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F0F62">
              <w:rPr>
                <w:b/>
                <w:smallCaps/>
                <w:sz w:val="24"/>
                <w:szCs w:val="24"/>
              </w:rPr>
              <w:t>Predlagatelj</w:t>
            </w:r>
            <w:r w:rsidRPr="007F0F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3931513C" w14:textId="77777777" w:rsidR="009C2CDD" w:rsidRPr="007F0F62" w:rsidRDefault="009C2CDD" w:rsidP="009C2CDD">
            <w:pPr>
              <w:spacing w:line="360" w:lineRule="auto"/>
              <w:rPr>
                <w:sz w:val="24"/>
                <w:szCs w:val="24"/>
              </w:rPr>
            </w:pPr>
            <w:r w:rsidRPr="007F0F62">
              <w:rPr>
                <w:sz w:val="24"/>
                <w:szCs w:val="24"/>
              </w:rPr>
              <w:t>Ministarstvo mora, prometa i infrastrukture</w:t>
            </w:r>
          </w:p>
        </w:tc>
      </w:tr>
    </w:tbl>
    <w:p w14:paraId="6E2B0267" w14:textId="77777777" w:rsidR="009C2CDD" w:rsidRPr="007F0F62" w:rsidRDefault="00805D5B" w:rsidP="00805D5B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7F0F62" w:rsidRPr="007F0F62" w14:paraId="318DD85E" w14:textId="77777777" w:rsidTr="006D5C6A">
        <w:tc>
          <w:tcPr>
            <w:tcW w:w="1951" w:type="dxa"/>
          </w:tcPr>
          <w:p w14:paraId="030824FB" w14:textId="77777777" w:rsidR="009C2CDD" w:rsidRPr="007F0F62" w:rsidRDefault="009C2CDD" w:rsidP="009C2CDD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7F0F62">
              <w:rPr>
                <w:b/>
                <w:smallCaps/>
                <w:sz w:val="24"/>
                <w:szCs w:val="24"/>
              </w:rPr>
              <w:lastRenderedPageBreak/>
              <w:t>Predmet</w:t>
            </w:r>
            <w:r w:rsidRPr="007F0F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6A7F5286" w14:textId="77777777" w:rsidR="009C2CDD" w:rsidRPr="007F0F62" w:rsidRDefault="009C2CDD" w:rsidP="00AF27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F0F62">
              <w:rPr>
                <w:sz w:val="24"/>
                <w:szCs w:val="24"/>
              </w:rPr>
              <w:t xml:space="preserve">Prijedlog odluke o davanju suglasnosti na prijenos koncesije na  pomorskom dobru u svrhu gospodarskog korištenja luke posebne namjene – </w:t>
            </w:r>
            <w:r w:rsidR="00AF27E7" w:rsidRPr="007F0F62">
              <w:rPr>
                <w:sz w:val="24"/>
                <w:szCs w:val="24"/>
              </w:rPr>
              <w:t xml:space="preserve">brodogradilišta </w:t>
            </w:r>
            <w:r w:rsidRPr="007F0F62">
              <w:rPr>
                <w:sz w:val="24"/>
                <w:szCs w:val="24"/>
              </w:rPr>
              <w:t xml:space="preserve">Brodotrogir </w:t>
            </w:r>
          </w:p>
        </w:tc>
      </w:tr>
    </w:tbl>
    <w:p w14:paraId="29B25808" w14:textId="77777777" w:rsidR="00805D5B" w:rsidRPr="007F0F62" w:rsidRDefault="00805D5B" w:rsidP="00805D5B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__________________________________________________________________________</w:t>
      </w:r>
    </w:p>
    <w:p w14:paraId="39E7E221" w14:textId="77777777" w:rsidR="00805D5B" w:rsidRPr="007F0F62" w:rsidRDefault="00805D5B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DAE0CF" w14:textId="77777777" w:rsidR="00805D5B" w:rsidRPr="007F0F62" w:rsidRDefault="00805D5B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EF305A" w14:textId="77777777" w:rsidR="00805D5B" w:rsidRPr="007F0F62" w:rsidRDefault="00805D5B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1ECDA8" w14:textId="77777777" w:rsidR="00805D5B" w:rsidRPr="007F0F62" w:rsidRDefault="00805D5B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45B28" w14:textId="77777777" w:rsidR="00805D5B" w:rsidRPr="007F0F62" w:rsidRDefault="00805D5B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E9DF0D" w14:textId="77777777" w:rsidR="00805D5B" w:rsidRPr="007F0F62" w:rsidRDefault="00805D5B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1EE789" w14:textId="77777777" w:rsidR="00805D5B" w:rsidRPr="007F0F62" w:rsidRDefault="00805D5B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A56FAD" w14:textId="77777777" w:rsidR="00A01EBC" w:rsidRPr="007F0F62" w:rsidRDefault="00A01EB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14:paraId="6CBA11D1" w14:textId="77777777" w:rsidR="00657A11" w:rsidRPr="00657A11" w:rsidRDefault="00657A11" w:rsidP="00657A11">
      <w:pPr>
        <w:spacing w:after="225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57A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Prijedlog</w:t>
      </w:r>
    </w:p>
    <w:p w14:paraId="394A7430" w14:textId="77777777" w:rsidR="00657A11" w:rsidRDefault="00657A11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58399D" w14:textId="77777777" w:rsidR="00454BB2" w:rsidRPr="007F0F62" w:rsidRDefault="0090024C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35. Zakona o pom</w:t>
      </w:r>
      <w:r w:rsidR="0002110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orskom dobru i morskim lukama („Narodne novine“</w:t>
      </w:r>
      <w:r w:rsidR="007A1B5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93C0B" w:rsidRPr="00F93C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158/03, 100/04-Zakon o izmjenama i dopunama Zakona o gradnji, 141/06, 38/09, 123/11-Odluka Ustavnog </w:t>
      </w:r>
      <w:r w:rsidR="00F93C0B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suda Republike Hrvatske, 56/16 i 98/19</w:t>
      </w:r>
      <w:r w:rsidR="00BE7751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0A603B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članka 63. stavka 3. Zakona o koncesijama („Narodne novine“, br. </w:t>
      </w:r>
      <w:hyperlink r:id="rId9" w:history="1">
        <w:r w:rsidR="000A603B" w:rsidRPr="000A603B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69/17</w:t>
        </w:r>
      </w:hyperlink>
      <w:r w:rsidR="000A603B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107/20) </w:t>
      </w:r>
      <w:r w:rsidR="00BE7751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i članka 5.</w:t>
      </w:r>
      <w:r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Uredbe o postupku davanja</w:t>
      </w:r>
      <w:r w:rsidR="0002110E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koncesije na pomorskom dobru („Narodne novine“</w:t>
      </w:r>
      <w:r w:rsidR="007A1B5E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, br. 23/04, 101/04, 39/06, 63/08, 125/10, 102/</w:t>
      </w:r>
      <w:r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11</w:t>
      </w:r>
      <w:r w:rsidR="007A1B5E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, 83/12 i 10/</w:t>
      </w:r>
      <w:r w:rsidR="001F1843"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Pr="000A603B">
        <w:rPr>
          <w:rFonts w:ascii="Times New Roman" w:eastAsia="Times New Roman" w:hAnsi="Times New Roman" w:cs="Times New Roman"/>
          <w:sz w:val="24"/>
          <w:szCs w:val="24"/>
          <w:lang w:eastAsia="hr-HR"/>
        </w:rPr>
        <w:t>), Vlada Republike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Hrvatske je na sjednici održanoj </w:t>
      </w:r>
      <w:r w:rsidR="00454BB2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 20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donijela</w:t>
      </w:r>
    </w:p>
    <w:p w14:paraId="6BA7369E" w14:textId="77777777" w:rsidR="0090024C" w:rsidRPr="007F0F62" w:rsidRDefault="0090024C" w:rsidP="00534EC7">
      <w:pPr>
        <w:spacing w:after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14:paraId="08E72B89" w14:textId="77777777" w:rsidR="0090024C" w:rsidRPr="007F0F62" w:rsidRDefault="0090024C" w:rsidP="00534EC7">
      <w:pPr>
        <w:spacing w:after="22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DAVANJU SUGLASNOSTI NA PRIJENOS KONCESIJE NA POMORSKOM DOBRU U SVRHU GOSPODARSKOG KORIŠTENJA LUKE POSEBNE NAMJENE – BRODOGRADILIŠTA </w:t>
      </w:r>
      <w:r w:rsidR="00AF27E7" w:rsidRPr="007F0F6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BRODOTROGIR </w:t>
      </w:r>
    </w:p>
    <w:p w14:paraId="277DDC0C" w14:textId="77777777" w:rsidR="0090024C" w:rsidRPr="007F0F62" w:rsidRDefault="0090024C" w:rsidP="00534EC7">
      <w:pPr>
        <w:spacing w:after="2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226F7175" w14:textId="77777777" w:rsidR="0090024C" w:rsidRPr="007F0F62" w:rsidRDefault="0090024C" w:rsidP="009C19F3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Vlada Republike Hrvatske daje suglasnost na prijenos koncesije pomorskog dobra u svrhu gospodarskog kor</w:t>
      </w:r>
      <w:r w:rsidR="000D7C0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ištenja luke posebne namjene – b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rodogradilišta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Brod</w:t>
      </w:r>
      <w:r w:rsidR="00095FB1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trogir</w:t>
      </w:r>
      <w:r w:rsidR="00BE7751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je </w:t>
      </w:r>
      <w:r w:rsidR="0002110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dodijeljena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</w:t>
      </w:r>
      <w:r w:rsidR="00095FB1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koncesiji pomorskog dobra u svrhu gospodarskog korištenja luke posebne namjene – brodogradilišta i luke nautičkog turizma Brodotrogir d.d. Trogir („Narodne novine“, br. 74/99, 9/00, 10/03 i 19/11</w:t>
      </w:r>
      <w:r w:rsidR="007A1B5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u daljnjem tekstu; Odluka o koncesiji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9C19F3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 trgovačkog društva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Hrvatska brodogradnja Trogir d.o.o., </w:t>
      </w:r>
      <w:r w:rsidR="009C19F3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OIB: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99699042389</w:t>
      </w:r>
      <w:r w:rsidR="009C19F3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Dosadašnji ovlaštenik koncesije) na novog Ovlaštenika koncesije, trgovačko društvo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Servisni centar Trogir</w:t>
      </w:r>
      <w:r w:rsidR="0005094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0947" w:rsidRPr="007F0F62">
        <w:rPr>
          <w:rFonts w:ascii="Times New Roman" w:eastAsia="Calibri" w:hAnsi="Times New Roman" w:cs="Times New Roman"/>
          <w:sz w:val="24"/>
          <w:szCs w:val="24"/>
        </w:rPr>
        <w:t>d.o.o.</w:t>
      </w:r>
      <w:r w:rsidR="007B71D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OIB: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674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58298578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Novi ovlaštenik koncesije)</w:t>
      </w:r>
      <w:r w:rsidR="00DA71C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86058B7" w14:textId="77777777" w:rsidR="009C19F3" w:rsidRPr="007F0F62" w:rsidRDefault="005C79F6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Novi o</w:t>
      </w:r>
      <w:r w:rsidR="009523A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vlaštenik koncesije </w:t>
      </w:r>
      <w:r w:rsidR="0090024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stječe pravo gospodarskog korištenja pomorskog dobra iz točke I. </w:t>
      </w:r>
      <w:r w:rsidR="007A1B5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90024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koncesiji te stječe sva prava i preuzima sve obveze</w:t>
      </w:r>
      <w:r w:rsidR="003364D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dosadašnjeg koncesionara</w:t>
      </w:r>
      <w:r w:rsidR="0090024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je određeno tom Odlukom</w:t>
      </w:r>
      <w:r w:rsidR="0002110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Ugovorom o koncesiji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od 4. kolovoza 1999. godine, Ugovor</w:t>
      </w:r>
      <w:r w:rsidR="00DD093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prijenosu Ugovor</w:t>
      </w:r>
      <w:r w:rsidR="00DD093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koncesiji od 21. lipnja 2000.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Dodatk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Ugovoru o koncesiji od 21. lipnja 2000.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Dodatk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2. Ugovoru o koncesiji od 15. svibnja 2003.</w:t>
      </w:r>
      <w:r w:rsidR="0056795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Dodatk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3. Ugovoru o koncesiji od 11. veljače 2011. 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i Dodatk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="00AF27E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br. 4. Ugovoru o koncesiji od 2. ožujka 2020.</w:t>
      </w:r>
      <w:r w:rsidR="003B5BC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02110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s danom potpisa ugovora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prijenosu koncesije </w:t>
      </w:r>
      <w:r w:rsidR="0002110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točke 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III</w:t>
      </w:r>
      <w:r w:rsidR="00796A2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Odluke.</w:t>
      </w:r>
    </w:p>
    <w:p w14:paraId="13383BB3" w14:textId="77777777" w:rsidR="00F75FF3" w:rsidRPr="007F0F62" w:rsidRDefault="00F75FF3" w:rsidP="00534EC7">
      <w:pPr>
        <w:spacing w:after="2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14:paraId="6F5705FC" w14:textId="77777777" w:rsidR="00CA64C0" w:rsidRPr="007F0F62" w:rsidRDefault="005C79F6" w:rsidP="009B58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Zadužuje se Novi o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vlaštenik koncesije da</w:t>
      </w:r>
      <w:r w:rsidR="00F74143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u roku od 9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dana od dana </w:t>
      </w:r>
      <w:r w:rsidR="00996B8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objave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ove Odluke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„Narodnim novinama“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5F616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namiri ukupan iznos dospjele, a nepodmirene naknade za koncesiju zajedno sa zakonskom zateznom kamatom sa stanjem na dan </w:t>
      </w:r>
      <w:r w:rsidR="005A619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sklapanja ugovora o prijenosu koncesije iz točke III. ove Odluke</w:t>
      </w:r>
      <w:r w:rsidR="005F616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88D8B15" w14:textId="77777777" w:rsidR="00CA64C0" w:rsidRPr="007F0F62" w:rsidRDefault="00CA64C0" w:rsidP="009B58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1D8C41" w14:textId="77777777" w:rsidR="0009350C" w:rsidRPr="007F0F62" w:rsidRDefault="00CA64C0" w:rsidP="009B586B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Zadužuje se Novi ovlaštenik koncesije da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 roku od 90 dana od dana objave ove Odluke u „Narodnim novinama“, 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Ministarstvu mora prometa i infrastrukture 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</w:t>
      </w:r>
      <w:r w:rsidR="0005094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zadužnic</w:t>
      </w:r>
      <w:r w:rsidR="0005094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iznos od dvije godišnje naknade za stalni dio koncesijske naknade, u ukupnom iznosu od </w:t>
      </w:r>
      <w:r w:rsidR="00D31D72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1.058.292</w:t>
      </w:r>
      <w:r w:rsidR="00A841F4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,00</w:t>
      </w:r>
      <w:r w:rsidR="00D31D72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kuna</w:t>
      </w:r>
      <w:r w:rsidR="00A841F4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kao instrumente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osiguran</w:t>
      </w:r>
      <w:r w:rsidR="0056795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ja naplate naknade za koncesiju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za naknadu štete koja može nastati zbog neispunjenja obveza iz </w:t>
      </w:r>
      <w:r w:rsidR="00EE24B5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ugovora</w:t>
      </w:r>
      <w:r w:rsidR="007A1B5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koncesiji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a ista čini prilog ugovoru o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prijenosu koncesije iz točke III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Odluke.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D9A7B8C" w14:textId="77777777" w:rsidR="00EE24B5" w:rsidRPr="007F0F62" w:rsidRDefault="00EE24B5" w:rsidP="00534E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826CD9" w14:textId="09A305E5" w:rsidR="006B408A" w:rsidRPr="007F0F62" w:rsidRDefault="00F75FF3" w:rsidP="00321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Ako Novi o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vlaštenik koncesije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namiri </w:t>
      </w:r>
      <w:r w:rsidR="0056795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ukupan iznos dospjele, a nepodmirene naknade za koncesiju 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iz stavka 1. ove točke</w:t>
      </w:r>
      <w:r w:rsidR="000D18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D093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 ovjeren</w:t>
      </w:r>
      <w:r w:rsidR="0005094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zadužnic</w:t>
      </w:r>
      <w:r w:rsidR="00050947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iznosu i u roku iz stavka 2</w:t>
      </w:r>
      <w:r w:rsidR="00A47F16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točke</w:t>
      </w:r>
      <w:bookmarkStart w:id="0" w:name="_GoBack"/>
      <w:bookmarkEnd w:id="0"/>
      <w:r w:rsidR="00A47F1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gubi sva prava određena ovom Odlukom te se neće zaključiti u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 </w:t>
      </w:r>
      <w:r w:rsidR="0009350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prijenosu koncesije </w:t>
      </w:r>
      <w:r w:rsidR="004F739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točke 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III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. ove Odluke</w:t>
      </w:r>
      <w:r w:rsidR="007A1B5E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, a ova Odluka prestaje važiti.</w:t>
      </w:r>
    </w:p>
    <w:p w14:paraId="18968325" w14:textId="77777777" w:rsidR="00321C23" w:rsidRPr="007F0F62" w:rsidRDefault="00321C23" w:rsidP="00321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31F2C3" w14:textId="77777777" w:rsidR="00853CB0" w:rsidRPr="007F0F62" w:rsidRDefault="00F75FF3" w:rsidP="00534EC7">
      <w:pPr>
        <w:spacing w:after="2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4B6BB9"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</w:t>
      </w:r>
      <w:r w:rsidR="0090024C"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43B1840" w14:textId="77777777" w:rsidR="005C79F6" w:rsidRPr="007F0F62" w:rsidRDefault="001C76EE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90024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ove </w:t>
      </w:r>
      <w:r w:rsidR="00292619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853CB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luke ovlašćuje se minis</w:t>
      </w:r>
      <w:r w:rsidR="00292619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tar mor</w:t>
      </w:r>
      <w:r w:rsidR="0090024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a, prome</w:t>
      </w:r>
      <w:r w:rsidR="004D0C7D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ta i infrastrukture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da, u roku od 90 dana od dana objave ove Odluke u „Narodnim novinama“,</w:t>
      </w:r>
      <w:r w:rsidR="004D0C7D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potpiše </w:t>
      </w:r>
      <w:r w:rsidR="0056795B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90024C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govo</w:t>
      </w:r>
      <w:r w:rsidR="003D46B0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 o prijenosu koncesije </w:t>
      </w:r>
      <w:r w:rsidR="008D2CD8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s D</w:t>
      </w:r>
      <w:r w:rsidR="009523A7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osadašnjim ovlaštenikom koncesije i Novim ovlaštenikom koncesije</w:t>
      </w:r>
      <w:r w:rsidR="00B33056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A1E414A" w14:textId="77777777" w:rsidR="00FE3AD9" w:rsidRPr="007F0F62" w:rsidRDefault="00FE3AD9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BB9F41" w14:textId="77777777" w:rsidR="0090024C" w:rsidRPr="007F0F62" w:rsidRDefault="004B6BB9" w:rsidP="00534EC7">
      <w:pPr>
        <w:spacing w:after="2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F75FF3"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90024C" w:rsidRPr="007F0F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9D965B1" w14:textId="77777777" w:rsidR="000209FE" w:rsidRPr="007F0F62" w:rsidRDefault="0090024C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m donošenja, a objavit će se u „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Narodnim </w:t>
      </w:r>
      <w:r w:rsidR="006B408A"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novinama“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41F127D" w14:textId="77777777" w:rsidR="0090024C" w:rsidRPr="007F0F62" w:rsidRDefault="0090024C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715216D" w14:textId="77777777" w:rsidR="0090024C" w:rsidRPr="007F0F62" w:rsidRDefault="0090024C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20B0082C" w14:textId="77777777" w:rsidR="0090024C" w:rsidRPr="007F0F62" w:rsidRDefault="000209FE" w:rsidP="00534EC7">
      <w:pPr>
        <w:spacing w:after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</w:p>
    <w:p w14:paraId="1C3654F5" w14:textId="77777777" w:rsidR="0094612F" w:rsidRPr="007F0F62" w:rsidRDefault="0090024C" w:rsidP="00534EC7">
      <w:pPr>
        <w:ind w:left="64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Predsjednik</w:t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F0F62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9B586B" w:rsidRPr="007F0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mr.sc.</w:t>
      </w:r>
      <w:r w:rsidR="00A841F4" w:rsidRPr="007F0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 </w:t>
      </w:r>
      <w:r w:rsidR="00FD1F3D" w:rsidRPr="007F0F6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Andrej Plenković</w:t>
      </w:r>
    </w:p>
    <w:p w14:paraId="6B65EDBA" w14:textId="77777777" w:rsidR="00910735" w:rsidRPr="007F0F62" w:rsidRDefault="00910735" w:rsidP="00534EC7">
      <w:pPr>
        <w:ind w:left="64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DF7A6" w14:textId="77777777" w:rsidR="00534EC7" w:rsidRPr="007F0F62" w:rsidRDefault="00534EC7" w:rsidP="00534E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2778A" w14:textId="77777777" w:rsidR="004B6BB9" w:rsidRPr="007F0F62" w:rsidRDefault="004B6BB9">
      <w:pPr>
        <w:rPr>
          <w:rFonts w:ascii="Times New Roman" w:hAnsi="Times New Roman" w:cs="Times New Roman"/>
          <w:b/>
          <w:sz w:val="24"/>
          <w:szCs w:val="24"/>
        </w:rPr>
      </w:pPr>
      <w:r w:rsidRPr="007F0F6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3E0D9FA" w14:textId="77777777" w:rsidR="00886875" w:rsidRPr="007F0F62" w:rsidRDefault="00886875" w:rsidP="005524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62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24171494" w14:textId="77777777" w:rsidR="00050947" w:rsidRDefault="006637BA" w:rsidP="00050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Sukladno članku 35. Zakona o pomorskom dobru i morskim lukama koncesija se može prenijeti u cijelosti u istom opsegu i pod istim uvjetima pod kojima je i dana uz suglasnost davatelja koncesije. </w:t>
      </w:r>
    </w:p>
    <w:p w14:paraId="247D338E" w14:textId="77777777" w:rsidR="00050947" w:rsidRDefault="00050947" w:rsidP="00050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2F947E" w14:textId="77777777" w:rsidR="006637BA" w:rsidRDefault="00050947" w:rsidP="00050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Sukladno član</w:t>
      </w:r>
      <w:r w:rsidR="006637BA" w:rsidRPr="007F0F62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6637BA" w:rsidRPr="007F0F62">
        <w:rPr>
          <w:rFonts w:ascii="Times New Roman" w:eastAsia="Calibri" w:hAnsi="Times New Roman" w:cs="Times New Roman"/>
          <w:sz w:val="24"/>
          <w:szCs w:val="24"/>
        </w:rPr>
        <w:t xml:space="preserve"> 4. Uredbe o postupku davanja koncesije na pomorskom dobru ovlaštenik koncesije podnosi davatelju koncesije pisani obrazloženi prijedlog za prijenos koncesije na drugu pravnu osobu ili fizičku osobu registriranu za obavljanje obrta, u slučaju da iz gospodarskih, organizacijskih, financijskih ili dugih opravdanih razloga više nije u mogućnosti izvršavati obveze iz ugovora o koncesiji, u obimu i na način utvrđen odlukom i ugovorom o koncesiji, a u prijedlogu mora biti naveden razlog prijedloga da se koncesija prenese upravo na tu osobu.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Sukladno članku 5. </w:t>
      </w:r>
      <w:r w:rsidRPr="007F0F62">
        <w:rPr>
          <w:rFonts w:ascii="Times New Roman" w:eastAsia="Calibri" w:hAnsi="Times New Roman" w:cs="Times New Roman"/>
          <w:sz w:val="24"/>
          <w:szCs w:val="24"/>
        </w:rPr>
        <w:t>Uredbe o postupku davanja koncesije na pomorskom dobru</w:t>
      </w:r>
      <w:r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947">
        <w:rPr>
          <w:rFonts w:ascii="Times New Roman" w:eastAsia="Calibri" w:hAnsi="Times New Roman"/>
          <w:sz w:val="24"/>
          <w:szCs w:val="24"/>
        </w:rPr>
        <w:t>o prijedlogu za prijenos koncesije odlučuje, odlukom o davanju suglasnosti na prijenos koncesije, nadležni davatelj koncesije.</w:t>
      </w:r>
    </w:p>
    <w:p w14:paraId="266091AC" w14:textId="77777777" w:rsidR="00050947" w:rsidRPr="007F0F62" w:rsidRDefault="00050947" w:rsidP="0005094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C13C8A" w14:textId="77777777" w:rsidR="006637BA" w:rsidRPr="007F0F62" w:rsidRDefault="006637BA" w:rsidP="00D22B6A">
      <w:pPr>
        <w:widowControl w:val="0"/>
        <w:tabs>
          <w:tab w:val="left" w:pos="2153"/>
        </w:tabs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Uz prijedlog za prijenos prilaže se i pisana izjava osobe na koju bi se prenijela koncesija, ovjerena kod javnog bilježnika, kojom ona pristaje na prijenos, kao i svi dokazi iz članka 17. stavka 3. Zakona</w:t>
      </w:r>
      <w:r w:rsidR="002E1AD2" w:rsidRPr="007F0F62">
        <w:rPr>
          <w:rFonts w:ascii="Times New Roman" w:eastAsia="Calibri" w:hAnsi="Times New Roman" w:cs="Times New Roman"/>
          <w:sz w:val="24"/>
          <w:szCs w:val="24"/>
        </w:rPr>
        <w:t xml:space="preserve"> o morskom dobru i morskim lukama</w:t>
      </w:r>
      <w:r w:rsidRPr="007F0F62">
        <w:rPr>
          <w:rFonts w:ascii="Times New Roman" w:eastAsia="Calibri" w:hAnsi="Times New Roman" w:cs="Times New Roman"/>
          <w:sz w:val="24"/>
          <w:szCs w:val="24"/>
        </w:rPr>
        <w:t>, koji se odnose na tu osobu, radi ocjene da li ta osoba udovoljava uvjetima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 xml:space="preserve"> potrebnim za davanje koncesije</w:t>
      </w:r>
      <w:r w:rsidR="009669D7" w:rsidRPr="007F0F62">
        <w:rPr>
          <w:rFonts w:ascii="Times New Roman" w:eastAsia="Calibri" w:hAnsi="Times New Roman" w:cs="Times New Roman"/>
          <w:sz w:val="24"/>
          <w:szCs w:val="24"/>
        </w:rPr>
        <w:t>,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 xml:space="preserve"> odnosno </w:t>
      </w:r>
      <w:r w:rsidRPr="007F0F62">
        <w:rPr>
          <w:rFonts w:ascii="Times New Roman" w:eastAsia="Calibri" w:hAnsi="Times New Roman" w:cs="Times New Roman"/>
          <w:sz w:val="24"/>
          <w:szCs w:val="24"/>
        </w:rPr>
        <w:t>da je registriran</w:t>
      </w:r>
      <w:r w:rsidR="002E1AD2" w:rsidRPr="007F0F62">
        <w:rPr>
          <w:rFonts w:ascii="Times New Roman" w:eastAsia="Calibri" w:hAnsi="Times New Roman" w:cs="Times New Roman"/>
          <w:sz w:val="24"/>
          <w:szCs w:val="24"/>
        </w:rPr>
        <w:t>a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za obavljanje gospodarske djelatnosti za koju je dana koncesij</w:t>
      </w:r>
      <w:r w:rsidR="002E1AD2" w:rsidRPr="007F0F62">
        <w:rPr>
          <w:rFonts w:ascii="Times New Roman" w:eastAsia="Calibri" w:hAnsi="Times New Roman" w:cs="Times New Roman"/>
          <w:sz w:val="24"/>
          <w:szCs w:val="24"/>
        </w:rPr>
        <w:t>a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3C57CB" w14:textId="77777777" w:rsidR="00095FB1" w:rsidRPr="007F0F62" w:rsidRDefault="00095FB1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0E289" w14:textId="77777777" w:rsidR="00D4405E" w:rsidRPr="007F0F62" w:rsidRDefault="00D76166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lastRenderedPageBreak/>
        <w:t>Ovlaštenik koncesije,</w:t>
      </w:r>
      <w:r w:rsidRPr="007F0F62">
        <w:t xml:space="preserve"> </w:t>
      </w:r>
      <w:r w:rsidR="002E1AD2" w:rsidRPr="007F0F62">
        <w:rPr>
          <w:rFonts w:ascii="Times New Roman" w:eastAsia="Calibri" w:hAnsi="Times New Roman" w:cs="Times New Roman"/>
          <w:sz w:val="24"/>
          <w:szCs w:val="24"/>
        </w:rPr>
        <w:t>trgovačko</w:t>
      </w:r>
      <w:r w:rsidR="002E1AD2" w:rsidRPr="007F0F62">
        <w:t xml:space="preserve"> </w:t>
      </w:r>
      <w:r w:rsidRPr="007F0F62">
        <w:rPr>
          <w:rFonts w:ascii="Times New Roman" w:eastAsia="Calibri" w:hAnsi="Times New Roman" w:cs="Times New Roman"/>
          <w:sz w:val="24"/>
          <w:szCs w:val="24"/>
        </w:rPr>
        <w:t>društvo Hrvatska brodogradnja Trogir d.o.o., podnio</w:t>
      </w:r>
      <w:r w:rsidR="008F3C99" w:rsidRPr="007F0F62">
        <w:rPr>
          <w:rFonts w:ascii="Times New Roman" w:eastAsia="Calibri" w:hAnsi="Times New Roman" w:cs="Times New Roman"/>
          <w:sz w:val="24"/>
          <w:szCs w:val="24"/>
        </w:rPr>
        <w:t xml:space="preserve"> je zahtjev za prijenos koncesije pomorskog dobra na </w:t>
      </w:r>
      <w:r w:rsidR="00C94D9C" w:rsidRPr="007F0F62">
        <w:rPr>
          <w:rFonts w:ascii="Times New Roman" w:eastAsia="Calibri" w:hAnsi="Times New Roman" w:cs="Times New Roman"/>
          <w:sz w:val="24"/>
          <w:szCs w:val="24"/>
        </w:rPr>
        <w:t xml:space="preserve">trgovačko </w:t>
      </w:r>
      <w:r w:rsidR="008F3C99" w:rsidRPr="007F0F62">
        <w:rPr>
          <w:rFonts w:ascii="Times New Roman" w:eastAsia="Calibri" w:hAnsi="Times New Roman" w:cs="Times New Roman"/>
          <w:sz w:val="24"/>
          <w:szCs w:val="24"/>
        </w:rPr>
        <w:t>društvo Servisni centar Trogir d.o.o.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4405E" w:rsidRPr="007F0F62">
        <w:rPr>
          <w:rFonts w:ascii="Times New Roman" w:eastAsia="Calibri" w:hAnsi="Times New Roman" w:cs="Times New Roman"/>
          <w:sz w:val="24"/>
          <w:szCs w:val="24"/>
        </w:rPr>
        <w:t xml:space="preserve">zbog izvršenog pripajanja trgovačkog društva Hrvatska brodogradnja Trogir d.o.o. </w:t>
      </w:r>
      <w:r w:rsidR="004F6851" w:rsidRPr="007F0F62">
        <w:rPr>
          <w:rFonts w:ascii="Times New Roman" w:eastAsia="Calibri" w:hAnsi="Times New Roman" w:cs="Times New Roman"/>
          <w:sz w:val="24"/>
          <w:szCs w:val="24"/>
        </w:rPr>
        <w:t xml:space="preserve">trgovačkom </w:t>
      </w:r>
      <w:r w:rsidR="00D4405E" w:rsidRPr="007F0F62">
        <w:rPr>
          <w:rFonts w:ascii="Times New Roman" w:eastAsia="Calibri" w:hAnsi="Times New Roman" w:cs="Times New Roman"/>
          <w:sz w:val="24"/>
          <w:szCs w:val="24"/>
        </w:rPr>
        <w:t>društvu Servisni centar Trogir d.o.o.</w:t>
      </w:r>
      <w:r w:rsidR="00DB4CDF" w:rsidRPr="007F0F62">
        <w:rPr>
          <w:rFonts w:ascii="Times New Roman" w:eastAsia="Calibri" w:hAnsi="Times New Roman" w:cs="Times New Roman"/>
          <w:sz w:val="24"/>
          <w:szCs w:val="24"/>
        </w:rPr>
        <w:t>, a sve s ciljem osiguranja poslovanja društva te bržeg rasta i razvoja istih.</w:t>
      </w:r>
    </w:p>
    <w:p w14:paraId="7FFF68CC" w14:textId="77777777" w:rsidR="00D22B6A" w:rsidRPr="007F0F62" w:rsidRDefault="00D22B6A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6461CF" w14:textId="77777777" w:rsidR="00EE193D" w:rsidRPr="007F0F62" w:rsidRDefault="00EE193D" w:rsidP="00EE19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T</w:t>
      </w:r>
      <w:r w:rsidR="00D22B6A" w:rsidRPr="007F0F62">
        <w:rPr>
          <w:rFonts w:ascii="Times New Roman" w:eastAsia="Calibri" w:hAnsi="Times New Roman" w:cs="Times New Roman"/>
          <w:sz w:val="24"/>
          <w:szCs w:val="24"/>
        </w:rPr>
        <w:t>rgovačko društvo Hrvatska brodogradnja Trogir d.o.o., ovlaštenik je koncesije pomorskog dobra u svrhu gospodarskog korištenja luke posebne namjene - brodogradilišta Brodotrogir temeljem Odluke o koncesiji pomorskog dobra u svrhu gospodarskog korištenja luke posebne namjene – brodogradilišta i luke nautičkog turizma Brodotrogir d.d. Trogir („Narodne novine“, br. 74/1999, 9/2000, 10/2003 i 19/2011). Temeljem iste Odluke, lukom posebne namjene – lukom nautičkog turizma upravlja trgovačko</w:t>
      </w:r>
      <w:r w:rsidR="00FC7C79" w:rsidRPr="007F0F62">
        <w:rPr>
          <w:rFonts w:ascii="Times New Roman" w:eastAsia="Calibri" w:hAnsi="Times New Roman" w:cs="Times New Roman"/>
          <w:sz w:val="24"/>
          <w:szCs w:val="24"/>
        </w:rPr>
        <w:t xml:space="preserve"> društvo Servisni centar Trogir</w:t>
      </w:r>
      <w:r w:rsidR="00D22B6A" w:rsidRPr="007F0F62">
        <w:rPr>
          <w:rFonts w:ascii="Times New Roman" w:eastAsia="Calibri" w:hAnsi="Times New Roman" w:cs="Times New Roman"/>
          <w:sz w:val="24"/>
          <w:szCs w:val="24"/>
        </w:rPr>
        <w:t xml:space="preserve"> d.o.o.</w:t>
      </w:r>
      <w:r w:rsidR="00FC7C79" w:rsidRPr="007F0F62">
        <w:rPr>
          <w:rFonts w:ascii="Times New Roman" w:eastAsia="Calibri" w:hAnsi="Times New Roman" w:cs="Times New Roman"/>
          <w:sz w:val="24"/>
          <w:szCs w:val="24"/>
        </w:rPr>
        <w:t>. Trgovačko</w:t>
      </w:r>
      <w:r w:rsidR="00141CA7" w:rsidRPr="007F0F62">
        <w:t xml:space="preserve"> </w:t>
      </w:r>
      <w:r w:rsidR="00FC7C79" w:rsidRPr="007F0F62">
        <w:rPr>
          <w:rFonts w:ascii="Times New Roman" w:eastAsia="Calibri" w:hAnsi="Times New Roman" w:cs="Times New Roman"/>
          <w:sz w:val="24"/>
          <w:szCs w:val="24"/>
        </w:rPr>
        <w:t>d</w:t>
      </w:r>
      <w:r w:rsidR="00141CA7" w:rsidRPr="007F0F62">
        <w:rPr>
          <w:rFonts w:ascii="Times New Roman" w:eastAsia="Calibri" w:hAnsi="Times New Roman" w:cs="Times New Roman"/>
          <w:sz w:val="24"/>
          <w:szCs w:val="24"/>
        </w:rPr>
        <w:t xml:space="preserve">ruštvo Hrvatska brodogradnja Trogir d.o.o. i </w:t>
      </w:r>
      <w:r w:rsidR="00FC7C79" w:rsidRPr="007F0F62">
        <w:rPr>
          <w:rFonts w:ascii="Times New Roman" w:eastAsia="Calibri" w:hAnsi="Times New Roman" w:cs="Times New Roman"/>
          <w:sz w:val="24"/>
          <w:szCs w:val="24"/>
        </w:rPr>
        <w:t xml:space="preserve">trgovačko društvo </w:t>
      </w:r>
      <w:r w:rsidR="00141CA7" w:rsidRPr="007F0F62">
        <w:rPr>
          <w:rFonts w:ascii="Times New Roman" w:eastAsia="Calibri" w:hAnsi="Times New Roman" w:cs="Times New Roman"/>
          <w:sz w:val="24"/>
          <w:szCs w:val="24"/>
        </w:rPr>
        <w:t>Servisni centar Trogir d.o.o.</w:t>
      </w:r>
      <w:r w:rsidR="00FC7C79" w:rsidRPr="007F0F62">
        <w:rPr>
          <w:rFonts w:ascii="Times New Roman" w:eastAsia="Calibri" w:hAnsi="Times New Roman" w:cs="Times New Roman"/>
          <w:sz w:val="24"/>
          <w:szCs w:val="24"/>
        </w:rPr>
        <w:t>,</w:t>
      </w:r>
      <w:r w:rsidR="00141CA7" w:rsidRPr="007F0F62">
        <w:rPr>
          <w:rFonts w:ascii="Times New Roman" w:eastAsia="Calibri" w:hAnsi="Times New Roman" w:cs="Times New Roman"/>
          <w:sz w:val="24"/>
          <w:szCs w:val="24"/>
        </w:rPr>
        <w:t xml:space="preserve"> druš</w:t>
      </w:r>
      <w:r w:rsidR="009669D7" w:rsidRPr="007F0F62">
        <w:rPr>
          <w:rFonts w:ascii="Times New Roman" w:eastAsia="Calibri" w:hAnsi="Times New Roman" w:cs="Times New Roman"/>
          <w:sz w:val="24"/>
          <w:szCs w:val="24"/>
        </w:rPr>
        <w:t xml:space="preserve">tva su istog osnivača, </w:t>
      </w:r>
      <w:r w:rsidR="00FC7C79" w:rsidRPr="007F0F62">
        <w:rPr>
          <w:rFonts w:ascii="Times New Roman" w:eastAsia="Calibri" w:hAnsi="Times New Roman" w:cs="Times New Roman"/>
          <w:sz w:val="24"/>
          <w:szCs w:val="24"/>
        </w:rPr>
        <w:t xml:space="preserve">trgovačkog </w:t>
      </w:r>
      <w:r w:rsidR="009669D7" w:rsidRPr="007F0F62">
        <w:rPr>
          <w:rFonts w:ascii="Times New Roman" w:eastAsia="Calibri" w:hAnsi="Times New Roman" w:cs="Times New Roman"/>
          <w:sz w:val="24"/>
          <w:szCs w:val="24"/>
        </w:rPr>
        <w:t xml:space="preserve">društva </w:t>
      </w:r>
      <w:r w:rsidR="00141CA7" w:rsidRPr="007F0F62">
        <w:rPr>
          <w:rFonts w:ascii="Times New Roman" w:eastAsia="Calibri" w:hAnsi="Times New Roman" w:cs="Times New Roman"/>
          <w:sz w:val="24"/>
          <w:szCs w:val="24"/>
        </w:rPr>
        <w:t>Brodotrogir d.d.</w:t>
      </w:r>
      <w:r w:rsidR="00FC7C79" w:rsidRPr="007F0F62">
        <w:rPr>
          <w:rFonts w:ascii="Times New Roman" w:eastAsia="Calibri" w:hAnsi="Times New Roman" w:cs="Times New Roman"/>
          <w:sz w:val="24"/>
          <w:szCs w:val="24"/>
        </w:rPr>
        <w:t>.</w:t>
      </w:r>
      <w:r w:rsidR="00141CA7"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08F3E1" w14:textId="77777777" w:rsidR="00257B8F" w:rsidRPr="007F0F62" w:rsidRDefault="00257B8F" w:rsidP="00EE19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0C29F" w14:textId="77777777" w:rsidR="00FD7B42" w:rsidRPr="007F0F62" w:rsidRDefault="00257B8F" w:rsidP="00EE19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Rješenjem Trgovačkog suda u Splitu posl.br. 11.St-144/2019-10, radi pristizanja nenaplativih potraživanja i nelikvidnosti poslovanja te blokade poslovnih računa, nad trgovačkim društvom Hrvatska brodogradnja Trogir d.o.o. otvoren je predstečajni postupak.</w:t>
      </w:r>
    </w:p>
    <w:p w14:paraId="3AB73D55" w14:textId="77777777" w:rsidR="009E7E28" w:rsidRPr="007F0F62" w:rsidRDefault="009E7E28" w:rsidP="00EE193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B8AB1D" w14:textId="77777777" w:rsidR="00C8274C" w:rsidRPr="007F0F62" w:rsidRDefault="00FF7B87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Međutim, i</w:t>
      </w:r>
      <w:r w:rsidR="009E7E28" w:rsidRPr="007F0F62">
        <w:rPr>
          <w:rFonts w:ascii="Times New Roman" w:eastAsia="Calibri" w:hAnsi="Times New Roman" w:cs="Times New Roman"/>
          <w:sz w:val="24"/>
          <w:szCs w:val="24"/>
        </w:rPr>
        <w:t xml:space="preserve">ako je </w:t>
      </w:r>
      <w:r w:rsidR="00257B8F" w:rsidRPr="007F0F62">
        <w:rPr>
          <w:rFonts w:ascii="Times New Roman" w:eastAsia="Calibri" w:hAnsi="Times New Roman" w:cs="Times New Roman"/>
          <w:sz w:val="24"/>
          <w:szCs w:val="24"/>
        </w:rPr>
        <w:t>Rješenjem Trgovačkog suda u Splitu posl.br. 11.St-144/2019-85 prihvaćen plan restrukturiranja i potvrđen predstečajni sporazum zaključen između duž</w:t>
      </w:r>
      <w:r w:rsidR="00257B8F" w:rsidRPr="007F0F62">
        <w:rPr>
          <w:rFonts w:ascii="Times New Roman" w:eastAsia="Calibri" w:hAnsi="Times New Roman" w:cs="Times New Roman"/>
          <w:sz w:val="24"/>
          <w:szCs w:val="24"/>
        </w:rPr>
        <w:lastRenderedPageBreak/>
        <w:t>nika Hrvatska brodogradnja Trogir d.o.o. i njegovih vjerovnika,</w:t>
      </w:r>
      <w:r w:rsidR="009E7E28"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7B42" w:rsidRPr="007F0F62">
        <w:rPr>
          <w:rFonts w:ascii="Times New Roman" w:eastAsia="Calibri" w:hAnsi="Times New Roman" w:cs="Times New Roman"/>
          <w:sz w:val="24"/>
          <w:szCs w:val="24"/>
        </w:rPr>
        <w:t>trgovačko društvo Hrvatska brodogradnja Trogir d.o.o.</w:t>
      </w:r>
      <w:r w:rsidR="004F6851" w:rsidRPr="007F0F62">
        <w:rPr>
          <w:rFonts w:ascii="Times New Roman" w:eastAsia="Calibri" w:hAnsi="Times New Roman" w:cs="Times New Roman"/>
          <w:sz w:val="24"/>
          <w:szCs w:val="24"/>
        </w:rPr>
        <w:t xml:space="preserve"> ima u poslovanju i dalje tretman trgovačkog društva u predstečajnom postupku, a zbog toga i probleme s ugovaranjem novih poslova, ishodovanjem garancija za ugovaranje novih poslova, a time i organizacijom financiranja postojećih i novih obveza, posljedično nije u mogućnosti ugovoriti financiranje gradnje novih brodova.</w:t>
      </w:r>
    </w:p>
    <w:p w14:paraId="21894B15" w14:textId="77777777" w:rsidR="004F6851" w:rsidRPr="007F0F62" w:rsidRDefault="004F6851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122C69" w14:textId="77777777" w:rsidR="00FD7B42" w:rsidRDefault="007F0F62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U</w:t>
      </w:r>
      <w:r w:rsidR="00FD7B42" w:rsidRPr="007F0F62">
        <w:rPr>
          <w:rFonts w:ascii="Times New Roman" w:eastAsia="Calibri" w:hAnsi="Times New Roman" w:cs="Times New Roman"/>
          <w:sz w:val="24"/>
          <w:szCs w:val="24"/>
        </w:rPr>
        <w:t>pravo zbog navedene situacije</w:t>
      </w:r>
      <w:r w:rsidRPr="007F0F62">
        <w:rPr>
          <w:rFonts w:ascii="Times New Roman" w:eastAsia="Calibri" w:hAnsi="Times New Roman" w:cs="Times New Roman"/>
          <w:sz w:val="24"/>
          <w:szCs w:val="24"/>
        </w:rPr>
        <w:t>,</w:t>
      </w:r>
      <w:r w:rsidR="00FD7B42" w:rsidRPr="007F0F62">
        <w:rPr>
          <w:rFonts w:ascii="Times New Roman" w:eastAsia="Calibri" w:hAnsi="Times New Roman" w:cs="Times New Roman"/>
          <w:sz w:val="24"/>
          <w:szCs w:val="24"/>
        </w:rPr>
        <w:t xml:space="preserve"> u prvih </w:t>
      </w:r>
      <w:r w:rsidR="009E7E28" w:rsidRPr="007F0F62">
        <w:rPr>
          <w:rFonts w:ascii="Times New Roman" w:eastAsia="Calibri" w:hAnsi="Times New Roman" w:cs="Times New Roman"/>
          <w:sz w:val="24"/>
          <w:szCs w:val="24"/>
        </w:rPr>
        <w:t>6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mjeseci 2021. godine</w:t>
      </w:r>
      <w:r w:rsidR="00FD7B42" w:rsidRPr="007F0F62">
        <w:rPr>
          <w:rFonts w:ascii="Times New Roman" w:eastAsia="Calibri" w:hAnsi="Times New Roman" w:cs="Times New Roman"/>
          <w:sz w:val="24"/>
          <w:szCs w:val="24"/>
        </w:rPr>
        <w:t xml:space="preserve"> trgovačko društvo Hrvatska brodogradnja Trogir d.o.o. je poslo</w:t>
      </w:r>
      <w:r w:rsidR="009E7E28" w:rsidRPr="007F0F62">
        <w:rPr>
          <w:rFonts w:ascii="Times New Roman" w:eastAsia="Calibri" w:hAnsi="Times New Roman" w:cs="Times New Roman"/>
          <w:sz w:val="24"/>
          <w:szCs w:val="24"/>
        </w:rPr>
        <w:t>va</w:t>
      </w:r>
      <w:r w:rsidR="00FD7B42" w:rsidRPr="007F0F62">
        <w:rPr>
          <w:rFonts w:ascii="Times New Roman" w:eastAsia="Calibri" w:hAnsi="Times New Roman" w:cs="Times New Roman"/>
          <w:sz w:val="24"/>
          <w:szCs w:val="24"/>
        </w:rPr>
        <w:t>o s dodatnim gubitkom od 14.800.000,0</w:t>
      </w:r>
      <w:r w:rsidR="009E7E28" w:rsidRPr="007F0F62">
        <w:rPr>
          <w:rFonts w:ascii="Times New Roman" w:eastAsia="Calibri" w:hAnsi="Times New Roman" w:cs="Times New Roman"/>
          <w:sz w:val="24"/>
          <w:szCs w:val="24"/>
        </w:rPr>
        <w:t>0</w:t>
      </w:r>
      <w:r w:rsidR="00FD7B42" w:rsidRPr="007F0F62">
        <w:rPr>
          <w:rFonts w:ascii="Times New Roman" w:eastAsia="Calibri" w:hAnsi="Times New Roman" w:cs="Times New Roman"/>
          <w:sz w:val="24"/>
          <w:szCs w:val="24"/>
        </w:rPr>
        <w:t xml:space="preserve"> kuna, posljedično čemu je </w:t>
      </w:r>
      <w:r w:rsidR="009E7E28" w:rsidRPr="007F0F62">
        <w:rPr>
          <w:rFonts w:ascii="Times New Roman" w:eastAsia="Calibri" w:hAnsi="Times New Roman" w:cs="Times New Roman"/>
          <w:sz w:val="24"/>
          <w:szCs w:val="24"/>
        </w:rPr>
        <w:t>moralo doći do smanjenja broja radnika, a što sve ukazuje da takva situacija dovodi u pitanje poslovanje trgovačkog društva Hrvatska brodogradnja Trogir d.o.o.,  a time i redovnu isplatu tražbina vjerovnika sukladno pravomoćnom rješenju suda.</w:t>
      </w:r>
    </w:p>
    <w:p w14:paraId="733E926E" w14:textId="77777777" w:rsidR="00FD7B42" w:rsidRPr="007F0F62" w:rsidRDefault="00FD7B42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848171" w14:textId="77777777" w:rsidR="00FC1EDA" w:rsidRPr="007F0F62" w:rsidRDefault="009E7E28" w:rsidP="007F0F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Pre</w:t>
      </w:r>
      <w:r w:rsidR="00D22B6A" w:rsidRPr="007F0F62">
        <w:rPr>
          <w:rFonts w:ascii="Times New Roman" w:eastAsia="Calibri" w:hAnsi="Times New Roman" w:cs="Times New Roman"/>
          <w:sz w:val="24"/>
          <w:szCs w:val="24"/>
        </w:rPr>
        <w:t>ma</w:t>
      </w:r>
      <w:r w:rsidR="00FF35BA"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 xml:space="preserve">odredbama </w:t>
      </w:r>
      <w:r w:rsidR="00E331A4" w:rsidRPr="007F0F62">
        <w:rPr>
          <w:rFonts w:ascii="Times New Roman" w:eastAsia="Calibri" w:hAnsi="Times New Roman" w:cs="Times New Roman"/>
          <w:sz w:val="24"/>
          <w:szCs w:val="24"/>
        </w:rPr>
        <w:t xml:space="preserve">pravomoćnog </w:t>
      </w:r>
      <w:r w:rsidR="00C83FA7" w:rsidRPr="007F0F62">
        <w:rPr>
          <w:rFonts w:ascii="Times New Roman" w:eastAsia="Calibri" w:hAnsi="Times New Roman" w:cs="Times New Roman"/>
          <w:sz w:val="24"/>
          <w:szCs w:val="24"/>
        </w:rPr>
        <w:t>P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>redstečajnog sporazuma (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>R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>ješenje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 xml:space="preserve"> Trgovačkog suda u Splitu posl.br. 11 St-144/019 od 16. prosinca 2019. godine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>)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 xml:space="preserve"> određena 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>obveza dužnika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>, društva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 xml:space="preserve">Hrvatska brodogradnja Trogir d.o.o., 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>da vjer</w:t>
      </w:r>
      <w:r w:rsidR="00846B2E" w:rsidRPr="007F0F62">
        <w:rPr>
          <w:rFonts w:ascii="Times New Roman" w:eastAsia="Calibri" w:hAnsi="Times New Roman" w:cs="Times New Roman"/>
          <w:sz w:val="24"/>
          <w:szCs w:val="24"/>
        </w:rPr>
        <w:t xml:space="preserve">ovnika s pravom posebne namire, društvo </w:t>
      </w:r>
      <w:r w:rsidR="005D6BE3" w:rsidRPr="007F0F62">
        <w:rPr>
          <w:rFonts w:ascii="Times New Roman" w:eastAsia="Calibri" w:hAnsi="Times New Roman" w:cs="Times New Roman"/>
          <w:sz w:val="24"/>
          <w:szCs w:val="24"/>
        </w:rPr>
        <w:t>S</w:t>
      </w:r>
      <w:r w:rsidR="008F3C99" w:rsidRPr="007F0F62">
        <w:rPr>
          <w:rFonts w:ascii="Times New Roman" w:eastAsia="Calibri" w:hAnsi="Times New Roman" w:cs="Times New Roman"/>
          <w:sz w:val="24"/>
          <w:szCs w:val="24"/>
        </w:rPr>
        <w:t>ervisni centar T</w:t>
      </w:r>
      <w:r w:rsidR="005D6BE3" w:rsidRPr="007F0F62">
        <w:rPr>
          <w:rFonts w:ascii="Times New Roman" w:eastAsia="Calibri" w:hAnsi="Times New Roman" w:cs="Times New Roman"/>
          <w:sz w:val="24"/>
          <w:szCs w:val="24"/>
        </w:rPr>
        <w:t xml:space="preserve">rogir 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>d.o.o., namiruje prijenosom predmetne koncesije ili plaćanjem iznos</w:t>
      </w:r>
      <w:r w:rsidR="008F3C99" w:rsidRPr="007F0F62">
        <w:rPr>
          <w:rFonts w:ascii="Times New Roman" w:eastAsia="Calibri" w:hAnsi="Times New Roman" w:cs="Times New Roman"/>
          <w:sz w:val="24"/>
          <w:szCs w:val="24"/>
        </w:rPr>
        <w:t>a</w:t>
      </w:r>
      <w:r w:rsidR="00227991" w:rsidRPr="007F0F62">
        <w:rPr>
          <w:rFonts w:ascii="Times New Roman" w:eastAsia="Calibri" w:hAnsi="Times New Roman" w:cs="Times New Roman"/>
          <w:sz w:val="24"/>
          <w:szCs w:val="24"/>
        </w:rPr>
        <w:t xml:space="preserve"> od 13.015.228,07 kuna, najkasnije do 31. prosinca 2028. godine.</w:t>
      </w:r>
    </w:p>
    <w:p w14:paraId="7066B313" w14:textId="77777777" w:rsidR="006621C3" w:rsidRPr="007F0F62" w:rsidRDefault="006621C3" w:rsidP="007F0F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0D6BD" w14:textId="77777777" w:rsidR="006621C3" w:rsidRPr="007F0F62" w:rsidRDefault="006621C3" w:rsidP="007F0F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Društvo Hrvatska brodogradnja Trogir d.o.o.</w:t>
      </w:r>
      <w:r w:rsidR="001F344A"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predlaže da se namirenje vjerovnika izvrši </w:t>
      </w:r>
      <w:r w:rsidR="007F0F62" w:rsidRPr="007F0F62">
        <w:rPr>
          <w:rFonts w:ascii="Times New Roman" w:eastAsia="Calibri" w:hAnsi="Times New Roman" w:cs="Times New Roman"/>
          <w:sz w:val="24"/>
          <w:szCs w:val="24"/>
        </w:rPr>
        <w:t xml:space="preserve">odmah,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prijenosom predmetne koncesije na novog ovlaštenika društvo Servisni centar Trogir d.o.o. sukladno  pravomoćnom Predstečajnom sporazumu, ne čekajući </w:t>
      </w:r>
      <w:r w:rsidRPr="007F0F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krajnji rok dospijeća obveze namirenja vjerovnika isplatom novčanih sredstva, obzirom da </w:t>
      </w:r>
      <w:r w:rsidR="00050947">
        <w:rPr>
          <w:rFonts w:ascii="Times New Roman" w:eastAsia="Calibri" w:hAnsi="Times New Roman" w:cs="Times New Roman"/>
          <w:sz w:val="24"/>
          <w:szCs w:val="24"/>
        </w:rPr>
        <w:t>je za očekivati kako zbog financijskog stanja društva</w:t>
      </w:r>
      <w:r w:rsidR="00050947" w:rsidRPr="00050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0947" w:rsidRPr="007F0F62">
        <w:rPr>
          <w:rFonts w:ascii="Times New Roman" w:eastAsia="Calibri" w:hAnsi="Times New Roman" w:cs="Times New Roman"/>
          <w:sz w:val="24"/>
          <w:szCs w:val="24"/>
        </w:rPr>
        <w:t>Hrvatska brodogradnja Trogir d.o.o.</w:t>
      </w:r>
      <w:r w:rsidR="00050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F62">
        <w:rPr>
          <w:rFonts w:ascii="Times New Roman" w:eastAsia="Calibri" w:hAnsi="Times New Roman" w:cs="Times New Roman"/>
          <w:sz w:val="24"/>
          <w:szCs w:val="24"/>
        </w:rPr>
        <w:t>isplata istog</w:t>
      </w:r>
      <w:r w:rsidR="00050947">
        <w:rPr>
          <w:rFonts w:ascii="Times New Roman" w:eastAsia="Calibri" w:hAnsi="Times New Roman" w:cs="Times New Roman"/>
          <w:sz w:val="24"/>
          <w:szCs w:val="24"/>
        </w:rPr>
        <w:t xml:space="preserve"> u daljnjem roku neće biti moguća.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6AEDCB" w14:textId="77777777" w:rsidR="00EF7615" w:rsidRPr="007F0F62" w:rsidRDefault="00EF7615" w:rsidP="007F0F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317C7B" w14:textId="77777777" w:rsidR="00141CA7" w:rsidRPr="007F0F62" w:rsidRDefault="00A118D9" w:rsidP="006562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Privredna banka Zagreb d.d., koja ima založno pravo na predmetnoj koncesiji za brodogradilište i </w:t>
      </w:r>
      <w:r w:rsidR="009669D7" w:rsidRPr="007F0F62">
        <w:rPr>
          <w:rFonts w:ascii="Times New Roman" w:eastAsia="Calibri" w:hAnsi="Times New Roman" w:cs="Times New Roman"/>
          <w:sz w:val="24"/>
          <w:szCs w:val="24"/>
        </w:rPr>
        <w:t xml:space="preserve">koncesiji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za luku nautičkog turizma kojom upravlja društvo Servisni centar Trogir d.o.o., prihvatila je </w:t>
      </w:r>
      <w:r w:rsidR="006621C3" w:rsidRPr="007F0F62">
        <w:rPr>
          <w:rFonts w:ascii="Times New Roman" w:eastAsia="Calibri" w:hAnsi="Times New Roman" w:cs="Times New Roman"/>
          <w:sz w:val="24"/>
          <w:szCs w:val="24"/>
        </w:rPr>
        <w:t xml:space="preserve">Predstečajni </w:t>
      </w:r>
      <w:r w:rsidR="00141CA7" w:rsidRPr="007F0F62">
        <w:rPr>
          <w:rFonts w:ascii="Times New Roman" w:eastAsia="Calibri" w:hAnsi="Times New Roman" w:cs="Times New Roman"/>
          <w:sz w:val="24"/>
          <w:szCs w:val="24"/>
        </w:rPr>
        <w:t>sporazum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te time dala s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 xml:space="preserve">uglasnost na prijenos koncesije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budući da se odrekla prava na odvojeno namirenje koje kao razlučni vjerovnik ima na predmetnoj koncesiji, a iznos od 54.053,709,50 kuna namirit će sukladno odredbama Ugovora o dugoročnom kreditu s valutnom klauzulom br. 511217908 od dana 16. prosinca 2016. godine, temeljem kojeg Ugovora je kreditor 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 xml:space="preserve">društvo Servisni centar Trogir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d.o.o., a sudužnici su 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>društvo Brodotrogir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d.d. i 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 xml:space="preserve">Hrvatska brodogradnja Trogir d.o.o. </w:t>
      </w:r>
      <w:r w:rsidR="00141CA7" w:rsidRPr="007F0F62">
        <w:rPr>
          <w:rFonts w:ascii="Times New Roman" w:eastAsia="Calibri" w:hAnsi="Times New Roman" w:cs="Times New Roman"/>
          <w:sz w:val="24"/>
          <w:szCs w:val="24"/>
        </w:rPr>
        <w:t xml:space="preserve"> Društvo Servisni centar Trogir d.o.o. uredno ispunjava sve kreditne obveze prema Privrednoj banci Zagreb d.d. </w:t>
      </w:r>
    </w:p>
    <w:p w14:paraId="2A815E91" w14:textId="77777777" w:rsidR="00141CA7" w:rsidRPr="007F0F62" w:rsidRDefault="00141CA7" w:rsidP="006562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59906" w14:textId="77777777" w:rsidR="0065625B" w:rsidRPr="007F0F62" w:rsidRDefault="001F344A" w:rsidP="006562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U međuvremenu je 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 xml:space="preserve">Financijska agencija po službenoj dužnosti podnijela Trgovačkom sudu u Splitu prijedlog za pokretanjem stečajnog postupka nad </w:t>
      </w:r>
      <w:r w:rsidR="006621C3" w:rsidRPr="007F0F62">
        <w:rPr>
          <w:rFonts w:ascii="Times New Roman" w:eastAsia="Calibri" w:hAnsi="Times New Roman" w:cs="Times New Roman"/>
          <w:sz w:val="24"/>
          <w:szCs w:val="24"/>
        </w:rPr>
        <w:t>društvom Hrvatska brodogradnja Trogir d.o.o.  m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 xml:space="preserve">eđutim, društvo </w:t>
      </w:r>
      <w:r w:rsidR="00453A90" w:rsidRPr="007F0F62">
        <w:rPr>
          <w:rFonts w:ascii="Times New Roman" w:eastAsia="Calibri" w:hAnsi="Times New Roman" w:cs="Times New Roman"/>
          <w:sz w:val="24"/>
          <w:szCs w:val="24"/>
        </w:rPr>
        <w:t>je,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 xml:space="preserve"> nakon pokretanja postupka, izvršilo sve svoje obveze i račun je odblo</w:t>
      </w:r>
      <w:r w:rsidR="00453A90" w:rsidRPr="007F0F62">
        <w:rPr>
          <w:rFonts w:ascii="Times New Roman" w:eastAsia="Calibri" w:hAnsi="Times New Roman" w:cs="Times New Roman"/>
          <w:sz w:val="24"/>
          <w:szCs w:val="24"/>
        </w:rPr>
        <w:t xml:space="preserve">kiran te je </w:t>
      </w:r>
      <w:r w:rsidR="0065625B" w:rsidRPr="007F0F62">
        <w:rPr>
          <w:rFonts w:ascii="Times New Roman" w:eastAsia="Calibri" w:hAnsi="Times New Roman" w:cs="Times New Roman"/>
          <w:sz w:val="24"/>
          <w:szCs w:val="24"/>
        </w:rPr>
        <w:t xml:space="preserve">donijeto rješenje Trgovačkog suda u Splitu, posl.br. St-82/2021 od dana 31.ožujka 2021. godine kojim se obustavlja stečajni postupak.  </w:t>
      </w:r>
    </w:p>
    <w:p w14:paraId="179C4570" w14:textId="77777777" w:rsidR="0065625B" w:rsidRPr="007F0F62" w:rsidRDefault="0065625B" w:rsidP="006562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08D63" w14:textId="77777777" w:rsidR="00956F35" w:rsidRPr="007F0F62" w:rsidRDefault="0065625B" w:rsidP="0065625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Upravo je društvo Servisni centar Trogir d.o.o. izvršio plaćanje pozajmice </w:t>
      </w:r>
      <w:r w:rsidR="00956F35" w:rsidRPr="007F0F62">
        <w:rPr>
          <w:rFonts w:ascii="Times New Roman" w:eastAsia="Calibri" w:hAnsi="Times New Roman" w:cs="Times New Roman"/>
          <w:sz w:val="24"/>
          <w:szCs w:val="24"/>
        </w:rPr>
        <w:t>kojom je omogućeno  izvršenje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F35" w:rsidRPr="007F0F62">
        <w:rPr>
          <w:rFonts w:ascii="Times New Roman" w:eastAsia="Calibri" w:hAnsi="Times New Roman" w:cs="Times New Roman"/>
          <w:sz w:val="24"/>
          <w:szCs w:val="24"/>
        </w:rPr>
        <w:t xml:space="preserve">plaćanja </w:t>
      </w:r>
      <w:r w:rsidRPr="007F0F62">
        <w:rPr>
          <w:rFonts w:ascii="Times New Roman" w:eastAsia="Calibri" w:hAnsi="Times New Roman" w:cs="Times New Roman"/>
          <w:sz w:val="24"/>
          <w:szCs w:val="24"/>
        </w:rPr>
        <w:t>aniuteta</w:t>
      </w:r>
      <w:r w:rsidR="00956F35"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F62">
        <w:rPr>
          <w:rFonts w:ascii="Times New Roman" w:eastAsia="Calibri" w:hAnsi="Times New Roman" w:cs="Times New Roman"/>
          <w:sz w:val="24"/>
          <w:szCs w:val="24"/>
        </w:rPr>
        <w:t>prema svim vjerovnic</w:t>
      </w:r>
      <w:r w:rsidR="00956F35" w:rsidRPr="007F0F62">
        <w:rPr>
          <w:rFonts w:ascii="Times New Roman" w:eastAsia="Calibri" w:hAnsi="Times New Roman" w:cs="Times New Roman"/>
          <w:sz w:val="24"/>
          <w:szCs w:val="24"/>
        </w:rPr>
        <w:t>ima</w:t>
      </w:r>
      <w:r w:rsidR="00050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F35" w:rsidRPr="007F0F62">
        <w:rPr>
          <w:rFonts w:ascii="Times New Roman" w:eastAsia="Calibri" w:hAnsi="Times New Roman" w:cs="Times New Roman"/>
          <w:sz w:val="24"/>
          <w:szCs w:val="24"/>
        </w:rPr>
        <w:t xml:space="preserve">osim povezanih društava iz </w:t>
      </w:r>
      <w:r w:rsidR="00050947">
        <w:rPr>
          <w:rFonts w:ascii="Times New Roman" w:eastAsia="Calibri" w:hAnsi="Times New Roman" w:cs="Times New Roman"/>
          <w:sz w:val="24"/>
          <w:szCs w:val="24"/>
        </w:rPr>
        <w:t>grupe Brodotrogir d.</w:t>
      </w:r>
      <w:r w:rsidR="00050947" w:rsidRPr="009A4685">
        <w:rPr>
          <w:rFonts w:ascii="Times New Roman" w:eastAsia="Calibri" w:hAnsi="Times New Roman" w:cs="Times New Roman"/>
          <w:sz w:val="24"/>
          <w:szCs w:val="24"/>
        </w:rPr>
        <w:t>d.</w:t>
      </w:r>
      <w:r w:rsidRPr="009A468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50947" w:rsidRPr="009A4685">
        <w:rPr>
          <w:rFonts w:ascii="Times New Roman" w:eastAsia="Calibri" w:hAnsi="Times New Roman" w:cs="Times New Roman"/>
          <w:sz w:val="24"/>
          <w:szCs w:val="24"/>
        </w:rPr>
        <w:t xml:space="preserve">uključujući i potraživanja  </w:t>
      </w:r>
      <w:r w:rsidRPr="009A4685">
        <w:rPr>
          <w:rFonts w:ascii="Times New Roman" w:eastAsia="Calibri" w:hAnsi="Times New Roman" w:cs="Times New Roman"/>
          <w:sz w:val="24"/>
          <w:szCs w:val="24"/>
        </w:rPr>
        <w:t xml:space="preserve">prema </w:t>
      </w:r>
      <w:r w:rsidR="00956F35" w:rsidRPr="009A4685">
        <w:rPr>
          <w:rFonts w:ascii="Times New Roman" w:eastAsia="Calibri" w:hAnsi="Times New Roman" w:cs="Times New Roman"/>
          <w:sz w:val="24"/>
          <w:szCs w:val="24"/>
        </w:rPr>
        <w:t xml:space="preserve">radnicima </w:t>
      </w:r>
      <w:r w:rsidRPr="009A4685">
        <w:rPr>
          <w:rFonts w:ascii="Times New Roman" w:eastAsia="Calibri" w:hAnsi="Times New Roman" w:cs="Times New Roman"/>
          <w:sz w:val="24"/>
          <w:szCs w:val="24"/>
        </w:rPr>
        <w:t>i drugim vjerovnicima</w:t>
      </w:r>
      <w:r w:rsidR="00956F35" w:rsidRPr="009A4685">
        <w:rPr>
          <w:rFonts w:ascii="Times New Roman" w:eastAsia="Calibri" w:hAnsi="Times New Roman" w:cs="Times New Roman"/>
          <w:sz w:val="24"/>
          <w:szCs w:val="24"/>
        </w:rPr>
        <w:t xml:space="preserve">, a također </w:t>
      </w:r>
      <w:r w:rsidR="009A4685" w:rsidRPr="009A4685">
        <w:rPr>
          <w:rFonts w:ascii="Times New Roman" w:eastAsia="Calibri" w:hAnsi="Times New Roman" w:cs="Times New Roman"/>
          <w:sz w:val="24"/>
          <w:szCs w:val="24"/>
        </w:rPr>
        <w:t>su</w:t>
      </w:r>
      <w:r w:rsidR="00956F35" w:rsidRPr="009A4685">
        <w:rPr>
          <w:rFonts w:ascii="Times New Roman" w:eastAsia="Calibri" w:hAnsi="Times New Roman" w:cs="Times New Roman"/>
          <w:sz w:val="24"/>
          <w:szCs w:val="24"/>
        </w:rPr>
        <w:t xml:space="preserve"> podmiren</w:t>
      </w:r>
      <w:r w:rsidR="009A4685" w:rsidRPr="009A4685">
        <w:rPr>
          <w:rFonts w:ascii="Times New Roman" w:eastAsia="Calibri" w:hAnsi="Times New Roman" w:cs="Times New Roman"/>
          <w:sz w:val="24"/>
          <w:szCs w:val="24"/>
        </w:rPr>
        <w:t>e</w:t>
      </w:r>
      <w:r w:rsidR="00956F35" w:rsidRPr="009A4685">
        <w:rPr>
          <w:rFonts w:ascii="Times New Roman" w:eastAsia="Calibri" w:hAnsi="Times New Roman" w:cs="Times New Roman"/>
          <w:sz w:val="24"/>
          <w:szCs w:val="24"/>
        </w:rPr>
        <w:t xml:space="preserve"> i prv</w:t>
      </w:r>
      <w:r w:rsidR="009A4685" w:rsidRPr="009A4685">
        <w:rPr>
          <w:rFonts w:ascii="Times New Roman" w:eastAsia="Calibri" w:hAnsi="Times New Roman" w:cs="Times New Roman"/>
          <w:sz w:val="24"/>
          <w:szCs w:val="24"/>
        </w:rPr>
        <w:t>e</w:t>
      </w:r>
      <w:r w:rsidR="00956F35" w:rsidRPr="009A46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685" w:rsidRPr="009A4685">
        <w:rPr>
          <w:rFonts w:ascii="Times New Roman" w:eastAsia="Calibri" w:hAnsi="Times New Roman" w:cs="Times New Roman"/>
          <w:sz w:val="24"/>
          <w:szCs w:val="24"/>
        </w:rPr>
        <w:t>dvije rate</w:t>
      </w:r>
      <w:r w:rsidR="00956F35" w:rsidRPr="009A4685">
        <w:rPr>
          <w:rFonts w:ascii="Times New Roman" w:eastAsia="Calibri" w:hAnsi="Times New Roman" w:cs="Times New Roman"/>
          <w:sz w:val="24"/>
          <w:szCs w:val="24"/>
        </w:rPr>
        <w:t xml:space="preserve"> u odnosu na tražbinu Ministarstvu mora, prometa i infrastrukture</w:t>
      </w:r>
      <w:r w:rsidR="00F81520" w:rsidRPr="009A4685">
        <w:rPr>
          <w:rFonts w:ascii="Times New Roman" w:eastAsia="Calibri" w:hAnsi="Times New Roman" w:cs="Times New Roman"/>
          <w:sz w:val="24"/>
          <w:szCs w:val="24"/>
        </w:rPr>
        <w:t xml:space="preserve"> sukladno Predstečajnom sporazumu.</w:t>
      </w:r>
    </w:p>
    <w:p w14:paraId="38DCF58B" w14:textId="77777777" w:rsidR="0065625B" w:rsidRPr="007F0F62" w:rsidRDefault="00956F35" w:rsidP="00956F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C4A287" w14:textId="77777777" w:rsidR="0029026E" w:rsidRPr="007F0F62" w:rsidRDefault="00956F35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Naime, prema Predstečajnom sporazumu Ministarstvu mora, prometa i infrastrukture otpisano je 70 % iznosa prijavljene tražbine koja se odnosi na dospjelu, a nepodmirenu naknadu za koncesiju na dan otvaranja predstečajnog postupka, dok je preostali iznos od 547.162,04 kune (30 % glavnice) dužnik zadužen podmiriti u 32 jednaka obroka, uz poček do 31. ožujka 2021. godine. Navedeni iznos evidentiran je u Registru koncesija na posebnom ID broju temeljem Dodatka broj 4. Ugovoru o koncesiji od dana 2. ožujka 2020. godine.</w:t>
      </w:r>
    </w:p>
    <w:p w14:paraId="059BBE08" w14:textId="77777777" w:rsidR="00C94D9C" w:rsidRPr="007F0F62" w:rsidRDefault="00C94D9C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D5FA18" w14:textId="77777777" w:rsidR="00FE5FB6" w:rsidRDefault="00DD0930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Zakon o koncesijama u članku 66. predviđa mogućnost prijenosa koncesije s jednog ovlaštenika na drugog,</w:t>
      </w:r>
      <w:r w:rsidR="00134681" w:rsidRPr="007F0F62">
        <w:rPr>
          <w:rFonts w:ascii="Times New Roman" w:eastAsia="Calibri" w:hAnsi="Times New Roman" w:cs="Times New Roman"/>
          <w:sz w:val="24"/>
          <w:szCs w:val="24"/>
        </w:rPr>
        <w:t xml:space="preserve"> uz pisanu suglasnost davatelja koncesije pod uvjetom da treća osoba ispunjava uvjete sposobnosti određene za koncesionara u dokumentaciji za nadmetanje i obavijesti o namjeri davanja koncesije. U predmetnom slučaju, takvi uvjeti nisu bili propisani zbog drukčijeg pravnog uređenja: naime, koncesiju je </w:t>
      </w:r>
      <w:r w:rsidR="00D4405E" w:rsidRPr="007F0F62">
        <w:rPr>
          <w:rFonts w:ascii="Times New Roman" w:eastAsia="Calibri" w:hAnsi="Times New Roman" w:cs="Times New Roman"/>
          <w:sz w:val="24"/>
          <w:szCs w:val="24"/>
        </w:rPr>
        <w:t xml:space="preserve">trgovačko </w:t>
      </w:r>
      <w:r w:rsidR="00134681" w:rsidRPr="007F0F62">
        <w:rPr>
          <w:rFonts w:ascii="Times New Roman" w:eastAsia="Calibri" w:hAnsi="Times New Roman" w:cs="Times New Roman"/>
          <w:sz w:val="24"/>
          <w:szCs w:val="24"/>
        </w:rPr>
        <w:t xml:space="preserve">društvo Hrvatska brodogradnja d.o.o. steklo na temelju prijenosa koncesije sa društva Brodotrogir d.d., a koje društvo je koncesiju steklo temeljem prijave sukladno tada važećim propisima, a ne na temelju nalaza i mišljenja tijela ovlaštenog za ocjenu ponuda pristiglih po </w:t>
      </w:r>
      <w:r w:rsidR="002E1AD2" w:rsidRPr="007F0F62">
        <w:rPr>
          <w:rFonts w:ascii="Times New Roman" w:eastAsia="Calibri" w:hAnsi="Times New Roman" w:cs="Times New Roman"/>
          <w:sz w:val="24"/>
          <w:szCs w:val="24"/>
        </w:rPr>
        <w:t xml:space="preserve">raspisu javnog prikupljanja ponuda. </w:t>
      </w:r>
    </w:p>
    <w:p w14:paraId="25E8459C" w14:textId="77777777" w:rsidR="0029026E" w:rsidRDefault="0029026E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331CF" w14:textId="77777777" w:rsidR="0029026E" w:rsidRPr="007F0F62" w:rsidRDefault="0029026E" w:rsidP="0029026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026E">
        <w:rPr>
          <w:rFonts w:ascii="Times New Roman" w:eastAsia="Calibri" w:hAnsi="Times New Roman" w:cs="Times New Roman"/>
          <w:sz w:val="24"/>
          <w:szCs w:val="24"/>
        </w:rPr>
        <w:lastRenderedPageBreak/>
        <w:t>Cijeneći djelatnost poslovanja oba trgovačka društva, njihovu gospodarsku i financijsku situaciju, te da je riječ o društvima istog osnivača, oba trgovačka društva zaključila su da je u obostranom interesu međusobno se povezati i to ne samo poslovno nego i formalno odnosno organizacijski, pravno i financijski čime se očekuje pozitivna sinergija na relaciji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0F62">
        <w:rPr>
          <w:rFonts w:ascii="Times New Roman" w:eastAsia="Calibri" w:hAnsi="Times New Roman" w:cs="Times New Roman"/>
          <w:sz w:val="24"/>
          <w:szCs w:val="24"/>
        </w:rPr>
        <w:t>Hrvatska brodogradnja Trogir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F0F62">
        <w:rPr>
          <w:rFonts w:ascii="Times New Roman" w:eastAsia="Calibri" w:hAnsi="Times New Roman" w:cs="Times New Roman"/>
          <w:sz w:val="24"/>
          <w:szCs w:val="24"/>
        </w:rPr>
        <w:t>Servisni centar Trogir d.o.o.</w:t>
      </w:r>
      <w:r>
        <w:rPr>
          <w:rFonts w:ascii="Times New Roman" w:eastAsia="Calibri" w:hAnsi="Times New Roman" w:cs="Times New Roman"/>
          <w:sz w:val="24"/>
          <w:szCs w:val="24"/>
        </w:rPr>
        <w:t>, pozitivan odraz takvog društva preuzimatelja u poslovanju s potencijalnim partnerima. Pripajanjem društva i nastavkom poslovanja kao jedno trgovačko društvo, a koje ima za posljedicu poslovno, organizacijsko i financijsko povezivanje rezultirat će povećanjem poslovne aktivnosti a time i povećanjem prihoda, uz istodobno smanjenje troškova poslovanja.</w:t>
      </w:r>
    </w:p>
    <w:p w14:paraId="0D5ABEA0" w14:textId="77777777" w:rsidR="007B4AD1" w:rsidRPr="007F0F62" w:rsidRDefault="007B4AD1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FAD3B" w14:textId="77777777" w:rsidR="007B4AD1" w:rsidRPr="009320DD" w:rsidRDefault="007B4AD1" w:rsidP="007B4A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Prijenosom koncesije </w:t>
      </w:r>
      <w:r w:rsidR="00453A90" w:rsidRPr="009320DD">
        <w:rPr>
          <w:rFonts w:ascii="Times New Roman" w:eastAsia="Calibri" w:hAnsi="Times New Roman" w:cs="Times New Roman"/>
          <w:sz w:val="24"/>
          <w:szCs w:val="24"/>
        </w:rPr>
        <w:t xml:space="preserve">društvo Servisni centar Trogir d.o.o. kao </w:t>
      </w:r>
      <w:r w:rsidRPr="009320DD">
        <w:rPr>
          <w:rFonts w:ascii="Times New Roman" w:eastAsia="Calibri" w:hAnsi="Times New Roman" w:cs="Times New Roman"/>
          <w:sz w:val="24"/>
          <w:szCs w:val="24"/>
        </w:rPr>
        <w:t>no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vi ovlaštenik koncesije preuzima sva prava i obaveze dosadašnjeg koncesionara, 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te je u obvezi podmiriti dospjelu, a nepodmirenu naknadu za koncesiju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zajedno sa zakonskim zateznim kamatama do dana 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sklapanja ugovora o prijenosu koncesije evidentiranu na osnovnom ID na kojem je uvidom u Registar koncesija na dan </w:t>
      </w:r>
      <w:r w:rsidR="00D4405E" w:rsidRPr="009320DD">
        <w:rPr>
          <w:rFonts w:ascii="Times New Roman" w:eastAsia="Calibri" w:hAnsi="Times New Roman" w:cs="Times New Roman"/>
          <w:sz w:val="24"/>
          <w:szCs w:val="24"/>
        </w:rPr>
        <w:t>16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4405E" w:rsidRPr="009320DD">
        <w:rPr>
          <w:rFonts w:ascii="Times New Roman" w:eastAsia="Calibri" w:hAnsi="Times New Roman" w:cs="Times New Roman"/>
          <w:sz w:val="24"/>
          <w:szCs w:val="24"/>
        </w:rPr>
        <w:t>srpnja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 2021. godine, evidentiran dug u iznosi od </w:t>
      </w:r>
      <w:r w:rsidR="00DB4CDF" w:rsidRPr="009320DD">
        <w:rPr>
          <w:rFonts w:ascii="Times New Roman" w:eastAsia="Calibri" w:hAnsi="Times New Roman" w:cs="Times New Roman"/>
          <w:sz w:val="24"/>
          <w:szCs w:val="24"/>
        </w:rPr>
        <w:t>1.707.295,32</w:t>
      </w:r>
      <w:r w:rsidR="00D576DA" w:rsidRPr="00932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20DD">
        <w:rPr>
          <w:rFonts w:ascii="Times New Roman" w:eastAsia="Calibri" w:hAnsi="Times New Roman" w:cs="Times New Roman"/>
          <w:sz w:val="24"/>
          <w:szCs w:val="24"/>
        </w:rPr>
        <w:t>kuna, te cjelokupni iznos tražbine temeljem Predstečajnog sporazuma evidentiran na posebnom ID broju u Registru koncesija (umanjeno za prv</w:t>
      </w:r>
      <w:r w:rsidR="006929F7">
        <w:rPr>
          <w:rFonts w:ascii="Times New Roman" w:eastAsia="Calibri" w:hAnsi="Times New Roman" w:cs="Times New Roman"/>
          <w:sz w:val="24"/>
          <w:szCs w:val="24"/>
        </w:rPr>
        <w:t>e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9F7">
        <w:rPr>
          <w:rFonts w:ascii="Times New Roman" w:eastAsia="Calibri" w:hAnsi="Times New Roman" w:cs="Times New Roman"/>
          <w:sz w:val="24"/>
          <w:szCs w:val="24"/>
        </w:rPr>
        <w:t xml:space="preserve">dvije </w:t>
      </w:r>
      <w:r w:rsidRPr="009320DD">
        <w:rPr>
          <w:rFonts w:ascii="Times New Roman" w:eastAsia="Calibri" w:hAnsi="Times New Roman" w:cs="Times New Roman"/>
          <w:sz w:val="24"/>
          <w:szCs w:val="24"/>
        </w:rPr>
        <w:t>rat</w:t>
      </w:r>
      <w:r w:rsidR="006929F7">
        <w:rPr>
          <w:rFonts w:ascii="Times New Roman" w:eastAsia="Calibri" w:hAnsi="Times New Roman" w:cs="Times New Roman"/>
          <w:sz w:val="24"/>
          <w:szCs w:val="24"/>
        </w:rPr>
        <w:t>e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6929F7">
        <w:rPr>
          <w:rFonts w:ascii="Times New Roman" w:eastAsia="Calibri" w:hAnsi="Times New Roman" w:cs="Times New Roman"/>
          <w:sz w:val="24"/>
          <w:szCs w:val="24"/>
        </w:rPr>
        <w:t>e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9F7">
        <w:rPr>
          <w:rFonts w:ascii="Times New Roman" w:eastAsia="Calibri" w:hAnsi="Times New Roman" w:cs="Times New Roman"/>
          <w:sz w:val="24"/>
          <w:szCs w:val="24"/>
        </w:rPr>
        <w:t>su</w:t>
      </w:r>
      <w:r w:rsidRPr="009320DD">
        <w:rPr>
          <w:rFonts w:ascii="Times New Roman" w:eastAsia="Calibri" w:hAnsi="Times New Roman" w:cs="Times New Roman"/>
          <w:sz w:val="24"/>
          <w:szCs w:val="24"/>
        </w:rPr>
        <w:t xml:space="preserve"> već p</w:t>
      </w:r>
      <w:r w:rsidR="006929F7">
        <w:rPr>
          <w:rFonts w:ascii="Times New Roman" w:eastAsia="Calibri" w:hAnsi="Times New Roman" w:cs="Times New Roman"/>
          <w:sz w:val="24"/>
          <w:szCs w:val="24"/>
        </w:rPr>
        <w:t>odmirene</w:t>
      </w:r>
      <w:r w:rsidRPr="009320DD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4B5979D" w14:textId="77777777" w:rsidR="007B4AD1" w:rsidRPr="009320DD" w:rsidRDefault="007B4AD1" w:rsidP="007B4AD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861A28" w14:textId="77777777" w:rsidR="007B4AD1" w:rsidRPr="007F0F62" w:rsidRDefault="007B4AD1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Na taj način društvo Servisni centar Trogir d.o.o. postaje ovlaštenik koncesije cjelokupnog područja pomorskog dobra određenog  Odlukom o koncesiji pomorskog dobra u </w:t>
      </w:r>
      <w:r w:rsidRPr="007F0F62">
        <w:rPr>
          <w:rFonts w:ascii="Times New Roman" w:eastAsia="Calibri" w:hAnsi="Times New Roman" w:cs="Times New Roman"/>
          <w:sz w:val="24"/>
          <w:szCs w:val="24"/>
        </w:rPr>
        <w:lastRenderedPageBreak/>
        <w:t>svrhu gospodarskog korištenja luke posebne namjene – brodogradilišta i luke nautičkog turizma Brodotrogir d.d. Trogir („Narodne novine“, br. 74/1999, 9/2000, 10/2003 i 19/2011), odnosno upravljat će brodogradilištem i lukom nautičkog turizma.</w:t>
      </w:r>
    </w:p>
    <w:p w14:paraId="64A64C3E" w14:textId="77777777" w:rsidR="00134681" w:rsidRPr="007F0F62" w:rsidRDefault="00134681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C7CCF3" w14:textId="77777777" w:rsidR="00D36256" w:rsidRDefault="00D4405E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>Trgovačko društv</w:t>
      </w:r>
      <w:r w:rsidR="00134681" w:rsidRPr="007F0F62">
        <w:rPr>
          <w:rFonts w:ascii="Times New Roman" w:eastAsia="Calibri" w:hAnsi="Times New Roman" w:cs="Times New Roman"/>
          <w:sz w:val="24"/>
          <w:szCs w:val="24"/>
        </w:rPr>
        <w:t xml:space="preserve">o Servisni centar Trogir d.o.o. </w:t>
      </w:r>
      <w:r w:rsidR="00D36256" w:rsidRPr="007F0F62">
        <w:rPr>
          <w:rFonts w:ascii="Times New Roman" w:eastAsia="Calibri" w:hAnsi="Times New Roman" w:cs="Times New Roman"/>
          <w:sz w:val="24"/>
          <w:szCs w:val="24"/>
        </w:rPr>
        <w:t xml:space="preserve">udovoljava uvjetima potrebnim za davanje koncesije budući da je </w:t>
      </w:r>
      <w:r w:rsidR="00DD0930" w:rsidRPr="007F0F62">
        <w:rPr>
          <w:rFonts w:ascii="Times New Roman" w:eastAsia="Calibri" w:hAnsi="Times New Roman" w:cs="Times New Roman"/>
          <w:sz w:val="24"/>
          <w:szCs w:val="24"/>
        </w:rPr>
        <w:t>registrirano za obavljanje djelatnosti brodogradnje</w:t>
      </w:r>
      <w:r w:rsidR="00C83FA7" w:rsidRPr="007F0F62">
        <w:rPr>
          <w:rFonts w:ascii="Times New Roman" w:eastAsia="Calibri" w:hAnsi="Times New Roman" w:cs="Times New Roman"/>
          <w:sz w:val="24"/>
          <w:szCs w:val="24"/>
        </w:rPr>
        <w:t xml:space="preserve">, dostavilo je </w:t>
      </w:r>
      <w:r w:rsidR="00C35930" w:rsidRPr="007F0F62">
        <w:rPr>
          <w:rFonts w:ascii="Times New Roman" w:eastAsia="Calibri" w:hAnsi="Times New Roman" w:cs="Times New Roman"/>
          <w:sz w:val="24"/>
          <w:szCs w:val="24"/>
        </w:rPr>
        <w:t>I</w:t>
      </w:r>
      <w:r w:rsidR="00C83FA7" w:rsidRPr="007F0F62">
        <w:rPr>
          <w:rFonts w:ascii="Times New Roman" w:eastAsia="Calibri" w:hAnsi="Times New Roman" w:cs="Times New Roman"/>
          <w:sz w:val="24"/>
          <w:szCs w:val="24"/>
        </w:rPr>
        <w:t>zjavu</w:t>
      </w:r>
      <w:r w:rsidR="00C35930" w:rsidRPr="007F0F62">
        <w:rPr>
          <w:rFonts w:ascii="Times New Roman" w:eastAsia="Calibri" w:hAnsi="Times New Roman" w:cs="Times New Roman"/>
          <w:sz w:val="24"/>
          <w:szCs w:val="24"/>
        </w:rPr>
        <w:t xml:space="preserve"> kojom se potvrđuje da nema nepodmire</w:t>
      </w:r>
      <w:r w:rsidR="005A6190" w:rsidRPr="007F0F62">
        <w:rPr>
          <w:rFonts w:ascii="Times New Roman" w:eastAsia="Calibri" w:hAnsi="Times New Roman" w:cs="Times New Roman"/>
          <w:sz w:val="24"/>
          <w:szCs w:val="24"/>
        </w:rPr>
        <w:t>n</w:t>
      </w:r>
      <w:r w:rsidR="00450B36" w:rsidRPr="007F0F62">
        <w:rPr>
          <w:rFonts w:ascii="Times New Roman" w:eastAsia="Calibri" w:hAnsi="Times New Roman" w:cs="Times New Roman"/>
          <w:sz w:val="24"/>
          <w:szCs w:val="24"/>
        </w:rPr>
        <w:t xml:space="preserve">ih obveza iz ranijih koncesija i </w:t>
      </w:r>
      <w:r w:rsidR="00C65C22" w:rsidRPr="007F0F62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="00C35930" w:rsidRPr="007F0F62">
        <w:rPr>
          <w:rFonts w:ascii="Times New Roman" w:eastAsia="Calibri" w:hAnsi="Times New Roman" w:cs="Times New Roman"/>
          <w:sz w:val="24"/>
          <w:szCs w:val="24"/>
        </w:rPr>
        <w:t xml:space="preserve">mu </w:t>
      </w:r>
      <w:r w:rsidR="00C83FA7" w:rsidRPr="007F0F62">
        <w:rPr>
          <w:rFonts w:ascii="Times New Roman" w:eastAsia="Calibri" w:hAnsi="Times New Roman" w:cs="Times New Roman"/>
          <w:sz w:val="24"/>
          <w:szCs w:val="24"/>
        </w:rPr>
        <w:t xml:space="preserve">nije </w:t>
      </w:r>
      <w:r w:rsidR="00D22B6A" w:rsidRPr="007F0F62">
        <w:rPr>
          <w:rFonts w:ascii="Times New Roman" w:eastAsia="Calibri" w:hAnsi="Times New Roman" w:cs="Times New Roman"/>
          <w:sz w:val="24"/>
          <w:szCs w:val="24"/>
        </w:rPr>
        <w:t xml:space="preserve">nikada </w:t>
      </w:r>
      <w:r w:rsidR="00C83FA7" w:rsidRPr="007F0F62">
        <w:rPr>
          <w:rFonts w:ascii="Times New Roman" w:eastAsia="Calibri" w:hAnsi="Times New Roman" w:cs="Times New Roman"/>
          <w:sz w:val="24"/>
          <w:szCs w:val="24"/>
        </w:rPr>
        <w:t>oduzimana koncesija</w:t>
      </w:r>
      <w:r w:rsidR="00E331A4" w:rsidRPr="007F0F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615" w:rsidRPr="007F0F62">
        <w:rPr>
          <w:rFonts w:ascii="Times New Roman" w:eastAsia="Calibri" w:hAnsi="Times New Roman" w:cs="Times New Roman"/>
          <w:sz w:val="24"/>
          <w:szCs w:val="24"/>
        </w:rPr>
        <w:t>te se odlukom obvezuje</w:t>
      </w:r>
      <w:r w:rsidR="00E331A4" w:rsidRPr="007F0F62">
        <w:rPr>
          <w:rFonts w:ascii="Times New Roman" w:eastAsia="Calibri" w:hAnsi="Times New Roman" w:cs="Times New Roman"/>
          <w:sz w:val="24"/>
          <w:szCs w:val="24"/>
        </w:rPr>
        <w:t xml:space="preserve"> podmiriti neplaćeni iznos </w:t>
      </w:r>
      <w:r w:rsidR="007B4AD1" w:rsidRPr="007F0F62">
        <w:rPr>
          <w:rFonts w:ascii="Times New Roman" w:eastAsia="Calibri" w:hAnsi="Times New Roman" w:cs="Times New Roman"/>
          <w:sz w:val="24"/>
          <w:szCs w:val="24"/>
        </w:rPr>
        <w:t xml:space="preserve">dospjele, nepodmirene </w:t>
      </w:r>
      <w:r w:rsidR="00E331A4" w:rsidRPr="007F0F62">
        <w:rPr>
          <w:rFonts w:ascii="Times New Roman" w:eastAsia="Calibri" w:hAnsi="Times New Roman" w:cs="Times New Roman"/>
          <w:sz w:val="24"/>
          <w:szCs w:val="24"/>
        </w:rPr>
        <w:t>koncesijske naknade</w:t>
      </w:r>
      <w:r w:rsidR="007B4AD1" w:rsidRPr="007F0F6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331A4" w:rsidRPr="007F0F62">
        <w:rPr>
          <w:rFonts w:ascii="Times New Roman" w:eastAsia="Calibri" w:hAnsi="Times New Roman" w:cs="Times New Roman"/>
          <w:sz w:val="24"/>
          <w:szCs w:val="24"/>
        </w:rPr>
        <w:t>Osim toga, prije sklapanja ugovora o davanju suglasnosti na prijenos koncesije, obvezan je predati sredstava osiguranja plaćanja – zadužnice na iznos dvij</w:t>
      </w:r>
      <w:r w:rsidR="00D36256" w:rsidRPr="007F0F62">
        <w:rPr>
          <w:rFonts w:ascii="Times New Roman" w:eastAsia="Calibri" w:hAnsi="Times New Roman" w:cs="Times New Roman"/>
          <w:sz w:val="24"/>
          <w:szCs w:val="24"/>
        </w:rPr>
        <w:t>e godišnje k</w:t>
      </w:r>
      <w:r w:rsidR="001F344A" w:rsidRPr="007F0F62">
        <w:rPr>
          <w:rFonts w:ascii="Times New Roman" w:eastAsia="Calibri" w:hAnsi="Times New Roman" w:cs="Times New Roman"/>
          <w:sz w:val="24"/>
          <w:szCs w:val="24"/>
        </w:rPr>
        <w:t>oncesijske naknade za stalni dio.</w:t>
      </w:r>
    </w:p>
    <w:p w14:paraId="3E0E6BBB" w14:textId="77777777" w:rsidR="00DA71C9" w:rsidRDefault="00DA71C9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7BC86" w14:textId="77777777" w:rsidR="00DA71C9" w:rsidRDefault="00DA71C9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Ugovor o prijenosu koncesije na pomorskom dobru </w:t>
      </w:r>
      <w:r w:rsidRPr="007F0F62">
        <w:rPr>
          <w:rFonts w:ascii="Times New Roman" w:eastAsia="Calibri" w:hAnsi="Times New Roman" w:cs="Times New Roman"/>
          <w:sz w:val="24"/>
          <w:szCs w:val="24"/>
        </w:rPr>
        <w:t>u svrhu gospodarskog korištenja luke posebne namjene - brodogradilišta Brodotrogir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kojim će se koncesija prenijeti sa trgovačkog društva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Hrvatska brodogradnja </w:t>
      </w:r>
      <w:r w:rsidR="00570B5B">
        <w:rPr>
          <w:rFonts w:ascii="Times New Roman" w:eastAsia="Calibri" w:hAnsi="Times New Roman" w:cs="Times New Roman"/>
          <w:sz w:val="24"/>
          <w:szCs w:val="24"/>
        </w:rPr>
        <w:t xml:space="preserve">Trogir </w:t>
      </w:r>
      <w:r w:rsidRPr="007F0F62">
        <w:rPr>
          <w:rFonts w:ascii="Times New Roman" w:eastAsia="Calibri" w:hAnsi="Times New Roman" w:cs="Times New Roman"/>
          <w:sz w:val="24"/>
          <w:szCs w:val="24"/>
        </w:rPr>
        <w:t>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trgovačko društvo </w:t>
      </w:r>
      <w:r w:rsidRPr="007F0F62">
        <w:rPr>
          <w:rFonts w:ascii="Times New Roman" w:eastAsia="Calibri" w:hAnsi="Times New Roman" w:cs="Times New Roman"/>
          <w:sz w:val="24"/>
          <w:szCs w:val="24"/>
        </w:rPr>
        <w:t>Servisni centar Trogir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sklopit će se nakon </w:t>
      </w:r>
      <w:r w:rsidR="00096968">
        <w:rPr>
          <w:rFonts w:ascii="Times New Roman" w:eastAsia="Calibri" w:hAnsi="Times New Roman" w:cs="Times New Roman"/>
          <w:sz w:val="24"/>
          <w:szCs w:val="24"/>
        </w:rPr>
        <w:t xml:space="preserve">što se izvrši postupak pripajanja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trgovačkog društva 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Hrvatska brodogradnja </w:t>
      </w:r>
      <w:r w:rsidR="00570B5B">
        <w:rPr>
          <w:rFonts w:ascii="Times New Roman" w:eastAsia="Calibri" w:hAnsi="Times New Roman" w:cs="Times New Roman"/>
          <w:sz w:val="24"/>
          <w:szCs w:val="24"/>
        </w:rPr>
        <w:t xml:space="preserve">Trogir </w:t>
      </w:r>
      <w:r w:rsidRPr="007F0F62">
        <w:rPr>
          <w:rFonts w:ascii="Times New Roman" w:eastAsia="Calibri" w:hAnsi="Times New Roman" w:cs="Times New Roman"/>
          <w:sz w:val="24"/>
          <w:szCs w:val="24"/>
        </w:rPr>
        <w:t>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trgovačkom društvu </w:t>
      </w:r>
      <w:r w:rsidRPr="007F0F62">
        <w:rPr>
          <w:rFonts w:ascii="Times New Roman" w:eastAsia="Calibri" w:hAnsi="Times New Roman" w:cs="Times New Roman"/>
          <w:sz w:val="24"/>
          <w:szCs w:val="24"/>
        </w:rPr>
        <w:t>Servisni centar Trogir d.o.o.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969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18477B" w14:textId="77777777" w:rsidR="00096968" w:rsidRPr="007F0F62" w:rsidRDefault="00096968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7B1B9D" w14:textId="77777777" w:rsidR="00D36256" w:rsidRPr="007F0F62" w:rsidRDefault="00D36256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Mišljenje je Ministarstva mora, prometa i infrastrukture kako se prijenosom koncesije osigurava nastavak brodogradnje i učinkovitije obavljanje djelatnosti za koju je koncesija dana. </w:t>
      </w:r>
      <w:r w:rsidR="001F344A" w:rsidRPr="007F0F62">
        <w:rPr>
          <w:rFonts w:ascii="Times New Roman" w:eastAsia="Calibri" w:hAnsi="Times New Roman" w:cs="Times New Roman"/>
          <w:sz w:val="24"/>
          <w:szCs w:val="24"/>
        </w:rPr>
        <w:t xml:space="preserve">S obzirom </w:t>
      </w:r>
      <w:r w:rsidRPr="007F0F62">
        <w:rPr>
          <w:rFonts w:ascii="Times New Roman" w:eastAsia="Calibri" w:hAnsi="Times New Roman" w:cs="Times New Roman"/>
          <w:sz w:val="24"/>
          <w:szCs w:val="24"/>
        </w:rPr>
        <w:t>da novi ovlaštenik preuzima sva prava i obveze iz ugovora o koncesiji ne postoje pravni i financijski rizici koji mogli nanijeti štetu imovini i inte</w:t>
      </w:r>
      <w:r w:rsidR="009669D7" w:rsidRPr="007F0F62">
        <w:rPr>
          <w:rFonts w:ascii="Times New Roman" w:eastAsia="Calibri" w:hAnsi="Times New Roman" w:cs="Times New Roman"/>
          <w:sz w:val="24"/>
          <w:szCs w:val="24"/>
        </w:rPr>
        <w:t>resima Republike Hrvatske stoga</w:t>
      </w:r>
      <w:r w:rsidRPr="007F0F62">
        <w:rPr>
          <w:rFonts w:ascii="Times New Roman" w:eastAsia="Calibri" w:hAnsi="Times New Roman" w:cs="Times New Roman"/>
          <w:sz w:val="24"/>
          <w:szCs w:val="24"/>
        </w:rPr>
        <w:t xml:space="preserve"> se predlaže donošenje predmetne Odluke</w:t>
      </w:r>
      <w:r w:rsidR="001F344A" w:rsidRPr="007F0F6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DF3F62" w14:textId="77777777" w:rsidR="00D36256" w:rsidRPr="007F0F62" w:rsidRDefault="00D36256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8F7B47" w14:textId="77777777" w:rsidR="00453A90" w:rsidRPr="007F0F62" w:rsidRDefault="00453A90" w:rsidP="00D22B6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53A90" w:rsidRPr="007F0F62" w:rsidSect="004D7B98"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47DE" w14:textId="77777777" w:rsidR="00AA409D" w:rsidRDefault="00AA409D" w:rsidP="00534EC7">
      <w:pPr>
        <w:spacing w:after="0" w:line="240" w:lineRule="auto"/>
      </w:pPr>
      <w:r>
        <w:separator/>
      </w:r>
    </w:p>
  </w:endnote>
  <w:endnote w:type="continuationSeparator" w:id="0">
    <w:p w14:paraId="5925E6A4" w14:textId="77777777" w:rsidR="00AA409D" w:rsidRDefault="00AA409D" w:rsidP="0053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NewRoma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C00B" w14:textId="77777777" w:rsidR="006E7702" w:rsidRPr="007F7ED5" w:rsidRDefault="006E7702" w:rsidP="006E7702">
    <w:pPr>
      <w:pBdr>
        <w:top w:val="single" w:sz="4" w:space="1" w:color="404040" w:themeColor="text1" w:themeTint="BF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404040" w:themeColor="text1" w:themeTint="BF"/>
        <w:spacing w:val="20"/>
        <w:sz w:val="20"/>
        <w:szCs w:val="24"/>
        <w:lang w:eastAsia="hr-HR"/>
      </w:rPr>
    </w:pPr>
    <w:r w:rsidRPr="007F7ED5">
      <w:rPr>
        <w:rFonts w:ascii="Times New Roman" w:eastAsia="Times New Roman" w:hAnsi="Times New Roman" w:cs="Times New Roman"/>
        <w:color w:val="404040" w:themeColor="text1" w:themeTint="BF"/>
        <w:spacing w:val="20"/>
        <w:sz w:val="20"/>
        <w:szCs w:val="24"/>
        <w:lang w:eastAsia="hr-HR"/>
      </w:rPr>
      <w:t>Banski dvori | Trg Sv. Marka 2  | 10000 Zagreb | tel. 01 4569 222 | vlada.gov.hr</w:t>
    </w:r>
  </w:p>
  <w:p w14:paraId="5144271C" w14:textId="77777777" w:rsidR="006E7702" w:rsidRDefault="006E7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D3118" w14:textId="77777777" w:rsidR="00AA409D" w:rsidRDefault="00AA409D" w:rsidP="00534EC7">
      <w:pPr>
        <w:spacing w:after="0" w:line="240" w:lineRule="auto"/>
      </w:pPr>
      <w:r>
        <w:separator/>
      </w:r>
    </w:p>
  </w:footnote>
  <w:footnote w:type="continuationSeparator" w:id="0">
    <w:p w14:paraId="2F7129FB" w14:textId="77777777" w:rsidR="00AA409D" w:rsidRDefault="00AA409D" w:rsidP="00534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21883"/>
    <w:multiLevelType w:val="hybridMultilevel"/>
    <w:tmpl w:val="2156591A"/>
    <w:lvl w:ilvl="0" w:tplc="6E3673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564E6"/>
    <w:multiLevelType w:val="hybridMultilevel"/>
    <w:tmpl w:val="850CA556"/>
    <w:lvl w:ilvl="0" w:tplc="6076FE1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4C"/>
    <w:rsid w:val="00000894"/>
    <w:rsid w:val="000209FE"/>
    <w:rsid w:val="0002110E"/>
    <w:rsid w:val="0003649B"/>
    <w:rsid w:val="00050947"/>
    <w:rsid w:val="00053E05"/>
    <w:rsid w:val="00063BA0"/>
    <w:rsid w:val="0009350C"/>
    <w:rsid w:val="00095FB1"/>
    <w:rsid w:val="00096968"/>
    <w:rsid w:val="000A603B"/>
    <w:rsid w:val="000D0F10"/>
    <w:rsid w:val="000D18C9"/>
    <w:rsid w:val="000D7C0B"/>
    <w:rsid w:val="00123171"/>
    <w:rsid w:val="00134681"/>
    <w:rsid w:val="00141CA7"/>
    <w:rsid w:val="00144480"/>
    <w:rsid w:val="00190350"/>
    <w:rsid w:val="00194B86"/>
    <w:rsid w:val="00196A9C"/>
    <w:rsid w:val="001B7B2B"/>
    <w:rsid w:val="001C335E"/>
    <w:rsid w:val="001C76EE"/>
    <w:rsid w:val="001F1843"/>
    <w:rsid w:val="001F344A"/>
    <w:rsid w:val="001F588A"/>
    <w:rsid w:val="00227991"/>
    <w:rsid w:val="00257B8F"/>
    <w:rsid w:val="00281C76"/>
    <w:rsid w:val="0029026E"/>
    <w:rsid w:val="00290F2D"/>
    <w:rsid w:val="002911C4"/>
    <w:rsid w:val="00292619"/>
    <w:rsid w:val="002A1E2B"/>
    <w:rsid w:val="002B6BEA"/>
    <w:rsid w:val="002C706E"/>
    <w:rsid w:val="002D5FCD"/>
    <w:rsid w:val="002D7929"/>
    <w:rsid w:val="002E1AD2"/>
    <w:rsid w:val="002E2C8F"/>
    <w:rsid w:val="002E4040"/>
    <w:rsid w:val="002E513F"/>
    <w:rsid w:val="002F6B2F"/>
    <w:rsid w:val="00300782"/>
    <w:rsid w:val="00321C23"/>
    <w:rsid w:val="003364D0"/>
    <w:rsid w:val="00347694"/>
    <w:rsid w:val="003B5BC0"/>
    <w:rsid w:val="003C142F"/>
    <w:rsid w:val="003C7997"/>
    <w:rsid w:val="003D46B0"/>
    <w:rsid w:val="003E38A0"/>
    <w:rsid w:val="003E595C"/>
    <w:rsid w:val="003F099F"/>
    <w:rsid w:val="00416DDE"/>
    <w:rsid w:val="00420C67"/>
    <w:rsid w:val="00441444"/>
    <w:rsid w:val="00450B36"/>
    <w:rsid w:val="00453A90"/>
    <w:rsid w:val="00454BB2"/>
    <w:rsid w:val="00472F48"/>
    <w:rsid w:val="00476928"/>
    <w:rsid w:val="0049508B"/>
    <w:rsid w:val="004A63CF"/>
    <w:rsid w:val="004B64BF"/>
    <w:rsid w:val="004B6BB9"/>
    <w:rsid w:val="004C5FCB"/>
    <w:rsid w:val="004D0C7D"/>
    <w:rsid w:val="004D55A9"/>
    <w:rsid w:val="004D7B98"/>
    <w:rsid w:val="004E19E7"/>
    <w:rsid w:val="004E3B46"/>
    <w:rsid w:val="004F6851"/>
    <w:rsid w:val="004F739B"/>
    <w:rsid w:val="0051147E"/>
    <w:rsid w:val="00526CA1"/>
    <w:rsid w:val="00534EC7"/>
    <w:rsid w:val="005524D1"/>
    <w:rsid w:val="0056795B"/>
    <w:rsid w:val="00570B5B"/>
    <w:rsid w:val="00577054"/>
    <w:rsid w:val="005956F1"/>
    <w:rsid w:val="00597B41"/>
    <w:rsid w:val="005A5960"/>
    <w:rsid w:val="005A6190"/>
    <w:rsid w:val="005B6053"/>
    <w:rsid w:val="005C79F6"/>
    <w:rsid w:val="005D4630"/>
    <w:rsid w:val="005D6BE3"/>
    <w:rsid w:val="005E030C"/>
    <w:rsid w:val="005E5DF6"/>
    <w:rsid w:val="005F23C5"/>
    <w:rsid w:val="005F616B"/>
    <w:rsid w:val="006378D4"/>
    <w:rsid w:val="00655789"/>
    <w:rsid w:val="0065625B"/>
    <w:rsid w:val="00657A11"/>
    <w:rsid w:val="006621C3"/>
    <w:rsid w:val="006637BA"/>
    <w:rsid w:val="0068318A"/>
    <w:rsid w:val="0068730B"/>
    <w:rsid w:val="006929F7"/>
    <w:rsid w:val="00695148"/>
    <w:rsid w:val="006B408A"/>
    <w:rsid w:val="006D04A1"/>
    <w:rsid w:val="006E4B46"/>
    <w:rsid w:val="006E7702"/>
    <w:rsid w:val="007208F7"/>
    <w:rsid w:val="007213BA"/>
    <w:rsid w:val="00723F21"/>
    <w:rsid w:val="00746A73"/>
    <w:rsid w:val="0075320C"/>
    <w:rsid w:val="00756CCE"/>
    <w:rsid w:val="00765C8C"/>
    <w:rsid w:val="00767552"/>
    <w:rsid w:val="00793500"/>
    <w:rsid w:val="00796A27"/>
    <w:rsid w:val="007A1B5E"/>
    <w:rsid w:val="007B4AD1"/>
    <w:rsid w:val="007B71D0"/>
    <w:rsid w:val="007D04CB"/>
    <w:rsid w:val="007D25F1"/>
    <w:rsid w:val="007D5815"/>
    <w:rsid w:val="007F0F62"/>
    <w:rsid w:val="007F7ED5"/>
    <w:rsid w:val="00805D5B"/>
    <w:rsid w:val="00812A3D"/>
    <w:rsid w:val="008155FD"/>
    <w:rsid w:val="008269F0"/>
    <w:rsid w:val="00827EA9"/>
    <w:rsid w:val="00831EDA"/>
    <w:rsid w:val="0083436F"/>
    <w:rsid w:val="00846B2E"/>
    <w:rsid w:val="00853CB0"/>
    <w:rsid w:val="008855E8"/>
    <w:rsid w:val="00886208"/>
    <w:rsid w:val="00886875"/>
    <w:rsid w:val="008A6DFD"/>
    <w:rsid w:val="008D2CD8"/>
    <w:rsid w:val="008D7058"/>
    <w:rsid w:val="008F3C99"/>
    <w:rsid w:val="0090024C"/>
    <w:rsid w:val="00901ECD"/>
    <w:rsid w:val="00910735"/>
    <w:rsid w:val="009320DD"/>
    <w:rsid w:val="0094612F"/>
    <w:rsid w:val="00947B54"/>
    <w:rsid w:val="00950113"/>
    <w:rsid w:val="009523A7"/>
    <w:rsid w:val="00956F35"/>
    <w:rsid w:val="00961A61"/>
    <w:rsid w:val="009669D7"/>
    <w:rsid w:val="00996B8B"/>
    <w:rsid w:val="009A4685"/>
    <w:rsid w:val="009B0E1C"/>
    <w:rsid w:val="009B586B"/>
    <w:rsid w:val="009C19F3"/>
    <w:rsid w:val="009C2CDD"/>
    <w:rsid w:val="009D6514"/>
    <w:rsid w:val="009D6676"/>
    <w:rsid w:val="009E2F35"/>
    <w:rsid w:val="009E7E28"/>
    <w:rsid w:val="009F202D"/>
    <w:rsid w:val="009F4168"/>
    <w:rsid w:val="009F7195"/>
    <w:rsid w:val="00A01EBC"/>
    <w:rsid w:val="00A118D9"/>
    <w:rsid w:val="00A20766"/>
    <w:rsid w:val="00A21079"/>
    <w:rsid w:val="00A37369"/>
    <w:rsid w:val="00A47091"/>
    <w:rsid w:val="00A47A35"/>
    <w:rsid w:val="00A47F16"/>
    <w:rsid w:val="00A624BF"/>
    <w:rsid w:val="00A6748A"/>
    <w:rsid w:val="00A841F4"/>
    <w:rsid w:val="00AA409D"/>
    <w:rsid w:val="00AC71A5"/>
    <w:rsid w:val="00AF27E7"/>
    <w:rsid w:val="00B33056"/>
    <w:rsid w:val="00BA6FDE"/>
    <w:rsid w:val="00BB7D60"/>
    <w:rsid w:val="00BC2B09"/>
    <w:rsid w:val="00BC715E"/>
    <w:rsid w:val="00BE7751"/>
    <w:rsid w:val="00C12932"/>
    <w:rsid w:val="00C12C79"/>
    <w:rsid w:val="00C35930"/>
    <w:rsid w:val="00C47416"/>
    <w:rsid w:val="00C65C22"/>
    <w:rsid w:val="00C8274C"/>
    <w:rsid w:val="00C83FA7"/>
    <w:rsid w:val="00C86A0E"/>
    <w:rsid w:val="00C8703E"/>
    <w:rsid w:val="00C94D9C"/>
    <w:rsid w:val="00CA64C0"/>
    <w:rsid w:val="00CC434A"/>
    <w:rsid w:val="00CF18CC"/>
    <w:rsid w:val="00CF74EB"/>
    <w:rsid w:val="00D22B6A"/>
    <w:rsid w:val="00D27342"/>
    <w:rsid w:val="00D27FA8"/>
    <w:rsid w:val="00D31D72"/>
    <w:rsid w:val="00D31F96"/>
    <w:rsid w:val="00D36256"/>
    <w:rsid w:val="00D4405E"/>
    <w:rsid w:val="00D55B78"/>
    <w:rsid w:val="00D566FA"/>
    <w:rsid w:val="00D576DA"/>
    <w:rsid w:val="00D76166"/>
    <w:rsid w:val="00D83878"/>
    <w:rsid w:val="00D858BB"/>
    <w:rsid w:val="00D9371D"/>
    <w:rsid w:val="00DA542B"/>
    <w:rsid w:val="00DA71C9"/>
    <w:rsid w:val="00DB4CDF"/>
    <w:rsid w:val="00DD0930"/>
    <w:rsid w:val="00DE4436"/>
    <w:rsid w:val="00DE7F0D"/>
    <w:rsid w:val="00E138B0"/>
    <w:rsid w:val="00E167DB"/>
    <w:rsid w:val="00E331A4"/>
    <w:rsid w:val="00E35800"/>
    <w:rsid w:val="00E706EE"/>
    <w:rsid w:val="00E75AD7"/>
    <w:rsid w:val="00E81F46"/>
    <w:rsid w:val="00E95A79"/>
    <w:rsid w:val="00EC3925"/>
    <w:rsid w:val="00EC52F5"/>
    <w:rsid w:val="00ED698C"/>
    <w:rsid w:val="00ED71EA"/>
    <w:rsid w:val="00EE193D"/>
    <w:rsid w:val="00EE24B5"/>
    <w:rsid w:val="00EE6195"/>
    <w:rsid w:val="00EF7615"/>
    <w:rsid w:val="00F22A0C"/>
    <w:rsid w:val="00F249DE"/>
    <w:rsid w:val="00F26075"/>
    <w:rsid w:val="00F47725"/>
    <w:rsid w:val="00F74143"/>
    <w:rsid w:val="00F75FF3"/>
    <w:rsid w:val="00F81520"/>
    <w:rsid w:val="00F86D98"/>
    <w:rsid w:val="00F93C0B"/>
    <w:rsid w:val="00FB1A5F"/>
    <w:rsid w:val="00FC1EDA"/>
    <w:rsid w:val="00FC76F6"/>
    <w:rsid w:val="00FC7C79"/>
    <w:rsid w:val="00FD1F3D"/>
    <w:rsid w:val="00FD7A1C"/>
    <w:rsid w:val="00FD7B42"/>
    <w:rsid w:val="00FE2240"/>
    <w:rsid w:val="00FE3AD9"/>
    <w:rsid w:val="00FE5FB6"/>
    <w:rsid w:val="00FF35BA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E603"/>
  <w15:docId w15:val="{E7E1F443-53CB-422A-BC4E-39799B60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9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98"/>
  </w:style>
  <w:style w:type="paragraph" w:styleId="Footer">
    <w:name w:val="footer"/>
    <w:basedOn w:val="Normal"/>
    <w:link w:val="FooterChar"/>
    <w:uiPriority w:val="99"/>
    <w:unhideWhenUsed/>
    <w:rsid w:val="004D7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98"/>
  </w:style>
  <w:style w:type="character" w:styleId="Hyperlink">
    <w:name w:val="Hyperlink"/>
    <w:basedOn w:val="DefaultParagraphFont"/>
    <w:uiPriority w:val="99"/>
    <w:semiHidden/>
    <w:unhideWhenUsed/>
    <w:rsid w:val="009C19F3"/>
    <w:rPr>
      <w:color w:val="0000FF"/>
      <w:u w:val="single"/>
    </w:rPr>
  </w:style>
  <w:style w:type="character" w:customStyle="1" w:styleId="naziv13">
    <w:name w:val="naziv13"/>
    <w:basedOn w:val="DefaultParagraphFont"/>
    <w:rsid w:val="00EE24B5"/>
    <w:rPr>
      <w:b/>
      <w:bCs/>
      <w:sz w:val="23"/>
      <w:szCs w:val="23"/>
    </w:rPr>
  </w:style>
  <w:style w:type="table" w:styleId="TableGrid">
    <w:name w:val="Table Grid"/>
    <w:basedOn w:val="TableNormal"/>
    <w:uiPriority w:val="59"/>
    <w:rsid w:val="009C2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405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ListParagraph1">
    <w:name w:val="List Paragraph1"/>
    <w:basedOn w:val="Normal"/>
    <w:rsid w:val="00EE193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customStyle="1" w:styleId="T-98-2">
    <w:name w:val="T-9/8-2"/>
    <w:basedOn w:val="Normal"/>
    <w:rsid w:val="00050947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4670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5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D7C0-164C-4AD1-AF68-4F5DDE21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2253</Words>
  <Characters>12847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hdesk</dc:creator>
  <cp:lastModifiedBy>Domagoj Dodig</cp:lastModifiedBy>
  <cp:revision>3</cp:revision>
  <cp:lastPrinted>2021-09-20T08:34:00Z</cp:lastPrinted>
  <dcterms:created xsi:type="dcterms:W3CDTF">2021-09-24T06:29:00Z</dcterms:created>
  <dcterms:modified xsi:type="dcterms:W3CDTF">2021-09-29T07:19:00Z</dcterms:modified>
</cp:coreProperties>
</file>