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655F1" w14:textId="77777777" w:rsidR="00E11A8A" w:rsidRPr="003C50FB" w:rsidRDefault="00E11A8A" w:rsidP="00E11A8A">
      <w:pPr>
        <w:autoSpaceDE w:val="0"/>
        <w:autoSpaceDN w:val="0"/>
        <w:adjustRightInd w:val="0"/>
        <w:spacing w:after="0" w:line="240" w:lineRule="auto"/>
        <w:jc w:val="both"/>
        <w:rPr>
          <w:rFonts w:asciiTheme="majorBidi" w:eastAsia="Calibri" w:hAnsiTheme="majorBidi" w:cstheme="majorBidi"/>
          <w:color w:val="000000"/>
          <w:sz w:val="24"/>
          <w:szCs w:val="24"/>
        </w:rPr>
      </w:pPr>
    </w:p>
    <w:p w14:paraId="28EBD6BE" w14:textId="77777777" w:rsidR="00E11A8A" w:rsidRPr="003C50FB" w:rsidRDefault="00E11A8A" w:rsidP="00E11A8A">
      <w:pPr>
        <w:spacing w:after="0" w:line="240" w:lineRule="auto"/>
        <w:rPr>
          <w:rFonts w:asciiTheme="majorBidi" w:eastAsia="Times New Roman" w:hAnsiTheme="majorBidi" w:cstheme="majorBidi"/>
          <w:b/>
          <w:sz w:val="24"/>
          <w:szCs w:val="24"/>
        </w:rPr>
      </w:pPr>
      <w:r w:rsidRPr="003C50FB">
        <w:rPr>
          <w:rFonts w:asciiTheme="majorBidi" w:eastAsia="Times New Roman" w:hAnsiTheme="majorBidi" w:cstheme="majorBidi"/>
          <w:b/>
          <w:sz w:val="24"/>
          <w:szCs w:val="24"/>
        </w:rPr>
        <w:t xml:space="preserve">                     </w:t>
      </w:r>
    </w:p>
    <w:p w14:paraId="7A9A08D8" w14:textId="77777777" w:rsidR="00E11A8A" w:rsidRPr="003C50FB" w:rsidRDefault="00E11A8A" w:rsidP="00E11A8A">
      <w:pPr>
        <w:spacing w:after="0" w:line="240" w:lineRule="auto"/>
        <w:jc w:val="center"/>
        <w:rPr>
          <w:rFonts w:asciiTheme="majorBidi" w:eastAsia="Times New Roman" w:hAnsiTheme="majorBidi" w:cstheme="majorBidi"/>
          <w:sz w:val="24"/>
          <w:szCs w:val="24"/>
        </w:rPr>
      </w:pPr>
      <w:r w:rsidRPr="003C50FB">
        <w:rPr>
          <w:rFonts w:asciiTheme="majorBidi" w:eastAsia="Times New Roman" w:hAnsiTheme="majorBidi" w:cstheme="majorBidi"/>
          <w:noProof/>
          <w:sz w:val="24"/>
          <w:szCs w:val="24"/>
          <w:lang w:eastAsia="hr-HR"/>
        </w:rPr>
        <w:drawing>
          <wp:inline distT="0" distB="0" distL="0" distR="0" wp14:anchorId="7EE5DBAE" wp14:editId="5329941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C50FB">
        <w:rPr>
          <w:rFonts w:asciiTheme="majorBidi" w:eastAsia="Times New Roman" w:hAnsiTheme="majorBidi" w:cstheme="majorBidi"/>
          <w:sz w:val="24"/>
          <w:szCs w:val="24"/>
        </w:rPr>
        <w:fldChar w:fldCharType="begin"/>
      </w:r>
      <w:r w:rsidRPr="003C50FB">
        <w:rPr>
          <w:rFonts w:asciiTheme="majorBidi" w:eastAsia="Times New Roman" w:hAnsiTheme="majorBidi" w:cstheme="majorBidi"/>
          <w:sz w:val="24"/>
          <w:szCs w:val="24"/>
        </w:rPr>
        <w:instrText xml:space="preserve"> INCLUDEPICTURE "http://www.inet.hr/~box/images/grb-rh.gif" \* MERGEFORMATINET </w:instrText>
      </w:r>
      <w:r w:rsidRPr="003C50FB">
        <w:rPr>
          <w:rFonts w:asciiTheme="majorBidi" w:eastAsia="Times New Roman" w:hAnsiTheme="majorBidi" w:cstheme="majorBidi"/>
          <w:sz w:val="24"/>
          <w:szCs w:val="24"/>
        </w:rPr>
        <w:fldChar w:fldCharType="end"/>
      </w:r>
    </w:p>
    <w:p w14:paraId="02522DCD" w14:textId="77777777" w:rsidR="00E11A8A" w:rsidRPr="003C50FB" w:rsidRDefault="00E11A8A" w:rsidP="00E11A8A">
      <w:pPr>
        <w:spacing w:before="60" w:after="1680" w:line="240" w:lineRule="auto"/>
        <w:jc w:val="center"/>
        <w:rPr>
          <w:rFonts w:asciiTheme="majorBidi" w:eastAsia="Times New Roman" w:hAnsiTheme="majorBidi" w:cstheme="majorBidi"/>
          <w:sz w:val="24"/>
          <w:szCs w:val="24"/>
        </w:rPr>
      </w:pPr>
      <w:r w:rsidRPr="003C50FB">
        <w:rPr>
          <w:rFonts w:asciiTheme="majorBidi" w:eastAsia="Times New Roman" w:hAnsiTheme="majorBidi" w:cstheme="majorBidi"/>
          <w:sz w:val="24"/>
          <w:szCs w:val="24"/>
        </w:rPr>
        <w:t>VLADA REPUBLIKE HRVATSKE</w:t>
      </w:r>
    </w:p>
    <w:p w14:paraId="25B3B12B" w14:textId="77777777" w:rsidR="00E11A8A" w:rsidRPr="003C50FB" w:rsidRDefault="00E11A8A" w:rsidP="00E11A8A">
      <w:pPr>
        <w:spacing w:after="0" w:line="240" w:lineRule="auto"/>
        <w:rPr>
          <w:rFonts w:asciiTheme="majorBidi" w:eastAsia="Times New Roman" w:hAnsiTheme="majorBidi" w:cstheme="majorBidi"/>
          <w:sz w:val="24"/>
          <w:szCs w:val="24"/>
        </w:rPr>
      </w:pPr>
    </w:p>
    <w:p w14:paraId="79A09217" w14:textId="55A9618B" w:rsidR="00E11A8A" w:rsidRPr="003C50FB" w:rsidRDefault="00E11A8A" w:rsidP="00E11A8A">
      <w:pPr>
        <w:tabs>
          <w:tab w:val="right" w:pos="9070"/>
        </w:tabs>
        <w:spacing w:after="2400" w:line="240" w:lineRule="auto"/>
        <w:rPr>
          <w:rFonts w:asciiTheme="majorBidi" w:eastAsia="Times New Roman" w:hAnsiTheme="majorBidi" w:cstheme="majorBidi"/>
          <w:b/>
          <w:sz w:val="24"/>
          <w:szCs w:val="24"/>
        </w:rPr>
      </w:pPr>
      <w:r w:rsidRPr="003C50FB">
        <w:rPr>
          <w:rFonts w:asciiTheme="majorBidi" w:eastAsia="Times New Roman" w:hAnsiTheme="majorBidi" w:cstheme="majorBidi"/>
          <w:b/>
          <w:sz w:val="24"/>
          <w:szCs w:val="24"/>
        </w:rPr>
        <w:tab/>
      </w:r>
      <w:r w:rsidRPr="003C50FB">
        <w:rPr>
          <w:rFonts w:asciiTheme="majorBidi" w:eastAsia="Times New Roman" w:hAnsiTheme="majorBidi" w:cstheme="majorBidi"/>
          <w:sz w:val="24"/>
          <w:szCs w:val="24"/>
        </w:rPr>
        <w:t xml:space="preserve">Zagreb, </w:t>
      </w:r>
      <w:r w:rsidR="00EF44C7" w:rsidRPr="003C50FB">
        <w:rPr>
          <w:rFonts w:asciiTheme="majorBidi" w:eastAsia="Times New Roman" w:hAnsiTheme="majorBidi" w:cstheme="majorBidi"/>
          <w:sz w:val="24"/>
          <w:szCs w:val="24"/>
        </w:rPr>
        <w:t>_____</w:t>
      </w:r>
      <w:r w:rsidRPr="003C50FB">
        <w:rPr>
          <w:rFonts w:asciiTheme="majorBidi" w:eastAsia="Times New Roman" w:hAnsiTheme="majorBidi" w:cstheme="majorBidi"/>
          <w:sz w:val="24"/>
          <w:szCs w:val="24"/>
        </w:rPr>
        <w:t>2020.</w:t>
      </w:r>
    </w:p>
    <w:p w14:paraId="20117A89"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5996AF1D" w14:textId="5AA4ABD1" w:rsidR="00E11A8A" w:rsidRPr="003C50FB" w:rsidRDefault="00E11A8A" w:rsidP="00E11A8A">
      <w:pPr>
        <w:spacing w:after="0" w:line="240" w:lineRule="auto"/>
        <w:rPr>
          <w:rFonts w:asciiTheme="majorBidi" w:eastAsia="Times New Roman" w:hAnsiTheme="majorBidi" w:cstheme="majorBidi"/>
          <w:b/>
          <w:sz w:val="24"/>
          <w:szCs w:val="24"/>
        </w:rPr>
      </w:pPr>
      <w:r w:rsidRPr="003C50FB">
        <w:rPr>
          <w:rFonts w:asciiTheme="majorBidi" w:eastAsia="Times New Roman" w:hAnsiTheme="majorBidi" w:cstheme="majorBidi"/>
          <w:b/>
          <w:sz w:val="24"/>
          <w:szCs w:val="24"/>
        </w:rPr>
        <w:t>PREDLAGATELJ:</w:t>
      </w:r>
      <w:r w:rsidRPr="003C50FB">
        <w:rPr>
          <w:rFonts w:asciiTheme="majorBidi" w:eastAsia="Times New Roman" w:hAnsiTheme="majorBidi" w:cstheme="majorBidi"/>
          <w:b/>
          <w:sz w:val="24"/>
          <w:szCs w:val="24"/>
        </w:rPr>
        <w:tab/>
      </w:r>
      <w:r w:rsidRPr="003C50FB">
        <w:rPr>
          <w:rFonts w:asciiTheme="majorBidi" w:eastAsia="Times New Roman" w:hAnsiTheme="majorBidi" w:cstheme="majorBidi"/>
          <w:sz w:val="24"/>
          <w:szCs w:val="24"/>
        </w:rPr>
        <w:t xml:space="preserve">Ministarstvo </w:t>
      </w:r>
      <w:r w:rsidR="00EF44C7" w:rsidRPr="003C50FB">
        <w:rPr>
          <w:rFonts w:asciiTheme="majorBidi" w:eastAsia="Times New Roman" w:hAnsiTheme="majorBidi" w:cstheme="majorBidi"/>
          <w:sz w:val="24"/>
          <w:szCs w:val="24"/>
        </w:rPr>
        <w:t>regionalnoga razvoja i fondova Europske unije</w:t>
      </w:r>
    </w:p>
    <w:p w14:paraId="04C8C11B" w14:textId="77777777" w:rsidR="00E11A8A" w:rsidRPr="003C50FB" w:rsidRDefault="00E11A8A" w:rsidP="00E11A8A">
      <w:pPr>
        <w:pBdr>
          <w:bottom w:val="single" w:sz="4" w:space="1" w:color="auto"/>
        </w:pBdr>
        <w:spacing w:after="0" w:line="240" w:lineRule="auto"/>
        <w:rPr>
          <w:rFonts w:asciiTheme="majorBidi" w:eastAsia="Times New Roman" w:hAnsiTheme="majorBidi" w:cstheme="majorBidi"/>
          <w:b/>
          <w:sz w:val="24"/>
          <w:szCs w:val="24"/>
        </w:rPr>
      </w:pPr>
    </w:p>
    <w:p w14:paraId="24A4ECEC" w14:textId="77777777" w:rsidR="00E11A8A" w:rsidRPr="003C50FB" w:rsidRDefault="00E11A8A" w:rsidP="00E11A8A">
      <w:pPr>
        <w:spacing w:after="0" w:line="240" w:lineRule="auto"/>
        <w:ind w:left="2124" w:hanging="1416"/>
        <w:rPr>
          <w:rFonts w:asciiTheme="majorBidi" w:eastAsia="Times New Roman" w:hAnsiTheme="majorBidi" w:cstheme="majorBidi"/>
          <w:b/>
          <w:sz w:val="24"/>
          <w:szCs w:val="24"/>
        </w:rPr>
      </w:pPr>
    </w:p>
    <w:p w14:paraId="22FA93C2" w14:textId="77777777" w:rsidR="00274105" w:rsidRPr="003C50FB" w:rsidRDefault="00E11A8A" w:rsidP="00274105">
      <w:pPr>
        <w:pStyle w:val="NoSpacing"/>
        <w:spacing w:line="276" w:lineRule="auto"/>
        <w:jc w:val="both"/>
        <w:rPr>
          <w:rFonts w:asciiTheme="majorBidi" w:hAnsiTheme="majorBidi" w:cstheme="majorBidi"/>
          <w:sz w:val="24"/>
          <w:szCs w:val="24"/>
        </w:rPr>
      </w:pPr>
      <w:r w:rsidRPr="003C50FB">
        <w:rPr>
          <w:rFonts w:asciiTheme="majorBidi" w:eastAsia="Times New Roman" w:hAnsiTheme="majorBidi" w:cstheme="majorBidi"/>
          <w:b/>
          <w:sz w:val="24"/>
          <w:szCs w:val="24"/>
        </w:rPr>
        <w:t xml:space="preserve">PREDMET: </w:t>
      </w:r>
      <w:r w:rsidRPr="003C50FB">
        <w:rPr>
          <w:rFonts w:asciiTheme="majorBidi" w:eastAsia="Times New Roman" w:hAnsiTheme="majorBidi" w:cstheme="majorBidi"/>
          <w:sz w:val="24"/>
          <w:szCs w:val="24"/>
        </w:rPr>
        <w:t xml:space="preserve">Prijedlog izvješća </w:t>
      </w:r>
      <w:r w:rsidRPr="003C50FB">
        <w:rPr>
          <w:rFonts w:asciiTheme="majorBidi" w:hAnsiTheme="majorBidi" w:cstheme="majorBidi"/>
          <w:sz w:val="24"/>
          <w:szCs w:val="24"/>
        </w:rPr>
        <w:t xml:space="preserve">povodom Interpelacije o radu Vlade Republike Hrvatske </w:t>
      </w:r>
    </w:p>
    <w:p w14:paraId="278ED336" w14:textId="77777777" w:rsidR="00274105" w:rsidRPr="003C50FB" w:rsidRDefault="00274105" w:rsidP="00274105">
      <w:pPr>
        <w:pStyle w:val="NoSpacing"/>
        <w:spacing w:line="276" w:lineRule="auto"/>
        <w:jc w:val="both"/>
        <w:rPr>
          <w:rFonts w:asciiTheme="majorBidi" w:hAnsiTheme="majorBidi" w:cstheme="majorBidi"/>
          <w:sz w:val="24"/>
          <w:szCs w:val="24"/>
        </w:rPr>
      </w:pPr>
      <w:r w:rsidRPr="003C50FB">
        <w:rPr>
          <w:rFonts w:asciiTheme="majorBidi" w:hAnsiTheme="majorBidi" w:cstheme="majorBidi"/>
          <w:sz w:val="24"/>
          <w:szCs w:val="24"/>
        </w:rPr>
        <w:t xml:space="preserve">                      vezano uz način dodjele i raspolaganja sredstvima EU fondova u sklopu               </w:t>
      </w:r>
    </w:p>
    <w:p w14:paraId="2866F3B1" w14:textId="689BA161" w:rsidR="00274105" w:rsidRPr="003C50FB" w:rsidRDefault="00274105" w:rsidP="00274105">
      <w:pPr>
        <w:pStyle w:val="NoSpacing"/>
        <w:spacing w:line="276" w:lineRule="auto"/>
        <w:jc w:val="both"/>
        <w:rPr>
          <w:rFonts w:asciiTheme="majorBidi" w:hAnsiTheme="majorBidi" w:cstheme="majorBidi"/>
          <w:sz w:val="24"/>
          <w:szCs w:val="24"/>
        </w:rPr>
      </w:pPr>
      <w:r w:rsidRPr="003C50FB">
        <w:rPr>
          <w:rFonts w:asciiTheme="majorBidi" w:hAnsiTheme="majorBidi" w:cstheme="majorBidi"/>
          <w:sz w:val="24"/>
          <w:szCs w:val="24"/>
        </w:rPr>
        <w:t xml:space="preserve">                      „Projekta Slavonija, Baranja i Srijem</w:t>
      </w:r>
      <w:r w:rsidR="004E4012" w:rsidRPr="003C50FB">
        <w:rPr>
          <w:rFonts w:asciiTheme="majorBidi" w:hAnsiTheme="majorBidi" w:cstheme="majorBidi"/>
          <w:sz w:val="24"/>
          <w:szCs w:val="24"/>
        </w:rPr>
        <w:t>“</w:t>
      </w:r>
      <w:r w:rsidRPr="003C50FB">
        <w:rPr>
          <w:rFonts w:asciiTheme="majorBidi" w:eastAsia="Calibri" w:hAnsiTheme="majorBidi" w:cstheme="majorBidi"/>
          <w:i/>
          <w:sz w:val="24"/>
          <w:szCs w:val="24"/>
        </w:rPr>
        <w:t xml:space="preserve"> </w:t>
      </w:r>
    </w:p>
    <w:p w14:paraId="3A6E3AEB" w14:textId="109F8B1F" w:rsidR="00E11A8A" w:rsidRPr="003C50FB" w:rsidRDefault="00E11A8A" w:rsidP="00274105">
      <w:pPr>
        <w:spacing w:after="0"/>
        <w:ind w:left="1276" w:hanging="1276"/>
        <w:rPr>
          <w:rFonts w:asciiTheme="majorBidi" w:eastAsia="Times New Roman" w:hAnsiTheme="majorBidi" w:cstheme="majorBidi"/>
          <w:b/>
          <w:sz w:val="24"/>
          <w:szCs w:val="24"/>
        </w:rPr>
      </w:pPr>
    </w:p>
    <w:p w14:paraId="31D71E0B"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24A84937"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670D85D0"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0CD37DAB"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2888BB53"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20872D74"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7CE78DDC"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5A3A1F24"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02C9896A"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08A9591D"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63CC6A74"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341CC876"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4F4329BD"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5EA50D74"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7D01F427" w14:textId="77777777" w:rsidR="00E11A8A" w:rsidRPr="003C50FB" w:rsidRDefault="00E11A8A" w:rsidP="00E11A8A">
      <w:pPr>
        <w:spacing w:after="0" w:line="240" w:lineRule="auto"/>
        <w:rPr>
          <w:rFonts w:asciiTheme="majorBidi" w:eastAsia="Times New Roman" w:hAnsiTheme="majorBidi" w:cstheme="majorBidi"/>
          <w:b/>
          <w:sz w:val="24"/>
          <w:szCs w:val="24"/>
        </w:rPr>
      </w:pPr>
    </w:p>
    <w:p w14:paraId="4F007447" w14:textId="77777777" w:rsidR="00E11A8A" w:rsidRPr="003C50FB" w:rsidRDefault="00E11A8A" w:rsidP="00E11A8A">
      <w:pPr>
        <w:spacing w:after="0" w:line="240" w:lineRule="auto"/>
        <w:rPr>
          <w:rFonts w:asciiTheme="majorBidi" w:eastAsia="Times New Roman" w:hAnsiTheme="majorBidi" w:cstheme="majorBidi"/>
          <w:sz w:val="24"/>
          <w:szCs w:val="24"/>
        </w:rPr>
      </w:pPr>
    </w:p>
    <w:p w14:paraId="5F79A839" w14:textId="77777777" w:rsidR="00E11A8A" w:rsidRPr="003C50FB" w:rsidRDefault="00E11A8A" w:rsidP="004E4012">
      <w:pPr>
        <w:pBdr>
          <w:top w:val="single" w:sz="4" w:space="0" w:color="404040"/>
        </w:pBdr>
        <w:tabs>
          <w:tab w:val="center" w:pos="4536"/>
          <w:tab w:val="right" w:pos="9072"/>
        </w:tabs>
        <w:spacing w:after="0" w:line="240" w:lineRule="auto"/>
        <w:jc w:val="center"/>
        <w:rPr>
          <w:rFonts w:asciiTheme="majorBidi" w:eastAsia="Times New Roman" w:hAnsiTheme="majorBidi" w:cstheme="majorBidi"/>
          <w:color w:val="404040"/>
          <w:spacing w:val="20"/>
          <w:sz w:val="24"/>
          <w:szCs w:val="24"/>
        </w:rPr>
      </w:pPr>
      <w:r w:rsidRPr="003C50FB">
        <w:rPr>
          <w:rFonts w:asciiTheme="majorBidi" w:eastAsia="Times New Roman" w:hAnsiTheme="majorBidi" w:cstheme="majorBidi"/>
          <w:color w:val="404040"/>
          <w:spacing w:val="20"/>
          <w:sz w:val="24"/>
          <w:szCs w:val="24"/>
        </w:rPr>
        <w:t>Banski dvori | Trg Sv. Marka 2  | 10000 Zagreb | tel. 01 4569 222 | vlada.gov.hr</w:t>
      </w:r>
    </w:p>
    <w:p w14:paraId="59378A24" w14:textId="77777777" w:rsidR="00E11A8A" w:rsidRPr="003C50FB" w:rsidRDefault="00E11A8A" w:rsidP="00E11A8A">
      <w:pPr>
        <w:pStyle w:val="naslov"/>
        <w:spacing w:before="0" w:after="0"/>
        <w:jc w:val="left"/>
        <w:rPr>
          <w:rStyle w:val="zadanifontodlomka"/>
          <w:rFonts w:asciiTheme="majorBidi" w:hAnsiTheme="majorBidi" w:cstheme="majorBidi"/>
          <w:sz w:val="24"/>
          <w:szCs w:val="24"/>
        </w:rPr>
      </w:pPr>
    </w:p>
    <w:p w14:paraId="42BB7573" w14:textId="77777777" w:rsidR="00CA4D39" w:rsidRPr="003C50FB" w:rsidRDefault="00CA4D39" w:rsidP="007007B2">
      <w:pPr>
        <w:spacing w:after="0"/>
        <w:jc w:val="right"/>
        <w:rPr>
          <w:rFonts w:asciiTheme="majorBidi" w:eastAsia="Times New Roman" w:hAnsiTheme="majorBidi" w:cstheme="majorBidi"/>
          <w:b/>
          <w:sz w:val="24"/>
          <w:szCs w:val="24"/>
          <w:lang w:eastAsia="hr-HR"/>
        </w:rPr>
      </w:pPr>
      <w:r w:rsidRPr="003C50FB">
        <w:rPr>
          <w:rFonts w:asciiTheme="majorBidi" w:eastAsia="Times New Roman" w:hAnsiTheme="majorBidi" w:cstheme="majorBidi"/>
          <w:b/>
          <w:sz w:val="24"/>
          <w:szCs w:val="24"/>
          <w:lang w:eastAsia="hr-HR"/>
        </w:rPr>
        <w:t>Prijedlog</w:t>
      </w:r>
    </w:p>
    <w:p w14:paraId="2C95859C" w14:textId="77777777" w:rsidR="00CA4D39" w:rsidRPr="003C50FB" w:rsidRDefault="00CA4D39" w:rsidP="007007B2">
      <w:pPr>
        <w:spacing w:after="0"/>
        <w:jc w:val="both"/>
        <w:rPr>
          <w:rFonts w:asciiTheme="majorBidi" w:eastAsia="Times New Roman" w:hAnsiTheme="majorBidi" w:cstheme="majorBidi"/>
          <w:b/>
          <w:sz w:val="24"/>
          <w:szCs w:val="24"/>
          <w:lang w:eastAsia="hr-HR"/>
        </w:rPr>
      </w:pPr>
    </w:p>
    <w:p w14:paraId="7F337A6C" w14:textId="77777777" w:rsidR="00CA4D39" w:rsidRPr="003C50FB" w:rsidRDefault="00CA4D39" w:rsidP="007007B2">
      <w:pPr>
        <w:spacing w:after="0"/>
        <w:jc w:val="both"/>
        <w:rPr>
          <w:rFonts w:asciiTheme="majorBidi" w:eastAsia="Times New Roman" w:hAnsiTheme="majorBidi" w:cstheme="majorBidi"/>
          <w:b/>
          <w:sz w:val="24"/>
          <w:szCs w:val="24"/>
          <w:lang w:eastAsia="hr-HR"/>
        </w:rPr>
      </w:pPr>
    </w:p>
    <w:p w14:paraId="74EC8FBF" w14:textId="77777777" w:rsidR="00CA4D39" w:rsidRPr="003C50FB" w:rsidRDefault="00CA4D39" w:rsidP="007007B2">
      <w:pPr>
        <w:spacing w:after="0"/>
        <w:jc w:val="both"/>
        <w:rPr>
          <w:rFonts w:asciiTheme="majorBidi" w:eastAsia="Times New Roman" w:hAnsiTheme="majorBidi" w:cstheme="majorBidi"/>
          <w:b/>
          <w:sz w:val="24"/>
          <w:szCs w:val="24"/>
          <w:lang w:eastAsia="hr-HR"/>
        </w:rPr>
      </w:pPr>
    </w:p>
    <w:p w14:paraId="32537ECF" w14:textId="77777777" w:rsidR="00CA4D39" w:rsidRPr="003C50FB" w:rsidRDefault="00CA4D39" w:rsidP="007007B2">
      <w:pPr>
        <w:spacing w:after="0"/>
        <w:jc w:val="both"/>
        <w:rPr>
          <w:rFonts w:asciiTheme="majorBidi" w:eastAsia="Times New Roman" w:hAnsiTheme="majorBidi" w:cstheme="majorBidi"/>
          <w:b/>
          <w:sz w:val="24"/>
          <w:szCs w:val="24"/>
          <w:lang w:eastAsia="hr-HR"/>
        </w:rPr>
      </w:pPr>
    </w:p>
    <w:p w14:paraId="48349EBE" w14:textId="77777777" w:rsidR="00CA4D39" w:rsidRPr="003C50FB" w:rsidRDefault="00CA4D39" w:rsidP="007007B2">
      <w:pPr>
        <w:spacing w:after="0"/>
        <w:jc w:val="both"/>
        <w:rPr>
          <w:rFonts w:asciiTheme="majorBidi" w:eastAsia="Times New Roman" w:hAnsiTheme="majorBidi" w:cstheme="majorBidi"/>
          <w:b/>
          <w:sz w:val="24"/>
          <w:szCs w:val="24"/>
          <w:lang w:eastAsia="hr-HR"/>
        </w:rPr>
      </w:pPr>
      <w:r w:rsidRPr="003C50FB">
        <w:rPr>
          <w:rFonts w:asciiTheme="majorBidi" w:eastAsia="Times New Roman" w:hAnsiTheme="majorBidi" w:cstheme="majorBidi"/>
          <w:b/>
          <w:sz w:val="24"/>
          <w:szCs w:val="24"/>
          <w:lang w:eastAsia="hr-HR"/>
        </w:rPr>
        <w:t>Klasa:</w:t>
      </w:r>
      <w:r w:rsidRPr="003C50FB">
        <w:rPr>
          <w:rFonts w:asciiTheme="majorBidi" w:eastAsia="Times New Roman" w:hAnsiTheme="majorBidi" w:cstheme="majorBidi"/>
          <w:b/>
          <w:sz w:val="24"/>
          <w:szCs w:val="24"/>
          <w:lang w:eastAsia="hr-HR"/>
        </w:rPr>
        <w:tab/>
      </w:r>
      <w:r w:rsidRPr="003C50FB">
        <w:rPr>
          <w:rFonts w:asciiTheme="majorBidi" w:eastAsia="Times New Roman" w:hAnsiTheme="majorBidi" w:cstheme="majorBidi"/>
          <w:b/>
          <w:sz w:val="24"/>
          <w:szCs w:val="24"/>
          <w:lang w:eastAsia="hr-HR"/>
        </w:rPr>
        <w:tab/>
      </w:r>
    </w:p>
    <w:p w14:paraId="25BACD2C" w14:textId="77777777" w:rsidR="00CA4D39" w:rsidRPr="003C50FB" w:rsidRDefault="00CA4D39" w:rsidP="007007B2">
      <w:pPr>
        <w:spacing w:after="0"/>
        <w:jc w:val="both"/>
        <w:rPr>
          <w:rFonts w:asciiTheme="majorBidi" w:eastAsia="Times New Roman" w:hAnsiTheme="majorBidi" w:cstheme="majorBidi"/>
          <w:b/>
          <w:sz w:val="24"/>
          <w:szCs w:val="24"/>
          <w:lang w:eastAsia="hr-HR"/>
        </w:rPr>
      </w:pPr>
      <w:proofErr w:type="spellStart"/>
      <w:r w:rsidRPr="003C50FB">
        <w:rPr>
          <w:rFonts w:asciiTheme="majorBidi" w:eastAsia="Times New Roman" w:hAnsiTheme="majorBidi" w:cstheme="majorBidi"/>
          <w:b/>
          <w:sz w:val="24"/>
          <w:szCs w:val="24"/>
          <w:lang w:eastAsia="hr-HR"/>
        </w:rPr>
        <w:t>Urbroj</w:t>
      </w:r>
      <w:proofErr w:type="spellEnd"/>
      <w:r w:rsidRPr="003C50FB">
        <w:rPr>
          <w:rFonts w:asciiTheme="majorBidi" w:eastAsia="Times New Roman" w:hAnsiTheme="majorBidi" w:cstheme="majorBidi"/>
          <w:b/>
          <w:sz w:val="24"/>
          <w:szCs w:val="24"/>
          <w:lang w:eastAsia="hr-HR"/>
        </w:rPr>
        <w:t>:</w:t>
      </w:r>
      <w:r w:rsidRPr="003C50FB">
        <w:rPr>
          <w:rFonts w:asciiTheme="majorBidi" w:eastAsia="Times New Roman" w:hAnsiTheme="majorBidi" w:cstheme="majorBidi"/>
          <w:b/>
          <w:sz w:val="24"/>
          <w:szCs w:val="24"/>
          <w:lang w:eastAsia="hr-HR"/>
        </w:rPr>
        <w:tab/>
      </w:r>
    </w:p>
    <w:p w14:paraId="0A5DC4EA" w14:textId="77777777" w:rsidR="00CA4D39" w:rsidRPr="003C50FB" w:rsidRDefault="00CA4D39" w:rsidP="007007B2">
      <w:pPr>
        <w:spacing w:after="0"/>
        <w:jc w:val="both"/>
        <w:rPr>
          <w:rFonts w:asciiTheme="majorBidi" w:eastAsia="Times New Roman" w:hAnsiTheme="majorBidi" w:cstheme="majorBidi"/>
          <w:sz w:val="24"/>
          <w:szCs w:val="24"/>
          <w:lang w:eastAsia="hr-HR"/>
        </w:rPr>
      </w:pPr>
    </w:p>
    <w:p w14:paraId="4A57F3C3" w14:textId="77777777" w:rsidR="00CA4D39" w:rsidRPr="003C50FB" w:rsidRDefault="00CA4D39" w:rsidP="007007B2">
      <w:pPr>
        <w:spacing w:after="0"/>
        <w:jc w:val="both"/>
        <w:rPr>
          <w:rFonts w:asciiTheme="majorBidi" w:eastAsia="Times New Roman" w:hAnsiTheme="majorBidi" w:cstheme="majorBidi"/>
          <w:sz w:val="24"/>
          <w:szCs w:val="24"/>
          <w:lang w:eastAsia="hr-HR"/>
        </w:rPr>
      </w:pPr>
      <w:r w:rsidRPr="003C50FB">
        <w:rPr>
          <w:rFonts w:asciiTheme="majorBidi" w:eastAsia="Times New Roman" w:hAnsiTheme="majorBidi" w:cstheme="majorBidi"/>
          <w:b/>
          <w:sz w:val="24"/>
          <w:szCs w:val="24"/>
          <w:lang w:eastAsia="hr-HR"/>
        </w:rPr>
        <w:t>Zagreb,</w:t>
      </w:r>
      <w:r w:rsidRPr="003C50FB">
        <w:rPr>
          <w:rFonts w:asciiTheme="majorBidi" w:eastAsia="Times New Roman" w:hAnsiTheme="majorBidi" w:cstheme="majorBidi"/>
          <w:b/>
          <w:sz w:val="24"/>
          <w:szCs w:val="24"/>
          <w:lang w:eastAsia="hr-HR"/>
        </w:rPr>
        <w:tab/>
      </w:r>
    </w:p>
    <w:p w14:paraId="2B2F66DE" w14:textId="77777777" w:rsidR="00CA4D39" w:rsidRPr="003C50FB" w:rsidRDefault="00CA4D39" w:rsidP="007007B2">
      <w:pPr>
        <w:spacing w:after="0"/>
        <w:ind w:left="4253"/>
        <w:jc w:val="both"/>
        <w:rPr>
          <w:rFonts w:asciiTheme="majorBidi" w:eastAsia="Times New Roman" w:hAnsiTheme="majorBidi" w:cstheme="majorBidi"/>
          <w:b/>
          <w:sz w:val="24"/>
          <w:szCs w:val="24"/>
          <w:lang w:eastAsia="hr-HR"/>
        </w:rPr>
      </w:pPr>
    </w:p>
    <w:p w14:paraId="548A231F" w14:textId="77777777" w:rsidR="00CA4D39" w:rsidRPr="003C50FB" w:rsidRDefault="00CA4D39" w:rsidP="007007B2">
      <w:pPr>
        <w:spacing w:after="0"/>
        <w:ind w:left="4253"/>
        <w:jc w:val="both"/>
        <w:rPr>
          <w:rFonts w:asciiTheme="majorBidi" w:eastAsia="Times New Roman" w:hAnsiTheme="majorBidi" w:cstheme="majorBidi"/>
          <w:b/>
          <w:sz w:val="24"/>
          <w:szCs w:val="24"/>
          <w:lang w:eastAsia="hr-HR"/>
        </w:rPr>
      </w:pPr>
    </w:p>
    <w:p w14:paraId="5272393F" w14:textId="77777777" w:rsidR="00CA4D39" w:rsidRPr="003C50FB" w:rsidRDefault="00CA4D39" w:rsidP="007007B2">
      <w:pPr>
        <w:spacing w:after="0"/>
        <w:ind w:left="4253"/>
        <w:jc w:val="both"/>
        <w:rPr>
          <w:rFonts w:asciiTheme="majorBidi" w:eastAsia="Times New Roman" w:hAnsiTheme="majorBidi" w:cstheme="majorBidi"/>
          <w:b/>
          <w:sz w:val="24"/>
          <w:szCs w:val="24"/>
          <w:lang w:eastAsia="hr-HR"/>
        </w:rPr>
      </w:pPr>
      <w:r w:rsidRPr="003C50FB">
        <w:rPr>
          <w:rFonts w:asciiTheme="majorBidi" w:eastAsia="Times New Roman" w:hAnsiTheme="majorBidi" w:cstheme="majorBidi"/>
          <w:b/>
          <w:sz w:val="24"/>
          <w:szCs w:val="24"/>
          <w:lang w:eastAsia="hr-HR"/>
        </w:rPr>
        <w:t>PREDSJEDNIKU HRVATSKOGA SABORA</w:t>
      </w:r>
    </w:p>
    <w:p w14:paraId="030B0FB1" w14:textId="77777777" w:rsidR="00CA4D39" w:rsidRPr="003C50FB" w:rsidRDefault="00CA4D39" w:rsidP="007007B2">
      <w:pPr>
        <w:spacing w:after="0"/>
        <w:ind w:left="4253"/>
        <w:jc w:val="both"/>
        <w:rPr>
          <w:rFonts w:asciiTheme="majorBidi" w:eastAsia="Times New Roman" w:hAnsiTheme="majorBidi" w:cstheme="majorBidi"/>
          <w:b/>
          <w:sz w:val="24"/>
          <w:szCs w:val="24"/>
          <w:lang w:eastAsia="hr-HR"/>
        </w:rPr>
      </w:pPr>
    </w:p>
    <w:p w14:paraId="556072CA" w14:textId="5E7FB4C7" w:rsidR="00EF44C7" w:rsidRPr="003C50FB" w:rsidRDefault="00F62ACD" w:rsidP="00EF44C7">
      <w:pPr>
        <w:pStyle w:val="NoSpacing"/>
        <w:spacing w:line="276" w:lineRule="auto"/>
        <w:jc w:val="both"/>
        <w:rPr>
          <w:rFonts w:asciiTheme="majorBidi" w:hAnsiTheme="majorBidi" w:cstheme="majorBidi"/>
          <w:sz w:val="24"/>
          <w:szCs w:val="24"/>
        </w:rPr>
      </w:pPr>
      <w:r w:rsidRPr="003C50FB">
        <w:rPr>
          <w:rFonts w:asciiTheme="majorBidi" w:hAnsiTheme="majorBidi" w:cstheme="majorBidi"/>
          <w:sz w:val="24"/>
          <w:szCs w:val="24"/>
        </w:rPr>
        <w:t>P</w:t>
      </w:r>
      <w:r w:rsidR="003D29CC" w:rsidRPr="003C50FB">
        <w:rPr>
          <w:rFonts w:asciiTheme="majorBidi" w:hAnsiTheme="majorBidi" w:cstheme="majorBidi"/>
          <w:sz w:val="24"/>
          <w:szCs w:val="24"/>
        </w:rPr>
        <w:t>redmet</w:t>
      </w:r>
      <w:r w:rsidRPr="003C50FB">
        <w:rPr>
          <w:rFonts w:asciiTheme="majorBidi" w:hAnsiTheme="majorBidi" w:cstheme="majorBidi"/>
          <w:sz w:val="24"/>
          <w:szCs w:val="24"/>
        </w:rPr>
        <w:t>:</w:t>
      </w:r>
      <w:r w:rsidR="00051E3E" w:rsidRPr="003C50FB">
        <w:rPr>
          <w:rFonts w:asciiTheme="majorBidi" w:hAnsiTheme="majorBidi" w:cstheme="majorBidi"/>
          <w:b/>
          <w:sz w:val="24"/>
          <w:szCs w:val="24"/>
        </w:rPr>
        <w:tab/>
      </w:r>
      <w:r w:rsidR="00E349C3" w:rsidRPr="003C50FB">
        <w:rPr>
          <w:rFonts w:asciiTheme="majorBidi" w:hAnsiTheme="majorBidi" w:cstheme="majorBidi"/>
          <w:sz w:val="24"/>
          <w:szCs w:val="24"/>
        </w:rPr>
        <w:t xml:space="preserve">Interpelacija o radu Vlade Republike Hrvatske </w:t>
      </w:r>
      <w:r w:rsidR="00EF44C7" w:rsidRPr="003C50FB">
        <w:rPr>
          <w:rFonts w:asciiTheme="majorBidi" w:hAnsiTheme="majorBidi" w:cstheme="majorBidi"/>
          <w:sz w:val="24"/>
          <w:szCs w:val="24"/>
        </w:rPr>
        <w:t xml:space="preserve">vezano uz način dodjele i </w:t>
      </w:r>
    </w:p>
    <w:p w14:paraId="3EF3F200" w14:textId="0E092BD7" w:rsidR="00EF44C7" w:rsidRPr="003C50FB" w:rsidRDefault="00EF44C7" w:rsidP="00EF44C7">
      <w:pPr>
        <w:pStyle w:val="NoSpacing"/>
        <w:spacing w:line="276" w:lineRule="auto"/>
        <w:jc w:val="both"/>
        <w:rPr>
          <w:rFonts w:asciiTheme="majorBidi" w:hAnsiTheme="majorBidi" w:cstheme="majorBidi"/>
          <w:sz w:val="24"/>
          <w:szCs w:val="24"/>
        </w:rPr>
      </w:pPr>
      <w:r w:rsidRPr="003C50FB">
        <w:rPr>
          <w:rFonts w:asciiTheme="majorBidi" w:hAnsiTheme="majorBidi" w:cstheme="majorBidi"/>
          <w:sz w:val="24"/>
          <w:szCs w:val="24"/>
        </w:rPr>
        <w:t xml:space="preserve">                       </w:t>
      </w:r>
      <w:r w:rsidR="008F3402" w:rsidRPr="003C50FB">
        <w:rPr>
          <w:rFonts w:asciiTheme="majorBidi" w:hAnsiTheme="majorBidi" w:cstheme="majorBidi"/>
          <w:sz w:val="24"/>
          <w:szCs w:val="24"/>
        </w:rPr>
        <w:t xml:space="preserve"> </w:t>
      </w:r>
      <w:r w:rsidRPr="003C50FB">
        <w:rPr>
          <w:rFonts w:asciiTheme="majorBidi" w:hAnsiTheme="majorBidi" w:cstheme="majorBidi"/>
          <w:sz w:val="24"/>
          <w:szCs w:val="24"/>
        </w:rPr>
        <w:t xml:space="preserve">raspolaganja sredstvima EU fondova u sklopu „Projekta Slavonija, Baranja i </w:t>
      </w:r>
    </w:p>
    <w:p w14:paraId="069FC2A1" w14:textId="44B59A7D" w:rsidR="00F62ACD" w:rsidRPr="003C50FB" w:rsidRDefault="00EF44C7" w:rsidP="00EF44C7">
      <w:pPr>
        <w:pStyle w:val="NoSpacing"/>
        <w:spacing w:line="276" w:lineRule="auto"/>
        <w:jc w:val="both"/>
        <w:rPr>
          <w:rFonts w:asciiTheme="majorBidi" w:hAnsiTheme="majorBidi" w:cstheme="majorBidi"/>
          <w:sz w:val="24"/>
          <w:szCs w:val="24"/>
        </w:rPr>
      </w:pPr>
      <w:r w:rsidRPr="003C50FB">
        <w:rPr>
          <w:rFonts w:asciiTheme="majorBidi" w:hAnsiTheme="majorBidi" w:cstheme="majorBidi"/>
          <w:sz w:val="24"/>
          <w:szCs w:val="24"/>
        </w:rPr>
        <w:t xml:space="preserve">                        Srijem</w:t>
      </w:r>
      <w:r w:rsidRPr="003C50FB">
        <w:rPr>
          <w:rFonts w:asciiTheme="majorBidi" w:eastAsia="Calibri" w:hAnsiTheme="majorBidi" w:cstheme="majorBidi"/>
          <w:i/>
          <w:sz w:val="24"/>
          <w:szCs w:val="24"/>
        </w:rPr>
        <w:t xml:space="preserve"> </w:t>
      </w:r>
    </w:p>
    <w:p w14:paraId="39FA5C6D" w14:textId="77777777" w:rsidR="00A1070D" w:rsidRPr="003C50FB" w:rsidRDefault="00A1070D" w:rsidP="00A1070D">
      <w:pPr>
        <w:pStyle w:val="ListParagraph"/>
        <w:tabs>
          <w:tab w:val="left" w:pos="1701"/>
        </w:tabs>
        <w:spacing w:after="0"/>
        <w:ind w:left="2055"/>
        <w:rPr>
          <w:rFonts w:asciiTheme="majorBidi" w:eastAsia="Calibri" w:hAnsiTheme="majorBidi" w:cstheme="majorBidi"/>
          <w:sz w:val="24"/>
          <w:szCs w:val="24"/>
        </w:rPr>
      </w:pPr>
    </w:p>
    <w:p w14:paraId="4849F3B5" w14:textId="1920B31C" w:rsidR="00E349C3" w:rsidRPr="003C50FB" w:rsidRDefault="005B3C90" w:rsidP="00274105">
      <w:pPr>
        <w:pStyle w:val="NoSpacing"/>
        <w:rPr>
          <w:rFonts w:asciiTheme="majorBidi" w:hAnsiTheme="majorBidi" w:cstheme="majorBidi"/>
          <w:sz w:val="24"/>
          <w:szCs w:val="24"/>
        </w:rPr>
      </w:pPr>
      <w:r w:rsidRPr="003C50FB">
        <w:rPr>
          <w:rFonts w:asciiTheme="majorBidi" w:hAnsiTheme="majorBidi" w:cstheme="majorBidi"/>
          <w:sz w:val="24"/>
          <w:szCs w:val="24"/>
        </w:rPr>
        <w:t>Veza:</w:t>
      </w:r>
      <w:r w:rsidR="00EF44C7" w:rsidRPr="003C50FB">
        <w:rPr>
          <w:rFonts w:asciiTheme="majorBidi" w:hAnsiTheme="majorBidi" w:cstheme="majorBidi"/>
          <w:sz w:val="24"/>
          <w:szCs w:val="24"/>
        </w:rPr>
        <w:t xml:space="preserve">               </w:t>
      </w:r>
      <w:r w:rsidR="00843F4E" w:rsidRPr="003C50FB">
        <w:rPr>
          <w:rFonts w:asciiTheme="majorBidi" w:hAnsiTheme="majorBidi" w:cstheme="majorBidi"/>
          <w:sz w:val="24"/>
          <w:szCs w:val="24"/>
        </w:rPr>
        <w:t>Pismo Hrvatskog sabora</w:t>
      </w:r>
      <w:r w:rsidR="00EF44C7" w:rsidRPr="003C50FB">
        <w:rPr>
          <w:rFonts w:asciiTheme="majorBidi" w:hAnsiTheme="majorBidi" w:cstheme="majorBidi"/>
          <w:sz w:val="24"/>
          <w:szCs w:val="24"/>
        </w:rPr>
        <w:t xml:space="preserve"> </w:t>
      </w:r>
      <w:r w:rsidR="00274105" w:rsidRPr="003C50FB">
        <w:rPr>
          <w:rFonts w:asciiTheme="majorBidi" w:hAnsiTheme="majorBidi" w:cstheme="majorBidi"/>
          <w:sz w:val="24"/>
          <w:szCs w:val="24"/>
        </w:rPr>
        <w:t>Klasa</w:t>
      </w:r>
      <w:r w:rsidR="00EF44C7" w:rsidRPr="003C50FB">
        <w:rPr>
          <w:rFonts w:asciiTheme="majorBidi" w:hAnsiTheme="majorBidi" w:cstheme="majorBidi"/>
          <w:sz w:val="24"/>
          <w:szCs w:val="24"/>
        </w:rPr>
        <w:t>: 021-12/20-08/17</w:t>
      </w:r>
      <w:r w:rsidR="00274105" w:rsidRPr="003C50FB">
        <w:rPr>
          <w:rFonts w:asciiTheme="majorBidi" w:hAnsiTheme="majorBidi" w:cstheme="majorBidi"/>
          <w:sz w:val="24"/>
          <w:szCs w:val="24"/>
        </w:rPr>
        <w:t xml:space="preserve"> od </w:t>
      </w:r>
      <w:r w:rsidR="00EF44C7" w:rsidRPr="003C50FB">
        <w:rPr>
          <w:rFonts w:asciiTheme="majorBidi" w:hAnsiTheme="majorBidi" w:cstheme="majorBidi"/>
          <w:sz w:val="24"/>
          <w:szCs w:val="24"/>
        </w:rPr>
        <w:t>28. prosinca 2020.</w:t>
      </w:r>
    </w:p>
    <w:p w14:paraId="643858AE" w14:textId="77777777" w:rsidR="00EF44C7" w:rsidRPr="003C50FB" w:rsidRDefault="00EF44C7" w:rsidP="00EF44C7">
      <w:pPr>
        <w:pStyle w:val="NoSpacing"/>
        <w:ind w:left="708"/>
        <w:rPr>
          <w:rFonts w:asciiTheme="majorBidi" w:hAnsiTheme="majorBidi" w:cstheme="majorBidi"/>
          <w:sz w:val="24"/>
          <w:szCs w:val="24"/>
        </w:rPr>
      </w:pPr>
    </w:p>
    <w:p w14:paraId="018EEA5A" w14:textId="77777777" w:rsidR="00EF44C7" w:rsidRPr="003C50FB" w:rsidRDefault="00843F4E" w:rsidP="008F3402">
      <w:pPr>
        <w:pStyle w:val="NoSpacing"/>
        <w:spacing w:line="276" w:lineRule="auto"/>
        <w:jc w:val="both"/>
        <w:rPr>
          <w:rFonts w:asciiTheme="majorBidi" w:hAnsiTheme="majorBidi" w:cstheme="majorBidi"/>
          <w:sz w:val="24"/>
          <w:szCs w:val="24"/>
        </w:rPr>
      </w:pPr>
      <w:r w:rsidRPr="003C50FB">
        <w:rPr>
          <w:rFonts w:asciiTheme="majorBidi" w:hAnsiTheme="majorBidi" w:cstheme="majorBidi"/>
          <w:sz w:val="24"/>
          <w:szCs w:val="24"/>
        </w:rPr>
        <w:tab/>
      </w:r>
      <w:r w:rsidRPr="003C50FB">
        <w:rPr>
          <w:rFonts w:asciiTheme="majorBidi" w:hAnsiTheme="majorBidi" w:cstheme="majorBidi"/>
          <w:sz w:val="24"/>
          <w:szCs w:val="24"/>
        </w:rPr>
        <w:tab/>
        <w:t>Na temelju članka 147. Poslovnika Hrvatskoga sabora, Vlada Republike Hrvatsk</w:t>
      </w:r>
      <w:r w:rsidR="001F6412" w:rsidRPr="003C50FB">
        <w:rPr>
          <w:rFonts w:asciiTheme="majorBidi" w:hAnsiTheme="majorBidi" w:cstheme="majorBidi"/>
          <w:sz w:val="24"/>
          <w:szCs w:val="24"/>
        </w:rPr>
        <w:t xml:space="preserve">e povodom Interpelacije o </w:t>
      </w:r>
      <w:r w:rsidR="00CA4D39" w:rsidRPr="003C50FB">
        <w:rPr>
          <w:rFonts w:asciiTheme="majorBidi" w:hAnsiTheme="majorBidi" w:cstheme="majorBidi"/>
          <w:sz w:val="24"/>
          <w:szCs w:val="24"/>
        </w:rPr>
        <w:t xml:space="preserve">radu Vlade Republike Hrvatske </w:t>
      </w:r>
      <w:r w:rsidR="00EF44C7" w:rsidRPr="003C50FB">
        <w:rPr>
          <w:rFonts w:asciiTheme="majorBidi" w:hAnsiTheme="majorBidi" w:cstheme="majorBidi"/>
          <w:sz w:val="24"/>
          <w:szCs w:val="24"/>
        </w:rPr>
        <w:t xml:space="preserve">vezano uz način dodjele i </w:t>
      </w:r>
    </w:p>
    <w:p w14:paraId="5817308F" w14:textId="054541A5" w:rsidR="00481865" w:rsidRPr="003C50FB" w:rsidRDefault="00EF44C7" w:rsidP="008F3402">
      <w:pPr>
        <w:pStyle w:val="NoSpacing"/>
        <w:spacing w:line="276" w:lineRule="auto"/>
        <w:jc w:val="both"/>
        <w:rPr>
          <w:rFonts w:asciiTheme="majorBidi" w:hAnsiTheme="majorBidi" w:cstheme="majorBidi"/>
          <w:sz w:val="24"/>
          <w:szCs w:val="24"/>
        </w:rPr>
      </w:pPr>
      <w:r w:rsidRPr="003C50FB">
        <w:rPr>
          <w:rFonts w:asciiTheme="majorBidi" w:hAnsiTheme="majorBidi" w:cstheme="majorBidi"/>
          <w:sz w:val="24"/>
          <w:szCs w:val="24"/>
        </w:rPr>
        <w:t>raspolaganja sredstvima EU fondova u sklopu „Projekta Slavonija, Baranja i</w:t>
      </w:r>
      <w:r w:rsidR="008F3402" w:rsidRPr="003C50FB">
        <w:rPr>
          <w:rFonts w:asciiTheme="majorBidi" w:hAnsiTheme="majorBidi" w:cstheme="majorBidi"/>
          <w:sz w:val="24"/>
          <w:szCs w:val="24"/>
        </w:rPr>
        <w:t xml:space="preserve"> </w:t>
      </w:r>
      <w:r w:rsidRPr="003C50FB">
        <w:rPr>
          <w:rFonts w:asciiTheme="majorBidi" w:hAnsiTheme="majorBidi" w:cstheme="majorBidi"/>
          <w:sz w:val="24"/>
          <w:szCs w:val="24"/>
        </w:rPr>
        <w:t>Srijem</w:t>
      </w:r>
      <w:r w:rsidR="004E4012" w:rsidRPr="003C50FB">
        <w:rPr>
          <w:rFonts w:asciiTheme="majorBidi" w:hAnsiTheme="majorBidi" w:cstheme="majorBidi"/>
          <w:sz w:val="24"/>
          <w:szCs w:val="24"/>
        </w:rPr>
        <w:t>“</w:t>
      </w:r>
      <w:r w:rsidR="00CA4D39" w:rsidRPr="003C50FB">
        <w:rPr>
          <w:rFonts w:asciiTheme="majorBidi" w:hAnsiTheme="majorBidi" w:cstheme="majorBidi"/>
          <w:sz w:val="24"/>
          <w:szCs w:val="24"/>
        </w:rPr>
        <w:t>, daje</w:t>
      </w:r>
    </w:p>
    <w:p w14:paraId="0CAEB492" w14:textId="487E1A79" w:rsidR="00225BB7" w:rsidRDefault="00225BB7" w:rsidP="007007B2">
      <w:pPr>
        <w:pStyle w:val="NoSpacing"/>
        <w:spacing w:line="276" w:lineRule="auto"/>
        <w:jc w:val="both"/>
        <w:rPr>
          <w:rFonts w:asciiTheme="majorBidi" w:hAnsiTheme="majorBidi" w:cstheme="majorBidi"/>
          <w:sz w:val="24"/>
          <w:szCs w:val="24"/>
        </w:rPr>
      </w:pPr>
    </w:p>
    <w:p w14:paraId="28CA76DD" w14:textId="77777777" w:rsidR="00E475B6" w:rsidRPr="003C50FB" w:rsidRDefault="00E475B6" w:rsidP="007007B2">
      <w:pPr>
        <w:pStyle w:val="NoSpacing"/>
        <w:spacing w:line="276" w:lineRule="auto"/>
        <w:jc w:val="both"/>
        <w:rPr>
          <w:rFonts w:asciiTheme="majorBidi" w:hAnsiTheme="majorBidi" w:cstheme="majorBidi"/>
          <w:sz w:val="24"/>
          <w:szCs w:val="24"/>
        </w:rPr>
      </w:pPr>
    </w:p>
    <w:p w14:paraId="72745594" w14:textId="09095859" w:rsidR="00EF44C7" w:rsidRPr="00A63349" w:rsidRDefault="003D29CC" w:rsidP="00274105">
      <w:pPr>
        <w:pStyle w:val="NoSpacing"/>
        <w:spacing w:line="276" w:lineRule="auto"/>
        <w:jc w:val="center"/>
        <w:rPr>
          <w:rFonts w:asciiTheme="majorBidi" w:hAnsiTheme="majorBidi" w:cstheme="majorBidi"/>
          <w:b/>
          <w:sz w:val="24"/>
          <w:szCs w:val="24"/>
        </w:rPr>
      </w:pPr>
      <w:r w:rsidRPr="00A63349">
        <w:rPr>
          <w:rFonts w:asciiTheme="majorBidi" w:hAnsiTheme="majorBidi" w:cstheme="majorBidi"/>
          <w:b/>
          <w:sz w:val="24"/>
          <w:szCs w:val="24"/>
        </w:rPr>
        <w:t>I Z V J E Š Ć E</w:t>
      </w:r>
    </w:p>
    <w:p w14:paraId="7403F364" w14:textId="7DA0D291" w:rsidR="00EF44C7" w:rsidRPr="00A63349" w:rsidRDefault="002F7D90" w:rsidP="00EF44C7">
      <w:pPr>
        <w:pStyle w:val="NoSpacing"/>
        <w:jc w:val="both"/>
        <w:rPr>
          <w:rFonts w:asciiTheme="majorBidi" w:hAnsiTheme="majorBidi" w:cstheme="majorBidi"/>
          <w:b/>
          <w:bCs/>
          <w:sz w:val="24"/>
          <w:szCs w:val="24"/>
        </w:rPr>
      </w:pPr>
      <w:r w:rsidRPr="00A63349">
        <w:rPr>
          <w:rFonts w:asciiTheme="majorBidi" w:hAnsiTheme="majorBidi" w:cstheme="majorBidi"/>
          <w:sz w:val="24"/>
          <w:szCs w:val="24"/>
        </w:rPr>
        <w:tab/>
      </w:r>
    </w:p>
    <w:p w14:paraId="1DBAFA64" w14:textId="76A7F843" w:rsidR="002F7D90" w:rsidRPr="00A63349" w:rsidRDefault="002F7D90" w:rsidP="002F7D90">
      <w:pPr>
        <w:pStyle w:val="NoSpacing"/>
        <w:numPr>
          <w:ilvl w:val="0"/>
          <w:numId w:val="16"/>
        </w:numPr>
        <w:jc w:val="both"/>
        <w:rPr>
          <w:rFonts w:asciiTheme="majorBidi" w:hAnsiTheme="majorBidi" w:cstheme="majorBidi"/>
          <w:sz w:val="24"/>
          <w:szCs w:val="24"/>
        </w:rPr>
      </w:pPr>
      <w:r w:rsidRPr="00A63349">
        <w:rPr>
          <w:rFonts w:asciiTheme="majorBidi" w:hAnsiTheme="majorBidi" w:cstheme="majorBidi"/>
          <w:b/>
          <w:bCs/>
          <w:sz w:val="24"/>
          <w:szCs w:val="24"/>
        </w:rPr>
        <w:t xml:space="preserve">Uvodno </w:t>
      </w:r>
    </w:p>
    <w:p w14:paraId="56506AD1" w14:textId="77777777" w:rsidR="00E475B6" w:rsidRPr="00A63349" w:rsidRDefault="00E475B6" w:rsidP="00EF44C7">
      <w:pPr>
        <w:pStyle w:val="NoSpacing"/>
        <w:jc w:val="both"/>
        <w:rPr>
          <w:rFonts w:asciiTheme="majorBidi" w:hAnsiTheme="majorBidi" w:cstheme="majorBidi"/>
          <w:sz w:val="24"/>
          <w:szCs w:val="24"/>
        </w:rPr>
      </w:pPr>
    </w:p>
    <w:p w14:paraId="584399BB" w14:textId="7ADA62CD" w:rsidR="008C178D" w:rsidRPr="00A77F3F" w:rsidRDefault="008C178D" w:rsidP="008C178D">
      <w:pPr>
        <w:ind w:firstLine="708"/>
        <w:jc w:val="both"/>
        <w:rPr>
          <w:rFonts w:asciiTheme="majorBidi" w:hAnsiTheme="majorBidi" w:cstheme="majorBidi"/>
          <w:sz w:val="24"/>
          <w:szCs w:val="24"/>
        </w:rPr>
      </w:pPr>
      <w:r w:rsidRPr="00A77F3F">
        <w:rPr>
          <w:rFonts w:asciiTheme="majorBidi" w:hAnsiTheme="majorBidi" w:cstheme="majorBidi"/>
          <w:sz w:val="24"/>
          <w:szCs w:val="24"/>
        </w:rPr>
        <w:t>Vlada Republike Hrvatske pokrenula je 2016. godine Projekt Slavonija, Baranja i Srijem</w:t>
      </w:r>
      <w:r w:rsidR="00A011C6" w:rsidRPr="00A77F3F">
        <w:rPr>
          <w:rFonts w:asciiTheme="majorBidi" w:hAnsiTheme="majorBidi" w:cstheme="majorBidi"/>
          <w:sz w:val="24"/>
          <w:szCs w:val="24"/>
        </w:rPr>
        <w:t xml:space="preserve"> </w:t>
      </w:r>
      <w:r w:rsidRPr="00A77F3F">
        <w:rPr>
          <w:rFonts w:asciiTheme="majorBidi" w:hAnsiTheme="majorBidi" w:cstheme="majorBidi"/>
          <w:sz w:val="24"/>
          <w:szCs w:val="24"/>
        </w:rPr>
        <w:t xml:space="preserve">u vrijednosti od 18,75 milijardi kuna za veću konkurentnost, gospodarski razvoj, stvaranje radnih mjesta i </w:t>
      </w:r>
      <w:r w:rsidR="00490A80" w:rsidRPr="00A77F3F">
        <w:rPr>
          <w:rFonts w:asciiTheme="majorBidi" w:hAnsiTheme="majorBidi" w:cstheme="majorBidi"/>
          <w:sz w:val="24"/>
          <w:szCs w:val="24"/>
        </w:rPr>
        <w:t xml:space="preserve">za demografsku revitalizaciju istoka </w:t>
      </w:r>
      <w:r w:rsidRPr="00A77F3F">
        <w:rPr>
          <w:rFonts w:asciiTheme="majorBidi" w:hAnsiTheme="majorBidi" w:cstheme="majorBidi"/>
          <w:sz w:val="24"/>
          <w:szCs w:val="24"/>
        </w:rPr>
        <w:t>Hrvatske. Projekt je istovremeno i platforma za suradnju svih razina vlasti jer omogućava otvoren</w:t>
      </w:r>
      <w:r w:rsidR="000359E9" w:rsidRPr="00A77F3F">
        <w:rPr>
          <w:rFonts w:asciiTheme="majorBidi" w:hAnsiTheme="majorBidi" w:cstheme="majorBidi"/>
          <w:sz w:val="24"/>
          <w:szCs w:val="24"/>
        </w:rPr>
        <w:t>, stalan</w:t>
      </w:r>
      <w:r w:rsidRPr="00A77F3F">
        <w:rPr>
          <w:rFonts w:asciiTheme="majorBidi" w:hAnsiTheme="majorBidi" w:cstheme="majorBidi"/>
          <w:sz w:val="24"/>
          <w:szCs w:val="24"/>
        </w:rPr>
        <w:t xml:space="preserve"> i dvosmjerni dijalog o prioritetima stanovništva </w:t>
      </w:r>
      <w:r w:rsidR="00EE0FD9" w:rsidRPr="00A77F3F">
        <w:rPr>
          <w:rFonts w:asciiTheme="majorBidi" w:hAnsiTheme="majorBidi" w:cstheme="majorBidi"/>
          <w:sz w:val="24"/>
          <w:szCs w:val="24"/>
        </w:rPr>
        <w:t>i gospodarstva u tim županijama</w:t>
      </w:r>
      <w:r w:rsidR="00926AE5" w:rsidRPr="00A77F3F">
        <w:rPr>
          <w:rFonts w:asciiTheme="majorBidi" w:hAnsiTheme="majorBidi" w:cstheme="majorBidi"/>
          <w:sz w:val="24"/>
          <w:szCs w:val="24"/>
        </w:rPr>
        <w:t xml:space="preserve"> te potiče</w:t>
      </w:r>
      <w:r w:rsidR="00EE0FD9" w:rsidRPr="00A77F3F">
        <w:rPr>
          <w:rFonts w:asciiTheme="majorBidi" w:hAnsiTheme="majorBidi" w:cstheme="majorBidi"/>
          <w:sz w:val="24"/>
          <w:szCs w:val="24"/>
        </w:rPr>
        <w:t xml:space="preserve"> ugovaranj</w:t>
      </w:r>
      <w:r w:rsidR="00926AE5" w:rsidRPr="00A77F3F">
        <w:rPr>
          <w:rFonts w:asciiTheme="majorBidi" w:hAnsiTheme="majorBidi" w:cstheme="majorBidi"/>
          <w:sz w:val="24"/>
          <w:szCs w:val="24"/>
        </w:rPr>
        <w:t>e europskih projekata</w:t>
      </w:r>
      <w:r w:rsidR="00EE0FD9" w:rsidRPr="00A77F3F">
        <w:rPr>
          <w:rFonts w:asciiTheme="majorBidi" w:hAnsiTheme="majorBidi" w:cstheme="majorBidi"/>
          <w:sz w:val="24"/>
          <w:szCs w:val="24"/>
        </w:rPr>
        <w:t xml:space="preserve"> na području pet slavonskih županija. </w:t>
      </w:r>
      <w:r w:rsidRPr="00A77F3F">
        <w:rPr>
          <w:rFonts w:asciiTheme="majorBidi" w:hAnsiTheme="majorBidi" w:cstheme="majorBidi"/>
          <w:sz w:val="24"/>
          <w:szCs w:val="24"/>
        </w:rPr>
        <w:t xml:space="preserve">  </w:t>
      </w:r>
    </w:p>
    <w:p w14:paraId="67B80F7E" w14:textId="777F2FA7" w:rsidR="008C178D" w:rsidRPr="00A77F3F" w:rsidRDefault="008C178D" w:rsidP="008C178D">
      <w:pPr>
        <w:ind w:firstLine="708"/>
        <w:jc w:val="both"/>
        <w:rPr>
          <w:rFonts w:asciiTheme="majorBidi" w:hAnsiTheme="majorBidi" w:cstheme="majorBidi"/>
          <w:sz w:val="24"/>
          <w:szCs w:val="24"/>
        </w:rPr>
      </w:pPr>
      <w:r w:rsidRPr="00A77F3F">
        <w:rPr>
          <w:rFonts w:asciiTheme="majorBidi" w:hAnsiTheme="majorBidi" w:cstheme="majorBidi"/>
          <w:sz w:val="24"/>
          <w:szCs w:val="24"/>
        </w:rPr>
        <w:t xml:space="preserve">Projekt je </w:t>
      </w:r>
      <w:r w:rsidR="00D87409" w:rsidRPr="00A77F3F">
        <w:rPr>
          <w:rFonts w:asciiTheme="majorBidi" w:hAnsiTheme="majorBidi" w:cstheme="majorBidi"/>
          <w:sz w:val="24"/>
          <w:szCs w:val="24"/>
        </w:rPr>
        <w:t xml:space="preserve">ujedno bio i </w:t>
      </w:r>
      <w:r w:rsidR="00256D4A" w:rsidRPr="00A77F3F">
        <w:rPr>
          <w:rFonts w:asciiTheme="majorBidi" w:hAnsiTheme="majorBidi" w:cstheme="majorBidi"/>
          <w:sz w:val="24"/>
          <w:szCs w:val="24"/>
        </w:rPr>
        <w:t>odgovor</w:t>
      </w:r>
      <w:r w:rsidR="00453F3B" w:rsidRPr="00A77F3F">
        <w:rPr>
          <w:rFonts w:asciiTheme="majorBidi" w:hAnsiTheme="majorBidi" w:cstheme="majorBidi"/>
          <w:sz w:val="24"/>
          <w:szCs w:val="24"/>
        </w:rPr>
        <w:t xml:space="preserve"> na</w:t>
      </w:r>
      <w:r w:rsidRPr="00A77F3F">
        <w:rPr>
          <w:rFonts w:asciiTheme="majorBidi" w:hAnsiTheme="majorBidi" w:cstheme="majorBidi"/>
          <w:sz w:val="24"/>
          <w:szCs w:val="24"/>
        </w:rPr>
        <w:t xml:space="preserve"> </w:t>
      </w:r>
      <w:r w:rsidR="00066221" w:rsidRPr="00A77F3F">
        <w:rPr>
          <w:rFonts w:asciiTheme="majorBidi" w:hAnsiTheme="majorBidi" w:cstheme="majorBidi"/>
          <w:sz w:val="24"/>
          <w:szCs w:val="24"/>
        </w:rPr>
        <w:t xml:space="preserve">neadekvatno </w:t>
      </w:r>
      <w:r w:rsidRPr="00A77F3F">
        <w:rPr>
          <w:rFonts w:asciiTheme="majorBidi" w:hAnsiTheme="majorBidi" w:cstheme="majorBidi"/>
          <w:sz w:val="24"/>
          <w:szCs w:val="24"/>
        </w:rPr>
        <w:t xml:space="preserve">postavljen okvir ravnomjernog regionalnog razvoja Hrvatske tijekom planiranja europske financijske perspektive 2014. – 2020. na štetu slavonskih županija. Tadašnja Vlada, predvođena Socijaldemokratskom partijom Hrvatske </w:t>
      </w:r>
      <w:r w:rsidR="00DD0070" w:rsidRPr="00A77F3F">
        <w:rPr>
          <w:rFonts w:asciiTheme="majorBidi" w:hAnsiTheme="majorBidi" w:cstheme="majorBidi"/>
          <w:sz w:val="24"/>
          <w:szCs w:val="24"/>
        </w:rPr>
        <w:t xml:space="preserve">(SDP) </w:t>
      </w:r>
      <w:r w:rsidRPr="00A77F3F">
        <w:rPr>
          <w:rFonts w:asciiTheme="majorBidi" w:hAnsiTheme="majorBidi" w:cstheme="majorBidi"/>
          <w:sz w:val="24"/>
          <w:szCs w:val="24"/>
        </w:rPr>
        <w:t>koja je ovu interpelaciju i inicirala, propustila je prepoznati značajne razvojne razlike između glavnog grada i područja Slavonije, Baranje i Srijema</w:t>
      </w:r>
      <w:r w:rsidR="00A011C6" w:rsidRPr="00A77F3F">
        <w:rPr>
          <w:rFonts w:asciiTheme="majorBidi" w:hAnsiTheme="majorBidi" w:cstheme="majorBidi"/>
          <w:sz w:val="24"/>
          <w:szCs w:val="24"/>
        </w:rPr>
        <w:t xml:space="preserve">. </w:t>
      </w:r>
      <w:r w:rsidR="00066221" w:rsidRPr="00A77F3F">
        <w:rPr>
          <w:rFonts w:asciiTheme="majorBidi" w:hAnsiTheme="majorBidi" w:cstheme="majorBidi"/>
          <w:sz w:val="24"/>
          <w:szCs w:val="24"/>
        </w:rPr>
        <w:t>P</w:t>
      </w:r>
      <w:r w:rsidRPr="00A77F3F">
        <w:rPr>
          <w:rFonts w:asciiTheme="majorBidi" w:hAnsiTheme="majorBidi" w:cstheme="majorBidi"/>
          <w:sz w:val="24"/>
          <w:szCs w:val="24"/>
        </w:rPr>
        <w:t xml:space="preserve">et slavonskih županija </w:t>
      </w:r>
      <w:r w:rsidR="00066221" w:rsidRPr="00A77F3F">
        <w:rPr>
          <w:rFonts w:asciiTheme="majorBidi" w:hAnsiTheme="majorBidi" w:cstheme="majorBidi"/>
          <w:sz w:val="24"/>
          <w:szCs w:val="24"/>
        </w:rPr>
        <w:t xml:space="preserve">pripalo je </w:t>
      </w:r>
      <w:r w:rsidRPr="00A77F3F">
        <w:rPr>
          <w:rFonts w:asciiTheme="majorBidi" w:hAnsiTheme="majorBidi" w:cstheme="majorBidi"/>
          <w:sz w:val="24"/>
          <w:szCs w:val="24"/>
        </w:rPr>
        <w:t xml:space="preserve">istoj statističkoj regiji Kontinentalna Hrvatska, kao i Grad Zagreb, čime su svrstane u isti stupanj razvoja, a samim time stavljene u izrazito nepovoljan položaj. Imajući u vidu izraženu heterogenost NUTS 2 regije Kontinentalne Hrvatske u gospodarskom, socijalnom i demografskom smislu, projektom se isto nastojalo ublažiti. Aktualna Vlada predvođena </w:t>
      </w:r>
      <w:r w:rsidRPr="00A77F3F">
        <w:rPr>
          <w:rFonts w:asciiTheme="majorBidi" w:hAnsiTheme="majorBidi" w:cstheme="majorBidi"/>
          <w:sz w:val="24"/>
          <w:szCs w:val="24"/>
        </w:rPr>
        <w:lastRenderedPageBreak/>
        <w:t xml:space="preserve">Hrvatskom demokratskom zajednicom prepoznala je razvojne razlike te je u europskoj financijskoj perspektivi 2021. – 2027. Hrvatska podijeljena na četiri NUTS 2 regije, pri čemu su slavonske županije dio Panonske regije zbog čega će imati kvalitetniju razvojnu perspektivu. Od 2016. do 2021. godine Projektom Slavonija, Baranja i Srijem, Vlada je usmjerila pozornost prema potrebama i razvojnim projektima slavonskih županija na nacionalnoj i europskoj razini, čime se te županije, koje se svrstavaju među 2,5% najmanje razvijenih </w:t>
      </w:r>
      <w:r w:rsidR="00066221" w:rsidRPr="00A77F3F">
        <w:rPr>
          <w:rFonts w:asciiTheme="majorBidi" w:hAnsiTheme="majorBidi" w:cstheme="majorBidi"/>
          <w:sz w:val="24"/>
          <w:szCs w:val="24"/>
        </w:rPr>
        <w:t xml:space="preserve">regija tzv. NUTS 3 razine </w:t>
      </w:r>
      <w:r w:rsidRPr="00A77F3F">
        <w:rPr>
          <w:rFonts w:asciiTheme="majorBidi" w:hAnsiTheme="majorBidi" w:cstheme="majorBidi"/>
          <w:sz w:val="24"/>
          <w:szCs w:val="24"/>
        </w:rPr>
        <w:t xml:space="preserve">Europske unije, snažnije pozicioniraju i u novoj </w:t>
      </w:r>
      <w:r w:rsidR="00A011C6" w:rsidRPr="00A77F3F">
        <w:rPr>
          <w:rFonts w:asciiTheme="majorBidi" w:hAnsiTheme="majorBidi" w:cstheme="majorBidi"/>
          <w:sz w:val="24"/>
          <w:szCs w:val="24"/>
        </w:rPr>
        <w:t xml:space="preserve">europskoj </w:t>
      </w:r>
      <w:r w:rsidRPr="00A77F3F">
        <w:rPr>
          <w:rFonts w:asciiTheme="majorBidi" w:hAnsiTheme="majorBidi" w:cstheme="majorBidi"/>
          <w:sz w:val="24"/>
          <w:szCs w:val="24"/>
        </w:rPr>
        <w:t xml:space="preserve">financijskoj perspektivi od 2021. do 2027. godine. Petina </w:t>
      </w:r>
      <w:r w:rsidR="00066221" w:rsidRPr="00A77F3F">
        <w:rPr>
          <w:rFonts w:asciiTheme="majorBidi" w:hAnsiTheme="majorBidi" w:cstheme="majorBidi"/>
          <w:sz w:val="24"/>
          <w:szCs w:val="24"/>
        </w:rPr>
        <w:t xml:space="preserve">vrijednosti </w:t>
      </w:r>
      <w:r w:rsidRPr="00A77F3F">
        <w:rPr>
          <w:rFonts w:asciiTheme="majorBidi" w:hAnsiTheme="majorBidi" w:cstheme="majorBidi"/>
          <w:sz w:val="24"/>
          <w:szCs w:val="24"/>
        </w:rPr>
        <w:t xml:space="preserve">svih projekata </w:t>
      </w:r>
      <w:r w:rsidR="00066221" w:rsidRPr="00A77F3F">
        <w:rPr>
          <w:rFonts w:asciiTheme="majorBidi" w:hAnsiTheme="majorBidi" w:cstheme="majorBidi"/>
          <w:sz w:val="24"/>
          <w:szCs w:val="24"/>
        </w:rPr>
        <w:t xml:space="preserve">ugovorenih </w:t>
      </w:r>
      <w:r w:rsidRPr="00A77F3F">
        <w:rPr>
          <w:rFonts w:asciiTheme="majorBidi" w:hAnsiTheme="majorBidi" w:cstheme="majorBidi"/>
          <w:sz w:val="24"/>
          <w:szCs w:val="24"/>
        </w:rPr>
        <w:t xml:space="preserve">iz europskih fondova povezana je uz Slavoniju, Baranju i Srijem što je jedan od </w:t>
      </w:r>
      <w:r w:rsidR="00A7221B" w:rsidRPr="00A77F3F">
        <w:rPr>
          <w:rFonts w:asciiTheme="majorBidi" w:hAnsiTheme="majorBidi" w:cstheme="majorBidi"/>
          <w:sz w:val="24"/>
          <w:szCs w:val="24"/>
        </w:rPr>
        <w:t xml:space="preserve">važnih </w:t>
      </w:r>
      <w:r w:rsidRPr="00A77F3F">
        <w:rPr>
          <w:rFonts w:asciiTheme="majorBidi" w:hAnsiTheme="majorBidi" w:cstheme="majorBidi"/>
          <w:sz w:val="24"/>
          <w:szCs w:val="24"/>
        </w:rPr>
        <w:t xml:space="preserve">pokazatelja uspješnosti projekta, osobito uz činjenicu da </w:t>
      </w:r>
      <w:r w:rsidR="001A3896">
        <w:rPr>
          <w:rFonts w:asciiTheme="majorBidi" w:hAnsiTheme="majorBidi" w:cstheme="majorBidi"/>
          <w:sz w:val="24"/>
          <w:szCs w:val="24"/>
        </w:rPr>
        <w:t>s</w:t>
      </w:r>
      <w:r w:rsidRPr="00A77F3F">
        <w:rPr>
          <w:rFonts w:asciiTheme="majorBidi" w:hAnsiTheme="majorBidi" w:cstheme="majorBidi"/>
          <w:sz w:val="24"/>
          <w:szCs w:val="24"/>
        </w:rPr>
        <w:t>lavon</w:t>
      </w:r>
      <w:r w:rsidR="005E0ABA" w:rsidRPr="00A77F3F">
        <w:rPr>
          <w:rFonts w:asciiTheme="majorBidi" w:hAnsiTheme="majorBidi" w:cstheme="majorBidi"/>
          <w:sz w:val="24"/>
          <w:szCs w:val="24"/>
        </w:rPr>
        <w:t>ske županije</w:t>
      </w:r>
      <w:r w:rsidRPr="00A77F3F">
        <w:rPr>
          <w:rFonts w:asciiTheme="majorBidi" w:hAnsiTheme="majorBidi" w:cstheme="majorBidi"/>
          <w:sz w:val="24"/>
          <w:szCs w:val="24"/>
        </w:rPr>
        <w:t xml:space="preserve"> čin</w:t>
      </w:r>
      <w:r w:rsidR="005E0ABA" w:rsidRPr="00A77F3F">
        <w:rPr>
          <w:rFonts w:asciiTheme="majorBidi" w:hAnsiTheme="majorBidi" w:cstheme="majorBidi"/>
          <w:sz w:val="24"/>
          <w:szCs w:val="24"/>
        </w:rPr>
        <w:t>e</w:t>
      </w:r>
      <w:r w:rsidRPr="00A77F3F">
        <w:rPr>
          <w:rFonts w:asciiTheme="majorBidi" w:hAnsiTheme="majorBidi" w:cstheme="majorBidi"/>
          <w:sz w:val="24"/>
          <w:szCs w:val="24"/>
        </w:rPr>
        <w:t xml:space="preserve"> 11,5% BDP-a Republike Hrvatske. </w:t>
      </w:r>
    </w:p>
    <w:p w14:paraId="422F964D" w14:textId="20D58B73" w:rsidR="004045D5" w:rsidRPr="00A77F3F" w:rsidRDefault="008C178D" w:rsidP="004045D5">
      <w:pPr>
        <w:ind w:firstLine="708"/>
        <w:jc w:val="both"/>
        <w:rPr>
          <w:rFonts w:asciiTheme="majorBidi" w:hAnsiTheme="majorBidi" w:cstheme="majorBidi"/>
          <w:sz w:val="24"/>
          <w:szCs w:val="24"/>
        </w:rPr>
      </w:pPr>
      <w:r w:rsidRPr="00A77F3F">
        <w:rPr>
          <w:rFonts w:asciiTheme="majorBidi" w:hAnsiTheme="majorBidi" w:cstheme="majorBidi"/>
          <w:sz w:val="24"/>
          <w:szCs w:val="24"/>
        </w:rPr>
        <w:t>Osnovni cilj projekta je jačanje konkurentnosti i uravnoteženog regionalnog razvoja, pružanje odgovora na ključne društvene izazove, smanjenje siromaštva i povećanje standarda u slavonskim županijama.</w:t>
      </w:r>
      <w:r w:rsidR="004045D5" w:rsidRPr="00A77F3F">
        <w:rPr>
          <w:rFonts w:asciiTheme="majorBidi" w:hAnsiTheme="majorBidi" w:cstheme="majorBidi"/>
          <w:sz w:val="24"/>
          <w:szCs w:val="24"/>
        </w:rPr>
        <w:t xml:space="preserve"> </w:t>
      </w:r>
      <w:r w:rsidR="003A4438" w:rsidRPr="00A77F3F">
        <w:rPr>
          <w:rFonts w:asciiTheme="majorBidi" w:hAnsiTheme="majorBidi" w:cstheme="majorBidi"/>
          <w:sz w:val="24"/>
          <w:szCs w:val="24"/>
        </w:rPr>
        <w:t>Provedeni projekti </w:t>
      </w:r>
      <w:r w:rsidR="00FA13BC" w:rsidRPr="00A77F3F">
        <w:rPr>
          <w:rFonts w:asciiTheme="majorBidi" w:hAnsiTheme="majorBidi" w:cstheme="majorBidi"/>
          <w:sz w:val="24"/>
          <w:szCs w:val="24"/>
        </w:rPr>
        <w:t>omogućili</w:t>
      </w:r>
      <w:r w:rsidR="003A4438" w:rsidRPr="00A77F3F">
        <w:rPr>
          <w:rFonts w:asciiTheme="majorBidi" w:hAnsiTheme="majorBidi" w:cstheme="majorBidi"/>
          <w:sz w:val="24"/>
          <w:szCs w:val="24"/>
        </w:rPr>
        <w:t xml:space="preserve"> su privlačenje ulaganja u slavonske županije, </w:t>
      </w:r>
      <w:r w:rsidR="00FA13BC" w:rsidRPr="00A77F3F">
        <w:rPr>
          <w:rFonts w:asciiTheme="majorBidi" w:hAnsiTheme="majorBidi" w:cstheme="majorBidi"/>
          <w:sz w:val="24"/>
          <w:szCs w:val="24"/>
        </w:rPr>
        <w:t>stvaranje radnih mjesta</w:t>
      </w:r>
      <w:r w:rsidR="003A4438" w:rsidRPr="00A77F3F">
        <w:rPr>
          <w:rFonts w:asciiTheme="majorBidi" w:hAnsiTheme="majorBidi" w:cstheme="majorBidi"/>
          <w:sz w:val="24"/>
          <w:szCs w:val="24"/>
        </w:rPr>
        <w:t xml:space="preserve">, ulaganja u bolnice, </w:t>
      </w:r>
      <w:r w:rsidR="00FA13BC" w:rsidRPr="00A77F3F">
        <w:rPr>
          <w:rFonts w:asciiTheme="majorBidi" w:hAnsiTheme="majorBidi" w:cstheme="majorBidi"/>
          <w:sz w:val="24"/>
          <w:szCs w:val="24"/>
        </w:rPr>
        <w:t>razvoj</w:t>
      </w:r>
      <w:r w:rsidR="003A4438" w:rsidRPr="00A77F3F">
        <w:rPr>
          <w:rFonts w:asciiTheme="majorBidi" w:hAnsiTheme="majorBidi" w:cstheme="majorBidi"/>
          <w:sz w:val="24"/>
          <w:szCs w:val="24"/>
        </w:rPr>
        <w:t xml:space="preserve"> komunaln</w:t>
      </w:r>
      <w:r w:rsidR="00FA13BC" w:rsidRPr="00A77F3F">
        <w:rPr>
          <w:rFonts w:asciiTheme="majorBidi" w:hAnsiTheme="majorBidi" w:cstheme="majorBidi"/>
          <w:sz w:val="24"/>
          <w:szCs w:val="24"/>
        </w:rPr>
        <w:t>e</w:t>
      </w:r>
      <w:r w:rsidR="003A4438" w:rsidRPr="00A77F3F">
        <w:rPr>
          <w:rFonts w:asciiTheme="majorBidi" w:hAnsiTheme="majorBidi" w:cstheme="majorBidi"/>
          <w:sz w:val="24"/>
          <w:szCs w:val="24"/>
        </w:rPr>
        <w:t xml:space="preserve"> i prometn</w:t>
      </w:r>
      <w:r w:rsidR="00FA13BC" w:rsidRPr="00A77F3F">
        <w:rPr>
          <w:rFonts w:asciiTheme="majorBidi" w:hAnsiTheme="majorBidi" w:cstheme="majorBidi"/>
          <w:sz w:val="24"/>
          <w:szCs w:val="24"/>
        </w:rPr>
        <w:t>e</w:t>
      </w:r>
      <w:r w:rsidR="003A4438" w:rsidRPr="00A77F3F">
        <w:rPr>
          <w:rFonts w:asciiTheme="majorBidi" w:hAnsiTheme="majorBidi" w:cstheme="majorBidi"/>
          <w:sz w:val="24"/>
          <w:szCs w:val="24"/>
        </w:rPr>
        <w:t xml:space="preserve"> infrastruktur</w:t>
      </w:r>
      <w:r w:rsidR="00FA13BC" w:rsidRPr="00A77F3F">
        <w:rPr>
          <w:rFonts w:asciiTheme="majorBidi" w:hAnsiTheme="majorBidi" w:cstheme="majorBidi"/>
          <w:sz w:val="24"/>
          <w:szCs w:val="24"/>
        </w:rPr>
        <w:t>e</w:t>
      </w:r>
      <w:r w:rsidR="003A4438" w:rsidRPr="00A77F3F">
        <w:rPr>
          <w:rFonts w:asciiTheme="majorBidi" w:hAnsiTheme="majorBidi" w:cstheme="majorBidi"/>
          <w:sz w:val="24"/>
          <w:szCs w:val="24"/>
        </w:rPr>
        <w:t>, kvalitetnije zdravstvene i socijalne usluge, očuvanje kulturne i prirodne baštine te veću kvalitetu života, osobito djece</w:t>
      </w:r>
      <w:r w:rsidR="00C27485" w:rsidRPr="00A77F3F">
        <w:rPr>
          <w:rFonts w:asciiTheme="majorBidi" w:hAnsiTheme="majorBidi" w:cstheme="majorBidi"/>
          <w:sz w:val="24"/>
          <w:szCs w:val="24"/>
        </w:rPr>
        <w:t xml:space="preserve">, </w:t>
      </w:r>
      <w:r w:rsidR="003A4438" w:rsidRPr="00A77F3F">
        <w:rPr>
          <w:rFonts w:asciiTheme="majorBidi" w:hAnsiTheme="majorBidi" w:cstheme="majorBidi"/>
          <w:sz w:val="24"/>
          <w:szCs w:val="24"/>
        </w:rPr>
        <w:t xml:space="preserve">mladih </w:t>
      </w:r>
      <w:r w:rsidR="00C27485" w:rsidRPr="00A77F3F">
        <w:rPr>
          <w:rFonts w:asciiTheme="majorBidi" w:hAnsiTheme="majorBidi" w:cstheme="majorBidi"/>
          <w:sz w:val="24"/>
          <w:szCs w:val="24"/>
        </w:rPr>
        <w:t xml:space="preserve">i obitelji </w:t>
      </w:r>
      <w:r w:rsidR="003A4438" w:rsidRPr="00A77F3F">
        <w:rPr>
          <w:rFonts w:asciiTheme="majorBidi" w:hAnsiTheme="majorBidi" w:cstheme="majorBidi"/>
          <w:sz w:val="24"/>
          <w:szCs w:val="24"/>
        </w:rPr>
        <w:t xml:space="preserve">na istoku Hrvatske. </w:t>
      </w:r>
      <w:r w:rsidR="007639E1" w:rsidRPr="00A77F3F">
        <w:rPr>
          <w:rFonts w:asciiTheme="majorBidi" w:hAnsiTheme="majorBidi" w:cstheme="majorBidi"/>
          <w:sz w:val="24"/>
          <w:szCs w:val="24"/>
        </w:rPr>
        <w:t xml:space="preserve">U provedbi Projekta Slavonija, Baranja i Srijem Vlada provodi aktivnosti u partnerstvu s jedinicama lokalne i područne (regionalne) samouprave, Hrvatskim saborom i drugim državnim institucijama, predstavnicima gospodarstva, akademske zajednice i civilnog </w:t>
      </w:r>
      <w:r w:rsidR="001A3896">
        <w:rPr>
          <w:rFonts w:asciiTheme="majorBidi" w:hAnsiTheme="majorBidi" w:cstheme="majorBidi"/>
          <w:sz w:val="24"/>
          <w:szCs w:val="24"/>
        </w:rPr>
        <w:t xml:space="preserve">društva. </w:t>
      </w:r>
      <w:r w:rsidR="00EE0FD9" w:rsidRPr="00A77F3F">
        <w:rPr>
          <w:rFonts w:asciiTheme="majorBidi" w:hAnsiTheme="majorBidi" w:cstheme="majorBidi"/>
          <w:sz w:val="24"/>
          <w:szCs w:val="24"/>
        </w:rPr>
        <w:t>Zbog doprinosa razvoju istoka Hrvatske, značaj ovog projekta prepoznala je i Europska komisija.</w:t>
      </w:r>
    </w:p>
    <w:p w14:paraId="258F9475" w14:textId="77777777" w:rsidR="003747D8" w:rsidRDefault="00192453" w:rsidP="00385668">
      <w:pPr>
        <w:ind w:firstLine="708"/>
        <w:jc w:val="both"/>
        <w:rPr>
          <w:rFonts w:ascii="Times New Roman" w:eastAsia="Times New Roman" w:hAnsi="Times New Roman" w:cs="Times New Roman"/>
          <w:sz w:val="24"/>
          <w:szCs w:val="24"/>
          <w:lang w:eastAsia="hr-HR"/>
        </w:rPr>
      </w:pPr>
      <w:r w:rsidRPr="00A77F3F">
        <w:rPr>
          <w:rFonts w:ascii="Times New Roman" w:hAnsi="Times New Roman" w:cs="Times New Roman"/>
          <w:sz w:val="24"/>
          <w:szCs w:val="24"/>
        </w:rPr>
        <w:t>Vlada Republike Hrvatske osnovala je na sjednici održanoj 8. ožujka 2017. Savjet za Slavoniju, Baranju i Srijem (Narodne novine, broj 21/17, 66/18 i 101/20) k</w:t>
      </w:r>
      <w:r w:rsidR="00A63349" w:rsidRPr="00A77F3F">
        <w:rPr>
          <w:rFonts w:ascii="Times New Roman" w:hAnsi="Times New Roman" w:cs="Times New Roman"/>
          <w:sz w:val="24"/>
          <w:szCs w:val="24"/>
          <w:shd w:val="clear" w:color="auto" w:fill="FFFFFF"/>
        </w:rPr>
        <w:t>ao savjetodavno tijelo u području koordinacije provedbe i praćenja korištenja europskih strukturnih i investicijskih fondova, instrumenata i programa Europske unije, Europskog gospodarskog prostora i nacionalnih izvora u okviru Projekta Slavonija, Baranja i Srijem</w:t>
      </w:r>
      <w:r w:rsidRPr="00A77F3F">
        <w:rPr>
          <w:rFonts w:ascii="Times New Roman" w:hAnsi="Times New Roman" w:cs="Times New Roman"/>
          <w:sz w:val="24"/>
          <w:szCs w:val="24"/>
          <w:shd w:val="clear" w:color="auto" w:fill="FFFFFF"/>
        </w:rPr>
        <w:t xml:space="preserve">. </w:t>
      </w:r>
      <w:r w:rsidR="009E6C13" w:rsidRPr="00A77F3F">
        <w:rPr>
          <w:rFonts w:ascii="Times New Roman" w:hAnsi="Times New Roman" w:cs="Times New Roman"/>
          <w:sz w:val="24"/>
          <w:szCs w:val="24"/>
        </w:rPr>
        <w:t xml:space="preserve">Predsjednik Savjeta je predsjednik Vlade Republike Hrvatske, dok je zamjenik predsjednika Savjeta i glavni koordinator – ministar nadležan za regionalni razvoj i fondove Europske unije. Članovi Savjeta su predstavnici tijela središnje, regionalne i lokalne vlasti, akreditirani regionalni koordinatori te predstavnici gospodarskih partnera, znanstvene zajednice i drugih. </w:t>
      </w:r>
      <w:r w:rsidR="007639E1" w:rsidRPr="00A77F3F">
        <w:rPr>
          <w:rFonts w:ascii="Times New Roman" w:hAnsi="Times New Roman" w:cs="Times New Roman"/>
          <w:sz w:val="24"/>
          <w:szCs w:val="24"/>
        </w:rPr>
        <w:t>U rad Savjeta se uključuje i</w:t>
      </w:r>
      <w:r w:rsidR="00F84A1D" w:rsidRPr="00A77F3F">
        <w:rPr>
          <w:rFonts w:ascii="Times New Roman" w:hAnsi="Times New Roman" w:cs="Times New Roman"/>
          <w:sz w:val="24"/>
          <w:szCs w:val="24"/>
        </w:rPr>
        <w:t xml:space="preserve"> predstavnik</w:t>
      </w:r>
      <w:r w:rsidR="007639E1" w:rsidRPr="00A77F3F">
        <w:rPr>
          <w:rFonts w:ascii="Times New Roman" w:hAnsi="Times New Roman" w:cs="Times New Roman"/>
          <w:sz w:val="24"/>
          <w:szCs w:val="24"/>
        </w:rPr>
        <w:t>e</w:t>
      </w:r>
      <w:r w:rsidR="00F84A1D" w:rsidRPr="00A77F3F">
        <w:rPr>
          <w:rFonts w:ascii="Times New Roman" w:hAnsi="Times New Roman" w:cs="Times New Roman"/>
          <w:sz w:val="24"/>
          <w:szCs w:val="24"/>
        </w:rPr>
        <w:t xml:space="preserve"> poslovne zajednice kroz predstavnike </w:t>
      </w:r>
      <w:r w:rsidR="00F84A1D" w:rsidRPr="00A77F3F">
        <w:rPr>
          <w:rFonts w:ascii="Times New Roman" w:eastAsia="Times New Roman" w:hAnsi="Times New Roman" w:cs="Times New Roman"/>
          <w:sz w:val="24"/>
          <w:szCs w:val="24"/>
          <w:lang w:eastAsia="hr-HR"/>
        </w:rPr>
        <w:t>Hrvatske gospodarske komore, Hrvatske obrtničke komore, Hrvatske udruge poslodavaca i Hrvatske poljoprivredne komore, a kao predstavnik znanstvene zajednice sudjeluje predstavnik  Sveučilišta Josipa Jurja Strossmayera u Osijeku</w:t>
      </w:r>
      <w:r w:rsidR="004045D5" w:rsidRPr="00A77F3F">
        <w:rPr>
          <w:rFonts w:ascii="Times New Roman" w:eastAsia="Times New Roman" w:hAnsi="Times New Roman" w:cs="Times New Roman"/>
          <w:sz w:val="24"/>
          <w:szCs w:val="24"/>
          <w:lang w:eastAsia="hr-HR"/>
        </w:rPr>
        <w:t xml:space="preserve">. </w:t>
      </w:r>
    </w:p>
    <w:p w14:paraId="60762E3D" w14:textId="12BD30A7" w:rsidR="003747D8" w:rsidRPr="00C44919" w:rsidRDefault="009E6C13" w:rsidP="003747D8">
      <w:pPr>
        <w:jc w:val="both"/>
        <w:rPr>
          <w:rFonts w:ascii="Times New Roman" w:hAnsi="Times New Roman" w:cs="Times New Roman"/>
          <w:sz w:val="24"/>
          <w:szCs w:val="24"/>
        </w:rPr>
      </w:pPr>
      <w:r w:rsidRPr="00C44919">
        <w:rPr>
          <w:rFonts w:ascii="Times New Roman" w:hAnsi="Times New Roman" w:cs="Times New Roman"/>
          <w:sz w:val="24"/>
          <w:szCs w:val="24"/>
        </w:rPr>
        <w:t>Do sada je održano ukupno jedanaest (11)</w:t>
      </w:r>
      <w:r w:rsidR="00A63349" w:rsidRPr="00C44919">
        <w:rPr>
          <w:rFonts w:ascii="Times New Roman" w:hAnsi="Times New Roman" w:cs="Times New Roman"/>
          <w:sz w:val="24"/>
          <w:szCs w:val="24"/>
        </w:rPr>
        <w:t xml:space="preserve"> </w:t>
      </w:r>
      <w:r w:rsidRPr="00C44919">
        <w:rPr>
          <w:rFonts w:ascii="Times New Roman" w:hAnsi="Times New Roman" w:cs="Times New Roman"/>
          <w:sz w:val="24"/>
          <w:szCs w:val="24"/>
        </w:rPr>
        <w:t>sjednica Savjeta za Slavoniju, Baranju i Srijem</w:t>
      </w:r>
      <w:r w:rsidR="00B77F49" w:rsidRPr="00C44919">
        <w:rPr>
          <w:rFonts w:ascii="Times New Roman" w:hAnsi="Times New Roman" w:cs="Times New Roman"/>
          <w:sz w:val="24"/>
          <w:szCs w:val="24"/>
        </w:rPr>
        <w:t xml:space="preserve"> i to 1. sjednica u Osijeku 11. travnja 2017. godine, 2. sjednica u Požegi 3. srpnja 2017. godine,</w:t>
      </w:r>
      <w:r w:rsidR="00385668" w:rsidRPr="00C44919">
        <w:rPr>
          <w:rFonts w:ascii="Times New Roman" w:hAnsi="Times New Roman" w:cs="Times New Roman"/>
          <w:sz w:val="24"/>
          <w:szCs w:val="24"/>
        </w:rPr>
        <w:t xml:space="preserve"> 3. sjednica u Slavonskom Brodu 21. studenoga 2017. godine, 4. sjednica u Virovitici 24. veljače 2018. godine, 5. sjednica u Vinkovcima 20. srpnja 2018. godine, </w:t>
      </w:r>
      <w:r w:rsidR="005F158A" w:rsidRPr="00C44919">
        <w:rPr>
          <w:rFonts w:ascii="Times New Roman" w:hAnsi="Times New Roman" w:cs="Times New Roman"/>
          <w:sz w:val="24"/>
          <w:szCs w:val="24"/>
        </w:rPr>
        <w:t>6. sjednica u Belom Manastiru 21. rujna 2018. godine, 7. sjednica u Pakracu 19. prosinca 2018. godine, 8. sjednica u Novoj Gradiš</w:t>
      </w:r>
      <w:r w:rsidR="003747D8" w:rsidRPr="00C44919">
        <w:rPr>
          <w:rFonts w:ascii="Times New Roman" w:hAnsi="Times New Roman" w:cs="Times New Roman"/>
          <w:sz w:val="24"/>
          <w:szCs w:val="24"/>
        </w:rPr>
        <w:t>k</w:t>
      </w:r>
      <w:r w:rsidR="005F158A" w:rsidRPr="00C44919">
        <w:rPr>
          <w:rFonts w:ascii="Times New Roman" w:hAnsi="Times New Roman" w:cs="Times New Roman"/>
          <w:sz w:val="24"/>
          <w:szCs w:val="24"/>
        </w:rPr>
        <w:t>i</w:t>
      </w:r>
      <w:r w:rsidR="00193928" w:rsidRPr="00C44919">
        <w:rPr>
          <w:rFonts w:ascii="Times New Roman" w:hAnsi="Times New Roman" w:cs="Times New Roman"/>
          <w:sz w:val="24"/>
          <w:szCs w:val="24"/>
        </w:rPr>
        <w:t xml:space="preserve"> 16. travnja 2019. godine</w:t>
      </w:r>
      <w:r w:rsidR="005F158A" w:rsidRPr="00C44919">
        <w:rPr>
          <w:rFonts w:ascii="Times New Roman" w:hAnsi="Times New Roman" w:cs="Times New Roman"/>
          <w:sz w:val="24"/>
          <w:szCs w:val="24"/>
        </w:rPr>
        <w:t>, 9. sjednica u Orahovici</w:t>
      </w:r>
      <w:r w:rsidR="00193928" w:rsidRPr="00C44919">
        <w:rPr>
          <w:rFonts w:ascii="Times New Roman" w:hAnsi="Times New Roman" w:cs="Times New Roman"/>
          <w:sz w:val="24"/>
          <w:szCs w:val="24"/>
        </w:rPr>
        <w:t xml:space="preserve"> 3. rujna 2019. godine</w:t>
      </w:r>
      <w:r w:rsidR="005F158A" w:rsidRPr="00C44919">
        <w:rPr>
          <w:rFonts w:ascii="Times New Roman" w:hAnsi="Times New Roman" w:cs="Times New Roman"/>
          <w:sz w:val="24"/>
          <w:szCs w:val="24"/>
        </w:rPr>
        <w:t>, 10</w:t>
      </w:r>
      <w:r w:rsidR="00193928" w:rsidRPr="00C44919">
        <w:rPr>
          <w:rFonts w:ascii="Times New Roman" w:hAnsi="Times New Roman" w:cs="Times New Roman"/>
          <w:sz w:val="24"/>
          <w:szCs w:val="24"/>
        </w:rPr>
        <w:t>.</w:t>
      </w:r>
      <w:r w:rsidR="005F158A" w:rsidRPr="00C44919">
        <w:rPr>
          <w:rFonts w:ascii="Times New Roman" w:hAnsi="Times New Roman" w:cs="Times New Roman"/>
          <w:sz w:val="24"/>
          <w:szCs w:val="24"/>
        </w:rPr>
        <w:t xml:space="preserve"> sjednica u Vukovaru</w:t>
      </w:r>
      <w:r w:rsidR="00193928" w:rsidRPr="00C44919">
        <w:rPr>
          <w:rFonts w:ascii="Times New Roman" w:hAnsi="Times New Roman" w:cs="Times New Roman"/>
          <w:sz w:val="24"/>
          <w:szCs w:val="24"/>
        </w:rPr>
        <w:t xml:space="preserve"> 9. prosinca 2019. godine</w:t>
      </w:r>
      <w:r w:rsidR="005F158A" w:rsidRPr="00C44919">
        <w:rPr>
          <w:rFonts w:ascii="Times New Roman" w:hAnsi="Times New Roman" w:cs="Times New Roman"/>
          <w:sz w:val="24"/>
          <w:szCs w:val="24"/>
        </w:rPr>
        <w:t xml:space="preserve"> i 11. sjednica u Našicama</w:t>
      </w:r>
      <w:r w:rsidR="00193928" w:rsidRPr="00C44919">
        <w:rPr>
          <w:rFonts w:ascii="Times New Roman" w:hAnsi="Times New Roman" w:cs="Times New Roman"/>
          <w:sz w:val="24"/>
          <w:szCs w:val="24"/>
        </w:rPr>
        <w:t xml:space="preserve"> 5. listopada 2020. godine. </w:t>
      </w:r>
    </w:p>
    <w:p w14:paraId="67AAB38A" w14:textId="6C4D873C" w:rsidR="00A63349" w:rsidRPr="00A77F3F" w:rsidRDefault="00193928" w:rsidP="003747D8">
      <w:pPr>
        <w:jc w:val="both"/>
        <w:rPr>
          <w:rFonts w:ascii="Times New Roman" w:hAnsi="Times New Roman" w:cs="Times New Roman"/>
          <w:sz w:val="24"/>
          <w:szCs w:val="24"/>
        </w:rPr>
      </w:pPr>
      <w:r w:rsidRPr="00C44919">
        <w:rPr>
          <w:rFonts w:ascii="Times New Roman" w:hAnsi="Times New Roman" w:cs="Times New Roman"/>
          <w:sz w:val="24"/>
          <w:szCs w:val="24"/>
        </w:rPr>
        <w:lastRenderedPageBreak/>
        <w:t>Na sjednice Savjeta pozivani su zastupnici Hrvatskog sabora izabrani u IV.</w:t>
      </w:r>
      <w:r w:rsidR="003747D8" w:rsidRPr="00C44919">
        <w:rPr>
          <w:rFonts w:ascii="Times New Roman" w:hAnsi="Times New Roman" w:cs="Times New Roman"/>
          <w:sz w:val="24"/>
          <w:szCs w:val="24"/>
        </w:rPr>
        <w:t xml:space="preserve"> i V.</w:t>
      </w:r>
      <w:r w:rsidRPr="00C44919">
        <w:rPr>
          <w:rFonts w:ascii="Times New Roman" w:hAnsi="Times New Roman" w:cs="Times New Roman"/>
          <w:sz w:val="24"/>
          <w:szCs w:val="24"/>
        </w:rPr>
        <w:t xml:space="preserve"> izbornoj jedinici, uključujući i zastupnike SDP-a</w:t>
      </w:r>
      <w:r w:rsidR="003747D8" w:rsidRPr="00C44919">
        <w:t xml:space="preserve"> </w:t>
      </w:r>
      <w:r w:rsidR="003747D8" w:rsidRPr="00C44919">
        <w:rPr>
          <w:rFonts w:ascii="Times New Roman" w:hAnsi="Times New Roman" w:cs="Times New Roman"/>
          <w:sz w:val="24"/>
          <w:szCs w:val="24"/>
        </w:rPr>
        <w:t xml:space="preserve">koji se </w:t>
      </w:r>
      <w:r w:rsidR="00804132" w:rsidRPr="00C44919">
        <w:rPr>
          <w:rFonts w:ascii="Times New Roman" w:hAnsi="Times New Roman" w:cs="Times New Roman"/>
          <w:sz w:val="24"/>
          <w:szCs w:val="24"/>
        </w:rPr>
        <w:t xml:space="preserve">uglavnom </w:t>
      </w:r>
      <w:r w:rsidR="003747D8" w:rsidRPr="00C44919">
        <w:rPr>
          <w:rFonts w:ascii="Times New Roman" w:hAnsi="Times New Roman" w:cs="Times New Roman"/>
          <w:sz w:val="24"/>
          <w:szCs w:val="24"/>
        </w:rPr>
        <w:t xml:space="preserve">nisu odazivali </w:t>
      </w:r>
      <w:r w:rsidR="00804132" w:rsidRPr="00C44919">
        <w:rPr>
          <w:rFonts w:ascii="Times New Roman" w:hAnsi="Times New Roman" w:cs="Times New Roman"/>
          <w:sz w:val="24"/>
          <w:szCs w:val="24"/>
        </w:rPr>
        <w:t xml:space="preserve">pozivu </w:t>
      </w:r>
      <w:r w:rsidR="003747D8" w:rsidRPr="00C44919">
        <w:rPr>
          <w:rFonts w:ascii="Times New Roman" w:hAnsi="Times New Roman" w:cs="Times New Roman"/>
          <w:sz w:val="24"/>
          <w:szCs w:val="24"/>
        </w:rPr>
        <w:t>na sjednice Savjeta,</w:t>
      </w:r>
      <w:r w:rsidRPr="00C44919">
        <w:rPr>
          <w:rFonts w:ascii="Times New Roman" w:hAnsi="Times New Roman" w:cs="Times New Roman"/>
          <w:sz w:val="24"/>
          <w:szCs w:val="24"/>
        </w:rPr>
        <w:t xml:space="preserve"> od kojih su neki potpisnici </w:t>
      </w:r>
      <w:r w:rsidR="003747D8" w:rsidRPr="00C44919">
        <w:rPr>
          <w:rFonts w:ascii="Times New Roman" w:hAnsi="Times New Roman" w:cs="Times New Roman"/>
          <w:sz w:val="24"/>
          <w:szCs w:val="24"/>
        </w:rPr>
        <w:t>predmetne Interpelacije o radu Vlade.</w:t>
      </w:r>
    </w:p>
    <w:p w14:paraId="78EB9348" w14:textId="3503E04F" w:rsidR="009E6C13" w:rsidRPr="00013D70" w:rsidRDefault="00C27485" w:rsidP="00A63349">
      <w:pPr>
        <w:ind w:firstLine="708"/>
        <w:jc w:val="both"/>
        <w:rPr>
          <w:rFonts w:asciiTheme="majorBidi" w:hAnsiTheme="majorBidi" w:cstheme="majorBidi"/>
          <w:sz w:val="24"/>
          <w:szCs w:val="24"/>
        </w:rPr>
      </w:pPr>
      <w:r w:rsidRPr="00A77F3F">
        <w:rPr>
          <w:rFonts w:ascii="Times New Roman" w:hAnsi="Times New Roman" w:cs="Times New Roman"/>
          <w:sz w:val="24"/>
          <w:szCs w:val="24"/>
        </w:rPr>
        <w:t xml:space="preserve">Projekt će značajno pridonijeti i ublažavanju društvenih i gospodarskih posljedica </w:t>
      </w:r>
      <w:proofErr w:type="spellStart"/>
      <w:r w:rsidRPr="00A77F3F">
        <w:rPr>
          <w:rFonts w:ascii="Times New Roman" w:hAnsi="Times New Roman" w:cs="Times New Roman"/>
          <w:sz w:val="24"/>
          <w:szCs w:val="24"/>
        </w:rPr>
        <w:t>pandemije</w:t>
      </w:r>
      <w:proofErr w:type="spellEnd"/>
      <w:r w:rsidRPr="00A77F3F">
        <w:rPr>
          <w:rFonts w:ascii="Times New Roman" w:hAnsi="Times New Roman" w:cs="Times New Roman"/>
          <w:sz w:val="24"/>
          <w:szCs w:val="24"/>
        </w:rPr>
        <w:t xml:space="preserve"> na istok Hrvatske, a i</w:t>
      </w:r>
      <w:r w:rsidR="009E6C13" w:rsidRPr="00A77F3F">
        <w:rPr>
          <w:rFonts w:ascii="Times New Roman" w:hAnsi="Times New Roman" w:cs="Times New Roman"/>
          <w:sz w:val="24"/>
          <w:szCs w:val="24"/>
        </w:rPr>
        <w:t xml:space="preserve">skustvo u provedbi </w:t>
      </w:r>
      <w:r w:rsidR="00B13739" w:rsidRPr="00A77F3F">
        <w:rPr>
          <w:rFonts w:ascii="Times New Roman" w:hAnsi="Times New Roman" w:cs="Times New Roman"/>
          <w:sz w:val="24"/>
          <w:szCs w:val="24"/>
        </w:rPr>
        <w:t>projekta koristit</w:t>
      </w:r>
      <w:r w:rsidR="009E6C13" w:rsidRPr="00A77F3F">
        <w:rPr>
          <w:rFonts w:ascii="Times New Roman" w:hAnsi="Times New Roman" w:cs="Times New Roman"/>
          <w:sz w:val="24"/>
          <w:szCs w:val="24"/>
        </w:rPr>
        <w:t xml:space="preserve"> će se u narednom financijskom razdob</w:t>
      </w:r>
      <w:r w:rsidR="006E02EA" w:rsidRPr="00A77F3F">
        <w:rPr>
          <w:rFonts w:ascii="Times New Roman" w:hAnsi="Times New Roman" w:cs="Times New Roman"/>
          <w:sz w:val="24"/>
          <w:szCs w:val="24"/>
        </w:rPr>
        <w:t xml:space="preserve">lju, osobito za </w:t>
      </w:r>
      <w:r w:rsidR="009E6C13" w:rsidRPr="00A77F3F">
        <w:rPr>
          <w:rFonts w:ascii="Times New Roman" w:hAnsi="Times New Roman" w:cs="Times New Roman"/>
          <w:sz w:val="24"/>
          <w:szCs w:val="24"/>
        </w:rPr>
        <w:t>programiranj</w:t>
      </w:r>
      <w:r w:rsidR="006E02EA" w:rsidRPr="00A77F3F">
        <w:rPr>
          <w:rFonts w:ascii="Times New Roman" w:hAnsi="Times New Roman" w:cs="Times New Roman"/>
          <w:sz w:val="24"/>
          <w:szCs w:val="24"/>
        </w:rPr>
        <w:t>e</w:t>
      </w:r>
      <w:r w:rsidR="009E6C13" w:rsidRPr="00A77F3F">
        <w:rPr>
          <w:rFonts w:ascii="Times New Roman" w:hAnsi="Times New Roman" w:cs="Times New Roman"/>
          <w:sz w:val="24"/>
          <w:szCs w:val="24"/>
        </w:rPr>
        <w:t xml:space="preserve"> Integriranog teritorijalnog </w:t>
      </w:r>
      <w:r w:rsidR="00423A2A" w:rsidRPr="00A77F3F">
        <w:rPr>
          <w:rFonts w:ascii="Times New Roman" w:hAnsi="Times New Roman" w:cs="Times New Roman"/>
          <w:sz w:val="24"/>
          <w:szCs w:val="24"/>
        </w:rPr>
        <w:t xml:space="preserve">operativnog </w:t>
      </w:r>
      <w:r w:rsidR="009E6C13" w:rsidRPr="00A77F3F">
        <w:rPr>
          <w:rFonts w:ascii="Times New Roman" w:hAnsi="Times New Roman" w:cs="Times New Roman"/>
          <w:sz w:val="24"/>
          <w:szCs w:val="24"/>
        </w:rPr>
        <w:t>programa</w:t>
      </w:r>
      <w:r w:rsidR="005E0ABA" w:rsidRPr="00A77F3F">
        <w:rPr>
          <w:rFonts w:ascii="Times New Roman" w:hAnsi="Times New Roman" w:cs="Times New Roman"/>
          <w:sz w:val="24"/>
          <w:szCs w:val="24"/>
        </w:rPr>
        <w:t xml:space="preserve"> 2021.-2027</w:t>
      </w:r>
      <w:r w:rsidR="009E6C13" w:rsidRPr="00A77F3F">
        <w:rPr>
          <w:rFonts w:ascii="Times New Roman" w:hAnsi="Times New Roman" w:cs="Times New Roman"/>
          <w:sz w:val="24"/>
          <w:szCs w:val="24"/>
        </w:rPr>
        <w:t>.</w:t>
      </w:r>
      <w:r w:rsidR="009E6C13" w:rsidRPr="00013D70">
        <w:rPr>
          <w:rFonts w:ascii="Times New Roman" w:hAnsi="Times New Roman" w:cs="Times New Roman"/>
          <w:sz w:val="24"/>
          <w:szCs w:val="24"/>
        </w:rPr>
        <w:t xml:space="preserve"> </w:t>
      </w:r>
    </w:p>
    <w:p w14:paraId="10D68D2E" w14:textId="72AA7BC3" w:rsidR="002F7D90" w:rsidRPr="002F7D90" w:rsidRDefault="002F7D90" w:rsidP="002F7D90">
      <w:pPr>
        <w:pStyle w:val="ListParagraph"/>
        <w:numPr>
          <w:ilvl w:val="0"/>
          <w:numId w:val="16"/>
        </w:numPr>
        <w:jc w:val="both"/>
        <w:rPr>
          <w:rFonts w:asciiTheme="majorBidi" w:hAnsiTheme="majorBidi" w:cstheme="majorBidi"/>
          <w:b/>
          <w:bCs/>
          <w:sz w:val="24"/>
          <w:szCs w:val="24"/>
        </w:rPr>
      </w:pPr>
      <w:r w:rsidRPr="002F7D90">
        <w:rPr>
          <w:rFonts w:asciiTheme="majorBidi" w:hAnsiTheme="majorBidi" w:cstheme="majorBidi"/>
          <w:b/>
          <w:bCs/>
          <w:sz w:val="24"/>
          <w:szCs w:val="24"/>
        </w:rPr>
        <w:t>Ugovoreni i isplaćeni iznosi</w:t>
      </w:r>
    </w:p>
    <w:p w14:paraId="1340809C" w14:textId="14507688" w:rsidR="003C50FB" w:rsidRPr="003C50FB" w:rsidRDefault="00F559C9" w:rsidP="004C252A">
      <w:pPr>
        <w:ind w:firstLine="708"/>
        <w:jc w:val="both"/>
        <w:rPr>
          <w:rFonts w:asciiTheme="majorBidi" w:hAnsiTheme="majorBidi" w:cstheme="majorBidi"/>
          <w:bCs/>
          <w:sz w:val="24"/>
          <w:szCs w:val="24"/>
        </w:rPr>
      </w:pPr>
      <w:r>
        <w:rPr>
          <w:rFonts w:asciiTheme="majorBidi" w:hAnsiTheme="majorBidi" w:cstheme="majorBidi"/>
          <w:bCs/>
          <w:sz w:val="24"/>
          <w:szCs w:val="24"/>
        </w:rPr>
        <w:t>Vezano uz navode iz točke 2.2. I</w:t>
      </w:r>
      <w:r w:rsidR="003C50FB" w:rsidRPr="003C50FB">
        <w:rPr>
          <w:rFonts w:asciiTheme="majorBidi" w:hAnsiTheme="majorBidi" w:cstheme="majorBidi"/>
          <w:bCs/>
          <w:sz w:val="24"/>
          <w:szCs w:val="24"/>
        </w:rPr>
        <w:t xml:space="preserve">nterpelacije koji se odnose na ugovorene isplaćene iznose u okviru projekta, očitujemo se kako slijedi: </w:t>
      </w:r>
    </w:p>
    <w:p w14:paraId="0E27C908" w14:textId="49A62A78" w:rsidR="003C50FB" w:rsidRPr="004C252A" w:rsidRDefault="003C50FB" w:rsidP="004C252A">
      <w:pPr>
        <w:ind w:firstLine="708"/>
        <w:jc w:val="both"/>
        <w:rPr>
          <w:rStyle w:val="Strong"/>
          <w:rFonts w:asciiTheme="majorBidi" w:hAnsiTheme="majorBidi" w:cstheme="majorBidi"/>
          <w:b w:val="0"/>
          <w:bCs w:val="0"/>
          <w:sz w:val="24"/>
          <w:szCs w:val="24"/>
          <w:shd w:val="clear" w:color="auto" w:fill="FFFFFF"/>
        </w:rPr>
      </w:pPr>
      <w:r w:rsidRPr="003C50FB">
        <w:rPr>
          <w:rFonts w:asciiTheme="majorBidi" w:hAnsiTheme="majorBidi" w:cstheme="majorBidi"/>
          <w:bCs/>
          <w:sz w:val="24"/>
          <w:szCs w:val="24"/>
        </w:rPr>
        <w:t xml:space="preserve">Sukladno elektroničkoj evidenciji Ministarstva regionalnoga razvoja i fondova Europske unije, na stranicama www.strukturnifondovi.hr na dan 15. rujna 2020. su ažurirani podaci prema kojima </w:t>
      </w:r>
      <w:r w:rsidR="008D7915">
        <w:rPr>
          <w:rFonts w:asciiTheme="majorBidi" w:hAnsiTheme="majorBidi" w:cstheme="majorBidi"/>
          <w:bCs/>
          <w:sz w:val="24"/>
          <w:szCs w:val="24"/>
        </w:rPr>
        <w:t xml:space="preserve">su </w:t>
      </w:r>
      <w:r w:rsidRPr="003C50FB">
        <w:rPr>
          <w:rFonts w:asciiTheme="majorBidi" w:hAnsiTheme="majorBidi" w:cstheme="majorBidi"/>
          <w:bCs/>
          <w:sz w:val="24"/>
          <w:szCs w:val="24"/>
        </w:rPr>
        <w:t>zaključn</w:t>
      </w:r>
      <w:r w:rsidR="008D7915">
        <w:rPr>
          <w:rFonts w:asciiTheme="majorBidi" w:hAnsiTheme="majorBidi" w:cstheme="majorBidi"/>
          <w:bCs/>
          <w:sz w:val="24"/>
          <w:szCs w:val="24"/>
        </w:rPr>
        <w:t>o s 31. kolovoza 2020. ugovorene 16,53 milijarde</w:t>
      </w:r>
      <w:r w:rsidRPr="003C50FB">
        <w:rPr>
          <w:rFonts w:asciiTheme="majorBidi" w:hAnsiTheme="majorBidi" w:cstheme="majorBidi"/>
          <w:bCs/>
          <w:sz w:val="24"/>
          <w:szCs w:val="24"/>
        </w:rPr>
        <w:t xml:space="preserve"> kuna odnosno 88,16% ciljanog iznosa. Nadalje, na dan 4. studenoga 2020. su na stranici ažurirani podaci prema kojima je stanje ugovorenih sredstava </w:t>
      </w:r>
      <w:r w:rsidRPr="003C50FB">
        <w:rPr>
          <w:rFonts w:asciiTheme="majorBidi" w:hAnsiTheme="majorBidi" w:cstheme="majorBidi"/>
          <w:sz w:val="24"/>
          <w:szCs w:val="24"/>
        </w:rPr>
        <w:t>16,78 milijardi kuna odnosno 89,50% ciljanog iznosa zaključno s 30. rujna 2020.</w:t>
      </w:r>
      <w:r w:rsidR="00AA7C25">
        <w:rPr>
          <w:rFonts w:asciiTheme="majorBidi" w:hAnsiTheme="majorBidi" w:cstheme="majorBidi"/>
          <w:sz w:val="24"/>
          <w:szCs w:val="24"/>
        </w:rPr>
        <w:t xml:space="preserve"> </w:t>
      </w:r>
      <w:r w:rsidRPr="003C50FB">
        <w:rPr>
          <w:rFonts w:asciiTheme="majorBidi" w:hAnsiTheme="majorBidi" w:cstheme="majorBidi"/>
          <w:sz w:val="24"/>
          <w:szCs w:val="24"/>
        </w:rPr>
        <w:t>godine.</w:t>
      </w:r>
    </w:p>
    <w:p w14:paraId="74860DE8" w14:textId="3215108B" w:rsidR="003C50FB" w:rsidRPr="00013D70" w:rsidRDefault="00A63349" w:rsidP="00A63349">
      <w:pPr>
        <w:ind w:firstLine="708"/>
        <w:jc w:val="both"/>
        <w:rPr>
          <w:rFonts w:ascii="Times New Roman" w:hAnsi="Times New Roman" w:cs="Times New Roman"/>
          <w:sz w:val="24"/>
          <w:szCs w:val="24"/>
        </w:rPr>
      </w:pPr>
      <w:r w:rsidRPr="00013D70">
        <w:rPr>
          <w:rStyle w:val="Strong"/>
          <w:rFonts w:ascii="Times New Roman" w:hAnsi="Times New Roman" w:cs="Times New Roman"/>
          <w:color w:val="000000"/>
          <w:sz w:val="24"/>
          <w:szCs w:val="24"/>
          <w:shd w:val="clear" w:color="auto" w:fill="FFFFFF"/>
        </w:rPr>
        <w:t xml:space="preserve">Na dan 8. prosinca 2020. stranica </w:t>
      </w:r>
      <w:hyperlink r:id="rId9" w:history="1">
        <w:r w:rsidRPr="00013D70">
          <w:rPr>
            <w:rStyle w:val="Hyperlink"/>
            <w:rFonts w:ascii="Times New Roman" w:hAnsi="Times New Roman" w:cs="Times New Roman"/>
            <w:sz w:val="24"/>
            <w:szCs w:val="24"/>
            <w:shd w:val="clear" w:color="auto" w:fill="FFFFFF"/>
          </w:rPr>
          <w:t>www.strukturnifondovi.hr</w:t>
        </w:r>
      </w:hyperlink>
      <w:r w:rsidRPr="00013D70">
        <w:rPr>
          <w:rFonts w:ascii="Times New Roman" w:hAnsi="Times New Roman" w:cs="Times New Roman"/>
          <w:sz w:val="24"/>
          <w:szCs w:val="24"/>
        </w:rPr>
        <w:t xml:space="preserve"> je ažurirana podacima kako je navedeno dalje u tekstu. U tijeku je ažuriranje podataka zaključno s 31. prosinca 2020. te će nakon verifikacije isti biti dostupni na stranici </w:t>
      </w:r>
      <w:hyperlink r:id="rId10" w:history="1">
        <w:r w:rsidRPr="00013D70">
          <w:rPr>
            <w:rStyle w:val="Hyperlink"/>
            <w:rFonts w:ascii="Times New Roman" w:hAnsi="Times New Roman" w:cs="Times New Roman"/>
            <w:sz w:val="24"/>
            <w:szCs w:val="24"/>
            <w:shd w:val="clear" w:color="auto" w:fill="FFFFFF"/>
          </w:rPr>
          <w:t>www.strukturnifondovi.hr</w:t>
        </w:r>
      </w:hyperlink>
      <w:r w:rsidRPr="00013D70">
        <w:rPr>
          <w:rFonts w:ascii="Times New Roman" w:hAnsi="Times New Roman" w:cs="Times New Roman"/>
          <w:sz w:val="24"/>
          <w:szCs w:val="24"/>
        </w:rPr>
        <w:t>.</w:t>
      </w:r>
      <w:r w:rsidR="003C50FB" w:rsidRPr="00013D70">
        <w:rPr>
          <w:rFonts w:ascii="Times New Roman" w:hAnsi="Times New Roman" w:cs="Times New Roman"/>
          <w:sz w:val="24"/>
          <w:szCs w:val="24"/>
        </w:rPr>
        <w:t xml:space="preserve"> </w:t>
      </w:r>
    </w:p>
    <w:p w14:paraId="38E3E162" w14:textId="0D5C242D" w:rsidR="003C50FB" w:rsidRPr="003C50FB" w:rsidRDefault="003C50FB" w:rsidP="003C50FB">
      <w:pPr>
        <w:ind w:firstLine="708"/>
        <w:jc w:val="both"/>
        <w:rPr>
          <w:rFonts w:asciiTheme="majorBidi" w:hAnsiTheme="majorBidi" w:cstheme="majorBidi"/>
          <w:bCs/>
          <w:sz w:val="24"/>
          <w:szCs w:val="24"/>
        </w:rPr>
      </w:pPr>
      <w:r w:rsidRPr="00013D70">
        <w:rPr>
          <w:rFonts w:asciiTheme="majorBidi" w:hAnsiTheme="majorBidi" w:cstheme="majorBidi"/>
          <w:bCs/>
          <w:sz w:val="24"/>
          <w:szCs w:val="24"/>
        </w:rPr>
        <w:t>Kroz O</w:t>
      </w:r>
      <w:r w:rsidRPr="003C50FB">
        <w:rPr>
          <w:rFonts w:asciiTheme="majorBidi" w:hAnsiTheme="majorBidi" w:cstheme="majorBidi"/>
          <w:bCs/>
          <w:sz w:val="24"/>
          <w:szCs w:val="24"/>
        </w:rPr>
        <w:t>perativni program Konkurentnost i kohezija, Operativni program Učinkoviti ljudski potencijali, Program ruralnog razvoja, Operativni program za pomorstvo i ribarstvo, Operativni program za hranu i/ili osnovnu materijalnu pomoć, Programe Unije, Europsku teritorijalnu suradnju te</w:t>
      </w:r>
      <w:r w:rsidRPr="003C50FB">
        <w:rPr>
          <w:rFonts w:asciiTheme="majorBidi" w:hAnsiTheme="majorBidi" w:cstheme="majorBidi"/>
          <w:sz w:val="24"/>
          <w:szCs w:val="24"/>
        </w:rPr>
        <w:t xml:space="preserve"> </w:t>
      </w:r>
      <w:r w:rsidRPr="003C50FB">
        <w:rPr>
          <w:rFonts w:asciiTheme="majorBidi" w:hAnsiTheme="majorBidi" w:cstheme="majorBidi"/>
          <w:bCs/>
          <w:sz w:val="24"/>
          <w:szCs w:val="24"/>
        </w:rPr>
        <w:t xml:space="preserve">vrijednost državne imovine koja je dana u vlasništvo jedinica lokalne i područne (regionalne) samouprave na području Slavonije, Baranje i Srijema za razdoblje 2014.-2020., </w:t>
      </w:r>
      <w:r w:rsidRPr="003C50FB">
        <w:rPr>
          <w:rFonts w:asciiTheme="majorBidi" w:hAnsiTheme="majorBidi" w:cstheme="majorBidi"/>
          <w:b/>
          <w:sz w:val="24"/>
          <w:szCs w:val="24"/>
        </w:rPr>
        <w:t>za pet slavonskih županija</w:t>
      </w:r>
      <w:r w:rsidR="004D22F4">
        <w:rPr>
          <w:rFonts w:asciiTheme="majorBidi" w:hAnsiTheme="majorBidi" w:cstheme="majorBidi"/>
          <w:b/>
          <w:sz w:val="24"/>
          <w:szCs w:val="24"/>
        </w:rPr>
        <w:t xml:space="preserve"> od početka praćenja </w:t>
      </w:r>
      <w:r w:rsidRPr="003C50FB">
        <w:rPr>
          <w:rFonts w:asciiTheme="majorBidi" w:hAnsiTheme="majorBidi" w:cstheme="majorBidi"/>
          <w:b/>
          <w:sz w:val="24"/>
          <w:szCs w:val="24"/>
        </w:rPr>
        <w:t>do 31. listopada 2020. ugovoreno je 17,02 milijardi kuna</w:t>
      </w:r>
      <w:r w:rsidRPr="003C50FB">
        <w:rPr>
          <w:rFonts w:asciiTheme="majorBidi" w:hAnsiTheme="majorBidi" w:cstheme="majorBidi"/>
          <w:bCs/>
          <w:sz w:val="24"/>
          <w:szCs w:val="24"/>
        </w:rPr>
        <w:t xml:space="preserve">, odnosno </w:t>
      </w:r>
      <w:r w:rsidRPr="003C50FB">
        <w:rPr>
          <w:rFonts w:asciiTheme="majorBidi" w:hAnsiTheme="majorBidi" w:cstheme="majorBidi"/>
          <w:b/>
          <w:sz w:val="24"/>
          <w:szCs w:val="24"/>
        </w:rPr>
        <w:t>90,76% od ciljanog iznosa</w:t>
      </w:r>
      <w:r w:rsidR="00AA7C25">
        <w:rPr>
          <w:rFonts w:asciiTheme="majorBidi" w:hAnsiTheme="majorBidi" w:cstheme="majorBidi"/>
          <w:b/>
          <w:sz w:val="24"/>
          <w:szCs w:val="24"/>
        </w:rPr>
        <w:t>,</w:t>
      </w:r>
      <w:r w:rsidRPr="003C50FB">
        <w:rPr>
          <w:rFonts w:asciiTheme="majorBidi" w:hAnsiTheme="majorBidi" w:cstheme="majorBidi"/>
          <w:bCs/>
          <w:sz w:val="24"/>
          <w:szCs w:val="24"/>
        </w:rPr>
        <w:t xml:space="preserve"> 18,75 milijardi kuna.</w:t>
      </w:r>
    </w:p>
    <w:p w14:paraId="3411AC12" w14:textId="77777777" w:rsidR="004C252A" w:rsidRPr="004C252A" w:rsidRDefault="004C252A" w:rsidP="004C252A">
      <w:pPr>
        <w:ind w:firstLine="708"/>
        <w:jc w:val="both"/>
        <w:rPr>
          <w:rFonts w:asciiTheme="majorBidi" w:hAnsiTheme="majorBidi" w:cstheme="majorBidi"/>
          <w:bCs/>
          <w:sz w:val="24"/>
          <w:szCs w:val="24"/>
        </w:rPr>
      </w:pPr>
      <w:r w:rsidRPr="004C252A">
        <w:rPr>
          <w:rFonts w:asciiTheme="majorBidi" w:hAnsiTheme="majorBidi" w:cstheme="majorBidi"/>
          <w:bCs/>
          <w:sz w:val="24"/>
          <w:szCs w:val="24"/>
        </w:rPr>
        <w:t>Navedeni iznos se odnosi na 21 219 projekata.</w:t>
      </w:r>
    </w:p>
    <w:p w14:paraId="59F03741" w14:textId="4B1A04D2" w:rsidR="003C50FB" w:rsidRPr="003C50FB" w:rsidRDefault="004C252A" w:rsidP="00E475B6">
      <w:pPr>
        <w:ind w:firstLine="708"/>
        <w:jc w:val="both"/>
        <w:rPr>
          <w:rFonts w:asciiTheme="majorBidi" w:hAnsiTheme="majorBidi" w:cstheme="majorBidi"/>
          <w:sz w:val="24"/>
          <w:szCs w:val="24"/>
        </w:rPr>
      </w:pPr>
      <w:r w:rsidRPr="004C252A">
        <w:rPr>
          <w:rFonts w:asciiTheme="majorBidi" w:hAnsiTheme="majorBidi" w:cstheme="majorBidi"/>
          <w:bCs/>
          <w:sz w:val="24"/>
          <w:szCs w:val="24"/>
        </w:rPr>
        <w:t xml:space="preserve">U razdoblju od </w:t>
      </w:r>
      <w:r w:rsidR="004D22F4">
        <w:rPr>
          <w:rFonts w:asciiTheme="majorBidi" w:hAnsiTheme="majorBidi" w:cstheme="majorBidi"/>
          <w:bCs/>
          <w:sz w:val="24"/>
          <w:szCs w:val="24"/>
        </w:rPr>
        <w:t xml:space="preserve">početka praćenja </w:t>
      </w:r>
      <w:r w:rsidR="008D7915">
        <w:rPr>
          <w:rFonts w:asciiTheme="majorBidi" w:hAnsiTheme="majorBidi" w:cstheme="majorBidi"/>
          <w:bCs/>
          <w:sz w:val="24"/>
          <w:szCs w:val="24"/>
        </w:rPr>
        <w:t>do 30. rujna 2020. isplaćene su 7,54 milijarde</w:t>
      </w:r>
      <w:r w:rsidRPr="004C252A">
        <w:rPr>
          <w:rFonts w:asciiTheme="majorBidi" w:hAnsiTheme="majorBidi" w:cstheme="majorBidi"/>
          <w:bCs/>
          <w:sz w:val="24"/>
          <w:szCs w:val="24"/>
        </w:rPr>
        <w:t xml:space="preserve"> kuna.</w:t>
      </w:r>
    </w:p>
    <w:tbl>
      <w:tblPr>
        <w:tblW w:w="9781" w:type="dxa"/>
        <w:jc w:val="center"/>
        <w:tblLook w:val="04A0" w:firstRow="1" w:lastRow="0" w:firstColumn="1" w:lastColumn="0" w:noHBand="0" w:noVBand="1"/>
      </w:tblPr>
      <w:tblGrid>
        <w:gridCol w:w="3686"/>
        <w:gridCol w:w="2835"/>
        <w:gridCol w:w="3260"/>
      </w:tblGrid>
      <w:tr w:rsidR="00036B03" w:rsidRPr="004C2F3D" w14:paraId="59C9B7BA" w14:textId="77777777" w:rsidTr="00427DD6">
        <w:trPr>
          <w:trHeight w:val="499"/>
          <w:jc w:val="center"/>
        </w:trPr>
        <w:tc>
          <w:tcPr>
            <w:tcW w:w="3686"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14:paraId="76BF76CE" w14:textId="77777777" w:rsidR="00036B03" w:rsidRPr="00036B03" w:rsidRDefault="00036B03" w:rsidP="00427DD6">
            <w:pPr>
              <w:spacing w:after="0" w:line="240" w:lineRule="auto"/>
              <w:jc w:val="center"/>
              <w:rPr>
                <w:rFonts w:asciiTheme="majorBidi" w:hAnsiTheme="majorBidi" w:cstheme="majorBidi"/>
                <w:b/>
                <w:bCs/>
                <w:color w:val="1C4587"/>
                <w:sz w:val="20"/>
                <w:szCs w:val="20"/>
              </w:rPr>
            </w:pPr>
            <w:r w:rsidRPr="00036B03">
              <w:rPr>
                <w:rFonts w:asciiTheme="majorBidi" w:hAnsiTheme="majorBidi" w:cstheme="majorBidi"/>
                <w:b/>
                <w:bCs/>
                <w:color w:val="1C4587"/>
                <w:sz w:val="20"/>
                <w:szCs w:val="20"/>
              </w:rPr>
              <w:t>2014.-2020.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3DA5BD" w14:textId="1DD53A35" w:rsidR="00036B03" w:rsidRPr="00036B03" w:rsidRDefault="00036B03" w:rsidP="00427DD6">
            <w:pPr>
              <w:spacing w:after="0" w:line="240" w:lineRule="auto"/>
              <w:jc w:val="center"/>
              <w:rPr>
                <w:rFonts w:asciiTheme="majorBidi" w:hAnsiTheme="majorBidi" w:cstheme="majorBidi"/>
                <w:b/>
                <w:bCs/>
                <w:color w:val="1C4587"/>
                <w:sz w:val="20"/>
                <w:szCs w:val="20"/>
              </w:rPr>
            </w:pPr>
            <w:r w:rsidRPr="00036B03">
              <w:rPr>
                <w:rFonts w:asciiTheme="majorBidi" w:hAnsiTheme="majorBidi" w:cstheme="majorBidi"/>
                <w:b/>
                <w:bCs/>
                <w:color w:val="1C4587"/>
                <w:sz w:val="20"/>
                <w:szCs w:val="20"/>
              </w:rPr>
              <w:t xml:space="preserve">Ugovoreno ukupno u svih pet županija </w:t>
            </w:r>
            <w:r w:rsidR="004D22F4">
              <w:rPr>
                <w:rFonts w:asciiTheme="majorBidi" w:hAnsiTheme="majorBidi" w:cstheme="majorBidi"/>
                <w:b/>
                <w:bCs/>
                <w:color w:val="1C4587"/>
                <w:sz w:val="20"/>
                <w:szCs w:val="20"/>
              </w:rPr>
              <w:t xml:space="preserve">do </w:t>
            </w:r>
            <w:r w:rsidRPr="00036B03">
              <w:rPr>
                <w:rFonts w:asciiTheme="majorBidi" w:hAnsiTheme="majorBidi" w:cstheme="majorBidi"/>
                <w:b/>
                <w:bCs/>
                <w:color w:val="1C4587"/>
                <w:sz w:val="20"/>
                <w:szCs w:val="20"/>
              </w:rPr>
              <w:t>31.10.20.</w:t>
            </w:r>
          </w:p>
        </w:tc>
        <w:tc>
          <w:tcPr>
            <w:tcW w:w="3260" w:type="dxa"/>
            <w:tcBorders>
              <w:top w:val="single" w:sz="4" w:space="0" w:color="auto"/>
              <w:left w:val="single" w:sz="4" w:space="0" w:color="auto"/>
              <w:bottom w:val="single" w:sz="4" w:space="0" w:color="auto"/>
              <w:right w:val="single" w:sz="4" w:space="0" w:color="auto"/>
            </w:tcBorders>
          </w:tcPr>
          <w:p w14:paraId="1A0C0287" w14:textId="1826BAB4" w:rsidR="00036B03" w:rsidRPr="00036B03" w:rsidRDefault="00036B03" w:rsidP="00427DD6">
            <w:pPr>
              <w:spacing w:after="0" w:line="240" w:lineRule="auto"/>
              <w:jc w:val="center"/>
              <w:rPr>
                <w:rFonts w:asciiTheme="majorBidi" w:hAnsiTheme="majorBidi" w:cstheme="majorBidi"/>
                <w:b/>
                <w:bCs/>
                <w:color w:val="1C4587"/>
                <w:sz w:val="20"/>
                <w:szCs w:val="20"/>
              </w:rPr>
            </w:pPr>
            <w:r w:rsidRPr="00036B03">
              <w:rPr>
                <w:rFonts w:asciiTheme="majorBidi" w:hAnsiTheme="majorBidi" w:cstheme="majorBidi"/>
                <w:b/>
                <w:bCs/>
                <w:color w:val="1C4587"/>
                <w:sz w:val="20"/>
                <w:szCs w:val="20"/>
              </w:rPr>
              <w:t xml:space="preserve">Isplaćeno ukupno u svih pet županija </w:t>
            </w:r>
            <w:r w:rsidR="004D22F4">
              <w:rPr>
                <w:rFonts w:asciiTheme="majorBidi" w:hAnsiTheme="majorBidi" w:cstheme="majorBidi"/>
                <w:b/>
                <w:bCs/>
                <w:color w:val="1C4587"/>
                <w:sz w:val="20"/>
                <w:szCs w:val="20"/>
              </w:rPr>
              <w:t xml:space="preserve">do </w:t>
            </w:r>
            <w:r w:rsidRPr="00036B03">
              <w:rPr>
                <w:rFonts w:asciiTheme="majorBidi" w:hAnsiTheme="majorBidi" w:cstheme="majorBidi"/>
                <w:b/>
                <w:bCs/>
                <w:color w:val="1C4587"/>
                <w:sz w:val="20"/>
                <w:szCs w:val="20"/>
              </w:rPr>
              <w:t>30.9.20.</w:t>
            </w:r>
          </w:p>
        </w:tc>
      </w:tr>
      <w:tr w:rsidR="00036B03" w:rsidRPr="004C2F3D" w14:paraId="4D4E9203" w14:textId="77777777" w:rsidTr="00427DD6">
        <w:trPr>
          <w:trHeight w:val="567"/>
          <w:jc w:val="center"/>
        </w:trPr>
        <w:tc>
          <w:tcPr>
            <w:tcW w:w="3686" w:type="dxa"/>
            <w:tcBorders>
              <w:top w:val="nil"/>
              <w:left w:val="single" w:sz="4" w:space="0" w:color="auto"/>
              <w:bottom w:val="single" w:sz="4" w:space="0" w:color="auto"/>
              <w:right w:val="single" w:sz="4" w:space="0" w:color="auto"/>
            </w:tcBorders>
            <w:shd w:val="clear" w:color="000000" w:fill="E2EFDA"/>
            <w:vAlign w:val="center"/>
            <w:hideMark/>
          </w:tcPr>
          <w:p w14:paraId="2A9A4DBD" w14:textId="77777777" w:rsidR="00036B03" w:rsidRPr="00036B03" w:rsidRDefault="00036B03" w:rsidP="00427DD6">
            <w:pPr>
              <w:spacing w:after="0" w:line="240" w:lineRule="auto"/>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OP Konkurentnost i kohezija</w:t>
            </w:r>
          </w:p>
        </w:tc>
        <w:tc>
          <w:tcPr>
            <w:tcW w:w="2835" w:type="dxa"/>
            <w:tcBorders>
              <w:top w:val="single" w:sz="4" w:space="0" w:color="auto"/>
              <w:left w:val="single" w:sz="4" w:space="0" w:color="auto"/>
              <w:bottom w:val="single" w:sz="4" w:space="0" w:color="auto"/>
              <w:right w:val="single" w:sz="4" w:space="0" w:color="auto"/>
            </w:tcBorders>
            <w:shd w:val="clear" w:color="000000" w:fill="E2EFDA"/>
            <w:vAlign w:val="center"/>
          </w:tcPr>
          <w:p w14:paraId="7CA5061A" w14:textId="504D4BD3"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9.291.503.922</w:t>
            </w:r>
          </w:p>
        </w:tc>
        <w:tc>
          <w:tcPr>
            <w:tcW w:w="3260" w:type="dxa"/>
            <w:tcBorders>
              <w:top w:val="single" w:sz="4" w:space="0" w:color="auto"/>
              <w:left w:val="single" w:sz="4" w:space="0" w:color="auto"/>
              <w:bottom w:val="single" w:sz="4" w:space="0" w:color="auto"/>
              <w:right w:val="single" w:sz="4" w:space="0" w:color="auto"/>
            </w:tcBorders>
            <w:shd w:val="clear" w:color="000000" w:fill="E2EFDA"/>
            <w:vAlign w:val="center"/>
          </w:tcPr>
          <w:p w14:paraId="1D6F2E43" w14:textId="77777777"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sz w:val="20"/>
                <w:szCs w:val="20"/>
              </w:rPr>
              <w:t>2.996.035.800</w:t>
            </w:r>
          </w:p>
        </w:tc>
      </w:tr>
      <w:tr w:rsidR="00036B03" w:rsidRPr="004C2F3D" w14:paraId="4E13FCCA" w14:textId="77777777" w:rsidTr="00427DD6">
        <w:trPr>
          <w:trHeight w:val="567"/>
          <w:jc w:val="center"/>
        </w:trPr>
        <w:tc>
          <w:tcPr>
            <w:tcW w:w="3686" w:type="dxa"/>
            <w:tcBorders>
              <w:top w:val="nil"/>
              <w:left w:val="single" w:sz="4" w:space="0" w:color="auto"/>
              <w:bottom w:val="single" w:sz="4" w:space="0" w:color="auto"/>
              <w:right w:val="single" w:sz="4" w:space="0" w:color="auto"/>
            </w:tcBorders>
            <w:shd w:val="clear" w:color="000000" w:fill="E2EFDA"/>
            <w:vAlign w:val="center"/>
            <w:hideMark/>
          </w:tcPr>
          <w:p w14:paraId="5A44567A" w14:textId="77777777" w:rsidR="00036B03" w:rsidRPr="00036B03" w:rsidRDefault="00036B03" w:rsidP="00427DD6">
            <w:pPr>
              <w:spacing w:after="0" w:line="240" w:lineRule="auto"/>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OP Učinkoviti ljudski potencijali</w:t>
            </w:r>
          </w:p>
        </w:tc>
        <w:tc>
          <w:tcPr>
            <w:tcW w:w="2835" w:type="dxa"/>
            <w:tcBorders>
              <w:top w:val="nil"/>
              <w:left w:val="single" w:sz="4" w:space="0" w:color="auto"/>
              <w:bottom w:val="single" w:sz="4" w:space="0" w:color="auto"/>
              <w:right w:val="single" w:sz="4" w:space="0" w:color="auto"/>
            </w:tcBorders>
            <w:shd w:val="clear" w:color="000000" w:fill="E2EFDA"/>
            <w:vAlign w:val="center"/>
          </w:tcPr>
          <w:p w14:paraId="0AB67AEA" w14:textId="2770BF93"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1.851.745.703</w:t>
            </w:r>
          </w:p>
        </w:tc>
        <w:tc>
          <w:tcPr>
            <w:tcW w:w="3260" w:type="dxa"/>
            <w:tcBorders>
              <w:top w:val="nil"/>
              <w:left w:val="single" w:sz="4" w:space="0" w:color="auto"/>
              <w:bottom w:val="single" w:sz="4" w:space="0" w:color="auto"/>
              <w:right w:val="single" w:sz="4" w:space="0" w:color="auto"/>
            </w:tcBorders>
            <w:shd w:val="clear" w:color="000000" w:fill="E2EFDA"/>
            <w:vAlign w:val="center"/>
          </w:tcPr>
          <w:p w14:paraId="37CCFD08" w14:textId="77777777"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sz w:val="20"/>
                <w:szCs w:val="20"/>
              </w:rPr>
              <w:t>811.630.694</w:t>
            </w:r>
          </w:p>
        </w:tc>
      </w:tr>
      <w:tr w:rsidR="00036B03" w:rsidRPr="00AE3B16" w14:paraId="58F695CB" w14:textId="77777777" w:rsidTr="00427DD6">
        <w:trPr>
          <w:trHeight w:val="567"/>
          <w:jc w:val="center"/>
        </w:trPr>
        <w:tc>
          <w:tcPr>
            <w:tcW w:w="3686" w:type="dxa"/>
            <w:tcBorders>
              <w:top w:val="nil"/>
              <w:left w:val="single" w:sz="4" w:space="0" w:color="auto"/>
              <w:bottom w:val="single" w:sz="4" w:space="0" w:color="auto"/>
              <w:right w:val="single" w:sz="4" w:space="0" w:color="auto"/>
            </w:tcBorders>
            <w:shd w:val="clear" w:color="000000" w:fill="E2EFDA"/>
            <w:vAlign w:val="center"/>
            <w:hideMark/>
          </w:tcPr>
          <w:p w14:paraId="6FD5A5E6" w14:textId="77777777" w:rsidR="00036B03" w:rsidRPr="00036B03" w:rsidRDefault="00036B03" w:rsidP="00427DD6">
            <w:pPr>
              <w:spacing w:after="0" w:line="240" w:lineRule="auto"/>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Program ruralnog razvoja</w:t>
            </w:r>
          </w:p>
        </w:tc>
        <w:tc>
          <w:tcPr>
            <w:tcW w:w="2835" w:type="dxa"/>
            <w:tcBorders>
              <w:top w:val="nil"/>
              <w:left w:val="single" w:sz="4" w:space="0" w:color="auto"/>
              <w:bottom w:val="single" w:sz="4" w:space="0" w:color="auto"/>
              <w:right w:val="single" w:sz="4" w:space="0" w:color="auto"/>
            </w:tcBorders>
            <w:shd w:val="clear" w:color="000000" w:fill="E2EFDA"/>
            <w:vAlign w:val="center"/>
          </w:tcPr>
          <w:p w14:paraId="724A648F" w14:textId="57974861"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5.020.028.806</w:t>
            </w:r>
          </w:p>
        </w:tc>
        <w:tc>
          <w:tcPr>
            <w:tcW w:w="3260" w:type="dxa"/>
            <w:tcBorders>
              <w:top w:val="nil"/>
              <w:left w:val="single" w:sz="4" w:space="0" w:color="auto"/>
              <w:bottom w:val="single" w:sz="4" w:space="0" w:color="auto"/>
              <w:right w:val="single" w:sz="4" w:space="0" w:color="auto"/>
            </w:tcBorders>
            <w:shd w:val="clear" w:color="000000" w:fill="E2EFDA"/>
            <w:vAlign w:val="center"/>
          </w:tcPr>
          <w:p w14:paraId="54F1BD43" w14:textId="77777777"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sz w:val="20"/>
                <w:szCs w:val="20"/>
              </w:rPr>
              <w:t>3.514.074.569</w:t>
            </w:r>
          </w:p>
        </w:tc>
      </w:tr>
      <w:tr w:rsidR="00036B03" w:rsidRPr="004C2F3D" w14:paraId="72815EB3" w14:textId="77777777" w:rsidTr="00427DD6">
        <w:trPr>
          <w:trHeight w:val="567"/>
          <w:jc w:val="center"/>
        </w:trPr>
        <w:tc>
          <w:tcPr>
            <w:tcW w:w="3686" w:type="dxa"/>
            <w:tcBorders>
              <w:top w:val="nil"/>
              <w:left w:val="single" w:sz="4" w:space="0" w:color="auto"/>
              <w:bottom w:val="single" w:sz="4" w:space="0" w:color="auto"/>
              <w:right w:val="single" w:sz="4" w:space="0" w:color="auto"/>
            </w:tcBorders>
            <w:shd w:val="clear" w:color="000000" w:fill="E2EFDA"/>
            <w:vAlign w:val="center"/>
            <w:hideMark/>
          </w:tcPr>
          <w:p w14:paraId="06DD8084" w14:textId="77777777" w:rsidR="00036B03" w:rsidRPr="00036B03" w:rsidRDefault="00036B03" w:rsidP="00427DD6">
            <w:pPr>
              <w:spacing w:after="0" w:line="240" w:lineRule="auto"/>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OP za pomorstvo i ribarstvo</w:t>
            </w:r>
          </w:p>
        </w:tc>
        <w:tc>
          <w:tcPr>
            <w:tcW w:w="2835" w:type="dxa"/>
            <w:tcBorders>
              <w:top w:val="nil"/>
              <w:left w:val="single" w:sz="4" w:space="0" w:color="auto"/>
              <w:bottom w:val="single" w:sz="4" w:space="0" w:color="auto"/>
              <w:right w:val="single" w:sz="4" w:space="0" w:color="auto"/>
            </w:tcBorders>
            <w:shd w:val="clear" w:color="000000" w:fill="E2EFDA"/>
            <w:vAlign w:val="center"/>
          </w:tcPr>
          <w:p w14:paraId="7A97ED6A" w14:textId="33146AE5"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76.127.745</w:t>
            </w:r>
          </w:p>
        </w:tc>
        <w:tc>
          <w:tcPr>
            <w:tcW w:w="3260" w:type="dxa"/>
            <w:tcBorders>
              <w:top w:val="nil"/>
              <w:left w:val="single" w:sz="4" w:space="0" w:color="auto"/>
              <w:bottom w:val="single" w:sz="4" w:space="0" w:color="auto"/>
              <w:right w:val="single" w:sz="4" w:space="0" w:color="auto"/>
            </w:tcBorders>
            <w:shd w:val="clear" w:color="000000" w:fill="E2EFDA"/>
            <w:vAlign w:val="center"/>
          </w:tcPr>
          <w:p w14:paraId="7B6BD2C2" w14:textId="77777777"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sz w:val="20"/>
                <w:szCs w:val="20"/>
              </w:rPr>
              <w:t>24.694.546</w:t>
            </w:r>
          </w:p>
        </w:tc>
      </w:tr>
      <w:tr w:rsidR="00036B03" w:rsidRPr="004C2F3D" w14:paraId="3ECF573F" w14:textId="77777777" w:rsidTr="00427DD6">
        <w:trPr>
          <w:trHeight w:val="567"/>
          <w:jc w:val="center"/>
        </w:trPr>
        <w:tc>
          <w:tcPr>
            <w:tcW w:w="3686" w:type="dxa"/>
            <w:tcBorders>
              <w:top w:val="nil"/>
              <w:left w:val="single" w:sz="4" w:space="0" w:color="auto"/>
              <w:bottom w:val="single" w:sz="4" w:space="0" w:color="auto"/>
              <w:right w:val="nil"/>
            </w:tcBorders>
            <w:shd w:val="clear" w:color="000000" w:fill="E2EFDA"/>
            <w:vAlign w:val="center"/>
            <w:hideMark/>
          </w:tcPr>
          <w:p w14:paraId="681AED8A" w14:textId="77777777" w:rsidR="00036B03" w:rsidRPr="00036B03" w:rsidRDefault="00036B03" w:rsidP="00427DD6">
            <w:pPr>
              <w:spacing w:after="0" w:line="240" w:lineRule="auto"/>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lastRenderedPageBreak/>
              <w:t>OP za hranu i/ili osnovnu materijalnu pomoć</w:t>
            </w:r>
          </w:p>
        </w:tc>
        <w:tc>
          <w:tcPr>
            <w:tcW w:w="2835" w:type="dxa"/>
            <w:tcBorders>
              <w:top w:val="nil"/>
              <w:left w:val="single" w:sz="4" w:space="0" w:color="auto"/>
              <w:bottom w:val="single" w:sz="4" w:space="0" w:color="auto"/>
              <w:right w:val="single" w:sz="4" w:space="0" w:color="auto"/>
            </w:tcBorders>
            <w:shd w:val="clear" w:color="000000" w:fill="E2EFDA"/>
            <w:vAlign w:val="center"/>
          </w:tcPr>
          <w:p w14:paraId="357BB56B" w14:textId="304F8380"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60.304.379</w:t>
            </w:r>
          </w:p>
          <w:p w14:paraId="6C17B25A" w14:textId="0AF7E64B" w:rsidR="00036B03" w:rsidRPr="00036B03" w:rsidRDefault="00036B03" w:rsidP="00427DD6">
            <w:pPr>
              <w:spacing w:after="0" w:line="240" w:lineRule="auto"/>
              <w:jc w:val="center"/>
              <w:rPr>
                <w:rFonts w:asciiTheme="majorBidi" w:hAnsiTheme="majorBidi" w:cstheme="majorBidi"/>
                <w:b/>
                <w:bCs/>
                <w:color w:val="000000"/>
                <w:sz w:val="20"/>
                <w:szCs w:val="20"/>
              </w:rPr>
            </w:pPr>
          </w:p>
        </w:tc>
        <w:tc>
          <w:tcPr>
            <w:tcW w:w="3260" w:type="dxa"/>
            <w:tcBorders>
              <w:top w:val="nil"/>
              <w:left w:val="single" w:sz="4" w:space="0" w:color="auto"/>
              <w:bottom w:val="single" w:sz="4" w:space="0" w:color="auto"/>
              <w:right w:val="single" w:sz="4" w:space="0" w:color="auto"/>
            </w:tcBorders>
            <w:shd w:val="clear" w:color="000000" w:fill="E2EFDA"/>
            <w:vAlign w:val="center"/>
          </w:tcPr>
          <w:p w14:paraId="64222420" w14:textId="5E484469" w:rsidR="00036B03" w:rsidRPr="00036B03" w:rsidRDefault="00036B03" w:rsidP="00427DD6">
            <w:pPr>
              <w:spacing w:after="0" w:line="240" w:lineRule="auto"/>
              <w:jc w:val="center"/>
              <w:rPr>
                <w:rFonts w:asciiTheme="majorBidi" w:hAnsiTheme="majorBidi" w:cstheme="majorBidi"/>
                <w:b/>
                <w:bCs/>
                <w:sz w:val="20"/>
                <w:szCs w:val="20"/>
              </w:rPr>
            </w:pPr>
            <w:r w:rsidRPr="00036B03">
              <w:rPr>
                <w:rFonts w:asciiTheme="majorBidi" w:hAnsiTheme="majorBidi" w:cstheme="majorBidi"/>
                <w:b/>
                <w:bCs/>
                <w:sz w:val="20"/>
                <w:szCs w:val="20"/>
              </w:rPr>
              <w:t>46.244.402</w:t>
            </w:r>
          </w:p>
          <w:p w14:paraId="0CD0BC2A" w14:textId="634A9499" w:rsidR="00036B03" w:rsidRPr="00036B03" w:rsidRDefault="00036B03" w:rsidP="00427DD6">
            <w:pPr>
              <w:spacing w:after="0" w:line="240" w:lineRule="auto"/>
              <w:jc w:val="center"/>
              <w:rPr>
                <w:rFonts w:asciiTheme="majorBidi" w:hAnsiTheme="majorBidi" w:cstheme="majorBidi"/>
                <w:b/>
                <w:bCs/>
                <w:color w:val="000000"/>
                <w:sz w:val="20"/>
                <w:szCs w:val="20"/>
              </w:rPr>
            </w:pPr>
          </w:p>
        </w:tc>
      </w:tr>
      <w:tr w:rsidR="00036B03" w:rsidRPr="004C2F3D" w14:paraId="00A3DA6E" w14:textId="77777777" w:rsidTr="00427DD6">
        <w:trPr>
          <w:trHeight w:val="567"/>
          <w:jc w:val="center"/>
        </w:trPr>
        <w:tc>
          <w:tcPr>
            <w:tcW w:w="3686" w:type="dxa"/>
            <w:tcBorders>
              <w:top w:val="nil"/>
              <w:left w:val="single" w:sz="4" w:space="0" w:color="auto"/>
              <w:bottom w:val="single" w:sz="4" w:space="0" w:color="auto"/>
              <w:right w:val="nil"/>
            </w:tcBorders>
            <w:shd w:val="clear" w:color="000000" w:fill="E2EFDA"/>
            <w:vAlign w:val="center"/>
            <w:hideMark/>
          </w:tcPr>
          <w:p w14:paraId="3352EA5F" w14:textId="77777777" w:rsidR="00036B03" w:rsidRPr="00036B03" w:rsidRDefault="00036B03" w:rsidP="00427DD6">
            <w:pPr>
              <w:spacing w:after="0" w:line="240" w:lineRule="auto"/>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Europska teritorijalna suradnja</w:t>
            </w:r>
          </w:p>
        </w:tc>
        <w:tc>
          <w:tcPr>
            <w:tcW w:w="2835" w:type="dxa"/>
            <w:tcBorders>
              <w:top w:val="nil"/>
              <w:left w:val="single" w:sz="4" w:space="0" w:color="auto"/>
              <w:bottom w:val="single" w:sz="4" w:space="0" w:color="auto"/>
              <w:right w:val="single" w:sz="4" w:space="0" w:color="auto"/>
            </w:tcBorders>
            <w:shd w:val="clear" w:color="000000" w:fill="E2EFDA"/>
            <w:vAlign w:val="center"/>
          </w:tcPr>
          <w:p w14:paraId="0EF61A3A" w14:textId="65EB97DF"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272.950.810</w:t>
            </w:r>
          </w:p>
        </w:tc>
        <w:tc>
          <w:tcPr>
            <w:tcW w:w="3260" w:type="dxa"/>
            <w:tcBorders>
              <w:top w:val="nil"/>
              <w:left w:val="single" w:sz="4" w:space="0" w:color="auto"/>
              <w:bottom w:val="single" w:sz="4" w:space="0" w:color="auto"/>
              <w:right w:val="single" w:sz="4" w:space="0" w:color="auto"/>
            </w:tcBorders>
            <w:shd w:val="clear" w:color="000000" w:fill="E2EFDA"/>
            <w:vAlign w:val="center"/>
          </w:tcPr>
          <w:p w14:paraId="770E74CD" w14:textId="77777777"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sz w:val="20"/>
                <w:szCs w:val="20"/>
              </w:rPr>
              <w:t>146.321.278</w:t>
            </w:r>
          </w:p>
        </w:tc>
      </w:tr>
      <w:tr w:rsidR="00036B03" w:rsidRPr="004C2F3D" w14:paraId="5F933B7E" w14:textId="77777777" w:rsidTr="00427DD6">
        <w:trPr>
          <w:trHeight w:val="567"/>
          <w:jc w:val="center"/>
        </w:trPr>
        <w:tc>
          <w:tcPr>
            <w:tcW w:w="3686" w:type="dxa"/>
            <w:tcBorders>
              <w:top w:val="nil"/>
              <w:left w:val="single" w:sz="4" w:space="0" w:color="auto"/>
              <w:bottom w:val="single" w:sz="4" w:space="0" w:color="auto"/>
              <w:right w:val="nil"/>
            </w:tcBorders>
            <w:shd w:val="clear" w:color="000000" w:fill="E2EFDA"/>
            <w:vAlign w:val="center"/>
          </w:tcPr>
          <w:p w14:paraId="28FF6E7A" w14:textId="77777777" w:rsidR="00036B03" w:rsidRPr="00036B03" w:rsidRDefault="00036B03" w:rsidP="00427DD6">
            <w:pPr>
              <w:spacing w:after="0" w:line="240" w:lineRule="auto"/>
              <w:rPr>
                <w:rFonts w:asciiTheme="majorBidi" w:hAnsiTheme="majorBidi" w:cstheme="majorBidi"/>
                <w:b/>
                <w:bCs/>
                <w:color w:val="000000"/>
                <w:sz w:val="20"/>
                <w:szCs w:val="20"/>
              </w:rPr>
            </w:pPr>
            <w:bookmarkStart w:id="0" w:name="_Hlk57978850"/>
            <w:r w:rsidRPr="00036B03">
              <w:rPr>
                <w:rFonts w:asciiTheme="majorBidi" w:hAnsiTheme="majorBidi" w:cstheme="majorBidi"/>
                <w:b/>
                <w:bCs/>
                <w:color w:val="000000"/>
                <w:sz w:val="20"/>
                <w:szCs w:val="20"/>
              </w:rPr>
              <w:t>Vrijednost državne imovine koja je dana u vlasništvo JLP(R)S na području SBS</w:t>
            </w:r>
            <w:bookmarkEnd w:id="0"/>
          </w:p>
        </w:tc>
        <w:tc>
          <w:tcPr>
            <w:tcW w:w="2835" w:type="dxa"/>
            <w:tcBorders>
              <w:top w:val="single" w:sz="4" w:space="0" w:color="auto"/>
              <w:left w:val="single" w:sz="4" w:space="0" w:color="auto"/>
              <w:bottom w:val="single" w:sz="4" w:space="0" w:color="auto"/>
              <w:right w:val="single" w:sz="4" w:space="0" w:color="auto"/>
            </w:tcBorders>
            <w:shd w:val="clear" w:color="000000" w:fill="E2EFDA"/>
            <w:vAlign w:val="center"/>
          </w:tcPr>
          <w:p w14:paraId="6A3E00DB" w14:textId="770A1A0B"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252.288.756</w:t>
            </w:r>
          </w:p>
        </w:tc>
        <w:tc>
          <w:tcPr>
            <w:tcW w:w="3260" w:type="dxa"/>
            <w:tcBorders>
              <w:top w:val="nil"/>
              <w:left w:val="single" w:sz="4" w:space="0" w:color="auto"/>
              <w:bottom w:val="single" w:sz="4" w:space="0" w:color="auto"/>
              <w:right w:val="single" w:sz="4" w:space="0" w:color="auto"/>
            </w:tcBorders>
            <w:shd w:val="clear" w:color="000000" w:fill="E2EFDA"/>
            <w:vAlign w:val="center"/>
          </w:tcPr>
          <w:p w14:paraId="76316241" w14:textId="77777777" w:rsidR="00036B03" w:rsidRPr="00036B03" w:rsidRDefault="00036B03" w:rsidP="00427DD6">
            <w:pPr>
              <w:spacing w:after="0" w:line="240" w:lineRule="auto"/>
              <w:jc w:val="center"/>
              <w:rPr>
                <w:rFonts w:asciiTheme="majorBidi" w:hAnsiTheme="majorBidi" w:cstheme="majorBidi"/>
                <w:b/>
                <w:bCs/>
                <w:sz w:val="20"/>
                <w:szCs w:val="20"/>
              </w:rPr>
            </w:pPr>
            <w:r w:rsidRPr="00036B03">
              <w:rPr>
                <w:rFonts w:asciiTheme="majorBidi" w:hAnsiTheme="majorBidi" w:cstheme="majorBidi"/>
                <w:b/>
                <w:bCs/>
                <w:sz w:val="20"/>
                <w:szCs w:val="20"/>
              </w:rPr>
              <w:t>/</w:t>
            </w:r>
          </w:p>
        </w:tc>
      </w:tr>
      <w:tr w:rsidR="00036B03" w:rsidRPr="004C2F3D" w14:paraId="6DF4AA18" w14:textId="77777777" w:rsidTr="00427DD6">
        <w:trPr>
          <w:trHeight w:val="567"/>
          <w:jc w:val="center"/>
        </w:trPr>
        <w:tc>
          <w:tcPr>
            <w:tcW w:w="3686" w:type="dxa"/>
            <w:tcBorders>
              <w:top w:val="nil"/>
              <w:left w:val="single" w:sz="4" w:space="0" w:color="auto"/>
              <w:bottom w:val="single" w:sz="4" w:space="0" w:color="auto"/>
              <w:right w:val="nil"/>
            </w:tcBorders>
            <w:shd w:val="clear" w:color="000000" w:fill="E2EFDA"/>
            <w:vAlign w:val="center"/>
          </w:tcPr>
          <w:p w14:paraId="2E5E2F8F" w14:textId="77777777" w:rsidR="00036B03" w:rsidRPr="00036B03" w:rsidRDefault="00036B03" w:rsidP="00427DD6">
            <w:pPr>
              <w:spacing w:after="0" w:line="240" w:lineRule="auto"/>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Programi Unije</w:t>
            </w:r>
          </w:p>
        </w:tc>
        <w:tc>
          <w:tcPr>
            <w:tcW w:w="2835" w:type="dxa"/>
            <w:tcBorders>
              <w:top w:val="nil"/>
              <w:left w:val="single" w:sz="4" w:space="0" w:color="auto"/>
              <w:bottom w:val="single" w:sz="4" w:space="0" w:color="auto"/>
              <w:right w:val="single" w:sz="4" w:space="0" w:color="auto"/>
            </w:tcBorders>
            <w:shd w:val="clear" w:color="000000" w:fill="E2EFDA"/>
            <w:vAlign w:val="center"/>
          </w:tcPr>
          <w:p w14:paraId="6E53522B" w14:textId="6F0E4421"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192.172.919</w:t>
            </w:r>
          </w:p>
        </w:tc>
        <w:tc>
          <w:tcPr>
            <w:tcW w:w="3260" w:type="dxa"/>
            <w:tcBorders>
              <w:top w:val="nil"/>
              <w:left w:val="single" w:sz="4" w:space="0" w:color="auto"/>
              <w:bottom w:val="single" w:sz="4" w:space="0" w:color="auto"/>
              <w:right w:val="single" w:sz="4" w:space="0" w:color="auto"/>
            </w:tcBorders>
            <w:shd w:val="clear" w:color="000000" w:fill="E2EFDA"/>
            <w:vAlign w:val="center"/>
          </w:tcPr>
          <w:p w14:paraId="24626620" w14:textId="77777777" w:rsidR="00036B03" w:rsidRPr="00036B03" w:rsidRDefault="00036B03" w:rsidP="00427DD6">
            <w:pPr>
              <w:spacing w:after="0" w:line="240" w:lineRule="auto"/>
              <w:jc w:val="center"/>
              <w:rPr>
                <w:rFonts w:asciiTheme="majorBidi" w:hAnsiTheme="majorBidi" w:cstheme="majorBidi"/>
                <w:b/>
                <w:bCs/>
                <w:sz w:val="20"/>
                <w:szCs w:val="20"/>
              </w:rPr>
            </w:pPr>
            <w:r w:rsidRPr="00036B03">
              <w:rPr>
                <w:rFonts w:asciiTheme="majorBidi" w:hAnsiTheme="majorBidi" w:cstheme="majorBidi"/>
                <w:b/>
                <w:bCs/>
                <w:sz w:val="20"/>
                <w:szCs w:val="20"/>
              </w:rPr>
              <w:t>/</w:t>
            </w:r>
          </w:p>
        </w:tc>
      </w:tr>
      <w:tr w:rsidR="00036B03" w:rsidRPr="004C2F3D" w14:paraId="4EA372AF" w14:textId="77777777" w:rsidTr="00427DD6">
        <w:trPr>
          <w:trHeight w:val="567"/>
          <w:jc w:val="center"/>
        </w:trPr>
        <w:tc>
          <w:tcPr>
            <w:tcW w:w="3686"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5E2E5E11" w14:textId="77777777" w:rsidR="00036B03" w:rsidRPr="00036B03" w:rsidRDefault="00036B03" w:rsidP="00427DD6">
            <w:pPr>
              <w:spacing w:after="0" w:line="240" w:lineRule="auto"/>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Ukupno ugovoreno/isplaćeno bespovratnih sredstava</w:t>
            </w:r>
          </w:p>
        </w:tc>
        <w:tc>
          <w:tcPr>
            <w:tcW w:w="2835"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33DB9C0D" w14:textId="77777777" w:rsidR="00036B03" w:rsidRPr="00036B03" w:rsidRDefault="00036B03" w:rsidP="00427DD6">
            <w:pPr>
              <w:spacing w:after="0" w:line="240" w:lineRule="auto"/>
              <w:jc w:val="center"/>
              <w:rPr>
                <w:rFonts w:asciiTheme="majorBidi" w:hAnsiTheme="majorBidi" w:cstheme="majorBidi"/>
                <w:b/>
                <w:bCs/>
                <w:color w:val="000000"/>
                <w:sz w:val="20"/>
                <w:szCs w:val="20"/>
              </w:rPr>
            </w:pPr>
          </w:p>
          <w:p w14:paraId="0AFE6B74" w14:textId="77777777"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color w:val="000000"/>
                <w:sz w:val="20"/>
                <w:szCs w:val="20"/>
              </w:rPr>
              <w:t>17.017.123.039</w:t>
            </w:r>
          </w:p>
          <w:p w14:paraId="5D6CF49D" w14:textId="77777777" w:rsidR="00036B03" w:rsidRPr="00036B03" w:rsidRDefault="00036B03" w:rsidP="00427DD6">
            <w:pPr>
              <w:spacing w:after="0" w:line="240" w:lineRule="auto"/>
              <w:jc w:val="center"/>
              <w:rPr>
                <w:rFonts w:asciiTheme="majorBidi" w:hAnsiTheme="majorBidi" w:cstheme="majorBidi"/>
                <w:b/>
                <w:bCs/>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F2DBDB" w:themeFill="accent2" w:themeFillTint="33"/>
            <w:vAlign w:val="center"/>
          </w:tcPr>
          <w:p w14:paraId="38DB42EE" w14:textId="77777777" w:rsidR="00036B03" w:rsidRPr="00036B03" w:rsidRDefault="00036B03" w:rsidP="00427DD6">
            <w:pPr>
              <w:spacing w:after="0" w:line="240" w:lineRule="auto"/>
              <w:jc w:val="center"/>
              <w:rPr>
                <w:rFonts w:asciiTheme="majorBidi" w:hAnsiTheme="majorBidi" w:cstheme="majorBidi"/>
                <w:b/>
                <w:bCs/>
                <w:color w:val="000000"/>
                <w:sz w:val="20"/>
                <w:szCs w:val="20"/>
              </w:rPr>
            </w:pPr>
            <w:r w:rsidRPr="00036B03">
              <w:rPr>
                <w:rFonts w:asciiTheme="majorBidi" w:hAnsiTheme="majorBidi" w:cstheme="majorBidi"/>
                <w:b/>
                <w:bCs/>
                <w:sz w:val="20"/>
                <w:szCs w:val="20"/>
              </w:rPr>
              <w:t>7.539.001.288</w:t>
            </w:r>
          </w:p>
        </w:tc>
      </w:tr>
    </w:tbl>
    <w:p w14:paraId="32BC6366" w14:textId="77777777" w:rsidR="003C50FB" w:rsidRPr="003C50FB" w:rsidRDefault="003C50FB" w:rsidP="003C50FB">
      <w:pPr>
        <w:jc w:val="both"/>
        <w:rPr>
          <w:rFonts w:asciiTheme="majorBidi" w:hAnsiTheme="majorBidi" w:cstheme="majorBidi"/>
          <w:sz w:val="24"/>
          <w:szCs w:val="24"/>
        </w:rPr>
      </w:pPr>
    </w:p>
    <w:p w14:paraId="652D0922" w14:textId="0C67E6DF" w:rsidR="003C50FB" w:rsidRPr="003C50FB" w:rsidRDefault="003C50FB" w:rsidP="00E475B6">
      <w:pPr>
        <w:jc w:val="both"/>
        <w:rPr>
          <w:rFonts w:asciiTheme="majorBidi" w:hAnsiTheme="majorBidi" w:cstheme="majorBidi"/>
          <w:sz w:val="24"/>
          <w:szCs w:val="24"/>
        </w:rPr>
      </w:pPr>
      <w:r w:rsidRPr="003C50FB">
        <w:rPr>
          <w:rFonts w:asciiTheme="majorBidi" w:hAnsiTheme="majorBidi" w:cstheme="majorBidi"/>
          <w:sz w:val="24"/>
          <w:szCs w:val="24"/>
        </w:rPr>
        <w:t xml:space="preserve">Podaci po županijama za ugovoreno obuhvaćaju razdoblje </w:t>
      </w:r>
      <w:r w:rsidR="009B505F">
        <w:rPr>
          <w:rFonts w:asciiTheme="majorBidi" w:hAnsiTheme="majorBidi" w:cstheme="majorBidi"/>
          <w:sz w:val="24"/>
          <w:szCs w:val="24"/>
        </w:rPr>
        <w:t xml:space="preserve">od početka praćenja </w:t>
      </w:r>
      <w:r w:rsidRPr="003C50FB">
        <w:rPr>
          <w:rFonts w:asciiTheme="majorBidi" w:hAnsiTheme="majorBidi" w:cstheme="majorBidi"/>
          <w:sz w:val="24"/>
          <w:szCs w:val="24"/>
        </w:rPr>
        <w:t xml:space="preserve">do 31. listopada 2020., a podaci za isplaćeno su do 30. rujna 2020.: </w:t>
      </w:r>
    </w:p>
    <w:p w14:paraId="0BC45A56" w14:textId="77777777" w:rsidR="003C50FB" w:rsidRPr="003C50FB" w:rsidRDefault="003C50FB" w:rsidP="003C50FB">
      <w:pPr>
        <w:jc w:val="both"/>
        <w:rPr>
          <w:rFonts w:asciiTheme="majorBidi" w:hAnsiTheme="majorBidi" w:cstheme="majorBidi"/>
          <w:b/>
          <w:bCs/>
          <w:sz w:val="24"/>
          <w:szCs w:val="24"/>
        </w:rPr>
      </w:pPr>
      <w:r w:rsidRPr="003C50FB">
        <w:rPr>
          <w:rFonts w:asciiTheme="majorBidi" w:hAnsiTheme="majorBidi" w:cstheme="majorBidi"/>
          <w:b/>
          <w:bCs/>
          <w:sz w:val="24"/>
          <w:szCs w:val="24"/>
        </w:rPr>
        <w:t>BRODSKO-POSAVSKA ŽUPANIJA</w:t>
      </w:r>
    </w:p>
    <w:p w14:paraId="06CA5635" w14:textId="78688445" w:rsidR="003C50FB" w:rsidRPr="003C50FB" w:rsidRDefault="008D7915" w:rsidP="003C50FB">
      <w:pPr>
        <w:jc w:val="both"/>
        <w:rPr>
          <w:rFonts w:asciiTheme="majorBidi" w:hAnsiTheme="majorBidi" w:cstheme="majorBidi"/>
          <w:sz w:val="24"/>
          <w:szCs w:val="24"/>
        </w:rPr>
      </w:pPr>
      <w:r>
        <w:rPr>
          <w:rFonts w:asciiTheme="majorBidi" w:hAnsiTheme="majorBidi" w:cstheme="majorBidi"/>
          <w:sz w:val="24"/>
          <w:szCs w:val="24"/>
        </w:rPr>
        <w:t>Ugovoreno 1,74 milijarde HRK (228,71 milijun</w:t>
      </w:r>
      <w:r w:rsidR="003C50FB" w:rsidRPr="003C50FB">
        <w:rPr>
          <w:rFonts w:asciiTheme="majorBidi" w:hAnsiTheme="majorBidi" w:cstheme="majorBidi"/>
          <w:sz w:val="24"/>
          <w:szCs w:val="24"/>
        </w:rPr>
        <w:t xml:space="preserve"> EUR)</w:t>
      </w:r>
    </w:p>
    <w:p w14:paraId="6521F1A9" w14:textId="3D74F67E" w:rsidR="003C50FB" w:rsidRPr="003C50FB" w:rsidRDefault="008D7915" w:rsidP="00E475B6">
      <w:pPr>
        <w:jc w:val="both"/>
        <w:rPr>
          <w:rFonts w:asciiTheme="majorBidi" w:hAnsiTheme="majorBidi" w:cstheme="majorBidi"/>
          <w:sz w:val="24"/>
          <w:szCs w:val="24"/>
        </w:rPr>
      </w:pPr>
      <w:r>
        <w:rPr>
          <w:rFonts w:asciiTheme="majorBidi" w:hAnsiTheme="majorBidi" w:cstheme="majorBidi"/>
          <w:sz w:val="24"/>
          <w:szCs w:val="24"/>
        </w:rPr>
        <w:t>Isplaćeno je 933,01 milijun</w:t>
      </w:r>
      <w:r w:rsidR="003C50FB" w:rsidRPr="003C50FB">
        <w:rPr>
          <w:rFonts w:asciiTheme="majorBidi" w:hAnsiTheme="majorBidi" w:cstheme="majorBidi"/>
          <w:sz w:val="24"/>
          <w:szCs w:val="24"/>
        </w:rPr>
        <w:t xml:space="preserve"> HRK (122,76 milijuna EUR)</w:t>
      </w:r>
    </w:p>
    <w:p w14:paraId="6240CBB1" w14:textId="77777777" w:rsidR="003C50FB" w:rsidRPr="003C50FB" w:rsidRDefault="003C50FB" w:rsidP="003C50FB">
      <w:pPr>
        <w:jc w:val="both"/>
        <w:rPr>
          <w:rFonts w:asciiTheme="majorBidi" w:hAnsiTheme="majorBidi" w:cstheme="majorBidi"/>
          <w:b/>
          <w:bCs/>
          <w:sz w:val="24"/>
          <w:szCs w:val="24"/>
        </w:rPr>
      </w:pPr>
      <w:r w:rsidRPr="003C50FB">
        <w:rPr>
          <w:rFonts w:asciiTheme="majorBidi" w:hAnsiTheme="majorBidi" w:cstheme="majorBidi"/>
          <w:b/>
          <w:bCs/>
          <w:sz w:val="24"/>
          <w:szCs w:val="24"/>
        </w:rPr>
        <w:t>OSJEČKO-BARANJSKA ŽUPANIJA</w:t>
      </w:r>
    </w:p>
    <w:p w14:paraId="6AD32355" w14:textId="75BF540E" w:rsidR="003C50FB" w:rsidRPr="003C50FB" w:rsidRDefault="003C50FB" w:rsidP="003C50FB">
      <w:pPr>
        <w:jc w:val="both"/>
        <w:rPr>
          <w:rFonts w:asciiTheme="majorBidi" w:hAnsiTheme="majorBidi" w:cstheme="majorBidi"/>
          <w:sz w:val="24"/>
          <w:szCs w:val="24"/>
        </w:rPr>
      </w:pPr>
      <w:r w:rsidRPr="003C50FB">
        <w:rPr>
          <w:rFonts w:asciiTheme="majorBidi" w:hAnsiTheme="majorBidi" w:cstheme="majorBidi"/>
          <w:sz w:val="24"/>
          <w:szCs w:val="24"/>
        </w:rPr>
        <w:t>Ugovoreno 5,72 milijard</w:t>
      </w:r>
      <w:r w:rsidR="008D7915">
        <w:rPr>
          <w:rFonts w:asciiTheme="majorBidi" w:hAnsiTheme="majorBidi" w:cstheme="majorBidi"/>
          <w:sz w:val="24"/>
          <w:szCs w:val="24"/>
        </w:rPr>
        <w:t>e</w:t>
      </w:r>
      <w:r w:rsidRPr="003C50FB">
        <w:rPr>
          <w:rFonts w:asciiTheme="majorBidi" w:hAnsiTheme="majorBidi" w:cstheme="majorBidi"/>
          <w:sz w:val="24"/>
          <w:szCs w:val="24"/>
        </w:rPr>
        <w:t xml:space="preserve"> HRK (752,33 milijuna EUR)</w:t>
      </w:r>
    </w:p>
    <w:p w14:paraId="22D8BE2B" w14:textId="755AD099" w:rsidR="003C50FB" w:rsidRPr="003C50FB" w:rsidRDefault="003C50FB" w:rsidP="00E475B6">
      <w:pPr>
        <w:jc w:val="both"/>
        <w:rPr>
          <w:rFonts w:asciiTheme="majorBidi" w:hAnsiTheme="majorBidi" w:cstheme="majorBidi"/>
          <w:sz w:val="24"/>
          <w:szCs w:val="24"/>
        </w:rPr>
      </w:pPr>
      <w:r w:rsidRPr="003C50FB">
        <w:rPr>
          <w:rFonts w:asciiTheme="majorBidi" w:hAnsiTheme="majorBidi" w:cstheme="majorBidi"/>
          <w:sz w:val="24"/>
          <w:szCs w:val="24"/>
        </w:rPr>
        <w:t>Isplaćeno je 2,67  milijardi HRK (351,83 milijuna EUR)</w:t>
      </w:r>
    </w:p>
    <w:p w14:paraId="70044266" w14:textId="77777777" w:rsidR="003C50FB" w:rsidRPr="003C50FB" w:rsidRDefault="003C50FB" w:rsidP="003C50FB">
      <w:pPr>
        <w:jc w:val="both"/>
        <w:rPr>
          <w:rFonts w:asciiTheme="majorBidi" w:hAnsiTheme="majorBidi" w:cstheme="majorBidi"/>
          <w:b/>
          <w:bCs/>
          <w:sz w:val="24"/>
          <w:szCs w:val="24"/>
        </w:rPr>
      </w:pPr>
      <w:r w:rsidRPr="003C50FB">
        <w:rPr>
          <w:rFonts w:asciiTheme="majorBidi" w:hAnsiTheme="majorBidi" w:cstheme="majorBidi"/>
          <w:b/>
          <w:bCs/>
          <w:sz w:val="24"/>
          <w:szCs w:val="24"/>
        </w:rPr>
        <w:t>POŽEŠKO-SLAVONSKA ŽUPANIJA</w:t>
      </w:r>
    </w:p>
    <w:p w14:paraId="6E742788" w14:textId="77777777" w:rsidR="003C50FB" w:rsidRPr="003C50FB" w:rsidRDefault="003C50FB" w:rsidP="003C50FB">
      <w:pPr>
        <w:jc w:val="both"/>
        <w:rPr>
          <w:rFonts w:asciiTheme="majorBidi" w:hAnsiTheme="majorBidi" w:cstheme="majorBidi"/>
          <w:sz w:val="24"/>
          <w:szCs w:val="24"/>
        </w:rPr>
      </w:pPr>
      <w:r w:rsidRPr="003C50FB">
        <w:rPr>
          <w:rFonts w:asciiTheme="majorBidi" w:hAnsiTheme="majorBidi" w:cstheme="majorBidi"/>
          <w:sz w:val="24"/>
          <w:szCs w:val="24"/>
        </w:rPr>
        <w:t>Ugovoreno 1,30 milijardi HRK (171,67 milijuna EUR)</w:t>
      </w:r>
    </w:p>
    <w:p w14:paraId="2ABB7ACA" w14:textId="4513675E" w:rsidR="008124DD" w:rsidRPr="003C50FB" w:rsidRDefault="008D7915" w:rsidP="003C50FB">
      <w:pPr>
        <w:jc w:val="both"/>
        <w:rPr>
          <w:rFonts w:asciiTheme="majorBidi" w:hAnsiTheme="majorBidi" w:cstheme="majorBidi"/>
          <w:b/>
          <w:bCs/>
          <w:sz w:val="24"/>
          <w:szCs w:val="24"/>
        </w:rPr>
      </w:pPr>
      <w:r>
        <w:rPr>
          <w:rFonts w:asciiTheme="majorBidi" w:hAnsiTheme="majorBidi" w:cstheme="majorBidi"/>
          <w:sz w:val="24"/>
          <w:szCs w:val="24"/>
        </w:rPr>
        <w:t>Isplaćena su 679,62</w:t>
      </w:r>
      <w:r w:rsidR="003C50FB" w:rsidRPr="003C50FB">
        <w:rPr>
          <w:rFonts w:asciiTheme="majorBidi" w:hAnsiTheme="majorBidi" w:cstheme="majorBidi"/>
          <w:sz w:val="24"/>
          <w:szCs w:val="24"/>
        </w:rPr>
        <w:t xml:space="preserve"> </w:t>
      </w:r>
      <w:bookmarkStart w:id="1" w:name="_Hlk53564538"/>
      <w:r w:rsidR="003C50FB" w:rsidRPr="003C50FB">
        <w:rPr>
          <w:rFonts w:asciiTheme="majorBidi" w:hAnsiTheme="majorBidi" w:cstheme="majorBidi"/>
          <w:sz w:val="24"/>
          <w:szCs w:val="24"/>
        </w:rPr>
        <w:t xml:space="preserve">milijuna HRK </w:t>
      </w:r>
      <w:bookmarkEnd w:id="1"/>
      <w:r w:rsidR="003C50FB" w:rsidRPr="003C50FB">
        <w:rPr>
          <w:rFonts w:asciiTheme="majorBidi" w:hAnsiTheme="majorBidi" w:cstheme="majorBidi"/>
          <w:sz w:val="24"/>
          <w:szCs w:val="24"/>
        </w:rPr>
        <w:t>(89,42 milijuna EUR)</w:t>
      </w:r>
    </w:p>
    <w:p w14:paraId="04617AB5" w14:textId="77777777" w:rsidR="003C50FB" w:rsidRPr="003C50FB" w:rsidRDefault="003C50FB" w:rsidP="003C50FB">
      <w:pPr>
        <w:jc w:val="both"/>
        <w:rPr>
          <w:rFonts w:asciiTheme="majorBidi" w:hAnsiTheme="majorBidi" w:cstheme="majorBidi"/>
          <w:b/>
          <w:bCs/>
          <w:sz w:val="24"/>
          <w:szCs w:val="24"/>
        </w:rPr>
      </w:pPr>
      <w:r w:rsidRPr="003C50FB">
        <w:rPr>
          <w:rFonts w:asciiTheme="majorBidi" w:hAnsiTheme="majorBidi" w:cstheme="majorBidi"/>
          <w:b/>
          <w:bCs/>
          <w:sz w:val="24"/>
          <w:szCs w:val="24"/>
        </w:rPr>
        <w:t>VIROVITIČKO-PODRAVSKA ŽUPANIJA</w:t>
      </w:r>
    </w:p>
    <w:p w14:paraId="2AAD1918" w14:textId="794BEEC0" w:rsidR="003C50FB" w:rsidRPr="003C50FB" w:rsidRDefault="008D7915" w:rsidP="003C50FB">
      <w:pPr>
        <w:jc w:val="both"/>
        <w:rPr>
          <w:rFonts w:asciiTheme="majorBidi" w:hAnsiTheme="majorBidi" w:cstheme="majorBidi"/>
          <w:sz w:val="24"/>
          <w:szCs w:val="24"/>
        </w:rPr>
      </w:pPr>
      <w:r>
        <w:rPr>
          <w:rFonts w:asciiTheme="majorBidi" w:hAnsiTheme="majorBidi" w:cstheme="majorBidi"/>
          <w:sz w:val="24"/>
          <w:szCs w:val="24"/>
        </w:rPr>
        <w:t>Ugovorene su 1,83 milijarde</w:t>
      </w:r>
      <w:r w:rsidR="003C50FB" w:rsidRPr="003C50FB">
        <w:rPr>
          <w:rFonts w:asciiTheme="majorBidi" w:hAnsiTheme="majorBidi" w:cstheme="majorBidi"/>
          <w:sz w:val="24"/>
          <w:szCs w:val="24"/>
        </w:rPr>
        <w:t xml:space="preserve"> HRK (240,62 milijuna EUR)</w:t>
      </w:r>
    </w:p>
    <w:p w14:paraId="51B954E9" w14:textId="072910FB" w:rsidR="003C50FB" w:rsidRPr="003C50FB" w:rsidRDefault="008D7915" w:rsidP="00E475B6">
      <w:pPr>
        <w:jc w:val="both"/>
        <w:rPr>
          <w:rFonts w:asciiTheme="majorBidi" w:hAnsiTheme="majorBidi" w:cstheme="majorBidi"/>
          <w:sz w:val="24"/>
          <w:szCs w:val="24"/>
        </w:rPr>
      </w:pPr>
      <w:r>
        <w:rPr>
          <w:rFonts w:asciiTheme="majorBidi" w:hAnsiTheme="majorBidi" w:cstheme="majorBidi"/>
          <w:sz w:val="24"/>
          <w:szCs w:val="24"/>
        </w:rPr>
        <w:t xml:space="preserve">Isplaćena su </w:t>
      </w:r>
      <w:r w:rsidR="003C50FB" w:rsidRPr="003C50FB">
        <w:rPr>
          <w:rFonts w:asciiTheme="majorBidi" w:hAnsiTheme="majorBidi" w:cstheme="majorBidi"/>
          <w:sz w:val="24"/>
          <w:szCs w:val="24"/>
        </w:rPr>
        <w:t>976,93  milijuna HRK (128,54 milijuna EUR)</w:t>
      </w:r>
    </w:p>
    <w:p w14:paraId="4DFB4CE7" w14:textId="77777777" w:rsidR="003C50FB" w:rsidRPr="003C50FB" w:rsidRDefault="003C50FB" w:rsidP="003C50FB">
      <w:pPr>
        <w:jc w:val="both"/>
        <w:rPr>
          <w:rFonts w:asciiTheme="majorBidi" w:hAnsiTheme="majorBidi" w:cstheme="majorBidi"/>
          <w:b/>
          <w:bCs/>
          <w:sz w:val="24"/>
          <w:szCs w:val="24"/>
        </w:rPr>
      </w:pPr>
      <w:r w:rsidRPr="003C50FB">
        <w:rPr>
          <w:rFonts w:asciiTheme="majorBidi" w:hAnsiTheme="majorBidi" w:cstheme="majorBidi"/>
          <w:b/>
          <w:bCs/>
          <w:sz w:val="24"/>
          <w:szCs w:val="24"/>
        </w:rPr>
        <w:t>VUKOVARSKO-SRIJEMSKA ŽUPANIJA</w:t>
      </w:r>
    </w:p>
    <w:p w14:paraId="3CC22717" w14:textId="77777777" w:rsidR="003C50FB" w:rsidRPr="003C50FB" w:rsidRDefault="003C50FB" w:rsidP="003C50FB">
      <w:pPr>
        <w:jc w:val="both"/>
        <w:rPr>
          <w:rFonts w:asciiTheme="majorBidi" w:hAnsiTheme="majorBidi" w:cstheme="majorBidi"/>
          <w:sz w:val="24"/>
          <w:szCs w:val="24"/>
        </w:rPr>
      </w:pPr>
      <w:r w:rsidRPr="003C50FB">
        <w:rPr>
          <w:rFonts w:asciiTheme="majorBidi" w:hAnsiTheme="majorBidi" w:cstheme="majorBidi"/>
          <w:sz w:val="24"/>
          <w:szCs w:val="24"/>
        </w:rPr>
        <w:t>Ugovoreno 3,49 milijardi HRK (459,23 milijuna EUR)</w:t>
      </w:r>
      <w:bookmarkStart w:id="2" w:name="_Hlk53564487"/>
    </w:p>
    <w:p w14:paraId="7D8101FB" w14:textId="3BFC7E35" w:rsidR="003C50FB" w:rsidRPr="003C50FB" w:rsidRDefault="008D7915" w:rsidP="00E475B6">
      <w:pPr>
        <w:jc w:val="both"/>
        <w:rPr>
          <w:rFonts w:asciiTheme="majorBidi" w:hAnsiTheme="majorBidi" w:cstheme="majorBidi"/>
          <w:sz w:val="24"/>
          <w:szCs w:val="24"/>
        </w:rPr>
      </w:pPr>
      <w:r>
        <w:rPr>
          <w:rFonts w:asciiTheme="majorBidi" w:hAnsiTheme="majorBidi" w:cstheme="majorBidi"/>
          <w:sz w:val="24"/>
          <w:szCs w:val="24"/>
        </w:rPr>
        <w:t>Isplaćene su 1,44 milijarde</w:t>
      </w:r>
      <w:r w:rsidR="003C50FB" w:rsidRPr="003C50FB">
        <w:rPr>
          <w:rFonts w:asciiTheme="majorBidi" w:hAnsiTheme="majorBidi" w:cstheme="majorBidi"/>
          <w:sz w:val="24"/>
          <w:szCs w:val="24"/>
        </w:rPr>
        <w:t xml:space="preserve"> HRK (189,08 milijuna EUR)</w:t>
      </w:r>
      <w:bookmarkStart w:id="3" w:name="_GoBack"/>
      <w:bookmarkEnd w:id="3"/>
    </w:p>
    <w:p w14:paraId="593602C7" w14:textId="77777777" w:rsidR="003C50FB" w:rsidRPr="003C50FB" w:rsidRDefault="003C50FB" w:rsidP="003C50FB">
      <w:pPr>
        <w:rPr>
          <w:rFonts w:asciiTheme="majorBidi" w:hAnsiTheme="majorBidi" w:cstheme="majorBidi"/>
          <w:b/>
          <w:bCs/>
          <w:sz w:val="24"/>
          <w:szCs w:val="24"/>
        </w:rPr>
      </w:pPr>
      <w:r w:rsidRPr="003C50FB">
        <w:rPr>
          <w:rFonts w:asciiTheme="majorBidi" w:hAnsiTheme="majorBidi" w:cstheme="majorBidi"/>
          <w:b/>
          <w:bCs/>
          <w:sz w:val="24"/>
          <w:szCs w:val="24"/>
        </w:rPr>
        <w:t>ZAJEDNIČKI PROJEKTI VIŠE ŽUPANIJA</w:t>
      </w:r>
    </w:p>
    <w:bookmarkEnd w:id="2"/>
    <w:p w14:paraId="08156B3B" w14:textId="3981D5B7" w:rsidR="003C50FB" w:rsidRPr="003C50FB" w:rsidRDefault="008D7915" w:rsidP="003C50FB">
      <w:pPr>
        <w:rPr>
          <w:rFonts w:asciiTheme="majorBidi" w:hAnsiTheme="majorBidi" w:cstheme="majorBidi"/>
          <w:sz w:val="24"/>
          <w:szCs w:val="24"/>
        </w:rPr>
      </w:pPr>
      <w:r>
        <w:rPr>
          <w:rFonts w:asciiTheme="majorBidi" w:hAnsiTheme="majorBidi" w:cstheme="majorBidi"/>
          <w:sz w:val="24"/>
          <w:szCs w:val="24"/>
        </w:rPr>
        <w:t>Ugovorene su 2,94 milijarde</w:t>
      </w:r>
      <w:r w:rsidR="003C50FB" w:rsidRPr="003C50FB">
        <w:rPr>
          <w:rFonts w:asciiTheme="majorBidi" w:hAnsiTheme="majorBidi" w:cstheme="majorBidi"/>
          <w:sz w:val="24"/>
          <w:szCs w:val="24"/>
        </w:rPr>
        <w:t xml:space="preserve"> HRK (386,54 milijuna EUR)</w:t>
      </w:r>
    </w:p>
    <w:p w14:paraId="38BF6F3B" w14:textId="29B9CE20" w:rsidR="003C50FB" w:rsidRPr="002F7D90" w:rsidRDefault="009F54BD" w:rsidP="003C50FB">
      <w:pPr>
        <w:rPr>
          <w:rFonts w:asciiTheme="majorBidi" w:hAnsiTheme="majorBidi" w:cstheme="majorBidi"/>
          <w:b/>
          <w:bCs/>
          <w:sz w:val="24"/>
          <w:szCs w:val="24"/>
        </w:rPr>
      </w:pPr>
      <w:r>
        <w:rPr>
          <w:rFonts w:asciiTheme="majorBidi" w:hAnsiTheme="majorBidi" w:cstheme="majorBidi"/>
          <w:sz w:val="24"/>
          <w:szCs w:val="24"/>
        </w:rPr>
        <w:t>Isplaćen je</w:t>
      </w:r>
      <w:r w:rsidR="003C50FB" w:rsidRPr="003C50FB">
        <w:rPr>
          <w:rFonts w:asciiTheme="majorBidi" w:hAnsiTheme="majorBidi" w:cstheme="majorBidi"/>
          <w:sz w:val="24"/>
          <w:szCs w:val="24"/>
        </w:rPr>
        <w:t xml:space="preserve"> 838,51 milijun HRK (110,33 milijuna EUR)</w:t>
      </w:r>
    </w:p>
    <w:p w14:paraId="47EB44EE" w14:textId="55C1D35F" w:rsidR="002F7D90" w:rsidRPr="002F7D90" w:rsidRDefault="00590D16" w:rsidP="002F7D90">
      <w:pPr>
        <w:pStyle w:val="ListParagraph"/>
        <w:numPr>
          <w:ilvl w:val="0"/>
          <w:numId w:val="16"/>
        </w:numPr>
        <w:jc w:val="both"/>
        <w:rPr>
          <w:rFonts w:asciiTheme="majorBidi" w:hAnsiTheme="majorBidi" w:cstheme="majorBidi"/>
          <w:b/>
          <w:bCs/>
          <w:sz w:val="24"/>
          <w:szCs w:val="24"/>
        </w:rPr>
      </w:pPr>
      <w:r>
        <w:rPr>
          <w:rFonts w:asciiTheme="majorBidi" w:hAnsiTheme="majorBidi" w:cstheme="majorBidi"/>
          <w:b/>
          <w:bCs/>
          <w:sz w:val="24"/>
          <w:szCs w:val="24"/>
        </w:rPr>
        <w:lastRenderedPageBreak/>
        <w:t>Pokretanje</w:t>
      </w:r>
      <w:r w:rsidR="002F7D90" w:rsidRPr="002F7D90">
        <w:rPr>
          <w:rFonts w:asciiTheme="majorBidi" w:hAnsiTheme="majorBidi" w:cstheme="majorBidi"/>
          <w:b/>
          <w:bCs/>
          <w:sz w:val="24"/>
          <w:szCs w:val="24"/>
        </w:rPr>
        <w:t xml:space="preserve"> projekta i druge odrednice </w:t>
      </w:r>
    </w:p>
    <w:p w14:paraId="3212AC12" w14:textId="4B243AA9" w:rsidR="003C50FB" w:rsidRPr="003C50FB" w:rsidRDefault="00F559C9" w:rsidP="00E475B6">
      <w:pPr>
        <w:ind w:firstLine="708"/>
        <w:jc w:val="both"/>
        <w:rPr>
          <w:rFonts w:asciiTheme="majorBidi" w:hAnsiTheme="majorBidi" w:cstheme="majorBidi"/>
          <w:sz w:val="24"/>
          <w:szCs w:val="24"/>
        </w:rPr>
      </w:pPr>
      <w:r>
        <w:rPr>
          <w:rFonts w:asciiTheme="majorBidi" w:hAnsiTheme="majorBidi" w:cstheme="majorBidi"/>
          <w:sz w:val="24"/>
          <w:szCs w:val="24"/>
        </w:rPr>
        <w:t>Što se tiče prigovora iz I</w:t>
      </w:r>
      <w:r w:rsidR="003C50FB" w:rsidRPr="003C50FB">
        <w:rPr>
          <w:rFonts w:asciiTheme="majorBidi" w:hAnsiTheme="majorBidi" w:cstheme="majorBidi"/>
          <w:sz w:val="24"/>
          <w:szCs w:val="24"/>
        </w:rPr>
        <w:t xml:space="preserve">nterpelacije koji se odnose na formalnu odluku o pokretanju projekta i druge odrednice, očitujemo se kako slijedi: </w:t>
      </w:r>
    </w:p>
    <w:p w14:paraId="2A2BBA10" w14:textId="14CC03DD" w:rsidR="003C50FB" w:rsidRDefault="003C50FB" w:rsidP="00E475B6">
      <w:pPr>
        <w:ind w:firstLine="708"/>
        <w:jc w:val="both"/>
        <w:rPr>
          <w:rFonts w:asciiTheme="majorBidi" w:hAnsiTheme="majorBidi" w:cstheme="majorBidi"/>
          <w:sz w:val="24"/>
          <w:szCs w:val="24"/>
        </w:rPr>
      </w:pPr>
      <w:r w:rsidRPr="003C50FB">
        <w:rPr>
          <w:rFonts w:asciiTheme="majorBidi" w:hAnsiTheme="majorBidi" w:cstheme="majorBidi"/>
          <w:sz w:val="24"/>
          <w:szCs w:val="24"/>
        </w:rPr>
        <w:t>Projekt Slavonija, Baranja i Srijem pokrenut je kako bi se potaknulo ugovaranje projekata iz EU fondova na području pet slavonskih županija. Sredstva za ulaganja u poduzetništvo, poljoprivredu, obrazovanje, zdravstvo, istraživanje i razvoj, vodoopskrbu i odvodnju, kulturnu i prirodnu baštinu, sektor prometa, unutarnje plovne puteve i energetiku, predviđena su u okviru postojećih operativnih programa.</w:t>
      </w:r>
    </w:p>
    <w:p w14:paraId="59301933" w14:textId="313E9CE8" w:rsidR="003C50FB" w:rsidRPr="003C50FB" w:rsidRDefault="003C50FB" w:rsidP="00E475B6">
      <w:pPr>
        <w:ind w:firstLine="708"/>
        <w:jc w:val="both"/>
        <w:rPr>
          <w:rFonts w:asciiTheme="majorBidi" w:hAnsiTheme="majorBidi" w:cstheme="majorBidi"/>
          <w:sz w:val="24"/>
          <w:szCs w:val="24"/>
        </w:rPr>
      </w:pPr>
      <w:r w:rsidRPr="003C50FB">
        <w:rPr>
          <w:rFonts w:asciiTheme="majorBidi" w:hAnsiTheme="majorBidi" w:cstheme="majorBidi"/>
          <w:sz w:val="24"/>
          <w:szCs w:val="24"/>
        </w:rPr>
        <w:t xml:space="preserve">Ministarstvo regionalnoga razvoja i fondova Europske unije, kao Upravljačko tijelo nadležno je za provedbu Operativnog programa Konkurentnost i kohezija 2014.-2020. te u skladu s navedenim i projekata koji se u provode sklopu istog programa. </w:t>
      </w:r>
    </w:p>
    <w:p w14:paraId="2CD82A8E" w14:textId="1932F19D" w:rsidR="003C50FB" w:rsidRPr="003C50FB" w:rsidRDefault="003C50FB" w:rsidP="00E475B6">
      <w:pPr>
        <w:ind w:firstLine="708"/>
        <w:jc w:val="both"/>
        <w:rPr>
          <w:rFonts w:asciiTheme="majorBidi" w:hAnsiTheme="majorBidi" w:cstheme="majorBidi"/>
          <w:sz w:val="24"/>
          <w:szCs w:val="24"/>
        </w:rPr>
      </w:pPr>
      <w:r w:rsidRPr="003C50FB">
        <w:rPr>
          <w:rFonts w:asciiTheme="majorBidi" w:hAnsiTheme="majorBidi" w:cstheme="majorBidi"/>
          <w:sz w:val="24"/>
          <w:szCs w:val="24"/>
        </w:rPr>
        <w:t xml:space="preserve">Posrednička tijela razine 1 i 2 slijedom funkcija koje su im delegirane, u nekima od Poziva na dodjelu bespovratnih sredstava provode postupak dodjele bespovratnih sredstava. </w:t>
      </w:r>
    </w:p>
    <w:p w14:paraId="577424DE" w14:textId="522D9231" w:rsidR="008124DD" w:rsidRPr="003C50FB" w:rsidRDefault="003C50FB" w:rsidP="008124DD">
      <w:pPr>
        <w:ind w:firstLine="708"/>
        <w:jc w:val="both"/>
        <w:rPr>
          <w:rFonts w:asciiTheme="majorBidi" w:hAnsiTheme="majorBidi" w:cstheme="majorBidi"/>
          <w:sz w:val="24"/>
          <w:szCs w:val="24"/>
        </w:rPr>
      </w:pPr>
      <w:r w:rsidRPr="003C50FB">
        <w:rPr>
          <w:rFonts w:asciiTheme="majorBidi" w:hAnsiTheme="majorBidi" w:cstheme="majorBidi"/>
          <w:sz w:val="24"/>
          <w:szCs w:val="24"/>
        </w:rPr>
        <w:t xml:space="preserve">Dodjela bespovratnih sredstava ujedno, u određenim slučajevima, predstavlja dodjelu državnih potpora te </w:t>
      </w:r>
      <w:r w:rsidR="00D86900">
        <w:rPr>
          <w:rFonts w:asciiTheme="majorBidi" w:hAnsiTheme="majorBidi" w:cstheme="majorBidi"/>
          <w:sz w:val="24"/>
          <w:szCs w:val="24"/>
        </w:rPr>
        <w:t>s</w:t>
      </w:r>
      <w:r w:rsidRPr="003C50FB">
        <w:rPr>
          <w:rFonts w:asciiTheme="majorBidi" w:hAnsiTheme="majorBidi" w:cstheme="majorBidi"/>
          <w:sz w:val="24"/>
          <w:szCs w:val="24"/>
        </w:rPr>
        <w:t>e u provedbi ist</w:t>
      </w:r>
      <w:r w:rsidR="00D86900">
        <w:rPr>
          <w:rFonts w:asciiTheme="majorBidi" w:hAnsiTheme="majorBidi" w:cstheme="majorBidi"/>
          <w:sz w:val="24"/>
          <w:szCs w:val="24"/>
        </w:rPr>
        <w:t>ih</w:t>
      </w:r>
      <w:r w:rsidRPr="003C50FB">
        <w:rPr>
          <w:rFonts w:asciiTheme="majorBidi" w:hAnsiTheme="majorBidi" w:cstheme="majorBidi"/>
          <w:sz w:val="24"/>
          <w:szCs w:val="24"/>
        </w:rPr>
        <w:t xml:space="preserve"> </w:t>
      </w:r>
      <w:r w:rsidR="00D86900">
        <w:rPr>
          <w:rFonts w:asciiTheme="majorBidi" w:hAnsiTheme="majorBidi" w:cstheme="majorBidi"/>
          <w:sz w:val="24"/>
          <w:szCs w:val="24"/>
        </w:rPr>
        <w:t>primjenjuje</w:t>
      </w:r>
      <w:r w:rsidRPr="003C50FB">
        <w:rPr>
          <w:rFonts w:asciiTheme="majorBidi" w:hAnsiTheme="majorBidi" w:cstheme="majorBidi"/>
          <w:sz w:val="24"/>
          <w:szCs w:val="24"/>
        </w:rPr>
        <w:t xml:space="preserve"> nacionalni pravni okvir, ali i pravni okvir i načela Europske unije. </w:t>
      </w:r>
    </w:p>
    <w:p w14:paraId="5A39EACF" w14:textId="5C994EB9" w:rsidR="003C50FB" w:rsidRPr="003E0B2D" w:rsidRDefault="003E0B2D" w:rsidP="003E0B2D">
      <w:pPr>
        <w:ind w:firstLine="708"/>
        <w:jc w:val="both"/>
        <w:rPr>
          <w:rFonts w:asciiTheme="majorBidi" w:hAnsiTheme="majorBidi" w:cstheme="majorBidi"/>
          <w:sz w:val="24"/>
          <w:szCs w:val="24"/>
        </w:rPr>
      </w:pPr>
      <w:bookmarkStart w:id="4" w:name="_Hlk60767036"/>
      <w:r w:rsidRPr="00601A99">
        <w:rPr>
          <w:rFonts w:asciiTheme="majorBidi" w:hAnsiTheme="majorBidi" w:cstheme="majorBidi"/>
          <w:sz w:val="24"/>
          <w:szCs w:val="24"/>
        </w:rPr>
        <w:t>Primjena općih načela dodjele bespovratnih sredstava odražava se u kriterijima odabira. Na temelju kriterija odabira vrši se odabir projektnih prijedloga koji će primiti potporu, a u svrhu provođenja jedne ili više faza dodjele bespovratnih sredstava, nadležno tijelo osniva Odbor za odabir projekata. Osobe koje provode postupak dodjele moraju biti osobe s odgovarajućim (stručnim i radnim) iskustvom te se sukladno procedurama koje se primjenjuju na EU projekte osigurava da iste nisu u sukobu interesa</w:t>
      </w:r>
      <w:r w:rsidR="003C50FB" w:rsidRPr="00601A99">
        <w:rPr>
          <w:rFonts w:asciiTheme="majorBidi" w:hAnsiTheme="majorBidi" w:cstheme="majorBidi"/>
          <w:sz w:val="24"/>
          <w:szCs w:val="24"/>
        </w:rPr>
        <w:t>.</w:t>
      </w:r>
      <w:r w:rsidR="003C50FB" w:rsidRPr="003E0B2D">
        <w:rPr>
          <w:rFonts w:asciiTheme="majorBidi" w:hAnsiTheme="majorBidi" w:cstheme="majorBidi"/>
          <w:sz w:val="24"/>
          <w:szCs w:val="24"/>
        </w:rPr>
        <w:t xml:space="preserve"> </w:t>
      </w:r>
    </w:p>
    <w:bookmarkEnd w:id="4"/>
    <w:p w14:paraId="3046F7C9" w14:textId="2E5DC6DF" w:rsidR="003C50FB" w:rsidRPr="003C50FB" w:rsidRDefault="003C50FB" w:rsidP="00E475B6">
      <w:pPr>
        <w:ind w:firstLine="708"/>
        <w:jc w:val="both"/>
        <w:rPr>
          <w:rFonts w:asciiTheme="majorBidi" w:hAnsiTheme="majorBidi" w:cstheme="majorBidi"/>
          <w:sz w:val="24"/>
          <w:szCs w:val="24"/>
        </w:rPr>
      </w:pPr>
      <w:r w:rsidRPr="003C50FB">
        <w:rPr>
          <w:rFonts w:asciiTheme="majorBidi" w:hAnsiTheme="majorBidi" w:cstheme="majorBidi"/>
          <w:sz w:val="24"/>
          <w:szCs w:val="24"/>
        </w:rPr>
        <w:t>U skladu s Uredbom o tijelima u sustavima upravljanja i kontrole korištenja Europskog socijalnog fonda, Europskog fonda za regionalni razvoj i Kohezijskog fonda, u vezi s ciljem „Ulaganje za rast i radna mjesta“ Posrednička tijela razine 2 odgovorna su za praćenje provedbe projekata odnosno za pregled i odobravanje troškova na temelju kojih korisnici potražuju isplatu bespovratnih sredstava. Posredničko tijelo razine 2 (PT2) potvrđuje prihvatljivost bespovratnih sredst</w:t>
      </w:r>
      <w:r w:rsidR="008D7915">
        <w:rPr>
          <w:rFonts w:asciiTheme="majorBidi" w:hAnsiTheme="majorBidi" w:cstheme="majorBidi"/>
          <w:sz w:val="24"/>
          <w:szCs w:val="24"/>
        </w:rPr>
        <w:t>a</w:t>
      </w:r>
      <w:r w:rsidRPr="003C50FB">
        <w:rPr>
          <w:rFonts w:asciiTheme="majorBidi" w:hAnsiTheme="majorBidi" w:cstheme="majorBidi"/>
          <w:sz w:val="24"/>
          <w:szCs w:val="24"/>
        </w:rPr>
        <w:t>va koja u cijelosti ili djelomično sufinanciraju prihvatljive troškove (ovisno o postotku sufinanciranja) ukoliko su nastali troškovi u skladu sa zahtjevima Ugovora o bespovratnim sredstvima i/ili primjenjivim propisima. Sukladno proceduri, Korisnici ugovora o bespovratnim sredstvima podnose prema PT2 izvješća o napretku u kojem izvještavaju o postignutim aktivnostima projekta te nastalim troškovima uključujući popratnu dokumentaciju kojom se isto dokazuje. PT2 izvršava kontrolu izvješća i nastalih troškova, odnosno provjerava se sukladnost troškova s Ugovorom o bespovratnim sredstvima, Pravilnikom o prihvatljivosti troškova, Zakonom o javnoj nabavi (ako je primjenjivo) i ostalim relevantnim primjenjivim propisima. Po utvrđenju prihvatljivosti nastalih troškova od strane PT2, pokreće se procedura plaćanja prema Korisniku, odnosno Posrednička tijela razine 2 pripremaju Zahtjeve za plaćanje na temelju kojih Posrednička tijela razine 1 izvršavaju isplate korisnicima.</w:t>
      </w:r>
    </w:p>
    <w:p w14:paraId="6F569479" w14:textId="6C05BC0C" w:rsidR="003C50FB" w:rsidRPr="003C50FB" w:rsidRDefault="003C50FB" w:rsidP="00E475B6">
      <w:pPr>
        <w:ind w:firstLine="708"/>
        <w:jc w:val="both"/>
        <w:rPr>
          <w:rFonts w:asciiTheme="majorBidi" w:hAnsiTheme="majorBidi" w:cstheme="majorBidi"/>
          <w:sz w:val="24"/>
          <w:szCs w:val="24"/>
        </w:rPr>
      </w:pPr>
      <w:r w:rsidRPr="003C50FB">
        <w:rPr>
          <w:rFonts w:asciiTheme="majorBidi" w:hAnsiTheme="majorBidi" w:cstheme="majorBidi"/>
          <w:sz w:val="24"/>
          <w:szCs w:val="24"/>
        </w:rPr>
        <w:lastRenderedPageBreak/>
        <w:t xml:space="preserve">Neovisno o izvješćima koje je Korisnik bespovratnih sredstava dužan podnositi, PT2 ili Posredničko tijelo razine 1 (PT1) mogu zahtijevati dostavu dodatnih informacija o projektu, Korisniku, partneru, održivosti, rezultatima ili pokazateljima projekta. Također, Korisnik je dužan omogućiti PT-ovima 1 i 2, Upravljačkom tijelu, Tijelu za ovjeravanje, Tijelu za reviziju, Europskoj komisiji, OLAF-u, Europskom revizorskom sudu te drugim revizorima/vanjskim osobama koje su u tu svrhu ovlastila nadležna tijela, provođenje potrebnih provjera pregledavanjem dokumenata, izvršenjem provjere na licu mjesta, praćenje provedbe projekta i izvršenje postupka pune revizije. </w:t>
      </w:r>
    </w:p>
    <w:p w14:paraId="522338E3" w14:textId="1D7E2ACD" w:rsidR="003C50FB" w:rsidRPr="003C50FB" w:rsidRDefault="003C50FB" w:rsidP="00E475B6">
      <w:pPr>
        <w:ind w:firstLine="708"/>
        <w:jc w:val="both"/>
        <w:rPr>
          <w:rFonts w:asciiTheme="majorBidi" w:hAnsiTheme="majorBidi" w:cstheme="majorBidi"/>
          <w:sz w:val="24"/>
          <w:szCs w:val="24"/>
        </w:rPr>
      </w:pPr>
      <w:r w:rsidRPr="003C50FB">
        <w:rPr>
          <w:rFonts w:asciiTheme="majorBidi" w:hAnsiTheme="majorBidi" w:cstheme="majorBidi"/>
          <w:sz w:val="24"/>
          <w:szCs w:val="24"/>
        </w:rPr>
        <w:t xml:space="preserve">Također, ističemo kako sve zainteresirane strane sa saznanjima o nepravilnostima u dodjeli bespovratnih sredstava mogu prijaviti sumnju na počinjenu nepravilnost i/ili prijevaru u upravljanju i provedbi, odnosno nepravilnosti i/ili prijevare u korištenju EU sredstava na adresu elektroničke pošte: </w:t>
      </w:r>
      <w:hyperlink r:id="rId11" w:history="1">
        <w:r w:rsidRPr="003C50FB">
          <w:rPr>
            <w:rFonts w:asciiTheme="majorBidi" w:hAnsiTheme="majorBidi" w:cstheme="majorBidi"/>
            <w:sz w:val="24"/>
            <w:szCs w:val="24"/>
          </w:rPr>
          <w:t>nepravilnosti.eu@safu.hr</w:t>
        </w:r>
      </w:hyperlink>
      <w:r w:rsidRPr="003C50FB">
        <w:rPr>
          <w:rFonts w:asciiTheme="majorBidi" w:hAnsiTheme="majorBidi" w:cstheme="majorBidi"/>
          <w:sz w:val="24"/>
          <w:szCs w:val="24"/>
        </w:rPr>
        <w:t xml:space="preserve">. Počinjena nepravilnost i/ili prijevara te sumnja na počinjenje istih može se također prijaviti i na adresu elektroničke pošte Službe za suzbijanje nepravilnosti i prijevara pri Ministarstvu financija Republike Hrvatske: </w:t>
      </w:r>
      <w:hyperlink r:id="rId12" w:history="1">
        <w:r w:rsidRPr="003C50FB">
          <w:rPr>
            <w:rFonts w:asciiTheme="majorBidi" w:hAnsiTheme="majorBidi" w:cstheme="majorBidi"/>
            <w:sz w:val="24"/>
            <w:szCs w:val="24"/>
          </w:rPr>
          <w:t>nepravilnosti.eu@mfin.hr</w:t>
        </w:r>
      </w:hyperlink>
      <w:r w:rsidRPr="003C50FB">
        <w:rPr>
          <w:rFonts w:asciiTheme="majorBidi" w:hAnsiTheme="majorBidi" w:cstheme="majorBidi"/>
          <w:sz w:val="24"/>
          <w:szCs w:val="24"/>
        </w:rPr>
        <w:t xml:space="preserve"> ili na adresu elektroničke pošte Ureda za suzbijanje korupcije pri Europskoj komisiji (OLAF- European Anti-</w:t>
      </w:r>
      <w:proofErr w:type="spellStart"/>
      <w:r w:rsidRPr="003C50FB">
        <w:rPr>
          <w:rFonts w:asciiTheme="majorBidi" w:hAnsiTheme="majorBidi" w:cstheme="majorBidi"/>
          <w:sz w:val="24"/>
          <w:szCs w:val="24"/>
        </w:rPr>
        <w:t>Fraud</w:t>
      </w:r>
      <w:proofErr w:type="spellEnd"/>
      <w:r w:rsidRPr="003C50FB">
        <w:rPr>
          <w:rFonts w:asciiTheme="majorBidi" w:hAnsiTheme="majorBidi" w:cstheme="majorBidi"/>
          <w:sz w:val="24"/>
          <w:szCs w:val="24"/>
        </w:rPr>
        <w:t xml:space="preserve"> Office): </w:t>
      </w:r>
      <w:hyperlink r:id="rId13" w:history="1">
        <w:r w:rsidRPr="003C50FB">
          <w:rPr>
            <w:rStyle w:val="Hyperlink"/>
            <w:rFonts w:asciiTheme="majorBidi" w:hAnsiTheme="majorBidi" w:cstheme="majorBidi"/>
            <w:sz w:val="24"/>
            <w:szCs w:val="24"/>
          </w:rPr>
          <w:t>olaf-courrier@ec.europa.eu</w:t>
        </w:r>
      </w:hyperlink>
      <w:r w:rsidRPr="003C50FB">
        <w:rPr>
          <w:rFonts w:asciiTheme="majorBidi" w:hAnsiTheme="majorBidi" w:cstheme="majorBidi"/>
          <w:sz w:val="24"/>
          <w:szCs w:val="24"/>
        </w:rPr>
        <w:t>.</w:t>
      </w:r>
      <w:bookmarkStart w:id="5" w:name="_Hlk60660668"/>
    </w:p>
    <w:bookmarkEnd w:id="5"/>
    <w:p w14:paraId="27CD64C5" w14:textId="0032BAED" w:rsidR="00674B81" w:rsidRPr="003C50FB" w:rsidRDefault="00674B81" w:rsidP="00674B81">
      <w:pPr>
        <w:ind w:firstLine="708"/>
        <w:jc w:val="both"/>
        <w:rPr>
          <w:rFonts w:asciiTheme="majorBidi" w:hAnsiTheme="majorBidi" w:cstheme="majorBidi"/>
          <w:iCs/>
          <w:sz w:val="24"/>
          <w:szCs w:val="24"/>
        </w:rPr>
      </w:pPr>
      <w:r w:rsidRPr="003C50FB">
        <w:rPr>
          <w:rFonts w:asciiTheme="majorBidi" w:hAnsiTheme="majorBidi" w:cstheme="majorBidi"/>
          <w:iCs/>
          <w:sz w:val="24"/>
          <w:szCs w:val="24"/>
        </w:rPr>
        <w:t>U s</w:t>
      </w:r>
      <w:r>
        <w:rPr>
          <w:rFonts w:asciiTheme="majorBidi" w:hAnsiTheme="majorBidi" w:cstheme="majorBidi"/>
          <w:iCs/>
          <w:sz w:val="24"/>
          <w:szCs w:val="24"/>
        </w:rPr>
        <w:t>k</w:t>
      </w:r>
      <w:r w:rsidRPr="003C50FB">
        <w:rPr>
          <w:rFonts w:asciiTheme="majorBidi" w:hAnsiTheme="majorBidi" w:cstheme="majorBidi"/>
          <w:iCs/>
          <w:sz w:val="24"/>
          <w:szCs w:val="24"/>
        </w:rPr>
        <w:t xml:space="preserve">ladu sa Zakonom o regionalnom razvoju, koji predviđa mehanizam razvojnog sporazuma, pet slavonskih županija je pokrenulo inicijativu za sklapanje Razvojnog sporazuma za područje Slavonije, Baranje i Srijema. Razvojni sporazum je potpisan 20. srpnja 2018., a potpisnici Razvojnog sporazuma su pet slavonskih županija s regionalne razine te Ministarstvo regionalnoga razvoja i fondova Europske unije i Ministarstvo poljoprivrede s nacionalne razine. Sklapanjem Dodatka broj 1. i Dodatka 2. Razvojnog sporazuma, isti obuhvaća </w:t>
      </w:r>
      <w:r w:rsidRPr="003C50FB">
        <w:rPr>
          <w:rFonts w:asciiTheme="majorBidi" w:hAnsiTheme="majorBidi" w:cstheme="majorBidi"/>
          <w:bCs/>
          <w:sz w:val="24"/>
          <w:szCs w:val="24"/>
        </w:rPr>
        <w:t>ukupno 67 projekata, uključujući projekte tehničke pomoći</w:t>
      </w:r>
      <w:r>
        <w:rPr>
          <w:rFonts w:asciiTheme="majorBidi" w:hAnsiTheme="majorBidi" w:cstheme="majorBidi"/>
          <w:bCs/>
          <w:sz w:val="24"/>
          <w:szCs w:val="24"/>
        </w:rPr>
        <w:t xml:space="preserve">, ukupne </w:t>
      </w:r>
      <w:r w:rsidRPr="008E3D74">
        <w:rPr>
          <w:rFonts w:asciiTheme="majorBidi" w:hAnsiTheme="majorBidi" w:cstheme="majorBidi"/>
          <w:bCs/>
          <w:sz w:val="24"/>
          <w:szCs w:val="24"/>
        </w:rPr>
        <w:t xml:space="preserve">vrijednosti 11.739 milijardi kuna. Također, Dodatkom 2. </w:t>
      </w:r>
      <w:r w:rsidRPr="008E3D74">
        <w:rPr>
          <w:rFonts w:asciiTheme="majorBidi" w:hAnsiTheme="majorBidi" w:cstheme="majorBidi"/>
          <w:sz w:val="24"/>
          <w:szCs w:val="24"/>
        </w:rPr>
        <w:t xml:space="preserve">pored 5 slavonskih županija, </w:t>
      </w:r>
      <w:r w:rsidRPr="008E3D74">
        <w:rPr>
          <w:rFonts w:asciiTheme="majorBidi" w:hAnsiTheme="majorBidi" w:cstheme="majorBidi"/>
          <w:bCs/>
          <w:sz w:val="24"/>
          <w:szCs w:val="24"/>
        </w:rPr>
        <w:t>Mi</w:t>
      </w:r>
      <w:r w:rsidRPr="003C50FB">
        <w:rPr>
          <w:rFonts w:asciiTheme="majorBidi" w:hAnsiTheme="majorBidi" w:cstheme="majorBidi"/>
          <w:bCs/>
          <w:sz w:val="24"/>
          <w:szCs w:val="24"/>
        </w:rPr>
        <w:t xml:space="preserve">nistarstva regionalnoga razvoja i fondova Europske unije te </w:t>
      </w:r>
      <w:r w:rsidRPr="003C50FB">
        <w:rPr>
          <w:rFonts w:asciiTheme="majorBidi" w:hAnsiTheme="majorBidi" w:cstheme="majorBidi"/>
          <w:sz w:val="24"/>
          <w:szCs w:val="24"/>
        </w:rPr>
        <w:t>Ministarstva poljoprivrede uključena su i druga nadležna ministarstva i to: Ministarstvo gospodarstva i održivog razvoja, Ministarstvo mora, prometa i infrastrukture, Ministarstvo znanosti i obrazovanja i Ministarstvo zdravstva.</w:t>
      </w:r>
    </w:p>
    <w:p w14:paraId="58166621" w14:textId="78F273C2" w:rsidR="003C50FB" w:rsidRPr="003C50FB" w:rsidRDefault="003C50FB" w:rsidP="00674B81">
      <w:pPr>
        <w:ind w:firstLine="708"/>
        <w:jc w:val="both"/>
        <w:rPr>
          <w:rFonts w:asciiTheme="majorBidi" w:hAnsiTheme="majorBidi" w:cstheme="majorBidi"/>
          <w:sz w:val="24"/>
          <w:szCs w:val="24"/>
        </w:rPr>
      </w:pPr>
      <w:r w:rsidRPr="003C50FB">
        <w:rPr>
          <w:rFonts w:asciiTheme="majorBidi" w:hAnsiTheme="majorBidi" w:cstheme="majorBidi"/>
          <w:sz w:val="24"/>
          <w:szCs w:val="24"/>
        </w:rPr>
        <w:t xml:space="preserve">U sklopu Razvojnog sporazuma za područje Slavonije, Baranje i Srijema pokrenuta su 2 poziva koji su nadležnosti Ministarstva regionalnoga razvoja i fondova Europske unije te su objavljeni pod relevantnim nazivom koji upućuje da se radi o pozivu isključivo za Slavoniju, Baranju i Srijem. Radi se o pozivima „Priprema i provedba integriranih razvojnih programa temeljenih na obnovi kulturne baštine na području Slavonije, Baranje i Srijema“ i „Promicanje održivog razvoja prirodne baštine na području Slavonije, Baranje i Srijema“. Svi projekti, odnosno projektne aktivnosti koje se financiraju u sklopu navedenih poziva locirani su isključivo na području Slavonije, Baranje i Srijema. </w:t>
      </w:r>
    </w:p>
    <w:p w14:paraId="613390FD" w14:textId="6DD5AEFF" w:rsidR="003C50FB" w:rsidRPr="003C50FB" w:rsidRDefault="003C50FB" w:rsidP="00E475B6">
      <w:pPr>
        <w:ind w:firstLine="708"/>
        <w:jc w:val="both"/>
        <w:rPr>
          <w:rFonts w:asciiTheme="majorBidi" w:hAnsiTheme="majorBidi" w:cstheme="majorBidi"/>
          <w:sz w:val="24"/>
          <w:szCs w:val="24"/>
        </w:rPr>
      </w:pPr>
      <w:r w:rsidRPr="003C50FB">
        <w:rPr>
          <w:rFonts w:asciiTheme="majorBidi" w:hAnsiTheme="majorBidi" w:cstheme="majorBidi"/>
          <w:sz w:val="24"/>
          <w:szCs w:val="24"/>
        </w:rPr>
        <w:t xml:space="preserve">Dodatno, 14. prosinca 2018. u nadležnosti Ministarstva regionalnoga razvoja i fondova Europske unije, pokrenut je poziv za iskaz interesa za dodjelu bespovratnih sredstava iz Prioritetne osi 10 - Tehnička pomoć Operativnog programa Konkurentnost i kohezija 2014.-2020. za sufinanciranje pripreme strateških projekata regionalnoga razvoja u Slavoniji, Baranji i Srijemu, koji je zatvoren 30. travnja 2020. Predmet navedenog Poziva je dodjela bespovratnih sredstava Prioritetne osi 10 – Tehnička pomoć Operativnog programa „Konkurentnost i </w:t>
      </w:r>
      <w:r w:rsidRPr="003C50FB">
        <w:rPr>
          <w:rFonts w:asciiTheme="majorBidi" w:hAnsiTheme="majorBidi" w:cstheme="majorBidi"/>
          <w:sz w:val="24"/>
          <w:szCs w:val="24"/>
        </w:rPr>
        <w:lastRenderedPageBreak/>
        <w:t xml:space="preserve">kohezija 2014.-2020.“ za pripremu zalihe strateških projekata regionalnoga razvoja na području Slavonije, Baranje i Srijema. Prihvatljivi prijavitelji po navedenom Pozivu bile su jedinice lokalne i područne (regionalne) samouprave te pravne osobe s javnim ovlastima s područja Slavonije, Baranje i Srijema. Ukupno je po navedenom Pozivu zaprimljeno 26 projektnih prijava. Prijave je podnijelo 10 prijavitelja: Brodsko-posavska županija (4 prijave), Osječko-baranjska županija (4 prijave), Požeško-slavonska županija (3 prijave), Virovitičko-podravska županija (3 prijave), Vukovarsko-srijemska županija (6 prijava) te Grad Vinkovci (2 prijave) i Grad Kutjevo, Grad Pakrac, Općina Nijemci, Općina Nuštar (svi po jednu prijavu). Ugovoreno je svih 26 prijavljenih projektnih prijava kojima je dodijeljeno </w:t>
      </w:r>
      <w:r w:rsidRPr="003C50FB">
        <w:rPr>
          <w:rFonts w:asciiTheme="majorBidi" w:hAnsiTheme="majorBidi" w:cstheme="majorBidi"/>
          <w:b/>
          <w:bCs/>
          <w:sz w:val="24"/>
          <w:szCs w:val="24"/>
        </w:rPr>
        <w:t xml:space="preserve">58.616.779,94 kn </w:t>
      </w:r>
      <w:r w:rsidRPr="003C50FB">
        <w:rPr>
          <w:rFonts w:asciiTheme="majorBidi" w:hAnsiTheme="majorBidi" w:cstheme="majorBidi"/>
          <w:sz w:val="24"/>
          <w:szCs w:val="24"/>
        </w:rPr>
        <w:t>bespovratnih sredstava Prioritetne osi 10 – Tehnička pomoć Operativnog programa „Konkurentnost i kohezija 2014.-2020.“</w:t>
      </w:r>
    </w:p>
    <w:p w14:paraId="124E22E3" w14:textId="77777777" w:rsidR="003C50FB" w:rsidRPr="003C50FB" w:rsidRDefault="003C50FB" w:rsidP="003C50FB">
      <w:pPr>
        <w:spacing w:after="120" w:line="252" w:lineRule="auto"/>
        <w:ind w:firstLine="708"/>
        <w:jc w:val="both"/>
        <w:rPr>
          <w:rFonts w:asciiTheme="majorBidi" w:hAnsiTheme="majorBidi" w:cstheme="majorBidi"/>
          <w:sz w:val="24"/>
          <w:szCs w:val="24"/>
        </w:rPr>
      </w:pPr>
      <w:r w:rsidRPr="003C50FB">
        <w:rPr>
          <w:rFonts w:asciiTheme="majorBidi" w:hAnsiTheme="majorBidi" w:cstheme="majorBidi"/>
          <w:sz w:val="24"/>
          <w:szCs w:val="24"/>
        </w:rPr>
        <w:t xml:space="preserve">Sustav dodjele potpore iz Europskog poljoprivrednog fonda za ruralni razvoj utemeljen je isključivo na EU zakonodavstvu, važećem Zakonu o poljoprivredi i pratećim </w:t>
      </w:r>
      <w:proofErr w:type="spellStart"/>
      <w:r w:rsidRPr="003C50FB">
        <w:rPr>
          <w:rFonts w:asciiTheme="majorBidi" w:hAnsiTheme="majorBidi" w:cstheme="majorBidi"/>
          <w:sz w:val="24"/>
          <w:szCs w:val="24"/>
        </w:rPr>
        <w:t>podzakonskim</w:t>
      </w:r>
      <w:proofErr w:type="spellEnd"/>
      <w:r w:rsidRPr="003C50FB">
        <w:rPr>
          <w:rFonts w:asciiTheme="majorBidi" w:hAnsiTheme="majorBidi" w:cstheme="majorBidi"/>
          <w:sz w:val="24"/>
          <w:szCs w:val="24"/>
        </w:rPr>
        <w:t xml:space="preserve"> aktima (pravilnicima) i natječajima koji iz njih proizlaze.</w:t>
      </w:r>
    </w:p>
    <w:p w14:paraId="5A9D244C" w14:textId="77777777" w:rsidR="003C50FB" w:rsidRPr="003C50FB" w:rsidRDefault="003C50FB" w:rsidP="003C50FB">
      <w:pPr>
        <w:spacing w:after="120" w:line="252" w:lineRule="auto"/>
        <w:ind w:firstLine="708"/>
        <w:jc w:val="both"/>
        <w:rPr>
          <w:rFonts w:asciiTheme="majorBidi" w:hAnsiTheme="majorBidi" w:cstheme="majorBidi"/>
          <w:sz w:val="24"/>
          <w:szCs w:val="24"/>
        </w:rPr>
      </w:pPr>
      <w:r w:rsidRPr="003C50FB">
        <w:rPr>
          <w:rFonts w:asciiTheme="majorBidi" w:hAnsiTheme="majorBidi" w:cstheme="majorBidi"/>
          <w:sz w:val="24"/>
          <w:szCs w:val="24"/>
        </w:rPr>
        <w:t xml:space="preserve">Odabir projekata obavlja se isključivo na temelju propisanih kriterija odabira koje odobrava Odbor za praćenje Programa ruralnog razvoja, čime se onemogućava pogodovanje kod dodjele potpore bilo kojem korisniku. </w:t>
      </w:r>
    </w:p>
    <w:p w14:paraId="59865C89" w14:textId="77777777" w:rsidR="003C50FB" w:rsidRPr="003C50FB" w:rsidRDefault="003C50FB" w:rsidP="003C50FB">
      <w:pPr>
        <w:spacing w:after="120" w:line="252" w:lineRule="auto"/>
        <w:ind w:firstLine="708"/>
        <w:jc w:val="both"/>
        <w:rPr>
          <w:rFonts w:asciiTheme="majorBidi" w:hAnsiTheme="majorBidi" w:cstheme="majorBidi"/>
          <w:sz w:val="24"/>
          <w:szCs w:val="24"/>
        </w:rPr>
      </w:pPr>
      <w:r w:rsidRPr="003C50FB">
        <w:rPr>
          <w:rFonts w:asciiTheme="majorBidi" w:hAnsiTheme="majorBidi" w:cstheme="majorBidi"/>
          <w:sz w:val="24"/>
          <w:szCs w:val="24"/>
        </w:rPr>
        <w:t>Sva sredstva odobrena i isplaćena korisnicima provodila su se transparentno putem javnih natječaja s jasno definiranim kriterijima odabira, uvjetima prihvatljivosti korisnika, projekata i listi prihvatljivih troškova. Objavi natječaja prethodila je uobičajena procedura savjetovanja sa zainteresiranom javnošću.</w:t>
      </w:r>
    </w:p>
    <w:p w14:paraId="1298E750" w14:textId="77777777" w:rsidR="003C50FB" w:rsidRPr="003C50FB" w:rsidRDefault="003C50FB" w:rsidP="003C50FB">
      <w:pPr>
        <w:spacing w:after="120" w:line="252" w:lineRule="auto"/>
        <w:ind w:firstLine="708"/>
        <w:jc w:val="both"/>
        <w:rPr>
          <w:rFonts w:asciiTheme="majorBidi" w:hAnsiTheme="majorBidi" w:cstheme="majorBidi"/>
          <w:sz w:val="24"/>
          <w:szCs w:val="24"/>
        </w:rPr>
      </w:pPr>
      <w:r w:rsidRPr="003C50FB">
        <w:rPr>
          <w:rFonts w:asciiTheme="majorBidi" w:hAnsiTheme="majorBidi" w:cstheme="majorBidi"/>
          <w:sz w:val="24"/>
          <w:szCs w:val="24"/>
        </w:rPr>
        <w:t>Nadalje, navedeni sustav dodjele potpora pod stalnim je nadzorom Službe za unutarnju reviziju Agencije za plaćanja u poljoprivredi, ribarstvu i ruralnom razvoju, Agencije za reviziju sustava provedbe programa EU, Europskog revizorskog suda te službi za reviziju Generalne uprave za poljoprivredu EK, čime se osigurava zakonitost provedbe Programa ruralnog razvoja RH 2014.-2020.</w:t>
      </w:r>
    </w:p>
    <w:p w14:paraId="0EEE9EFD" w14:textId="77777777" w:rsidR="003C50FB" w:rsidRPr="003C50FB" w:rsidRDefault="003C50FB" w:rsidP="003C50FB">
      <w:pPr>
        <w:spacing w:after="120" w:line="252" w:lineRule="auto"/>
        <w:ind w:firstLine="708"/>
        <w:jc w:val="both"/>
        <w:rPr>
          <w:rFonts w:asciiTheme="majorBidi" w:hAnsiTheme="majorBidi" w:cstheme="majorBidi"/>
          <w:sz w:val="24"/>
          <w:szCs w:val="24"/>
        </w:rPr>
      </w:pPr>
      <w:r w:rsidRPr="003C50FB">
        <w:rPr>
          <w:rFonts w:asciiTheme="majorBidi" w:hAnsiTheme="majorBidi" w:cstheme="majorBidi"/>
          <w:sz w:val="24"/>
          <w:szCs w:val="24"/>
        </w:rPr>
        <w:t xml:space="preserve">Program ruralnog razvoja izrađen je za cjelokupno područje Republike Hrvatske i nije moguća izrada posebnog programa za ruralni razvoja određenih područja. No, u natječajima se prilikom utvrđivanja kriterija odabira prednost daje područjima s nižim indeksom razvijenosti, a koji je karakterističan za Slavoniju, Baranju i Srijem. </w:t>
      </w:r>
    </w:p>
    <w:p w14:paraId="735608DA" w14:textId="50183DED" w:rsidR="003C50FB" w:rsidRPr="003C50FB" w:rsidRDefault="003C50FB" w:rsidP="003C50FB">
      <w:pPr>
        <w:spacing w:after="120" w:line="252" w:lineRule="auto"/>
        <w:ind w:firstLine="708"/>
        <w:jc w:val="both"/>
        <w:rPr>
          <w:rFonts w:asciiTheme="majorBidi" w:hAnsiTheme="majorBidi" w:cstheme="majorBidi"/>
          <w:sz w:val="24"/>
          <w:szCs w:val="24"/>
        </w:rPr>
      </w:pPr>
      <w:r w:rsidRPr="003C50FB">
        <w:rPr>
          <w:rFonts w:asciiTheme="majorBidi" w:hAnsiTheme="majorBidi" w:cstheme="majorBidi"/>
          <w:sz w:val="24"/>
          <w:szCs w:val="24"/>
        </w:rPr>
        <w:t>U okviru Programa ruralnog razvoja ne može se prihvatiti zahtjev vezan za donošenje odluka o uspostavi posebnih pravila, oznaka i drugih odrednica</w:t>
      </w:r>
      <w:r w:rsidR="00F559C9">
        <w:rPr>
          <w:rFonts w:asciiTheme="majorBidi" w:hAnsiTheme="majorBidi" w:cstheme="majorBidi"/>
          <w:sz w:val="24"/>
          <w:szCs w:val="24"/>
        </w:rPr>
        <w:t xml:space="preserve"> koje se spominju u točki 2.3. I</w:t>
      </w:r>
      <w:r w:rsidRPr="003C50FB">
        <w:rPr>
          <w:rFonts w:asciiTheme="majorBidi" w:hAnsiTheme="majorBidi" w:cstheme="majorBidi"/>
          <w:sz w:val="24"/>
          <w:szCs w:val="24"/>
        </w:rPr>
        <w:t>nterpelacije, slijedom činjenice da je označavanje projekata financiranih iz Programa ruralnog razvoja jasno definirano prilogom XII.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p w14:paraId="469E9532" w14:textId="77777777" w:rsidR="003C50FB" w:rsidRPr="003C50FB" w:rsidRDefault="003C50FB" w:rsidP="003C50FB">
      <w:pPr>
        <w:spacing w:after="120" w:line="252" w:lineRule="auto"/>
        <w:ind w:firstLine="708"/>
        <w:jc w:val="both"/>
        <w:rPr>
          <w:rFonts w:asciiTheme="majorBidi" w:hAnsiTheme="majorBidi" w:cstheme="majorBidi"/>
          <w:sz w:val="24"/>
          <w:szCs w:val="24"/>
        </w:rPr>
      </w:pPr>
      <w:r w:rsidRPr="003C50FB">
        <w:rPr>
          <w:rFonts w:asciiTheme="majorBidi" w:hAnsiTheme="majorBidi" w:cstheme="majorBidi"/>
          <w:sz w:val="24"/>
          <w:szCs w:val="24"/>
        </w:rPr>
        <w:t>Također, navodimo da su pravila dodjele potpora mjera ruralnog razvoja jasno definirana između ostalog i:</w:t>
      </w:r>
    </w:p>
    <w:p w14:paraId="4CCE7EB2" w14:textId="0700B046" w:rsidR="003C50FB" w:rsidRPr="003C50FB" w:rsidRDefault="003C50FB" w:rsidP="003C50FB">
      <w:pPr>
        <w:pStyle w:val="ListParagraph"/>
        <w:numPr>
          <w:ilvl w:val="0"/>
          <w:numId w:val="14"/>
        </w:numPr>
        <w:spacing w:after="120" w:line="252" w:lineRule="auto"/>
        <w:jc w:val="both"/>
        <w:rPr>
          <w:rFonts w:asciiTheme="majorBidi" w:hAnsiTheme="majorBidi" w:cstheme="majorBidi"/>
          <w:sz w:val="24"/>
          <w:szCs w:val="24"/>
        </w:rPr>
      </w:pPr>
      <w:r w:rsidRPr="003C50FB">
        <w:rPr>
          <w:rFonts w:asciiTheme="majorBidi" w:hAnsiTheme="majorBidi" w:cstheme="majorBidi"/>
          <w:sz w:val="24"/>
          <w:szCs w:val="24"/>
        </w:rPr>
        <w:lastRenderedPageBreak/>
        <w:t>Uredbom (EU) br. 1305/2013 Europskog parlamenta i Vijeća od 17. prosinca 2013. o potpori ruralnom razvoju iz Europskog poljoprivrednog fonda za ruralni razvoj (EPFRR) i stavljanju izvan snage Uredbe Vijeća (EZ) br. 1698/2005 (Sl. list EU L 347/487 od 20.12.2013;</w:t>
      </w:r>
    </w:p>
    <w:p w14:paraId="28DF6335" w14:textId="6697166E" w:rsidR="003C50FB" w:rsidRPr="003C50FB" w:rsidRDefault="003C50FB" w:rsidP="003C50FB">
      <w:pPr>
        <w:pStyle w:val="ListParagraph"/>
        <w:numPr>
          <w:ilvl w:val="0"/>
          <w:numId w:val="14"/>
        </w:numPr>
        <w:spacing w:after="120" w:line="252" w:lineRule="auto"/>
        <w:jc w:val="both"/>
        <w:rPr>
          <w:rFonts w:asciiTheme="majorBidi" w:hAnsiTheme="majorBidi" w:cstheme="majorBidi"/>
          <w:sz w:val="24"/>
          <w:szCs w:val="24"/>
        </w:rPr>
      </w:pPr>
      <w:r w:rsidRPr="003C50FB">
        <w:rPr>
          <w:rFonts w:asciiTheme="majorBidi" w:hAnsiTheme="majorBidi" w:cstheme="majorBidi"/>
          <w:sz w:val="24"/>
          <w:szCs w:val="24"/>
        </w:rPr>
        <w:t>Uredbom (EU) br. 1306/2013 Europskog parlamenta i Vijeća od 17. prosinca 2013. o financiranju, upravljanju i nadzoru zajedničke poljoprivredne politike i o stavljanju izvan snage uredaba Vijeća (EEZ) br. 352/78, (EZ) br. 165/94, (EZ) br. 2799/98, (EZ) br. 814/2000, (EZ) br. 1290/2005 i (EZ) 485/2008 (Sl. list EU 347/549 od 20.12.2013.;</w:t>
      </w:r>
    </w:p>
    <w:p w14:paraId="1CEDBB5A" w14:textId="129EDF47" w:rsidR="003C50FB" w:rsidRPr="003C50FB" w:rsidRDefault="003C50FB" w:rsidP="003C50FB">
      <w:pPr>
        <w:pStyle w:val="ListParagraph"/>
        <w:numPr>
          <w:ilvl w:val="0"/>
          <w:numId w:val="14"/>
        </w:numPr>
        <w:spacing w:after="120" w:line="252" w:lineRule="auto"/>
        <w:jc w:val="both"/>
        <w:rPr>
          <w:rFonts w:asciiTheme="majorBidi" w:hAnsiTheme="majorBidi" w:cstheme="majorBidi"/>
          <w:sz w:val="24"/>
          <w:szCs w:val="24"/>
        </w:rPr>
      </w:pPr>
      <w:r w:rsidRPr="003C50FB">
        <w:rPr>
          <w:rFonts w:asciiTheme="majorBidi" w:hAnsiTheme="majorBidi" w:cstheme="majorBidi"/>
          <w:sz w:val="24"/>
          <w:szCs w:val="24"/>
        </w:rPr>
        <w:t>Delegiranom uredbom Komisije (EU) br. 807/2014 od 11. ožujka 2014. o dopuni Uredbe (EU) br. 1305/2013 Europskog parlamenta i Vijeća o potpori ruralnom razvoju iz Europskog poljoprivrednog fonda za ruralni razvoj (EPFRR) i uvođenju prijelaznih odredbi (Sl. list EU L 227/1 od 31.7.2014;</w:t>
      </w:r>
    </w:p>
    <w:p w14:paraId="67393007" w14:textId="73E85638" w:rsidR="003C50FB" w:rsidRPr="003C50FB" w:rsidRDefault="003C50FB" w:rsidP="003C50FB">
      <w:pPr>
        <w:pStyle w:val="ListParagraph"/>
        <w:numPr>
          <w:ilvl w:val="0"/>
          <w:numId w:val="14"/>
        </w:numPr>
        <w:spacing w:after="120" w:line="252" w:lineRule="auto"/>
        <w:jc w:val="both"/>
        <w:rPr>
          <w:rFonts w:asciiTheme="majorBidi" w:hAnsiTheme="majorBidi" w:cstheme="majorBidi"/>
          <w:sz w:val="24"/>
          <w:szCs w:val="24"/>
        </w:rPr>
      </w:pPr>
      <w:r w:rsidRPr="003C50FB">
        <w:rPr>
          <w:rFonts w:asciiTheme="majorBidi" w:hAnsiTheme="majorBidi" w:cstheme="majorBidi"/>
          <w:sz w:val="24"/>
          <w:szCs w:val="24"/>
        </w:rPr>
        <w:t xml:space="preserve">Delegiranom uredbom Komisije (EU) br. 640/2014 </w:t>
      </w:r>
      <w:proofErr w:type="spellStart"/>
      <w:r w:rsidRPr="003C50FB">
        <w:rPr>
          <w:rFonts w:asciiTheme="majorBidi" w:hAnsiTheme="majorBidi" w:cstheme="majorBidi"/>
          <w:sz w:val="24"/>
          <w:szCs w:val="24"/>
        </w:rPr>
        <w:t>оd</w:t>
      </w:r>
      <w:proofErr w:type="spellEnd"/>
      <w:r w:rsidRPr="003C50FB">
        <w:rPr>
          <w:rFonts w:asciiTheme="majorBidi" w:hAnsiTheme="majorBidi" w:cstheme="majorBidi"/>
          <w:sz w:val="24"/>
          <w:szCs w:val="24"/>
        </w:rPr>
        <w:t xml:space="preserve"> 11. ožujka 2014. o dopuni Uredbe (EU) br. 1306/2013 Europskog parlamenta i Vijeća u pogledu integriranog administrativnog i kontrolnog sustava te uvjeta za odbijanje ili obustavu plaćanja i administrativne kazne koje se primjenjuju za izravna plaćanja, potporu ruralnom razvoju i višestruku sukladnost</w:t>
      </w:r>
      <w:r w:rsidR="00674B81">
        <w:rPr>
          <w:rFonts w:asciiTheme="majorBidi" w:hAnsiTheme="majorBidi" w:cstheme="majorBidi"/>
          <w:sz w:val="24"/>
          <w:szCs w:val="24"/>
        </w:rPr>
        <w:t>;</w:t>
      </w:r>
      <w:r w:rsidRPr="003C50FB">
        <w:rPr>
          <w:rFonts w:asciiTheme="majorBidi" w:hAnsiTheme="majorBidi" w:cstheme="majorBidi"/>
          <w:sz w:val="24"/>
          <w:szCs w:val="24"/>
        </w:rPr>
        <w:tab/>
      </w:r>
    </w:p>
    <w:p w14:paraId="17F46F90" w14:textId="3340A1B9" w:rsidR="003C50FB" w:rsidRPr="003C50FB" w:rsidRDefault="003C50FB" w:rsidP="003C50FB">
      <w:pPr>
        <w:pStyle w:val="ListParagraph"/>
        <w:numPr>
          <w:ilvl w:val="0"/>
          <w:numId w:val="14"/>
        </w:numPr>
        <w:spacing w:after="120" w:line="252" w:lineRule="auto"/>
        <w:jc w:val="both"/>
        <w:rPr>
          <w:rFonts w:asciiTheme="majorBidi" w:hAnsiTheme="majorBidi" w:cstheme="majorBidi"/>
          <w:sz w:val="24"/>
          <w:szCs w:val="24"/>
        </w:rPr>
      </w:pPr>
      <w:r w:rsidRPr="003C50FB">
        <w:rPr>
          <w:rFonts w:asciiTheme="majorBidi" w:hAnsiTheme="majorBidi" w:cstheme="majorBidi"/>
          <w:sz w:val="24"/>
          <w:szCs w:val="24"/>
        </w:rPr>
        <w:t xml:space="preserve">Provedbenom uredbom Komisije (EU) br. 809/2014 </w:t>
      </w:r>
      <w:proofErr w:type="spellStart"/>
      <w:r w:rsidRPr="003C50FB">
        <w:rPr>
          <w:rFonts w:asciiTheme="majorBidi" w:hAnsiTheme="majorBidi" w:cstheme="majorBidi"/>
          <w:sz w:val="24"/>
          <w:szCs w:val="24"/>
        </w:rPr>
        <w:t>оd</w:t>
      </w:r>
      <w:proofErr w:type="spellEnd"/>
      <w:r w:rsidRPr="003C50FB">
        <w:rPr>
          <w:rFonts w:asciiTheme="majorBidi" w:hAnsiTheme="majorBidi" w:cstheme="majorBidi"/>
          <w:sz w:val="24"/>
          <w:szCs w:val="24"/>
        </w:rPr>
        <w:t xml:space="preserve"> 17. srpnja 2014. o utvrđivanju pravila za primjenu Uredbe (EU) br. 1306/2013 Europskog parlamenta i Vijeća u pogledu integriranog administrativnog i kontrolnog sustava, mjera ruralnog razvoja i višestruke sukladnosti</w:t>
      </w:r>
      <w:r w:rsidR="00674B81">
        <w:rPr>
          <w:rFonts w:asciiTheme="majorBidi" w:hAnsiTheme="majorBidi" w:cstheme="majorBidi"/>
          <w:sz w:val="24"/>
          <w:szCs w:val="24"/>
        </w:rPr>
        <w:t>;</w:t>
      </w:r>
    </w:p>
    <w:p w14:paraId="176893D3" w14:textId="77777777" w:rsidR="003C50FB" w:rsidRPr="003C50FB" w:rsidRDefault="003C50FB" w:rsidP="003C50FB">
      <w:pPr>
        <w:pStyle w:val="ListParagraph"/>
        <w:numPr>
          <w:ilvl w:val="0"/>
          <w:numId w:val="14"/>
        </w:numPr>
        <w:spacing w:after="120" w:line="252" w:lineRule="auto"/>
        <w:jc w:val="both"/>
        <w:rPr>
          <w:rFonts w:asciiTheme="majorBidi" w:hAnsiTheme="majorBidi" w:cstheme="majorBidi"/>
          <w:sz w:val="24"/>
          <w:szCs w:val="24"/>
        </w:rPr>
      </w:pPr>
      <w:r w:rsidRPr="003C50FB">
        <w:rPr>
          <w:rFonts w:asciiTheme="majorBidi" w:hAnsiTheme="majorBidi" w:cstheme="majorBidi"/>
          <w:sz w:val="24"/>
          <w:szCs w:val="24"/>
        </w:rPr>
        <w:t xml:space="preserve">Delegiranom uredbom Komisije (EU) br. 907/2014 </w:t>
      </w:r>
      <w:proofErr w:type="spellStart"/>
      <w:r w:rsidRPr="003C50FB">
        <w:rPr>
          <w:rFonts w:asciiTheme="majorBidi" w:hAnsiTheme="majorBidi" w:cstheme="majorBidi"/>
          <w:sz w:val="24"/>
          <w:szCs w:val="24"/>
        </w:rPr>
        <w:t>оd</w:t>
      </w:r>
      <w:proofErr w:type="spellEnd"/>
      <w:r w:rsidRPr="003C50FB">
        <w:rPr>
          <w:rFonts w:asciiTheme="majorBidi" w:hAnsiTheme="majorBidi" w:cstheme="majorBidi"/>
          <w:sz w:val="24"/>
          <w:szCs w:val="24"/>
        </w:rPr>
        <w:t xml:space="preserve"> 11. ožujka 2014. o dopuni Uredbe (EU) br. 1306/2013 Europskog parlamenta i Vijeća u pogledu agencija za plaćanja i ostalih tijela, financijskog upravljanja, poravnanja računa, jamstava i upotrebe eura.</w:t>
      </w:r>
    </w:p>
    <w:p w14:paraId="444BFF77" w14:textId="37C2E0B8" w:rsidR="008E3D74" w:rsidRPr="008E3D74" w:rsidRDefault="008E3D74" w:rsidP="008E3D74">
      <w:pPr>
        <w:spacing w:after="120" w:line="252" w:lineRule="auto"/>
        <w:ind w:firstLine="708"/>
        <w:jc w:val="both"/>
        <w:rPr>
          <w:rFonts w:ascii="Times New Roman" w:hAnsi="Times New Roman" w:cs="Times New Roman"/>
          <w:sz w:val="24"/>
          <w:szCs w:val="24"/>
        </w:rPr>
      </w:pPr>
      <w:r w:rsidRPr="008E3D74">
        <w:rPr>
          <w:rFonts w:ascii="Times New Roman" w:hAnsi="Times New Roman" w:cs="Times New Roman"/>
          <w:sz w:val="24"/>
          <w:szCs w:val="24"/>
        </w:rPr>
        <w:t>Usporedbom ukupno ugovorenih i isplaćenih sredstava u okviru Programa ruralnog razvoja s ugovorenim i isplaćenim sredstvima iz tog Programa za područje Slavonije, Baranje i Srijem, ažurirano sa stanjem 30. prosinca 2020., razvidno je da je trećina raspoloživih sredst</w:t>
      </w:r>
      <w:r w:rsidR="008D7915">
        <w:rPr>
          <w:rFonts w:ascii="Times New Roman" w:hAnsi="Times New Roman" w:cs="Times New Roman"/>
          <w:sz w:val="24"/>
          <w:szCs w:val="24"/>
        </w:rPr>
        <w:t>a</w:t>
      </w:r>
      <w:r w:rsidRPr="008E3D74">
        <w:rPr>
          <w:rFonts w:ascii="Times New Roman" w:hAnsi="Times New Roman" w:cs="Times New Roman"/>
          <w:sz w:val="24"/>
          <w:szCs w:val="24"/>
        </w:rPr>
        <w:t>va usmjerena na područja obuhvaćena Projektom Slavonija, Baranja i Srijem.</w:t>
      </w:r>
      <w:r w:rsidR="003747D8">
        <w:rPr>
          <w:rFonts w:ascii="Times New Roman" w:hAnsi="Times New Roman" w:cs="Times New Roman"/>
          <w:sz w:val="24"/>
          <w:szCs w:val="24"/>
        </w:rPr>
        <w:t xml:space="preserve"> </w:t>
      </w:r>
      <w:r w:rsidR="003747D8" w:rsidRPr="00C44919">
        <w:rPr>
          <w:rFonts w:ascii="Times New Roman" w:hAnsi="Times New Roman" w:cs="Times New Roman"/>
          <w:sz w:val="24"/>
          <w:szCs w:val="24"/>
        </w:rPr>
        <w:t>Ukupno ugovorena bespovratna sredstva iz Programa ruralnog razvoja iznose 15,7 milijardi kn, a od toga za Slavoniju, Baranju i Srijem 5,3 milijarde kn.</w:t>
      </w:r>
    </w:p>
    <w:p w14:paraId="4C24E6EF" w14:textId="77777777" w:rsidR="00311D4D" w:rsidRPr="003C50FB" w:rsidRDefault="00311D4D" w:rsidP="003C50FB">
      <w:pPr>
        <w:spacing w:after="120" w:line="252" w:lineRule="auto"/>
        <w:ind w:firstLine="708"/>
        <w:jc w:val="both"/>
        <w:rPr>
          <w:rFonts w:asciiTheme="majorBidi" w:hAnsiTheme="majorBidi" w:cstheme="majorBidi"/>
          <w:sz w:val="24"/>
          <w:szCs w:val="24"/>
        </w:rPr>
      </w:pPr>
    </w:p>
    <w:p w14:paraId="7B90206C" w14:textId="53CDCDB9" w:rsidR="002F7D90" w:rsidRPr="002F7D90" w:rsidRDefault="002F7D90" w:rsidP="002F7D90">
      <w:pPr>
        <w:pStyle w:val="ListParagraph"/>
        <w:numPr>
          <w:ilvl w:val="0"/>
          <w:numId w:val="16"/>
        </w:numPr>
        <w:spacing w:after="120" w:line="252" w:lineRule="auto"/>
        <w:jc w:val="both"/>
        <w:rPr>
          <w:rFonts w:asciiTheme="majorBidi" w:hAnsiTheme="majorBidi" w:cstheme="majorBidi"/>
          <w:b/>
          <w:bCs/>
          <w:sz w:val="24"/>
          <w:szCs w:val="24"/>
        </w:rPr>
      </w:pPr>
      <w:r w:rsidRPr="002F7D90">
        <w:rPr>
          <w:rFonts w:asciiTheme="majorBidi" w:hAnsiTheme="majorBidi" w:cstheme="majorBidi"/>
          <w:b/>
          <w:bCs/>
          <w:sz w:val="24"/>
          <w:szCs w:val="24"/>
        </w:rPr>
        <w:t xml:space="preserve">Novinski članci na kojima je zasnovana </w:t>
      </w:r>
      <w:r>
        <w:rPr>
          <w:rFonts w:asciiTheme="majorBidi" w:hAnsiTheme="majorBidi" w:cstheme="majorBidi"/>
          <w:b/>
          <w:bCs/>
          <w:sz w:val="24"/>
          <w:szCs w:val="24"/>
        </w:rPr>
        <w:t>I</w:t>
      </w:r>
      <w:r w:rsidRPr="002F7D90">
        <w:rPr>
          <w:rFonts w:asciiTheme="majorBidi" w:hAnsiTheme="majorBidi" w:cstheme="majorBidi"/>
          <w:b/>
          <w:bCs/>
          <w:sz w:val="24"/>
          <w:szCs w:val="24"/>
        </w:rPr>
        <w:t xml:space="preserve">nterpelacija </w:t>
      </w:r>
    </w:p>
    <w:p w14:paraId="42B2DD41" w14:textId="6CF4849B" w:rsidR="003E0B2D" w:rsidRPr="00601A99" w:rsidRDefault="003E0B2D" w:rsidP="003E0B2D">
      <w:pPr>
        <w:spacing w:after="120" w:line="252" w:lineRule="auto"/>
        <w:ind w:firstLine="708"/>
        <w:jc w:val="both"/>
        <w:rPr>
          <w:rFonts w:asciiTheme="majorBidi" w:hAnsiTheme="majorBidi" w:cstheme="majorBidi"/>
          <w:sz w:val="24"/>
          <w:szCs w:val="24"/>
        </w:rPr>
      </w:pPr>
      <w:r w:rsidRPr="00601A99">
        <w:rPr>
          <w:rFonts w:asciiTheme="majorBidi" w:hAnsiTheme="majorBidi" w:cstheme="majorBidi"/>
          <w:sz w:val="24"/>
          <w:szCs w:val="24"/>
        </w:rPr>
        <w:t xml:space="preserve">Vezano uz novinske </w:t>
      </w:r>
      <w:r w:rsidR="00F559C9">
        <w:rPr>
          <w:rFonts w:asciiTheme="majorBidi" w:hAnsiTheme="majorBidi" w:cstheme="majorBidi"/>
          <w:sz w:val="24"/>
          <w:szCs w:val="24"/>
        </w:rPr>
        <w:t>članke, na kojima je zasnovana I</w:t>
      </w:r>
      <w:r w:rsidRPr="00601A99">
        <w:rPr>
          <w:rFonts w:asciiTheme="majorBidi" w:hAnsiTheme="majorBidi" w:cstheme="majorBidi"/>
          <w:sz w:val="24"/>
          <w:szCs w:val="24"/>
        </w:rPr>
        <w:t>nterpelacija, očitujemo se da se provedbeno tijelo prilikom obrade zahtjeva i odobravanja sredstava rukovodi isključivo kriterijima prihvatljivosti te kriterijima odabira primjenom postupka koji podrazumijeva da svaki djelatnik obavlja propisane kontrole uz nadzor drugog djelatnika (sustav kontrole „četiri oka“), upravo kako bi se spriječila dodjela potpora korisnicima na temelju arbitrarnih ili diskrecijskih odluka. Isto tako, propisana je i raspodjela dužnosti na način da ni</w:t>
      </w:r>
      <w:r w:rsidR="00D67E7B">
        <w:rPr>
          <w:rFonts w:asciiTheme="majorBidi" w:hAnsiTheme="majorBidi" w:cstheme="majorBidi"/>
          <w:sz w:val="24"/>
          <w:szCs w:val="24"/>
        </w:rPr>
        <w:t>ti</w:t>
      </w:r>
      <w:r w:rsidRPr="00601A99">
        <w:rPr>
          <w:rFonts w:asciiTheme="majorBidi" w:hAnsiTheme="majorBidi" w:cstheme="majorBidi"/>
          <w:sz w:val="24"/>
          <w:szCs w:val="24"/>
        </w:rPr>
        <w:t xml:space="preserve"> jedan djelatnik nije odgovoran za više od jedne od odgovornosti za odobravanje, plaćanje ili računovodstveno praćenje iznosa obračunatih na teret fonda. </w:t>
      </w:r>
      <w:r w:rsidRPr="00601A99">
        <w:rPr>
          <w:rFonts w:ascii="Times New Roman" w:eastAsia="Times New Roman" w:hAnsi="Times New Roman" w:cs="Times New Roman"/>
          <w:sz w:val="24"/>
          <w:szCs w:val="24"/>
          <w:lang w:eastAsia="hr-HR"/>
        </w:rPr>
        <w:t>Slijedom nav</w:t>
      </w:r>
      <w:r w:rsidR="00F559C9">
        <w:rPr>
          <w:rFonts w:ascii="Times New Roman" w:eastAsia="Times New Roman" w:hAnsi="Times New Roman" w:cs="Times New Roman"/>
          <w:sz w:val="24"/>
          <w:szCs w:val="24"/>
          <w:lang w:eastAsia="hr-HR"/>
        </w:rPr>
        <w:t>edenog nisu osnovani navodi iz I</w:t>
      </w:r>
      <w:r w:rsidRPr="00601A99">
        <w:rPr>
          <w:rFonts w:ascii="Times New Roman" w:eastAsia="Times New Roman" w:hAnsi="Times New Roman" w:cs="Times New Roman"/>
          <w:sz w:val="24"/>
          <w:szCs w:val="24"/>
          <w:lang w:eastAsia="hr-HR"/>
        </w:rPr>
        <w:t>nterpelacije kojima se ukazuju na nezakonitu dodjelu EU sredstava pojedinim korisnicima koji su „povezani“ s političkim strankama.</w:t>
      </w:r>
    </w:p>
    <w:p w14:paraId="099B71FE" w14:textId="095757EE" w:rsidR="00FB461D" w:rsidRDefault="00FB461D" w:rsidP="00FB461D">
      <w:pPr>
        <w:spacing w:after="120" w:line="252" w:lineRule="auto"/>
        <w:ind w:firstLine="708"/>
        <w:jc w:val="both"/>
        <w:rPr>
          <w:rFonts w:asciiTheme="majorBidi" w:hAnsiTheme="majorBidi" w:cstheme="majorBidi"/>
          <w:sz w:val="24"/>
          <w:szCs w:val="24"/>
        </w:rPr>
      </w:pPr>
      <w:r w:rsidRPr="00FB461D">
        <w:rPr>
          <w:rFonts w:asciiTheme="majorBidi" w:hAnsiTheme="majorBidi" w:cstheme="majorBidi"/>
          <w:sz w:val="24"/>
          <w:szCs w:val="24"/>
        </w:rPr>
        <w:t xml:space="preserve">Provjerom navoda iz Interpelacije utvrđeno je da je dio korisnika istaknutih u Interpelaciji ostvario pravo na potporu ili su im isplaćena sredstva. Podaci o odobrenim </w:t>
      </w:r>
      <w:r w:rsidRPr="00FB461D">
        <w:rPr>
          <w:rFonts w:asciiTheme="majorBidi" w:hAnsiTheme="majorBidi" w:cstheme="majorBidi"/>
          <w:sz w:val="24"/>
          <w:szCs w:val="24"/>
        </w:rPr>
        <w:lastRenderedPageBreak/>
        <w:t xml:space="preserve">sredstvima po mjerama iz Programa su javno dostupni na poveznici: </w:t>
      </w:r>
      <w:hyperlink r:id="rId14" w:history="1">
        <w:r w:rsidRPr="00FB461D">
          <w:rPr>
            <w:rStyle w:val="Hyperlink"/>
            <w:rFonts w:asciiTheme="majorBidi" w:hAnsiTheme="majorBidi" w:cstheme="majorBidi"/>
            <w:sz w:val="24"/>
            <w:szCs w:val="24"/>
          </w:rPr>
          <w:t>https://www.apprrr.hr/ruralni-razvoj/</w:t>
        </w:r>
      </w:hyperlink>
      <w:r w:rsidRPr="00FB461D">
        <w:rPr>
          <w:rFonts w:asciiTheme="majorBidi" w:hAnsiTheme="majorBidi" w:cstheme="majorBidi"/>
          <w:sz w:val="24"/>
          <w:szCs w:val="24"/>
        </w:rPr>
        <w:t>.</w:t>
      </w:r>
    </w:p>
    <w:p w14:paraId="53375B39" w14:textId="63F39DE1" w:rsidR="003D6ADD" w:rsidRDefault="003D6ADD" w:rsidP="003D6ADD">
      <w:pPr>
        <w:ind w:firstLine="708"/>
        <w:jc w:val="both"/>
        <w:rPr>
          <w:rFonts w:asciiTheme="majorBidi" w:hAnsiTheme="majorBidi" w:cstheme="majorBidi"/>
          <w:sz w:val="24"/>
          <w:szCs w:val="24"/>
        </w:rPr>
      </w:pPr>
      <w:r w:rsidRPr="00A77F3F">
        <w:rPr>
          <w:rFonts w:asciiTheme="majorBidi" w:hAnsiTheme="majorBidi" w:cstheme="majorBidi"/>
          <w:color w:val="000000"/>
          <w:sz w:val="24"/>
          <w:szCs w:val="24"/>
        </w:rPr>
        <w:t xml:space="preserve">Vezano uz navode iz Interpelacije o dodjeli sredstava tvrtki </w:t>
      </w:r>
      <w:proofErr w:type="spellStart"/>
      <w:r w:rsidRPr="00A77F3F">
        <w:rPr>
          <w:rFonts w:asciiTheme="majorBidi" w:hAnsiTheme="majorBidi" w:cstheme="majorBidi"/>
          <w:color w:val="000000"/>
          <w:sz w:val="24"/>
          <w:szCs w:val="24"/>
        </w:rPr>
        <w:t>Arbiana</w:t>
      </w:r>
      <w:proofErr w:type="spellEnd"/>
      <w:r w:rsidRPr="00A77F3F">
        <w:rPr>
          <w:rFonts w:asciiTheme="majorBidi" w:hAnsiTheme="majorBidi" w:cstheme="majorBidi"/>
          <w:color w:val="000000"/>
          <w:sz w:val="24"/>
          <w:szCs w:val="24"/>
        </w:rPr>
        <w:t xml:space="preserve"> </w:t>
      </w:r>
      <w:r w:rsidRPr="00A77F3F">
        <w:rPr>
          <w:rFonts w:asciiTheme="majorBidi" w:hAnsiTheme="majorBidi" w:cstheme="majorBidi"/>
          <w:sz w:val="24"/>
          <w:szCs w:val="24"/>
        </w:rPr>
        <w:t>za projekt naveden u točki 2.4 Interpelacije, naknadnom kontrolom utvrđeno je da je projekt dobio sredstva u okviru Poziva na dostavu projektnih prijedloga „Podrška razvoju MSP u turizmu povećanjem kvalitete i dodatne ponude hotela“, referentne oznake Poziva: KK.03.2.1.04., ali je zbog lokacije sjedišta prijavitelja/korisnika projekta tehničkom pogreškom bio uključen u tablicu ugovorenih projekata Projekta Slavonija, Baranja i Srijem. Međutim, nakon što je pogreška utvrđena, navedeni projekt je brisan iz tablice s podacima za Projekt Slavonija, Baranja i Srijem. Sukladno tome izvršena</w:t>
      </w:r>
      <w:r w:rsidR="008D7915">
        <w:rPr>
          <w:rFonts w:asciiTheme="majorBidi" w:hAnsiTheme="majorBidi" w:cstheme="majorBidi"/>
          <w:sz w:val="24"/>
          <w:szCs w:val="24"/>
        </w:rPr>
        <w:t xml:space="preserve"> je</w:t>
      </w:r>
      <w:r w:rsidRPr="00A77F3F">
        <w:rPr>
          <w:rFonts w:asciiTheme="majorBidi" w:hAnsiTheme="majorBidi" w:cstheme="majorBidi"/>
          <w:sz w:val="24"/>
          <w:szCs w:val="24"/>
        </w:rPr>
        <w:t xml:space="preserve"> kontrola preostalih projekata. </w:t>
      </w:r>
    </w:p>
    <w:p w14:paraId="2B70C3DD" w14:textId="77777777" w:rsidR="00FB461D" w:rsidRPr="00FB461D" w:rsidRDefault="00FB461D" w:rsidP="00FB461D">
      <w:pPr>
        <w:spacing w:after="120" w:line="252" w:lineRule="auto"/>
        <w:ind w:firstLine="708"/>
        <w:jc w:val="both"/>
        <w:rPr>
          <w:rFonts w:asciiTheme="majorBidi" w:hAnsiTheme="majorBidi" w:cstheme="majorBidi"/>
          <w:sz w:val="24"/>
          <w:szCs w:val="24"/>
        </w:rPr>
      </w:pPr>
      <w:r w:rsidRPr="00FB461D">
        <w:rPr>
          <w:rFonts w:asciiTheme="majorBidi" w:hAnsiTheme="majorBidi" w:cstheme="majorBidi"/>
          <w:sz w:val="24"/>
          <w:szCs w:val="24"/>
        </w:rPr>
        <w:t xml:space="preserve">Od ukupno 77.216.334,59 kuna odobrenih sredstava korisnicima navedenim u Interpelaciji, 29.632.262,68 kuna, odnosno 38%, odobreno je na temelju pravilnika i natječaja iz 2015. godine, a od ukupno isplaćenih 33.310.484,41 kuna za navedene korisnike, 29.095.167,64 kuna, odnosno 87 % odnosi se na projekte odobrene kroz natječaje iz 2015. godine. </w:t>
      </w:r>
    </w:p>
    <w:p w14:paraId="2016BDAB" w14:textId="77777777" w:rsidR="00FB461D" w:rsidRPr="00FB461D" w:rsidRDefault="00FB461D" w:rsidP="00FB461D">
      <w:pPr>
        <w:spacing w:after="120" w:line="252" w:lineRule="auto"/>
        <w:ind w:firstLine="708"/>
        <w:jc w:val="both"/>
        <w:rPr>
          <w:rFonts w:asciiTheme="majorBidi" w:hAnsiTheme="majorBidi" w:cstheme="majorBidi"/>
          <w:sz w:val="24"/>
          <w:szCs w:val="24"/>
        </w:rPr>
      </w:pPr>
      <w:r w:rsidRPr="00FB461D">
        <w:rPr>
          <w:rFonts w:asciiTheme="majorBidi" w:hAnsiTheme="majorBidi" w:cstheme="majorBidi"/>
          <w:sz w:val="24"/>
          <w:szCs w:val="24"/>
        </w:rPr>
        <w:t>Odobrena sredstva treba razlikovati od isplaćenih sredstava. Naime, odobrena sredstva  isplatit će se isključivo u trenutku kada se provedu sve potrebne aktivnosti te nakon što korisnik provedbenom tijelu dostavi svu potrebnu dokumentaciju kojom dokazuje da je projekt u funkciji te da ostvaruje svoju svrhu i namjenu.</w:t>
      </w:r>
    </w:p>
    <w:p w14:paraId="23770E6F" w14:textId="1728DB2E" w:rsidR="00FB461D" w:rsidRDefault="00FB461D" w:rsidP="00FB461D">
      <w:pPr>
        <w:spacing w:after="120" w:line="252" w:lineRule="auto"/>
        <w:ind w:firstLine="708"/>
        <w:jc w:val="both"/>
        <w:rPr>
          <w:rFonts w:asciiTheme="majorBidi" w:hAnsiTheme="majorBidi" w:cstheme="majorBidi"/>
          <w:sz w:val="24"/>
          <w:szCs w:val="24"/>
        </w:rPr>
      </w:pPr>
      <w:r w:rsidRPr="00FB461D">
        <w:rPr>
          <w:rFonts w:asciiTheme="majorBidi" w:hAnsiTheme="majorBidi" w:cstheme="majorBidi"/>
          <w:sz w:val="24"/>
          <w:szCs w:val="24"/>
        </w:rPr>
        <w:t>Provedbeno tijelo Programa ruralnog razvoja  će nadalje, kao i do sada, provoditi sve potrebne aktivnosti kako bi kroz implementaciju svih potrebnih kontrola osiguralo da samo prihvatljivi projekti i korisnici ostvare pravo na potporu.</w:t>
      </w:r>
    </w:p>
    <w:p w14:paraId="156D204C" w14:textId="77777777" w:rsidR="002F7D90" w:rsidRDefault="002F7D90" w:rsidP="00FB461D">
      <w:pPr>
        <w:spacing w:after="120" w:line="252" w:lineRule="auto"/>
        <w:ind w:firstLine="708"/>
        <w:jc w:val="both"/>
        <w:rPr>
          <w:rFonts w:asciiTheme="majorBidi" w:hAnsiTheme="majorBidi" w:cstheme="majorBidi"/>
          <w:sz w:val="24"/>
          <w:szCs w:val="24"/>
        </w:rPr>
      </w:pPr>
    </w:p>
    <w:p w14:paraId="4CBB61DC" w14:textId="6859CE7D" w:rsidR="002F7D90" w:rsidRPr="002F7D90" w:rsidRDefault="002F7D90" w:rsidP="002F7D90">
      <w:pPr>
        <w:pStyle w:val="ListParagraph"/>
        <w:numPr>
          <w:ilvl w:val="0"/>
          <w:numId w:val="16"/>
        </w:numPr>
        <w:spacing w:after="120" w:line="252" w:lineRule="auto"/>
        <w:jc w:val="both"/>
        <w:rPr>
          <w:rFonts w:asciiTheme="majorBidi" w:hAnsiTheme="majorBidi" w:cstheme="majorBidi"/>
          <w:b/>
          <w:bCs/>
          <w:sz w:val="24"/>
          <w:szCs w:val="24"/>
        </w:rPr>
      </w:pPr>
      <w:r w:rsidRPr="002F7D90">
        <w:rPr>
          <w:rFonts w:asciiTheme="majorBidi" w:hAnsiTheme="majorBidi" w:cstheme="majorBidi"/>
          <w:b/>
          <w:bCs/>
          <w:sz w:val="24"/>
          <w:szCs w:val="24"/>
        </w:rPr>
        <w:t xml:space="preserve">Mogućnost podnošenja prigovora u postupcima dodjele potpore </w:t>
      </w:r>
    </w:p>
    <w:p w14:paraId="5853852C" w14:textId="77777777" w:rsidR="002F7D90" w:rsidRPr="002F7D90" w:rsidRDefault="002F7D90" w:rsidP="002F7D90">
      <w:pPr>
        <w:pStyle w:val="ListParagraph"/>
        <w:spacing w:after="120" w:line="252" w:lineRule="auto"/>
        <w:ind w:left="1070"/>
        <w:jc w:val="both"/>
        <w:rPr>
          <w:rFonts w:asciiTheme="majorBidi" w:hAnsiTheme="majorBidi" w:cstheme="majorBidi"/>
          <w:sz w:val="24"/>
          <w:szCs w:val="24"/>
        </w:rPr>
      </w:pPr>
    </w:p>
    <w:p w14:paraId="6C1A1E32" w14:textId="4177D870" w:rsidR="00FB461D" w:rsidRPr="00FB461D" w:rsidRDefault="00F559C9" w:rsidP="00642C4E">
      <w:pPr>
        <w:ind w:firstLine="708"/>
        <w:jc w:val="both"/>
        <w:rPr>
          <w:rFonts w:asciiTheme="majorBidi" w:hAnsiTheme="majorBidi" w:cstheme="majorBidi"/>
          <w:sz w:val="24"/>
          <w:szCs w:val="24"/>
        </w:rPr>
      </w:pPr>
      <w:r>
        <w:rPr>
          <w:rFonts w:asciiTheme="majorBidi" w:hAnsiTheme="majorBidi" w:cstheme="majorBidi"/>
          <w:sz w:val="24"/>
          <w:szCs w:val="24"/>
        </w:rPr>
        <w:t>U točki 2.8 I</w:t>
      </w:r>
      <w:r w:rsidR="00FB461D" w:rsidRPr="00FB461D">
        <w:rPr>
          <w:rFonts w:asciiTheme="majorBidi" w:hAnsiTheme="majorBidi" w:cstheme="majorBidi"/>
          <w:sz w:val="24"/>
          <w:szCs w:val="24"/>
        </w:rPr>
        <w:t>nterpelacije ukazuje se na Odluku Ustavnog suda Republike Hrvatske od 20. listopada 2020., kojom su ukinute određene odredbe Zakona o poljoprivredi te se zaključuje kako se zbog nemogućnosti žalbe dovodi u pitanje provođenja natječaja za potpore.</w:t>
      </w:r>
    </w:p>
    <w:p w14:paraId="0597EB1B" w14:textId="4FEF9CCE" w:rsidR="00FB461D" w:rsidRPr="00FB461D" w:rsidRDefault="00FB461D" w:rsidP="00FB461D">
      <w:pPr>
        <w:ind w:firstLine="708"/>
        <w:jc w:val="both"/>
        <w:rPr>
          <w:rFonts w:asciiTheme="majorBidi" w:hAnsiTheme="majorBidi" w:cstheme="majorBidi"/>
          <w:sz w:val="24"/>
          <w:szCs w:val="24"/>
        </w:rPr>
      </w:pPr>
      <w:r w:rsidRPr="00FB461D">
        <w:rPr>
          <w:rFonts w:asciiTheme="majorBidi" w:hAnsiTheme="majorBidi" w:cstheme="majorBidi"/>
          <w:sz w:val="24"/>
          <w:szCs w:val="24"/>
        </w:rPr>
        <w:t xml:space="preserve">U vezi s time ističemo da je odredbama, koje je svojom Odlukom ukinuo Ustavni sud 20. listopada 2020., propisano da odluke koje se donose u postupcima dodjele potpore nisu upravni akti, pri čemu je korisnicima bilo omogućeno podnošenje prigovora kako Ministarstvu poljoprivrede, tako i Agenciji za plaćanja u poljoprivredi, ribarstvu i ruralnom razvoju, dok je od 2018., donošenjem trenutno važećeg Zakona o poljoprivredi, odlučivanje o svim prigovorima u djelokrugu Ministarstva poljoprivrede. Dakle, na odluke Agencije za plaćanja u poljoprivredi, ribarstvu i ruralnom razvoju u postupcima dodjele i isplate potpora osigurano je pravo na pravni lijek tj. moguće je na izdanu odluku izjaviti prigovor o kojem odlučuje drugostupanjsko tijelo, različito od onog koje je donijelo prvotnu, pobijanu odluku. Zakonitost navedenog postupanja Ministarstva poljoprivrede i Agencije za plaćanja u poljoprivredi, ribarstvu i ruralnom razvoju potvrđuje ranija Odluka Ustavnog suda U-III-719/2014 od 13. srpnja 2016., kojom je Ustavni sud utvrdio da se u konkretnom slučaju (odnosno da odluke o dodjeli potpora u poljoprivredi nisu upravni akti) radi o ustavnopravno prihvatljivom ograničenju prava na pristup sudu. Nadalje, u istoj je Odluci Ustavni sud ocijenio da </w:t>
      </w:r>
      <w:r w:rsidRPr="00FB461D">
        <w:rPr>
          <w:rFonts w:asciiTheme="majorBidi" w:hAnsiTheme="majorBidi" w:cstheme="majorBidi"/>
          <w:sz w:val="24"/>
          <w:szCs w:val="24"/>
        </w:rPr>
        <w:lastRenderedPageBreak/>
        <w:t>podnositelju nije povrijeđeno pravo na pristup sudu zajamčeno člankom 29. stavkom 1. Ustava, kao ni konvencijska prava na koja podnositelj ukazuje.</w:t>
      </w:r>
    </w:p>
    <w:p w14:paraId="30231B37" w14:textId="77777777" w:rsidR="00FB461D" w:rsidRPr="00FB461D" w:rsidRDefault="00FB461D" w:rsidP="00FB461D">
      <w:pPr>
        <w:ind w:firstLine="708"/>
        <w:jc w:val="both"/>
        <w:rPr>
          <w:rFonts w:asciiTheme="majorBidi" w:hAnsiTheme="majorBidi" w:cstheme="majorBidi"/>
          <w:sz w:val="24"/>
          <w:szCs w:val="24"/>
        </w:rPr>
      </w:pPr>
      <w:r w:rsidRPr="00FB461D">
        <w:rPr>
          <w:rFonts w:asciiTheme="majorBidi" w:hAnsiTheme="majorBidi" w:cstheme="majorBidi"/>
          <w:sz w:val="24"/>
          <w:szCs w:val="24"/>
        </w:rPr>
        <w:t>Neovisno o tome, Ministarstvo poljoprivrede je ocijenilo zahtjeve za dodatnom pravnom zaštitom opravdanima te je sukladno tome pripremilo odgovarajuće izmjene i dopune Zakona o poljoprivredi. Nacrt prijedloga zakona o izmjenama i dopunama Zakona o poljoprivredi Vlada Republike Hrvatske je utvrdila na sjednici održanoj 23. prosinca 2020. Naglašavamo kako u Odluci Ustavnog suda iz listopada 2020., kojom je odlučio da se pojedine odredbe Zakona o poljoprivredi ukidaju s 1. ožujka 2021., pravne posljedice njihovog ukidanja djeluju od navedenog datuma za ubuduće,</w:t>
      </w:r>
      <w:r w:rsidRPr="00FB461D">
        <w:rPr>
          <w:rFonts w:asciiTheme="majorBidi" w:hAnsiTheme="majorBidi" w:cstheme="majorBidi"/>
          <w:i/>
          <w:iCs/>
          <w:sz w:val="24"/>
          <w:szCs w:val="24"/>
        </w:rPr>
        <w:t xml:space="preserve"> </w:t>
      </w:r>
      <w:r w:rsidRPr="00FB461D">
        <w:rPr>
          <w:rFonts w:asciiTheme="majorBidi" w:hAnsiTheme="majorBidi" w:cstheme="majorBidi"/>
          <w:sz w:val="24"/>
          <w:szCs w:val="24"/>
        </w:rPr>
        <w:t>a ne retroaktivno.</w:t>
      </w:r>
    </w:p>
    <w:p w14:paraId="62F5EB23" w14:textId="6E363110" w:rsidR="004E4012" w:rsidRPr="003C50FB" w:rsidRDefault="00AA154F" w:rsidP="00E475B6">
      <w:pPr>
        <w:pStyle w:val="NoSpacing"/>
        <w:spacing w:line="276" w:lineRule="auto"/>
        <w:ind w:firstLine="708"/>
        <w:jc w:val="both"/>
        <w:rPr>
          <w:rFonts w:asciiTheme="majorBidi" w:hAnsiTheme="majorBidi" w:cstheme="majorBidi"/>
          <w:sz w:val="24"/>
          <w:szCs w:val="24"/>
        </w:rPr>
      </w:pPr>
      <w:r w:rsidRPr="003C50FB">
        <w:rPr>
          <w:rFonts w:asciiTheme="majorBidi" w:eastAsia="Calibri" w:hAnsiTheme="majorBidi" w:cstheme="majorBidi"/>
          <w:sz w:val="24"/>
          <w:szCs w:val="24"/>
        </w:rPr>
        <w:t>Temeljem sveg</w:t>
      </w:r>
      <w:r w:rsidR="00562D9C" w:rsidRPr="003C50FB">
        <w:rPr>
          <w:rFonts w:asciiTheme="majorBidi" w:eastAsia="Calibri" w:hAnsiTheme="majorBidi" w:cstheme="majorBidi"/>
          <w:sz w:val="24"/>
          <w:szCs w:val="24"/>
        </w:rPr>
        <w:t>a navedenog Vlada Republike Hrvatske predl</w:t>
      </w:r>
      <w:r w:rsidR="00F559C9">
        <w:rPr>
          <w:rFonts w:asciiTheme="majorBidi" w:eastAsia="Calibri" w:hAnsiTheme="majorBidi" w:cstheme="majorBidi"/>
          <w:sz w:val="24"/>
          <w:szCs w:val="24"/>
        </w:rPr>
        <w:t>aže Hrvatskom saboru odbijanje I</w:t>
      </w:r>
      <w:r w:rsidR="00562D9C" w:rsidRPr="003C50FB">
        <w:rPr>
          <w:rFonts w:asciiTheme="majorBidi" w:eastAsia="Calibri" w:hAnsiTheme="majorBidi" w:cstheme="majorBidi"/>
          <w:sz w:val="24"/>
          <w:szCs w:val="24"/>
        </w:rPr>
        <w:t>nterpelacij</w:t>
      </w:r>
      <w:r w:rsidR="003378C4" w:rsidRPr="003C50FB">
        <w:rPr>
          <w:rFonts w:asciiTheme="majorBidi" w:eastAsia="Calibri" w:hAnsiTheme="majorBidi" w:cstheme="majorBidi"/>
          <w:sz w:val="24"/>
          <w:szCs w:val="24"/>
        </w:rPr>
        <w:t xml:space="preserve">e zastupnika u Hrvatskom saboru, o radu Vlade Republike Hrvatske </w:t>
      </w:r>
      <w:r w:rsidR="004E4012" w:rsidRPr="003C50FB">
        <w:rPr>
          <w:rFonts w:asciiTheme="majorBidi" w:hAnsiTheme="majorBidi" w:cstheme="majorBidi"/>
          <w:sz w:val="24"/>
          <w:szCs w:val="24"/>
        </w:rPr>
        <w:t>vezano uz način dodjele i raspolaganja sredstvima EU fondova u sklopu „Projekta Slavonija, Baranja i Srijem“.</w:t>
      </w:r>
    </w:p>
    <w:p w14:paraId="04719D2D" w14:textId="7C5EE892" w:rsidR="00E475B6" w:rsidRPr="003C50FB" w:rsidRDefault="004E4012" w:rsidP="00036B03">
      <w:pPr>
        <w:pStyle w:val="NoSpacing"/>
        <w:spacing w:line="276" w:lineRule="auto"/>
        <w:jc w:val="both"/>
      </w:pPr>
      <w:r w:rsidRPr="003C50FB">
        <w:rPr>
          <w:rFonts w:asciiTheme="majorBidi" w:hAnsiTheme="majorBidi" w:cstheme="majorBidi"/>
          <w:sz w:val="24"/>
          <w:szCs w:val="24"/>
        </w:rPr>
        <w:t xml:space="preserve">                        </w:t>
      </w:r>
    </w:p>
    <w:p w14:paraId="0412F2A0" w14:textId="1837D312" w:rsidR="00E475B6" w:rsidRDefault="005E450E" w:rsidP="007007B2">
      <w:pPr>
        <w:spacing w:after="0"/>
        <w:rPr>
          <w:rFonts w:asciiTheme="majorBidi" w:hAnsiTheme="majorBidi" w:cstheme="majorBidi"/>
          <w:sz w:val="24"/>
          <w:szCs w:val="24"/>
        </w:rPr>
      </w:pPr>
      <w:r w:rsidRPr="003C50FB">
        <w:rPr>
          <w:rFonts w:asciiTheme="majorBidi" w:eastAsia="Calibri" w:hAnsiTheme="majorBidi" w:cstheme="majorBidi"/>
          <w:sz w:val="24"/>
          <w:szCs w:val="24"/>
        </w:rPr>
        <w:tab/>
      </w:r>
      <w:r w:rsidR="00562D9C" w:rsidRPr="003C50FB">
        <w:rPr>
          <w:rFonts w:asciiTheme="majorBidi" w:eastAsia="Calibri" w:hAnsiTheme="majorBidi" w:cstheme="majorBidi"/>
          <w:sz w:val="24"/>
          <w:szCs w:val="24"/>
        </w:rPr>
        <w:t xml:space="preserve">Za svoje predstavnike, koji će u vezi s iznesenim Izvješćem biti nazočni na sjednicama Hrvatskoga sabora i njegovih radnih tijela, Vlada je odredila </w:t>
      </w:r>
      <w:r w:rsidR="004E4012" w:rsidRPr="003C50FB">
        <w:rPr>
          <w:rFonts w:asciiTheme="majorBidi" w:hAnsiTheme="majorBidi" w:cstheme="majorBidi"/>
          <w:sz w:val="24"/>
          <w:szCs w:val="24"/>
        </w:rPr>
        <w:t>__________</w:t>
      </w:r>
    </w:p>
    <w:p w14:paraId="699C319F" w14:textId="77777777" w:rsidR="00E475B6" w:rsidRPr="003C50FB" w:rsidRDefault="00E475B6" w:rsidP="007007B2">
      <w:pPr>
        <w:spacing w:after="0"/>
        <w:rPr>
          <w:rFonts w:asciiTheme="majorBidi" w:eastAsia="Calibri" w:hAnsiTheme="majorBidi" w:cstheme="majorBidi"/>
          <w:sz w:val="24"/>
          <w:szCs w:val="24"/>
        </w:rPr>
      </w:pPr>
    </w:p>
    <w:p w14:paraId="34785824" w14:textId="2EEBD2EE" w:rsidR="00562D9C" w:rsidRPr="003C50FB" w:rsidRDefault="00562D9C" w:rsidP="007007B2">
      <w:pPr>
        <w:widowControl w:val="0"/>
        <w:suppressAutoHyphens/>
        <w:spacing w:after="0"/>
        <w:jc w:val="both"/>
        <w:rPr>
          <w:rFonts w:asciiTheme="majorBidi" w:eastAsia="Times New Roman" w:hAnsiTheme="majorBidi" w:cstheme="majorBidi"/>
          <w:snapToGrid w:val="0"/>
          <w:spacing w:val="-3"/>
          <w:sz w:val="24"/>
          <w:szCs w:val="24"/>
        </w:rPr>
      </w:pPr>
      <w:r w:rsidRPr="003C50FB">
        <w:rPr>
          <w:rFonts w:asciiTheme="majorBidi" w:eastAsia="Times New Roman" w:hAnsiTheme="majorBidi" w:cstheme="majorBidi"/>
          <w:snapToGrid w:val="0"/>
          <w:spacing w:val="-3"/>
          <w:sz w:val="24"/>
          <w:szCs w:val="24"/>
        </w:rPr>
        <w:tab/>
      </w:r>
      <w:r w:rsidRPr="003C50FB">
        <w:rPr>
          <w:rFonts w:asciiTheme="majorBidi" w:eastAsia="Times New Roman" w:hAnsiTheme="majorBidi" w:cstheme="majorBidi"/>
          <w:snapToGrid w:val="0"/>
          <w:spacing w:val="-3"/>
          <w:sz w:val="24"/>
          <w:szCs w:val="24"/>
        </w:rPr>
        <w:tab/>
      </w:r>
      <w:r w:rsidRPr="003C50FB">
        <w:rPr>
          <w:rFonts w:asciiTheme="majorBidi" w:eastAsia="Times New Roman" w:hAnsiTheme="majorBidi" w:cstheme="majorBidi"/>
          <w:snapToGrid w:val="0"/>
          <w:spacing w:val="-3"/>
          <w:sz w:val="24"/>
          <w:szCs w:val="24"/>
        </w:rPr>
        <w:tab/>
      </w:r>
      <w:r w:rsidRPr="003C50FB">
        <w:rPr>
          <w:rFonts w:asciiTheme="majorBidi" w:eastAsia="Times New Roman" w:hAnsiTheme="majorBidi" w:cstheme="majorBidi"/>
          <w:snapToGrid w:val="0"/>
          <w:spacing w:val="-3"/>
          <w:sz w:val="24"/>
          <w:szCs w:val="24"/>
        </w:rPr>
        <w:tab/>
      </w:r>
      <w:r w:rsidRPr="003C50FB">
        <w:rPr>
          <w:rFonts w:asciiTheme="majorBidi" w:eastAsia="Times New Roman" w:hAnsiTheme="majorBidi" w:cstheme="majorBidi"/>
          <w:snapToGrid w:val="0"/>
          <w:spacing w:val="-3"/>
          <w:sz w:val="24"/>
          <w:szCs w:val="24"/>
        </w:rPr>
        <w:tab/>
      </w:r>
      <w:r w:rsidRPr="003C50FB">
        <w:rPr>
          <w:rFonts w:asciiTheme="majorBidi" w:eastAsia="Times New Roman" w:hAnsiTheme="majorBidi" w:cstheme="majorBidi"/>
          <w:snapToGrid w:val="0"/>
          <w:spacing w:val="-3"/>
          <w:sz w:val="24"/>
          <w:szCs w:val="24"/>
        </w:rPr>
        <w:tab/>
      </w:r>
      <w:r w:rsidRPr="003C50FB">
        <w:rPr>
          <w:rFonts w:asciiTheme="majorBidi" w:eastAsia="Times New Roman" w:hAnsiTheme="majorBidi" w:cstheme="majorBidi"/>
          <w:snapToGrid w:val="0"/>
          <w:spacing w:val="-3"/>
          <w:sz w:val="24"/>
          <w:szCs w:val="24"/>
        </w:rPr>
        <w:tab/>
      </w:r>
      <w:r w:rsidRPr="003C50FB">
        <w:rPr>
          <w:rFonts w:asciiTheme="majorBidi" w:eastAsia="Times New Roman" w:hAnsiTheme="majorBidi" w:cstheme="majorBidi"/>
          <w:snapToGrid w:val="0"/>
          <w:spacing w:val="-3"/>
          <w:sz w:val="24"/>
          <w:szCs w:val="24"/>
        </w:rPr>
        <w:tab/>
      </w:r>
      <w:r w:rsidR="004E4012" w:rsidRPr="003C50FB">
        <w:rPr>
          <w:rFonts w:asciiTheme="majorBidi" w:eastAsia="Times New Roman" w:hAnsiTheme="majorBidi" w:cstheme="majorBidi"/>
          <w:snapToGrid w:val="0"/>
          <w:spacing w:val="-3"/>
          <w:sz w:val="24"/>
          <w:szCs w:val="24"/>
        </w:rPr>
        <w:t xml:space="preserve">  </w:t>
      </w:r>
      <w:r w:rsidRPr="003C50FB">
        <w:rPr>
          <w:rFonts w:asciiTheme="majorBidi" w:eastAsia="Times New Roman" w:hAnsiTheme="majorBidi" w:cstheme="majorBidi"/>
          <w:snapToGrid w:val="0"/>
          <w:spacing w:val="-3"/>
          <w:sz w:val="24"/>
          <w:szCs w:val="24"/>
        </w:rPr>
        <w:t>PREDSJEDNIK</w:t>
      </w:r>
    </w:p>
    <w:p w14:paraId="07DA3400" w14:textId="77777777" w:rsidR="00562D9C" w:rsidRPr="003C50FB" w:rsidRDefault="00562D9C" w:rsidP="007007B2">
      <w:pPr>
        <w:widowControl w:val="0"/>
        <w:suppressAutoHyphens/>
        <w:spacing w:after="0"/>
        <w:jc w:val="both"/>
        <w:rPr>
          <w:rFonts w:asciiTheme="majorBidi" w:eastAsia="Times New Roman" w:hAnsiTheme="majorBidi" w:cstheme="majorBidi"/>
          <w:snapToGrid w:val="0"/>
          <w:sz w:val="24"/>
          <w:szCs w:val="24"/>
        </w:rPr>
      </w:pPr>
    </w:p>
    <w:p w14:paraId="48AF0F2C" w14:textId="61298EA4" w:rsidR="0022231D" w:rsidRPr="003C50FB" w:rsidRDefault="00562D9C" w:rsidP="007007B2">
      <w:pPr>
        <w:widowControl w:val="0"/>
        <w:suppressAutoHyphens/>
        <w:spacing w:after="0"/>
        <w:jc w:val="both"/>
        <w:rPr>
          <w:rFonts w:asciiTheme="majorBidi" w:eastAsia="Times New Roman" w:hAnsiTheme="majorBidi" w:cstheme="majorBidi"/>
          <w:snapToGrid w:val="0"/>
          <w:sz w:val="24"/>
          <w:szCs w:val="24"/>
        </w:rPr>
      </w:pPr>
      <w:r w:rsidRPr="003C50FB">
        <w:rPr>
          <w:rFonts w:asciiTheme="majorBidi" w:eastAsia="Times New Roman" w:hAnsiTheme="majorBidi" w:cstheme="majorBidi"/>
          <w:snapToGrid w:val="0"/>
          <w:sz w:val="24"/>
          <w:szCs w:val="24"/>
        </w:rPr>
        <w:tab/>
      </w:r>
      <w:r w:rsidRPr="003C50FB">
        <w:rPr>
          <w:rFonts w:asciiTheme="majorBidi" w:eastAsia="Times New Roman" w:hAnsiTheme="majorBidi" w:cstheme="majorBidi"/>
          <w:snapToGrid w:val="0"/>
          <w:sz w:val="24"/>
          <w:szCs w:val="24"/>
        </w:rPr>
        <w:tab/>
      </w:r>
      <w:r w:rsidRPr="003C50FB">
        <w:rPr>
          <w:rFonts w:asciiTheme="majorBidi" w:eastAsia="Times New Roman" w:hAnsiTheme="majorBidi" w:cstheme="majorBidi"/>
          <w:snapToGrid w:val="0"/>
          <w:sz w:val="24"/>
          <w:szCs w:val="24"/>
        </w:rPr>
        <w:tab/>
      </w:r>
      <w:r w:rsidRPr="003C50FB">
        <w:rPr>
          <w:rFonts w:asciiTheme="majorBidi" w:eastAsia="Times New Roman" w:hAnsiTheme="majorBidi" w:cstheme="majorBidi"/>
          <w:snapToGrid w:val="0"/>
          <w:sz w:val="24"/>
          <w:szCs w:val="24"/>
        </w:rPr>
        <w:tab/>
      </w:r>
      <w:r w:rsidRPr="003C50FB">
        <w:rPr>
          <w:rFonts w:asciiTheme="majorBidi" w:eastAsia="Times New Roman" w:hAnsiTheme="majorBidi" w:cstheme="majorBidi"/>
          <w:snapToGrid w:val="0"/>
          <w:sz w:val="24"/>
          <w:szCs w:val="24"/>
        </w:rPr>
        <w:tab/>
      </w:r>
      <w:r w:rsidRPr="003C50FB">
        <w:rPr>
          <w:rFonts w:asciiTheme="majorBidi" w:eastAsia="Times New Roman" w:hAnsiTheme="majorBidi" w:cstheme="majorBidi"/>
          <w:snapToGrid w:val="0"/>
          <w:sz w:val="24"/>
          <w:szCs w:val="24"/>
        </w:rPr>
        <w:tab/>
      </w:r>
      <w:r w:rsidRPr="003C50FB">
        <w:rPr>
          <w:rFonts w:asciiTheme="majorBidi" w:eastAsia="Times New Roman" w:hAnsiTheme="majorBidi" w:cstheme="majorBidi"/>
          <w:snapToGrid w:val="0"/>
          <w:sz w:val="24"/>
          <w:szCs w:val="24"/>
        </w:rPr>
        <w:tab/>
      </w:r>
      <w:r w:rsidR="005B3C90" w:rsidRPr="003C50FB">
        <w:rPr>
          <w:rFonts w:asciiTheme="majorBidi" w:eastAsia="Times New Roman" w:hAnsiTheme="majorBidi" w:cstheme="majorBidi"/>
          <w:snapToGrid w:val="0"/>
          <w:sz w:val="24"/>
          <w:szCs w:val="24"/>
        </w:rPr>
        <w:t xml:space="preserve">        </w:t>
      </w:r>
      <w:r w:rsidRPr="003C50FB">
        <w:rPr>
          <w:rFonts w:asciiTheme="majorBidi" w:eastAsia="Times New Roman" w:hAnsiTheme="majorBidi" w:cstheme="majorBidi"/>
          <w:snapToGrid w:val="0"/>
          <w:sz w:val="24"/>
          <w:szCs w:val="24"/>
        </w:rPr>
        <w:t xml:space="preserve">mr. </w:t>
      </w:r>
      <w:proofErr w:type="spellStart"/>
      <w:r w:rsidRPr="003C50FB">
        <w:rPr>
          <w:rFonts w:asciiTheme="majorBidi" w:eastAsia="Times New Roman" w:hAnsiTheme="majorBidi" w:cstheme="majorBidi"/>
          <w:snapToGrid w:val="0"/>
          <w:sz w:val="24"/>
          <w:szCs w:val="24"/>
        </w:rPr>
        <w:t>sc</w:t>
      </w:r>
      <w:proofErr w:type="spellEnd"/>
      <w:r w:rsidRPr="003C50FB">
        <w:rPr>
          <w:rFonts w:asciiTheme="majorBidi" w:eastAsia="Times New Roman" w:hAnsiTheme="majorBidi" w:cstheme="majorBidi"/>
          <w:snapToGrid w:val="0"/>
          <w:sz w:val="24"/>
          <w:szCs w:val="24"/>
        </w:rPr>
        <w:t>. Andrej Plenković</w:t>
      </w:r>
    </w:p>
    <w:sectPr w:rsidR="0022231D" w:rsidRPr="003C50FB" w:rsidSect="00A1070D">
      <w:footerReference w:type="default" r:id="rId15"/>
      <w:pgSz w:w="11906" w:h="16838"/>
      <w:pgMar w:top="1276" w:right="1416"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D9AD4" w14:textId="77777777" w:rsidR="00E4663A" w:rsidRDefault="00E4663A" w:rsidP="00F62ACD">
      <w:pPr>
        <w:spacing w:after="0" w:line="240" w:lineRule="auto"/>
      </w:pPr>
      <w:r>
        <w:separator/>
      </w:r>
    </w:p>
  </w:endnote>
  <w:endnote w:type="continuationSeparator" w:id="0">
    <w:p w14:paraId="52D4AAB2" w14:textId="77777777" w:rsidR="00E4663A" w:rsidRDefault="00E4663A" w:rsidP="00F6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27681"/>
      <w:docPartObj>
        <w:docPartGallery w:val="Page Numbers (Bottom of Page)"/>
        <w:docPartUnique/>
      </w:docPartObj>
    </w:sdtPr>
    <w:sdtEndPr/>
    <w:sdtContent>
      <w:p w14:paraId="1B1B83F1" w14:textId="6A0ED4CE" w:rsidR="005B3C90" w:rsidRDefault="005B3C90">
        <w:pPr>
          <w:pStyle w:val="Footer"/>
          <w:jc w:val="center"/>
        </w:pPr>
        <w:r>
          <w:fldChar w:fldCharType="begin"/>
        </w:r>
        <w:r>
          <w:instrText>PAGE   \* MERGEFORMAT</w:instrText>
        </w:r>
        <w:r>
          <w:fldChar w:fldCharType="separate"/>
        </w:r>
        <w:r w:rsidR="009F54BD">
          <w:rPr>
            <w:noProof/>
          </w:rPr>
          <w:t>6</w:t>
        </w:r>
        <w:r>
          <w:fldChar w:fldCharType="end"/>
        </w:r>
      </w:p>
    </w:sdtContent>
  </w:sdt>
  <w:p w14:paraId="09A177FD" w14:textId="77777777" w:rsidR="005B3C90" w:rsidRDefault="005B3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239F" w14:textId="77777777" w:rsidR="00E4663A" w:rsidRDefault="00E4663A" w:rsidP="00F62ACD">
      <w:pPr>
        <w:spacing w:after="0" w:line="240" w:lineRule="auto"/>
      </w:pPr>
      <w:r>
        <w:separator/>
      </w:r>
    </w:p>
  </w:footnote>
  <w:footnote w:type="continuationSeparator" w:id="0">
    <w:p w14:paraId="396DA766" w14:textId="77777777" w:rsidR="00E4663A" w:rsidRDefault="00E4663A" w:rsidP="00F62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42D"/>
    <w:multiLevelType w:val="hybridMultilevel"/>
    <w:tmpl w:val="F35CBF04"/>
    <w:lvl w:ilvl="0" w:tplc="8746269E">
      <w:start w:val="10"/>
      <w:numFmt w:val="bullet"/>
      <w:lvlText w:val="-"/>
      <w:lvlJc w:val="left"/>
      <w:pPr>
        <w:ind w:left="3177" w:hanging="360"/>
      </w:pPr>
      <w:rPr>
        <w:rFonts w:ascii="Times New Roman" w:eastAsia="Calibri" w:hAnsi="Times New Roman" w:cs="Times New Roman" w:hint="default"/>
      </w:rPr>
    </w:lvl>
    <w:lvl w:ilvl="1" w:tplc="041A0003" w:tentative="1">
      <w:start w:val="1"/>
      <w:numFmt w:val="bullet"/>
      <w:lvlText w:val="o"/>
      <w:lvlJc w:val="left"/>
      <w:pPr>
        <w:ind w:left="3897" w:hanging="360"/>
      </w:pPr>
      <w:rPr>
        <w:rFonts w:ascii="Courier New" w:hAnsi="Courier New" w:cs="Courier New" w:hint="default"/>
      </w:rPr>
    </w:lvl>
    <w:lvl w:ilvl="2" w:tplc="041A0005" w:tentative="1">
      <w:start w:val="1"/>
      <w:numFmt w:val="bullet"/>
      <w:lvlText w:val=""/>
      <w:lvlJc w:val="left"/>
      <w:pPr>
        <w:ind w:left="4617" w:hanging="360"/>
      </w:pPr>
      <w:rPr>
        <w:rFonts w:ascii="Wingdings" w:hAnsi="Wingdings" w:hint="default"/>
      </w:rPr>
    </w:lvl>
    <w:lvl w:ilvl="3" w:tplc="041A0001" w:tentative="1">
      <w:start w:val="1"/>
      <w:numFmt w:val="bullet"/>
      <w:lvlText w:val=""/>
      <w:lvlJc w:val="left"/>
      <w:pPr>
        <w:ind w:left="5337" w:hanging="360"/>
      </w:pPr>
      <w:rPr>
        <w:rFonts w:ascii="Symbol" w:hAnsi="Symbol" w:hint="default"/>
      </w:rPr>
    </w:lvl>
    <w:lvl w:ilvl="4" w:tplc="041A0003" w:tentative="1">
      <w:start w:val="1"/>
      <w:numFmt w:val="bullet"/>
      <w:lvlText w:val="o"/>
      <w:lvlJc w:val="left"/>
      <w:pPr>
        <w:ind w:left="6057" w:hanging="360"/>
      </w:pPr>
      <w:rPr>
        <w:rFonts w:ascii="Courier New" w:hAnsi="Courier New" w:cs="Courier New" w:hint="default"/>
      </w:rPr>
    </w:lvl>
    <w:lvl w:ilvl="5" w:tplc="041A0005" w:tentative="1">
      <w:start w:val="1"/>
      <w:numFmt w:val="bullet"/>
      <w:lvlText w:val=""/>
      <w:lvlJc w:val="left"/>
      <w:pPr>
        <w:ind w:left="6777" w:hanging="360"/>
      </w:pPr>
      <w:rPr>
        <w:rFonts w:ascii="Wingdings" w:hAnsi="Wingdings" w:hint="default"/>
      </w:rPr>
    </w:lvl>
    <w:lvl w:ilvl="6" w:tplc="041A0001" w:tentative="1">
      <w:start w:val="1"/>
      <w:numFmt w:val="bullet"/>
      <w:lvlText w:val=""/>
      <w:lvlJc w:val="left"/>
      <w:pPr>
        <w:ind w:left="7497" w:hanging="360"/>
      </w:pPr>
      <w:rPr>
        <w:rFonts w:ascii="Symbol" w:hAnsi="Symbol" w:hint="default"/>
      </w:rPr>
    </w:lvl>
    <w:lvl w:ilvl="7" w:tplc="041A0003" w:tentative="1">
      <w:start w:val="1"/>
      <w:numFmt w:val="bullet"/>
      <w:lvlText w:val="o"/>
      <w:lvlJc w:val="left"/>
      <w:pPr>
        <w:ind w:left="8217" w:hanging="360"/>
      </w:pPr>
      <w:rPr>
        <w:rFonts w:ascii="Courier New" w:hAnsi="Courier New" w:cs="Courier New" w:hint="default"/>
      </w:rPr>
    </w:lvl>
    <w:lvl w:ilvl="8" w:tplc="041A0005" w:tentative="1">
      <w:start w:val="1"/>
      <w:numFmt w:val="bullet"/>
      <w:lvlText w:val=""/>
      <w:lvlJc w:val="left"/>
      <w:pPr>
        <w:ind w:left="8937" w:hanging="360"/>
      </w:pPr>
      <w:rPr>
        <w:rFonts w:ascii="Wingdings" w:hAnsi="Wingdings" w:hint="default"/>
      </w:rPr>
    </w:lvl>
  </w:abstractNum>
  <w:abstractNum w:abstractNumId="1" w15:restartNumberingAfterBreak="0">
    <w:nsid w:val="1BE016C1"/>
    <w:multiLevelType w:val="hybridMultilevel"/>
    <w:tmpl w:val="5AAE2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AAA0509"/>
    <w:multiLevelType w:val="hybridMultilevel"/>
    <w:tmpl w:val="8C7A92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BBB6C92"/>
    <w:multiLevelType w:val="hybridMultilevel"/>
    <w:tmpl w:val="1B62DE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887C8D"/>
    <w:multiLevelType w:val="hybridMultilevel"/>
    <w:tmpl w:val="F3C8C4C0"/>
    <w:lvl w:ilvl="0" w:tplc="041A000F">
      <w:start w:val="1"/>
      <w:numFmt w:val="decimal"/>
      <w:lvlText w:val="%1."/>
      <w:lvlJc w:val="left"/>
      <w:pPr>
        <w:ind w:left="2148" w:hanging="360"/>
      </w:pPr>
    </w:lvl>
    <w:lvl w:ilvl="1" w:tplc="041A0019" w:tentative="1">
      <w:start w:val="1"/>
      <w:numFmt w:val="lowerLetter"/>
      <w:lvlText w:val="%2."/>
      <w:lvlJc w:val="left"/>
      <w:pPr>
        <w:ind w:left="2868" w:hanging="360"/>
      </w:pPr>
    </w:lvl>
    <w:lvl w:ilvl="2" w:tplc="041A001B" w:tentative="1">
      <w:start w:val="1"/>
      <w:numFmt w:val="lowerRoman"/>
      <w:lvlText w:val="%3."/>
      <w:lvlJc w:val="right"/>
      <w:pPr>
        <w:ind w:left="3588" w:hanging="180"/>
      </w:pPr>
    </w:lvl>
    <w:lvl w:ilvl="3" w:tplc="041A000F" w:tentative="1">
      <w:start w:val="1"/>
      <w:numFmt w:val="decimal"/>
      <w:lvlText w:val="%4."/>
      <w:lvlJc w:val="left"/>
      <w:pPr>
        <w:ind w:left="4308" w:hanging="360"/>
      </w:pPr>
    </w:lvl>
    <w:lvl w:ilvl="4" w:tplc="041A0019" w:tentative="1">
      <w:start w:val="1"/>
      <w:numFmt w:val="lowerLetter"/>
      <w:lvlText w:val="%5."/>
      <w:lvlJc w:val="left"/>
      <w:pPr>
        <w:ind w:left="5028" w:hanging="360"/>
      </w:pPr>
    </w:lvl>
    <w:lvl w:ilvl="5" w:tplc="041A001B" w:tentative="1">
      <w:start w:val="1"/>
      <w:numFmt w:val="lowerRoman"/>
      <w:lvlText w:val="%6."/>
      <w:lvlJc w:val="right"/>
      <w:pPr>
        <w:ind w:left="5748" w:hanging="180"/>
      </w:pPr>
    </w:lvl>
    <w:lvl w:ilvl="6" w:tplc="041A000F" w:tentative="1">
      <w:start w:val="1"/>
      <w:numFmt w:val="decimal"/>
      <w:lvlText w:val="%7."/>
      <w:lvlJc w:val="left"/>
      <w:pPr>
        <w:ind w:left="6468" w:hanging="360"/>
      </w:pPr>
    </w:lvl>
    <w:lvl w:ilvl="7" w:tplc="041A0019" w:tentative="1">
      <w:start w:val="1"/>
      <w:numFmt w:val="lowerLetter"/>
      <w:lvlText w:val="%8."/>
      <w:lvlJc w:val="left"/>
      <w:pPr>
        <w:ind w:left="7188" w:hanging="360"/>
      </w:pPr>
    </w:lvl>
    <w:lvl w:ilvl="8" w:tplc="041A001B" w:tentative="1">
      <w:start w:val="1"/>
      <w:numFmt w:val="lowerRoman"/>
      <w:lvlText w:val="%9."/>
      <w:lvlJc w:val="right"/>
      <w:pPr>
        <w:ind w:left="7908" w:hanging="180"/>
      </w:pPr>
    </w:lvl>
  </w:abstractNum>
  <w:abstractNum w:abstractNumId="5" w15:restartNumberingAfterBreak="0">
    <w:nsid w:val="318906C1"/>
    <w:multiLevelType w:val="hybridMultilevel"/>
    <w:tmpl w:val="E634D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302BE5"/>
    <w:multiLevelType w:val="hybridMultilevel"/>
    <w:tmpl w:val="3B5CA84C"/>
    <w:lvl w:ilvl="0" w:tplc="0E02DF20">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7" w15:restartNumberingAfterBreak="0">
    <w:nsid w:val="3CC45F0C"/>
    <w:multiLevelType w:val="hybridMultilevel"/>
    <w:tmpl w:val="6FA2304C"/>
    <w:lvl w:ilvl="0" w:tplc="46547AD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3456C16"/>
    <w:multiLevelType w:val="hybridMultilevel"/>
    <w:tmpl w:val="1ED8AD16"/>
    <w:lvl w:ilvl="0" w:tplc="FEDE3CC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450629EA"/>
    <w:multiLevelType w:val="hybridMultilevel"/>
    <w:tmpl w:val="4FACDF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69B5C77"/>
    <w:multiLevelType w:val="hybridMultilevel"/>
    <w:tmpl w:val="E968C4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FB5875"/>
    <w:multiLevelType w:val="hybridMultilevel"/>
    <w:tmpl w:val="E968C4B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F6B4F66"/>
    <w:multiLevelType w:val="hybridMultilevel"/>
    <w:tmpl w:val="4CA4A3C0"/>
    <w:lvl w:ilvl="0" w:tplc="86F844B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D4369"/>
    <w:multiLevelType w:val="hybridMultilevel"/>
    <w:tmpl w:val="C0841224"/>
    <w:lvl w:ilvl="0" w:tplc="89CE17A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9616063"/>
    <w:multiLevelType w:val="hybridMultilevel"/>
    <w:tmpl w:val="96A25032"/>
    <w:lvl w:ilvl="0" w:tplc="129EA1BE">
      <w:start w:val="10"/>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B5533FE"/>
    <w:multiLevelType w:val="hybridMultilevel"/>
    <w:tmpl w:val="8B1C40B8"/>
    <w:lvl w:ilvl="0" w:tplc="1F24F51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7ED57947"/>
    <w:multiLevelType w:val="hybridMultilevel"/>
    <w:tmpl w:val="FBE04358"/>
    <w:lvl w:ilvl="0" w:tplc="97228D1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5"/>
  </w:num>
  <w:num w:numId="5">
    <w:abstractNumId w:val="4"/>
  </w:num>
  <w:num w:numId="6">
    <w:abstractNumId w:val="1"/>
  </w:num>
  <w:num w:numId="7">
    <w:abstractNumId w:val="3"/>
  </w:num>
  <w:num w:numId="8">
    <w:abstractNumId w:val="2"/>
  </w:num>
  <w:num w:numId="9">
    <w:abstractNumId w:val="6"/>
  </w:num>
  <w:num w:numId="10">
    <w:abstractNumId w:val="7"/>
  </w:num>
  <w:num w:numId="11">
    <w:abstractNumId w:val="10"/>
  </w:num>
  <w:num w:numId="12">
    <w:abstractNumId w:val="11"/>
  </w:num>
  <w:num w:numId="13">
    <w:abstractNumId w:val="5"/>
  </w:num>
  <w:num w:numId="14">
    <w:abstractNumId w:val="9"/>
  </w:num>
  <w:num w:numId="15">
    <w:abstractNumId w:val="12"/>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CD"/>
    <w:rsid w:val="00013D70"/>
    <w:rsid w:val="00015E74"/>
    <w:rsid w:val="000223FA"/>
    <w:rsid w:val="00025273"/>
    <w:rsid w:val="00026513"/>
    <w:rsid w:val="000359E9"/>
    <w:rsid w:val="00035BD3"/>
    <w:rsid w:val="00036B03"/>
    <w:rsid w:val="00050E05"/>
    <w:rsid w:val="00051E3E"/>
    <w:rsid w:val="00064BCA"/>
    <w:rsid w:val="00066221"/>
    <w:rsid w:val="00083AAE"/>
    <w:rsid w:val="00093F51"/>
    <w:rsid w:val="000A227D"/>
    <w:rsid w:val="000A6819"/>
    <w:rsid w:val="000C3C88"/>
    <w:rsid w:val="000C5C18"/>
    <w:rsid w:val="000C6678"/>
    <w:rsid w:val="000D3E98"/>
    <w:rsid w:val="000D79F3"/>
    <w:rsid w:val="000E6FA6"/>
    <w:rsid w:val="000F0D2A"/>
    <w:rsid w:val="000F41D6"/>
    <w:rsid w:val="0010134E"/>
    <w:rsid w:val="00101DFD"/>
    <w:rsid w:val="00102645"/>
    <w:rsid w:val="001037F3"/>
    <w:rsid w:val="001229EB"/>
    <w:rsid w:val="0012682D"/>
    <w:rsid w:val="00131C11"/>
    <w:rsid w:val="0013261E"/>
    <w:rsid w:val="001362B0"/>
    <w:rsid w:val="00141985"/>
    <w:rsid w:val="00141BD5"/>
    <w:rsid w:val="001433D7"/>
    <w:rsid w:val="001445D2"/>
    <w:rsid w:val="00144AA4"/>
    <w:rsid w:val="00145E56"/>
    <w:rsid w:val="00172763"/>
    <w:rsid w:val="00177136"/>
    <w:rsid w:val="001809EA"/>
    <w:rsid w:val="00181962"/>
    <w:rsid w:val="00186224"/>
    <w:rsid w:val="00192453"/>
    <w:rsid w:val="00193928"/>
    <w:rsid w:val="001A3896"/>
    <w:rsid w:val="001A60FF"/>
    <w:rsid w:val="001A7B30"/>
    <w:rsid w:val="001B165B"/>
    <w:rsid w:val="001B5A33"/>
    <w:rsid w:val="001C32DD"/>
    <w:rsid w:val="001C5FB4"/>
    <w:rsid w:val="001E05C5"/>
    <w:rsid w:val="001E50AB"/>
    <w:rsid w:val="001F3700"/>
    <w:rsid w:val="001F6412"/>
    <w:rsid w:val="0020642A"/>
    <w:rsid w:val="00214300"/>
    <w:rsid w:val="0022231D"/>
    <w:rsid w:val="00224B0E"/>
    <w:rsid w:val="00225BB7"/>
    <w:rsid w:val="00236BAE"/>
    <w:rsid w:val="00236F8C"/>
    <w:rsid w:val="002472EB"/>
    <w:rsid w:val="002534B5"/>
    <w:rsid w:val="00256D4A"/>
    <w:rsid w:val="00274105"/>
    <w:rsid w:val="00283451"/>
    <w:rsid w:val="002849C4"/>
    <w:rsid w:val="002943F5"/>
    <w:rsid w:val="002B1A39"/>
    <w:rsid w:val="002B32A7"/>
    <w:rsid w:val="002B3E87"/>
    <w:rsid w:val="002B420E"/>
    <w:rsid w:val="002B5166"/>
    <w:rsid w:val="002C2F89"/>
    <w:rsid w:val="002C7610"/>
    <w:rsid w:val="002F0EB7"/>
    <w:rsid w:val="002F3B00"/>
    <w:rsid w:val="002F7D90"/>
    <w:rsid w:val="00304CF7"/>
    <w:rsid w:val="00311D4D"/>
    <w:rsid w:val="00320912"/>
    <w:rsid w:val="00330EEE"/>
    <w:rsid w:val="003378C4"/>
    <w:rsid w:val="00337F05"/>
    <w:rsid w:val="0034306B"/>
    <w:rsid w:val="00344680"/>
    <w:rsid w:val="00353B62"/>
    <w:rsid w:val="00354E38"/>
    <w:rsid w:val="00364FDD"/>
    <w:rsid w:val="003747D8"/>
    <w:rsid w:val="00385668"/>
    <w:rsid w:val="003900B7"/>
    <w:rsid w:val="003A0574"/>
    <w:rsid w:val="003A1A36"/>
    <w:rsid w:val="003A3849"/>
    <w:rsid w:val="003A4438"/>
    <w:rsid w:val="003B220D"/>
    <w:rsid w:val="003C116C"/>
    <w:rsid w:val="003C2E9E"/>
    <w:rsid w:val="003C50FB"/>
    <w:rsid w:val="003D29CC"/>
    <w:rsid w:val="003D6ADD"/>
    <w:rsid w:val="003D7CAB"/>
    <w:rsid w:val="003E0B2D"/>
    <w:rsid w:val="003F01B1"/>
    <w:rsid w:val="003F724A"/>
    <w:rsid w:val="004045D5"/>
    <w:rsid w:val="00411B44"/>
    <w:rsid w:val="00413998"/>
    <w:rsid w:val="00416C98"/>
    <w:rsid w:val="00417079"/>
    <w:rsid w:val="00423A2A"/>
    <w:rsid w:val="00423F47"/>
    <w:rsid w:val="00427DD6"/>
    <w:rsid w:val="00433551"/>
    <w:rsid w:val="00434EF3"/>
    <w:rsid w:val="00441848"/>
    <w:rsid w:val="00443932"/>
    <w:rsid w:val="00450DBA"/>
    <w:rsid w:val="00452E52"/>
    <w:rsid w:val="00453F3B"/>
    <w:rsid w:val="0046010C"/>
    <w:rsid w:val="00473F03"/>
    <w:rsid w:val="004768AB"/>
    <w:rsid w:val="00481865"/>
    <w:rsid w:val="00487F1A"/>
    <w:rsid w:val="00490A80"/>
    <w:rsid w:val="00491313"/>
    <w:rsid w:val="00492FDF"/>
    <w:rsid w:val="00497517"/>
    <w:rsid w:val="004A12BB"/>
    <w:rsid w:val="004A482F"/>
    <w:rsid w:val="004A486E"/>
    <w:rsid w:val="004B0E5B"/>
    <w:rsid w:val="004B2267"/>
    <w:rsid w:val="004C0771"/>
    <w:rsid w:val="004C252A"/>
    <w:rsid w:val="004C2D57"/>
    <w:rsid w:val="004D20E0"/>
    <w:rsid w:val="004D22F4"/>
    <w:rsid w:val="004E0C75"/>
    <w:rsid w:val="004E4012"/>
    <w:rsid w:val="004F059A"/>
    <w:rsid w:val="004F2628"/>
    <w:rsid w:val="005051C8"/>
    <w:rsid w:val="00511756"/>
    <w:rsid w:val="0051791A"/>
    <w:rsid w:val="00550849"/>
    <w:rsid w:val="00551CDF"/>
    <w:rsid w:val="00554463"/>
    <w:rsid w:val="00557F59"/>
    <w:rsid w:val="00560C90"/>
    <w:rsid w:val="005613BD"/>
    <w:rsid w:val="00562D9C"/>
    <w:rsid w:val="00581100"/>
    <w:rsid w:val="005857E6"/>
    <w:rsid w:val="00590D16"/>
    <w:rsid w:val="0059111E"/>
    <w:rsid w:val="005A4969"/>
    <w:rsid w:val="005A4B3C"/>
    <w:rsid w:val="005A7438"/>
    <w:rsid w:val="005B12CD"/>
    <w:rsid w:val="005B1B7C"/>
    <w:rsid w:val="005B3C90"/>
    <w:rsid w:val="005C03C0"/>
    <w:rsid w:val="005C284B"/>
    <w:rsid w:val="005C3841"/>
    <w:rsid w:val="005C3C65"/>
    <w:rsid w:val="005D06A0"/>
    <w:rsid w:val="005D3750"/>
    <w:rsid w:val="005D47CB"/>
    <w:rsid w:val="005D7AD5"/>
    <w:rsid w:val="005D7BE5"/>
    <w:rsid w:val="005E0ABA"/>
    <w:rsid w:val="005E3792"/>
    <w:rsid w:val="005E450E"/>
    <w:rsid w:val="005F158A"/>
    <w:rsid w:val="005F70C1"/>
    <w:rsid w:val="00601555"/>
    <w:rsid w:val="00601A99"/>
    <w:rsid w:val="0060227A"/>
    <w:rsid w:val="006025E1"/>
    <w:rsid w:val="0060663F"/>
    <w:rsid w:val="006135DE"/>
    <w:rsid w:val="00626FF3"/>
    <w:rsid w:val="006276A3"/>
    <w:rsid w:val="00627FB0"/>
    <w:rsid w:val="00630DC7"/>
    <w:rsid w:val="00640EB1"/>
    <w:rsid w:val="00642C4E"/>
    <w:rsid w:val="00645174"/>
    <w:rsid w:val="00650BDB"/>
    <w:rsid w:val="00652285"/>
    <w:rsid w:val="006552B4"/>
    <w:rsid w:val="00663EBD"/>
    <w:rsid w:val="00671F12"/>
    <w:rsid w:val="00674B81"/>
    <w:rsid w:val="00680789"/>
    <w:rsid w:val="006A1C75"/>
    <w:rsid w:val="006A1E4D"/>
    <w:rsid w:val="006A2CE4"/>
    <w:rsid w:val="006B0D63"/>
    <w:rsid w:val="006B7818"/>
    <w:rsid w:val="006C27B6"/>
    <w:rsid w:val="006D0224"/>
    <w:rsid w:val="006D03BA"/>
    <w:rsid w:val="006D1935"/>
    <w:rsid w:val="006D1CD2"/>
    <w:rsid w:val="006D3A1B"/>
    <w:rsid w:val="006E02EA"/>
    <w:rsid w:val="006E0478"/>
    <w:rsid w:val="006E4260"/>
    <w:rsid w:val="006E5FF3"/>
    <w:rsid w:val="006F4FDB"/>
    <w:rsid w:val="006F6988"/>
    <w:rsid w:val="007007B2"/>
    <w:rsid w:val="007072D7"/>
    <w:rsid w:val="00707D1F"/>
    <w:rsid w:val="00722E7F"/>
    <w:rsid w:val="00722FDD"/>
    <w:rsid w:val="0072497A"/>
    <w:rsid w:val="0073556D"/>
    <w:rsid w:val="007367A4"/>
    <w:rsid w:val="00757C4B"/>
    <w:rsid w:val="0076296C"/>
    <w:rsid w:val="007639E1"/>
    <w:rsid w:val="0076655F"/>
    <w:rsid w:val="00766CB2"/>
    <w:rsid w:val="00772AD8"/>
    <w:rsid w:val="00782992"/>
    <w:rsid w:val="00783AF0"/>
    <w:rsid w:val="00795E3A"/>
    <w:rsid w:val="00796CC2"/>
    <w:rsid w:val="007A1973"/>
    <w:rsid w:val="007B218C"/>
    <w:rsid w:val="007B2DEF"/>
    <w:rsid w:val="007B3CFD"/>
    <w:rsid w:val="007B4599"/>
    <w:rsid w:val="007B4866"/>
    <w:rsid w:val="007B4B4A"/>
    <w:rsid w:val="007B4C98"/>
    <w:rsid w:val="007B5491"/>
    <w:rsid w:val="007B6B67"/>
    <w:rsid w:val="007E3AE8"/>
    <w:rsid w:val="00800697"/>
    <w:rsid w:val="00804132"/>
    <w:rsid w:val="008124DD"/>
    <w:rsid w:val="0082095E"/>
    <w:rsid w:val="00822CCA"/>
    <w:rsid w:val="008359C3"/>
    <w:rsid w:val="0084263B"/>
    <w:rsid w:val="00843F4E"/>
    <w:rsid w:val="00847759"/>
    <w:rsid w:val="00850F8E"/>
    <w:rsid w:val="00852B01"/>
    <w:rsid w:val="00862875"/>
    <w:rsid w:val="00862E0A"/>
    <w:rsid w:val="008713E4"/>
    <w:rsid w:val="0087265B"/>
    <w:rsid w:val="008803EA"/>
    <w:rsid w:val="008806DA"/>
    <w:rsid w:val="00883642"/>
    <w:rsid w:val="00885B22"/>
    <w:rsid w:val="00890EEB"/>
    <w:rsid w:val="00896D55"/>
    <w:rsid w:val="008A0D82"/>
    <w:rsid w:val="008A5F65"/>
    <w:rsid w:val="008B5A99"/>
    <w:rsid w:val="008C178D"/>
    <w:rsid w:val="008C5370"/>
    <w:rsid w:val="008D51DD"/>
    <w:rsid w:val="008D589F"/>
    <w:rsid w:val="008D7915"/>
    <w:rsid w:val="008E3D74"/>
    <w:rsid w:val="008E585A"/>
    <w:rsid w:val="008F1541"/>
    <w:rsid w:val="008F3402"/>
    <w:rsid w:val="008F45BA"/>
    <w:rsid w:val="008F73A9"/>
    <w:rsid w:val="00906409"/>
    <w:rsid w:val="009067E3"/>
    <w:rsid w:val="00914CFC"/>
    <w:rsid w:val="00921BDC"/>
    <w:rsid w:val="00926AE5"/>
    <w:rsid w:val="0093192F"/>
    <w:rsid w:val="0094372F"/>
    <w:rsid w:val="00943760"/>
    <w:rsid w:val="0094394B"/>
    <w:rsid w:val="00954FD2"/>
    <w:rsid w:val="0096129E"/>
    <w:rsid w:val="00962F11"/>
    <w:rsid w:val="00963328"/>
    <w:rsid w:val="00971FF3"/>
    <w:rsid w:val="00972A1B"/>
    <w:rsid w:val="0098321E"/>
    <w:rsid w:val="0098774E"/>
    <w:rsid w:val="00993D1F"/>
    <w:rsid w:val="009A37EB"/>
    <w:rsid w:val="009A38E2"/>
    <w:rsid w:val="009B1EBA"/>
    <w:rsid w:val="009B21D8"/>
    <w:rsid w:val="009B505F"/>
    <w:rsid w:val="009C1FAF"/>
    <w:rsid w:val="009D3713"/>
    <w:rsid w:val="009E6C13"/>
    <w:rsid w:val="009F0D7C"/>
    <w:rsid w:val="009F54BD"/>
    <w:rsid w:val="009F5515"/>
    <w:rsid w:val="009F6D9C"/>
    <w:rsid w:val="00A011C6"/>
    <w:rsid w:val="00A1070D"/>
    <w:rsid w:val="00A12181"/>
    <w:rsid w:val="00A17E34"/>
    <w:rsid w:val="00A202BD"/>
    <w:rsid w:val="00A31AC4"/>
    <w:rsid w:val="00A35113"/>
    <w:rsid w:val="00A44DB1"/>
    <w:rsid w:val="00A5126E"/>
    <w:rsid w:val="00A542FE"/>
    <w:rsid w:val="00A55811"/>
    <w:rsid w:val="00A63349"/>
    <w:rsid w:val="00A659E8"/>
    <w:rsid w:val="00A7221B"/>
    <w:rsid w:val="00A77F3F"/>
    <w:rsid w:val="00A86C9B"/>
    <w:rsid w:val="00A96A84"/>
    <w:rsid w:val="00AA154F"/>
    <w:rsid w:val="00AA5719"/>
    <w:rsid w:val="00AA7C25"/>
    <w:rsid w:val="00AB12C8"/>
    <w:rsid w:val="00AC220F"/>
    <w:rsid w:val="00AC6113"/>
    <w:rsid w:val="00AD1639"/>
    <w:rsid w:val="00AD1BDB"/>
    <w:rsid w:val="00AD7126"/>
    <w:rsid w:val="00AE2A82"/>
    <w:rsid w:val="00AE2D6F"/>
    <w:rsid w:val="00AE41BD"/>
    <w:rsid w:val="00AF035D"/>
    <w:rsid w:val="00AF29B6"/>
    <w:rsid w:val="00AF67A3"/>
    <w:rsid w:val="00B12332"/>
    <w:rsid w:val="00B13739"/>
    <w:rsid w:val="00B14A35"/>
    <w:rsid w:val="00B17309"/>
    <w:rsid w:val="00B27922"/>
    <w:rsid w:val="00B37006"/>
    <w:rsid w:val="00B509D6"/>
    <w:rsid w:val="00B572A3"/>
    <w:rsid w:val="00B6487D"/>
    <w:rsid w:val="00B73A65"/>
    <w:rsid w:val="00B77F49"/>
    <w:rsid w:val="00B825E0"/>
    <w:rsid w:val="00B84DA8"/>
    <w:rsid w:val="00B955F2"/>
    <w:rsid w:val="00BA67C5"/>
    <w:rsid w:val="00BB0AB6"/>
    <w:rsid w:val="00BB2477"/>
    <w:rsid w:val="00BB4A5F"/>
    <w:rsid w:val="00BB5443"/>
    <w:rsid w:val="00BF0F52"/>
    <w:rsid w:val="00C11B9A"/>
    <w:rsid w:val="00C21CBB"/>
    <w:rsid w:val="00C228F1"/>
    <w:rsid w:val="00C2608D"/>
    <w:rsid w:val="00C27485"/>
    <w:rsid w:val="00C32DF8"/>
    <w:rsid w:val="00C377C7"/>
    <w:rsid w:val="00C441CC"/>
    <w:rsid w:val="00C44919"/>
    <w:rsid w:val="00C4706E"/>
    <w:rsid w:val="00C5691D"/>
    <w:rsid w:val="00C60572"/>
    <w:rsid w:val="00C6732F"/>
    <w:rsid w:val="00C74D9A"/>
    <w:rsid w:val="00C93654"/>
    <w:rsid w:val="00C9630D"/>
    <w:rsid w:val="00CA095E"/>
    <w:rsid w:val="00CA4D39"/>
    <w:rsid w:val="00CB0C65"/>
    <w:rsid w:val="00CB2375"/>
    <w:rsid w:val="00CB4B51"/>
    <w:rsid w:val="00CC2988"/>
    <w:rsid w:val="00CC2D80"/>
    <w:rsid w:val="00CC5A80"/>
    <w:rsid w:val="00CD34F2"/>
    <w:rsid w:val="00CF573B"/>
    <w:rsid w:val="00CF6688"/>
    <w:rsid w:val="00D016B1"/>
    <w:rsid w:val="00D02845"/>
    <w:rsid w:val="00D053F8"/>
    <w:rsid w:val="00D06427"/>
    <w:rsid w:val="00D13148"/>
    <w:rsid w:val="00D15510"/>
    <w:rsid w:val="00D25299"/>
    <w:rsid w:val="00D33B90"/>
    <w:rsid w:val="00D34A68"/>
    <w:rsid w:val="00D52257"/>
    <w:rsid w:val="00D56889"/>
    <w:rsid w:val="00D669CA"/>
    <w:rsid w:val="00D67E7B"/>
    <w:rsid w:val="00D81500"/>
    <w:rsid w:val="00D86900"/>
    <w:rsid w:val="00D87409"/>
    <w:rsid w:val="00D90A0F"/>
    <w:rsid w:val="00D94DE1"/>
    <w:rsid w:val="00D95318"/>
    <w:rsid w:val="00DA6030"/>
    <w:rsid w:val="00DB0447"/>
    <w:rsid w:val="00DB6D19"/>
    <w:rsid w:val="00DB73F7"/>
    <w:rsid w:val="00DC34B5"/>
    <w:rsid w:val="00DD0070"/>
    <w:rsid w:val="00DD55E7"/>
    <w:rsid w:val="00DD58B2"/>
    <w:rsid w:val="00DD65DC"/>
    <w:rsid w:val="00DE404E"/>
    <w:rsid w:val="00DF52B5"/>
    <w:rsid w:val="00E01895"/>
    <w:rsid w:val="00E10EC9"/>
    <w:rsid w:val="00E11A8A"/>
    <w:rsid w:val="00E23309"/>
    <w:rsid w:val="00E3158C"/>
    <w:rsid w:val="00E32749"/>
    <w:rsid w:val="00E32A8F"/>
    <w:rsid w:val="00E349C3"/>
    <w:rsid w:val="00E36CC8"/>
    <w:rsid w:val="00E4663A"/>
    <w:rsid w:val="00E475B6"/>
    <w:rsid w:val="00E51146"/>
    <w:rsid w:val="00E55820"/>
    <w:rsid w:val="00E644CF"/>
    <w:rsid w:val="00E675CC"/>
    <w:rsid w:val="00E676C5"/>
    <w:rsid w:val="00E745DD"/>
    <w:rsid w:val="00E818F3"/>
    <w:rsid w:val="00E82A82"/>
    <w:rsid w:val="00E856DA"/>
    <w:rsid w:val="00E8792A"/>
    <w:rsid w:val="00E97797"/>
    <w:rsid w:val="00EA4E49"/>
    <w:rsid w:val="00EB5828"/>
    <w:rsid w:val="00EC304F"/>
    <w:rsid w:val="00EE0FD9"/>
    <w:rsid w:val="00EE4AEF"/>
    <w:rsid w:val="00EF44C7"/>
    <w:rsid w:val="00F06E51"/>
    <w:rsid w:val="00F11A65"/>
    <w:rsid w:val="00F13B84"/>
    <w:rsid w:val="00F1562A"/>
    <w:rsid w:val="00F16FE3"/>
    <w:rsid w:val="00F171B2"/>
    <w:rsid w:val="00F2127D"/>
    <w:rsid w:val="00F27924"/>
    <w:rsid w:val="00F40013"/>
    <w:rsid w:val="00F539D4"/>
    <w:rsid w:val="00F559C9"/>
    <w:rsid w:val="00F62ACD"/>
    <w:rsid w:val="00F73177"/>
    <w:rsid w:val="00F76888"/>
    <w:rsid w:val="00F77C9D"/>
    <w:rsid w:val="00F84A1D"/>
    <w:rsid w:val="00F86470"/>
    <w:rsid w:val="00F95EA6"/>
    <w:rsid w:val="00F97232"/>
    <w:rsid w:val="00FA13BC"/>
    <w:rsid w:val="00FA4D13"/>
    <w:rsid w:val="00FB1CF8"/>
    <w:rsid w:val="00FB461D"/>
    <w:rsid w:val="00FC1BC9"/>
    <w:rsid w:val="00FC310F"/>
    <w:rsid w:val="00FD4103"/>
    <w:rsid w:val="00FE14B5"/>
    <w:rsid w:val="00FE1B94"/>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83F03"/>
  <w15:docId w15:val="{87C1E592-BE2D-408E-BF91-5BFEFB10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ACD"/>
  </w:style>
  <w:style w:type="paragraph" w:styleId="Heading1">
    <w:name w:val="heading 1"/>
    <w:basedOn w:val="Normal"/>
    <w:next w:val="Normal"/>
    <w:link w:val="Heading1Char"/>
    <w:uiPriority w:val="9"/>
    <w:qFormat/>
    <w:rsid w:val="00EF44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A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ACD"/>
  </w:style>
  <w:style w:type="paragraph" w:styleId="Footer">
    <w:name w:val="footer"/>
    <w:basedOn w:val="Normal"/>
    <w:link w:val="FooterChar"/>
    <w:uiPriority w:val="99"/>
    <w:unhideWhenUsed/>
    <w:rsid w:val="00F62A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ACD"/>
  </w:style>
  <w:style w:type="paragraph" w:styleId="BalloonText">
    <w:name w:val="Balloon Text"/>
    <w:basedOn w:val="Normal"/>
    <w:link w:val="BalloonTextChar"/>
    <w:uiPriority w:val="99"/>
    <w:semiHidden/>
    <w:unhideWhenUsed/>
    <w:rsid w:val="0005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E3E"/>
    <w:rPr>
      <w:rFonts w:ascii="Tahoma" w:hAnsi="Tahoma" w:cs="Tahoma"/>
      <w:sz w:val="16"/>
      <w:szCs w:val="16"/>
    </w:rPr>
  </w:style>
  <w:style w:type="paragraph" w:styleId="ListParagraph">
    <w:name w:val="List Paragraph"/>
    <w:basedOn w:val="Normal"/>
    <w:uiPriority w:val="34"/>
    <w:qFormat/>
    <w:rsid w:val="00051E3E"/>
    <w:pPr>
      <w:ind w:left="720"/>
      <w:contextualSpacing/>
    </w:pPr>
  </w:style>
  <w:style w:type="table" w:styleId="TableGrid">
    <w:name w:val="Table Grid"/>
    <w:basedOn w:val="TableNormal"/>
    <w:uiPriority w:val="59"/>
    <w:rsid w:val="00D568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083AA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C32DF8"/>
    <w:pPr>
      <w:spacing w:after="0" w:line="240" w:lineRule="auto"/>
    </w:pPr>
  </w:style>
  <w:style w:type="paragraph" w:styleId="PlainText">
    <w:name w:val="Plain Text"/>
    <w:basedOn w:val="Normal"/>
    <w:link w:val="PlainTextChar"/>
    <w:uiPriority w:val="99"/>
    <w:unhideWhenUsed/>
    <w:rsid w:val="00562D9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62D9C"/>
    <w:rPr>
      <w:rFonts w:ascii="Consolas" w:hAnsi="Consolas"/>
      <w:sz w:val="21"/>
      <w:szCs w:val="21"/>
    </w:rPr>
  </w:style>
  <w:style w:type="character" w:styleId="Hyperlink">
    <w:name w:val="Hyperlink"/>
    <w:basedOn w:val="DefaultParagraphFont"/>
    <w:unhideWhenUsed/>
    <w:rsid w:val="00186224"/>
    <w:rPr>
      <w:color w:val="0000FF" w:themeColor="hyperlink"/>
      <w:u w:val="single"/>
    </w:rPr>
  </w:style>
  <w:style w:type="paragraph" w:customStyle="1" w:styleId="naslov">
    <w:name w:val="naslov"/>
    <w:basedOn w:val="Normal"/>
    <w:rsid w:val="00E11A8A"/>
    <w:pPr>
      <w:spacing w:before="100" w:beforeAutospacing="1" w:after="105" w:line="240" w:lineRule="auto"/>
      <w:jc w:val="center"/>
    </w:pPr>
    <w:rPr>
      <w:rFonts w:ascii="Times New Roman" w:eastAsiaTheme="minorEastAsia" w:hAnsi="Times New Roman" w:cs="Times New Roman"/>
      <w:sz w:val="32"/>
      <w:szCs w:val="32"/>
      <w:lang w:eastAsia="hr-HR"/>
    </w:rPr>
  </w:style>
  <w:style w:type="character" w:customStyle="1" w:styleId="zadanifontodlomka">
    <w:name w:val="zadanifontodlomka"/>
    <w:basedOn w:val="DefaultParagraphFont"/>
    <w:rsid w:val="00E11A8A"/>
    <w:rPr>
      <w:rFonts w:ascii="Times New Roman" w:hAnsi="Times New Roman" w:cs="Times New Roman" w:hint="default"/>
      <w:b w:val="0"/>
      <w:bCs w:val="0"/>
      <w:sz w:val="32"/>
      <w:szCs w:val="32"/>
    </w:rPr>
  </w:style>
  <w:style w:type="character" w:styleId="FollowedHyperlink">
    <w:name w:val="FollowedHyperlink"/>
    <w:basedOn w:val="DefaultParagraphFont"/>
    <w:uiPriority w:val="99"/>
    <w:semiHidden/>
    <w:unhideWhenUsed/>
    <w:rsid w:val="007B2DEF"/>
    <w:rPr>
      <w:color w:val="800080" w:themeColor="followedHyperlink"/>
      <w:u w:val="single"/>
    </w:rPr>
  </w:style>
  <w:style w:type="paragraph" w:styleId="FootnoteText">
    <w:name w:val="footnote text"/>
    <w:basedOn w:val="Normal"/>
    <w:link w:val="FootnoteTextChar"/>
    <w:uiPriority w:val="99"/>
    <w:semiHidden/>
    <w:unhideWhenUsed/>
    <w:rsid w:val="00560C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C90"/>
    <w:rPr>
      <w:sz w:val="20"/>
      <w:szCs w:val="20"/>
    </w:rPr>
  </w:style>
  <w:style w:type="character" w:styleId="FootnoteReference">
    <w:name w:val="footnote reference"/>
    <w:basedOn w:val="DefaultParagraphFont"/>
    <w:uiPriority w:val="99"/>
    <w:semiHidden/>
    <w:unhideWhenUsed/>
    <w:rsid w:val="00560C90"/>
    <w:rPr>
      <w:vertAlign w:val="superscript"/>
    </w:rPr>
  </w:style>
  <w:style w:type="character" w:styleId="Strong">
    <w:name w:val="Strong"/>
    <w:basedOn w:val="DefaultParagraphFont"/>
    <w:uiPriority w:val="22"/>
    <w:qFormat/>
    <w:rsid w:val="00EF44C7"/>
    <w:rPr>
      <w:b/>
      <w:bCs/>
    </w:rPr>
  </w:style>
  <w:style w:type="character" w:customStyle="1" w:styleId="Heading1Char">
    <w:name w:val="Heading 1 Char"/>
    <w:basedOn w:val="DefaultParagraphFont"/>
    <w:link w:val="Heading1"/>
    <w:uiPriority w:val="9"/>
    <w:rsid w:val="00EF44C7"/>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rsid w:val="003C50FB"/>
    <w:rPr>
      <w:sz w:val="16"/>
      <w:szCs w:val="16"/>
    </w:rPr>
  </w:style>
  <w:style w:type="paragraph" w:styleId="CommentText">
    <w:name w:val="annotation text"/>
    <w:basedOn w:val="Normal"/>
    <w:link w:val="CommentTextChar"/>
    <w:rsid w:val="003C50FB"/>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rsid w:val="003C50F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50DBA"/>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50DBA"/>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5914">
      <w:bodyDiv w:val="1"/>
      <w:marLeft w:val="0"/>
      <w:marRight w:val="0"/>
      <w:marTop w:val="0"/>
      <w:marBottom w:val="0"/>
      <w:divBdr>
        <w:top w:val="none" w:sz="0" w:space="0" w:color="auto"/>
        <w:left w:val="none" w:sz="0" w:space="0" w:color="auto"/>
        <w:bottom w:val="none" w:sz="0" w:space="0" w:color="auto"/>
        <w:right w:val="none" w:sz="0" w:space="0" w:color="auto"/>
      </w:divBdr>
    </w:div>
    <w:div w:id="661936633">
      <w:bodyDiv w:val="1"/>
      <w:marLeft w:val="0"/>
      <w:marRight w:val="0"/>
      <w:marTop w:val="0"/>
      <w:marBottom w:val="0"/>
      <w:divBdr>
        <w:top w:val="none" w:sz="0" w:space="0" w:color="auto"/>
        <w:left w:val="none" w:sz="0" w:space="0" w:color="auto"/>
        <w:bottom w:val="none" w:sz="0" w:space="0" w:color="auto"/>
        <w:right w:val="none" w:sz="0" w:space="0" w:color="auto"/>
      </w:divBdr>
      <w:divsChild>
        <w:div w:id="1340084593">
          <w:marLeft w:val="0"/>
          <w:marRight w:val="0"/>
          <w:marTop w:val="100"/>
          <w:marBottom w:val="100"/>
          <w:divBdr>
            <w:top w:val="none" w:sz="0" w:space="0" w:color="auto"/>
            <w:left w:val="none" w:sz="0" w:space="0" w:color="auto"/>
            <w:bottom w:val="none" w:sz="0" w:space="0" w:color="auto"/>
            <w:right w:val="none" w:sz="0" w:space="0" w:color="auto"/>
          </w:divBdr>
          <w:divsChild>
            <w:div w:id="801968615">
              <w:marLeft w:val="0"/>
              <w:marRight w:val="0"/>
              <w:marTop w:val="300"/>
              <w:marBottom w:val="300"/>
              <w:divBdr>
                <w:top w:val="none" w:sz="0" w:space="0" w:color="auto"/>
                <w:left w:val="none" w:sz="0" w:space="0" w:color="auto"/>
                <w:bottom w:val="none" w:sz="0" w:space="0" w:color="auto"/>
                <w:right w:val="none" w:sz="0" w:space="0" w:color="auto"/>
              </w:divBdr>
              <w:divsChild>
                <w:div w:id="6572719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46159674">
      <w:bodyDiv w:val="1"/>
      <w:marLeft w:val="0"/>
      <w:marRight w:val="0"/>
      <w:marTop w:val="0"/>
      <w:marBottom w:val="0"/>
      <w:divBdr>
        <w:top w:val="none" w:sz="0" w:space="0" w:color="auto"/>
        <w:left w:val="none" w:sz="0" w:space="0" w:color="auto"/>
        <w:bottom w:val="none" w:sz="0" w:space="0" w:color="auto"/>
        <w:right w:val="none" w:sz="0" w:space="0" w:color="auto"/>
      </w:divBdr>
    </w:div>
    <w:div w:id="1187404683">
      <w:bodyDiv w:val="1"/>
      <w:marLeft w:val="0"/>
      <w:marRight w:val="0"/>
      <w:marTop w:val="0"/>
      <w:marBottom w:val="0"/>
      <w:divBdr>
        <w:top w:val="none" w:sz="0" w:space="0" w:color="auto"/>
        <w:left w:val="none" w:sz="0" w:space="0" w:color="auto"/>
        <w:bottom w:val="none" w:sz="0" w:space="0" w:color="auto"/>
        <w:right w:val="none" w:sz="0" w:space="0" w:color="auto"/>
      </w:divBdr>
    </w:div>
    <w:div w:id="1493989735">
      <w:bodyDiv w:val="1"/>
      <w:marLeft w:val="0"/>
      <w:marRight w:val="0"/>
      <w:marTop w:val="0"/>
      <w:marBottom w:val="0"/>
      <w:divBdr>
        <w:top w:val="none" w:sz="0" w:space="0" w:color="auto"/>
        <w:left w:val="none" w:sz="0" w:space="0" w:color="auto"/>
        <w:bottom w:val="none" w:sz="0" w:space="0" w:color="auto"/>
        <w:right w:val="none" w:sz="0" w:space="0" w:color="auto"/>
      </w:divBdr>
    </w:div>
    <w:div w:id="1552423163">
      <w:bodyDiv w:val="1"/>
      <w:marLeft w:val="0"/>
      <w:marRight w:val="0"/>
      <w:marTop w:val="0"/>
      <w:marBottom w:val="0"/>
      <w:divBdr>
        <w:top w:val="none" w:sz="0" w:space="0" w:color="auto"/>
        <w:left w:val="none" w:sz="0" w:space="0" w:color="auto"/>
        <w:bottom w:val="none" w:sz="0" w:space="0" w:color="auto"/>
        <w:right w:val="none" w:sz="0" w:space="0" w:color="auto"/>
      </w:divBdr>
    </w:div>
    <w:div w:id="1953127449">
      <w:bodyDiv w:val="1"/>
      <w:marLeft w:val="0"/>
      <w:marRight w:val="0"/>
      <w:marTop w:val="0"/>
      <w:marBottom w:val="0"/>
      <w:divBdr>
        <w:top w:val="none" w:sz="0" w:space="0" w:color="auto"/>
        <w:left w:val="none" w:sz="0" w:space="0" w:color="auto"/>
        <w:bottom w:val="none" w:sz="0" w:space="0" w:color="auto"/>
        <w:right w:val="none" w:sz="0" w:space="0" w:color="auto"/>
      </w:divBdr>
    </w:div>
    <w:div w:id="19581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laf-courrier@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pravilnosti.eu@mfin.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pravilnosti.eu@safu.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s://www.apprrr.hr/ruralni-razvoj/"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0DFC-D175-428B-B21A-A64CBCD7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4207</Words>
  <Characters>23980</Characters>
  <Application>Microsoft Office Word</Application>
  <DocSecurity>0</DocSecurity>
  <Lines>199</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sanja</dc:creator>
  <cp:lastModifiedBy>Ivona Ferenčić</cp:lastModifiedBy>
  <cp:revision>3</cp:revision>
  <cp:lastPrinted>2021-01-05T15:25:00Z</cp:lastPrinted>
  <dcterms:created xsi:type="dcterms:W3CDTF">2021-01-07T18:25:00Z</dcterms:created>
  <dcterms:modified xsi:type="dcterms:W3CDTF">2021-01-07T19:11:00Z</dcterms:modified>
</cp:coreProperties>
</file>