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D875" w14:textId="77777777" w:rsidR="008C6DB2" w:rsidRPr="00C208B8" w:rsidRDefault="008C6DB2" w:rsidP="00FE3A1A">
      <w:pPr>
        <w:jc w:val="center"/>
      </w:pPr>
      <w:r>
        <w:rPr>
          <w:lang w:eastAsia="hr-HR"/>
        </w:rPr>
        <w:drawing>
          <wp:inline distT="0" distB="0" distL="0" distR="0" wp14:anchorId="782935FB" wp14:editId="6008C5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D40BF11" w14:textId="77777777" w:rsidR="008C6DB2" w:rsidRPr="00FE3A1A" w:rsidRDefault="008C6DB2" w:rsidP="008C6DB2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FE3A1A">
        <w:rPr>
          <w:rFonts w:ascii="Times New Roman" w:hAnsi="Times New Roman" w:cs="Times New Roman"/>
          <w:sz w:val="28"/>
        </w:rPr>
        <w:t>VLADA REPUBLIKE HRVATSKE</w:t>
      </w:r>
    </w:p>
    <w:p w14:paraId="37EEF9B8" w14:textId="77777777" w:rsidR="008C6DB2" w:rsidRDefault="008C6DB2" w:rsidP="008C6DB2"/>
    <w:p w14:paraId="65EEDC23" w14:textId="413CB19D" w:rsidR="008C6DB2" w:rsidRPr="00FE3A1A" w:rsidRDefault="008C6DB2" w:rsidP="008C6DB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E3A1A">
        <w:rPr>
          <w:rFonts w:ascii="Times New Roman" w:hAnsi="Times New Roman" w:cs="Times New Roman"/>
          <w:sz w:val="24"/>
          <w:szCs w:val="24"/>
        </w:rPr>
        <w:t>Zagreb,</w:t>
      </w:r>
      <w:r w:rsidR="00777DCA">
        <w:rPr>
          <w:rFonts w:ascii="Times New Roman" w:hAnsi="Times New Roman" w:cs="Times New Roman"/>
          <w:sz w:val="24"/>
          <w:szCs w:val="24"/>
        </w:rPr>
        <w:t xml:space="preserve"> 2</w:t>
      </w:r>
      <w:r w:rsidR="00AA5776">
        <w:rPr>
          <w:rFonts w:ascii="Times New Roman" w:hAnsi="Times New Roman" w:cs="Times New Roman"/>
          <w:sz w:val="24"/>
          <w:szCs w:val="24"/>
        </w:rPr>
        <w:t>4</w:t>
      </w:r>
      <w:r w:rsidR="00777DCA">
        <w:rPr>
          <w:rFonts w:ascii="Times New Roman" w:hAnsi="Times New Roman" w:cs="Times New Roman"/>
          <w:sz w:val="24"/>
          <w:szCs w:val="24"/>
        </w:rPr>
        <w:t xml:space="preserve">. </w:t>
      </w:r>
      <w:r w:rsidR="00FE3A1A">
        <w:rPr>
          <w:rFonts w:ascii="Times New Roman" w:hAnsi="Times New Roman" w:cs="Times New Roman"/>
          <w:sz w:val="24"/>
          <w:szCs w:val="24"/>
        </w:rPr>
        <w:t>studen</w:t>
      </w:r>
      <w:r w:rsidR="00E273E8">
        <w:rPr>
          <w:rFonts w:ascii="Times New Roman" w:hAnsi="Times New Roman" w:cs="Times New Roman"/>
          <w:sz w:val="24"/>
          <w:szCs w:val="24"/>
        </w:rPr>
        <w:t>oga</w:t>
      </w:r>
      <w:bookmarkStart w:id="0" w:name="_GoBack"/>
      <w:bookmarkEnd w:id="0"/>
      <w:r w:rsidR="00FE3A1A">
        <w:rPr>
          <w:rFonts w:ascii="Times New Roman" w:hAnsi="Times New Roman" w:cs="Times New Roman"/>
          <w:sz w:val="24"/>
          <w:szCs w:val="24"/>
        </w:rPr>
        <w:t xml:space="preserve"> </w:t>
      </w:r>
      <w:r w:rsidRPr="00FE3A1A">
        <w:rPr>
          <w:rFonts w:ascii="Times New Roman" w:hAnsi="Times New Roman" w:cs="Times New Roman"/>
          <w:sz w:val="24"/>
          <w:szCs w:val="24"/>
        </w:rPr>
        <w:t>2021.</w:t>
      </w:r>
    </w:p>
    <w:p w14:paraId="178011D2" w14:textId="77777777" w:rsidR="008C6DB2" w:rsidRPr="00777DCA" w:rsidRDefault="008C6DB2" w:rsidP="008C6D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DC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60E5">
        <w:rPr>
          <w:rFonts w:ascii="Times New Roman" w:hAnsi="Times New Roman" w:cs="Times New Roman"/>
          <w:sz w:val="24"/>
          <w:szCs w:val="24"/>
        </w:rPr>
        <w:t>_</w:t>
      </w:r>
      <w:r w:rsidRPr="00777DCA">
        <w:rPr>
          <w:rFonts w:ascii="Times New Roman" w:hAnsi="Times New Roman" w:cs="Times New Roman"/>
          <w:sz w:val="24"/>
          <w:szCs w:val="24"/>
        </w:rPr>
        <w:t>____</w:t>
      </w:r>
    </w:p>
    <w:p w14:paraId="63166CF1" w14:textId="77777777" w:rsidR="008C6DB2" w:rsidRPr="00777DCA" w:rsidRDefault="008C6DB2" w:rsidP="008C6DB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8C6DB2" w:rsidRPr="00777DCA" w:rsidSect="008C6DB2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C6DB2" w:rsidRPr="00777DCA" w14:paraId="2D3CFA5F" w14:textId="77777777" w:rsidTr="00146B38">
        <w:tc>
          <w:tcPr>
            <w:tcW w:w="1951" w:type="dxa"/>
          </w:tcPr>
          <w:p w14:paraId="6E5E503C" w14:textId="77777777" w:rsidR="008C6DB2" w:rsidRPr="00777DCA" w:rsidRDefault="008C6DB2" w:rsidP="00146B3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77DCA">
              <w:rPr>
                <w:b/>
                <w:smallCaps/>
                <w:sz w:val="24"/>
                <w:szCs w:val="24"/>
              </w:rPr>
              <w:t>Predlagatelj</w:t>
            </w:r>
            <w:r w:rsidRPr="00777D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390336" w14:textId="77777777" w:rsidR="008C6DB2" w:rsidRPr="00777DCA" w:rsidRDefault="008C6DB2" w:rsidP="00146B38">
            <w:pPr>
              <w:spacing w:line="360" w:lineRule="auto"/>
              <w:rPr>
                <w:sz w:val="24"/>
                <w:szCs w:val="24"/>
              </w:rPr>
            </w:pPr>
            <w:r w:rsidRPr="00777DCA">
              <w:rPr>
                <w:sz w:val="24"/>
                <w:szCs w:val="24"/>
              </w:rPr>
              <w:t>Ministarstvo obrane</w:t>
            </w:r>
          </w:p>
        </w:tc>
      </w:tr>
    </w:tbl>
    <w:p w14:paraId="175DDA7E" w14:textId="77777777" w:rsidR="005F2659" w:rsidRPr="00777DCA" w:rsidRDefault="008C6DB2" w:rsidP="005F265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F2659" w:rsidRPr="00777DC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777DCA">
        <w:rPr>
          <w:rFonts w:ascii="Times New Roman" w:hAnsi="Times New Roman" w:cs="Times New Roman"/>
          <w:sz w:val="24"/>
          <w:szCs w:val="24"/>
        </w:rPr>
        <w:t>________________________</w:t>
      </w:r>
      <w:r w:rsidR="005F2659" w:rsidRPr="00777DC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77DCA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760E5" w:rsidRPr="00777DCA" w14:paraId="5A7F92FC" w14:textId="77777777" w:rsidTr="000760E5">
        <w:trPr>
          <w:trHeight w:val="601"/>
        </w:trPr>
        <w:tc>
          <w:tcPr>
            <w:tcW w:w="1985" w:type="dxa"/>
          </w:tcPr>
          <w:p w14:paraId="0693CE4C" w14:textId="77777777" w:rsidR="005F2659" w:rsidRPr="00777DCA" w:rsidRDefault="005F2659" w:rsidP="005F2659">
            <w:pPr>
              <w:spacing w:line="360" w:lineRule="auto"/>
              <w:rPr>
                <w:sz w:val="24"/>
                <w:szCs w:val="24"/>
              </w:rPr>
            </w:pPr>
            <w:r w:rsidRPr="00777DCA">
              <w:rPr>
                <w:b/>
                <w:smallCaps/>
                <w:sz w:val="24"/>
                <w:szCs w:val="24"/>
              </w:rPr>
              <w:t>Predmet</w:t>
            </w:r>
            <w:r w:rsidRPr="00777DCA">
              <w:rPr>
                <w:b/>
                <w:sz w:val="24"/>
                <w:szCs w:val="24"/>
              </w:rPr>
              <w:t xml:space="preserve">: </w:t>
            </w:r>
          </w:p>
          <w:p w14:paraId="6F5DE7C3" w14:textId="77777777" w:rsidR="005F2659" w:rsidRPr="00777DCA" w:rsidRDefault="005F2659" w:rsidP="005F265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0911FDA" w14:textId="4488DD73" w:rsidR="00777DCA" w:rsidRPr="00777DCA" w:rsidRDefault="005F2659" w:rsidP="00AA5776">
            <w:pPr>
              <w:jc w:val="both"/>
              <w:rPr>
                <w:sz w:val="24"/>
                <w:szCs w:val="24"/>
              </w:rPr>
            </w:pPr>
            <w:r w:rsidRPr="00777DCA">
              <w:rPr>
                <w:sz w:val="24"/>
                <w:szCs w:val="24"/>
              </w:rPr>
              <w:t>Nacrt prijedloga odluke o sudjelovanju pripadnika Oružanih snaga Republike Hrvatske u operaciji NATO-a „ALLIED SOLACE“ u Republici Kosov</w:t>
            </w:r>
            <w:r w:rsidR="00AA5776">
              <w:rPr>
                <w:sz w:val="24"/>
                <w:szCs w:val="24"/>
              </w:rPr>
              <w:t>u</w:t>
            </w:r>
          </w:p>
        </w:tc>
      </w:tr>
    </w:tbl>
    <w:p w14:paraId="6B36AE81" w14:textId="77777777" w:rsidR="000760E5" w:rsidRPr="000760E5" w:rsidRDefault="000760E5" w:rsidP="000760E5">
      <w:pPr>
        <w:sectPr w:rsidR="000760E5" w:rsidRPr="000760E5" w:rsidSect="000760E5">
          <w:type w:val="continuous"/>
          <w:pgSz w:w="11906" w:h="16838"/>
          <w:pgMar w:top="993" w:right="1416" w:bottom="1417" w:left="1417" w:header="709" w:footer="658" w:gutter="0"/>
          <w:cols w:space="708"/>
          <w:docGrid w:linePitch="360"/>
        </w:sectPr>
      </w:pPr>
      <w:r>
        <w:t>__________________________________________________________________________________</w:t>
      </w:r>
    </w:p>
    <w:p w14:paraId="2BD171D1" w14:textId="77777777" w:rsidR="00E0598C" w:rsidRDefault="00E0598C" w:rsidP="00E0598C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2266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>VLADA REPUBLIKE HRVATSKE</w:t>
      </w:r>
    </w:p>
    <w:p w14:paraId="1D082895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D09A4CF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6047A61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4D7CBA2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5ABCB02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A97FEAC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411B207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5E76A18" w14:textId="77777777" w:rsidR="00E0598C" w:rsidRPr="002266A2" w:rsidRDefault="00E0598C" w:rsidP="00DE2E0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9DDF35D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22CDE5B1" w14:textId="77777777" w:rsidR="00E0598C" w:rsidRPr="002266A2" w:rsidRDefault="00DE2E09" w:rsidP="006C3CD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N a c r t </w:t>
      </w:r>
    </w:p>
    <w:p w14:paraId="4FF185E6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FAAB725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3410A8A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13E32F8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A35F79C" w14:textId="77777777" w:rsidR="00E0598C" w:rsidRDefault="007F2B95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</w:t>
      </w:r>
    </w:p>
    <w:p w14:paraId="1368F943" w14:textId="77777777" w:rsidR="005464E6" w:rsidRDefault="007F2B95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PRIJEDLOG ODLUKE O SUDJELOVANJU </w:t>
      </w:r>
      <w:r w:rsidR="005464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PRIPADNIKA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ORUŽANIH SNAGA REPUBLIKE HRVATSKE U</w:t>
      </w:r>
      <w:r w:rsidR="002710C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OPERACIJI</w:t>
      </w:r>
      <w:r w:rsidR="00E55D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NATO-a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</w:t>
      </w:r>
      <w:r w:rsidR="00E55DD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„ALLIED SOLACE“ </w:t>
      </w:r>
    </w:p>
    <w:p w14:paraId="3D2F3943" w14:textId="2B6E2F47" w:rsidR="007F2B95" w:rsidRPr="002266A2" w:rsidRDefault="00E55DDF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U REPUBLICI KOSOV</w:t>
      </w:r>
      <w:r w:rsidR="00AA57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U</w:t>
      </w:r>
    </w:p>
    <w:p w14:paraId="57B48279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2FE5292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1B2731F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25F73C10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8C7F673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A465BF0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841EEF1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478447A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4E7ED9C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0936C17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2A66FEB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62061BD" w14:textId="77777777" w:rsidR="00E0598C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3526D10" w14:textId="77777777" w:rsidR="008C2FB6" w:rsidRDefault="008C2FB6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C2EAF11" w14:textId="77777777" w:rsidR="008C2FB6" w:rsidRDefault="008C2FB6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5FEF81F" w14:textId="77777777" w:rsidR="008C2FB6" w:rsidRDefault="008C2FB6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218161AE" w14:textId="77777777" w:rsidR="00B13A89" w:rsidRDefault="00B13A89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B8D0E53" w14:textId="77777777" w:rsidR="00B13A89" w:rsidRDefault="00B13A89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D6B763E" w14:textId="77777777" w:rsidR="00B13A89" w:rsidRDefault="00B13A89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EA41E89" w14:textId="77777777" w:rsidR="00B13A89" w:rsidRDefault="00B13A89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9344AE9" w14:textId="77777777" w:rsidR="00B13A89" w:rsidRDefault="00B13A89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62A77A8" w14:textId="77777777" w:rsidR="008C2FB6" w:rsidRDefault="008C2FB6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163D258D" w14:textId="77777777" w:rsidR="00760421" w:rsidRDefault="00760421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2D64A92" w14:textId="77777777" w:rsidR="00760421" w:rsidRDefault="00760421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1F78D4B" w14:textId="77777777" w:rsidR="008C2FB6" w:rsidRPr="002266A2" w:rsidRDefault="008C2FB6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0F45050" w14:textId="77777777" w:rsidR="00E0598C" w:rsidRPr="005C644D" w:rsidRDefault="00FE3A1A" w:rsidP="005C644D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Zagreb, studeni </w:t>
      </w:r>
      <w:r w:rsidR="00A074B4" w:rsidRPr="005C644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20</w:t>
      </w:r>
      <w:r w:rsidR="001E0E22" w:rsidRPr="005C644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21</w:t>
      </w:r>
      <w:r w:rsidR="00E0598C" w:rsidRPr="005C644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37B9CD47" w14:textId="77777777" w:rsidR="00822E74" w:rsidRDefault="00E55DDF" w:rsidP="00822E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 xml:space="preserve">PRIJEDLOG ODLUKE O SUDJELOVANJU </w:t>
      </w:r>
      <w:r w:rsidR="005464E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PRIPADNIKA</w:t>
      </w:r>
    </w:p>
    <w:p w14:paraId="6E04E9D1" w14:textId="77777777" w:rsidR="00822E74" w:rsidRDefault="00E55DDF" w:rsidP="00822E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ORUŽANIH SNAGA REPUBLIKE HRVATSKE U OPERACIJI</w:t>
      </w:r>
    </w:p>
    <w:p w14:paraId="4D8AF81A" w14:textId="1518407E" w:rsidR="00E55DDF" w:rsidRPr="002266A2" w:rsidRDefault="00E55DDF" w:rsidP="00822E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NATO-a „ALLIED SOLACE“ U REPUBLICI KOSOV</w:t>
      </w:r>
      <w:r w:rsidR="00AA57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U</w:t>
      </w:r>
    </w:p>
    <w:p w14:paraId="675CDCFA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096535C" w14:textId="77777777" w:rsidR="00E0598C" w:rsidRPr="002266A2" w:rsidRDefault="00E0598C" w:rsidP="00E059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2266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I.</w:t>
      </w:r>
      <w:r w:rsidRPr="002266A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ab/>
        <w:t>USTAVNA OSNOVA ZA DONOŠENJE ODLUKE</w:t>
      </w:r>
    </w:p>
    <w:p w14:paraId="5208E9E1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B014783" w14:textId="3902F002" w:rsidR="00E0598C" w:rsidRPr="002266A2" w:rsidRDefault="00352461" w:rsidP="003D54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temelju članka 7. stavka 5. Ustava Republike Hrvatske (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„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Narodne novine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“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br. 85/10</w:t>
      </w:r>
      <w:r w:rsidR="00851C3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– pročišćeni tekst i 5/14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– Odluka Ustavnog suda Republike Hrvatske</w:t>
      </w:r>
      <w:r w:rsidR="00E55DD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)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pokreće se postupak za donošenje</w:t>
      </w:r>
      <w:r w:rsidR="00C758B6"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181B4F"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Odluke 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 sudjelovanju </w:t>
      </w:r>
      <w:r w:rsidR="005464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pripadnika </w:t>
      </w:r>
      <w:r w:rsidRPr="00E9319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Oružanih snaga Republike Hrvatske </w:t>
      </w:r>
      <w:r w:rsidR="00E0598C" w:rsidRPr="005175C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operaciji</w:t>
      </w:r>
      <w:r w:rsidR="003D549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E55DD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NATO-a „Allied Solace“</w:t>
      </w:r>
      <w:r w:rsidR="00E55DDF" w:rsidRPr="005175C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E55DD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Repu</w:t>
      </w:r>
      <w:r w:rsidR="00DE2E0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blici Kosov</w:t>
      </w:r>
      <w:r w:rsidR="00AA577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</w:t>
      </w:r>
      <w:r w:rsidR="00DE2E0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(u daljnjem tekstu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:</w:t>
      </w:r>
      <w:r w:rsidR="00E55DD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Odluka).</w:t>
      </w:r>
      <w:r w:rsidR="003D549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</w:p>
    <w:p w14:paraId="3B214036" w14:textId="77777777" w:rsidR="00E0598C" w:rsidRPr="002266A2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05A9265F" w14:textId="77777777" w:rsidR="00E0598C" w:rsidRDefault="00E0598C" w:rsidP="00DE2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  <w:r w:rsidRPr="00AD6752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>II.</w:t>
      </w:r>
      <w:r w:rsidRPr="00AD6752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  <w:tab/>
        <w:t>OCJENA DOSADAŠNJEG STANJA</w:t>
      </w:r>
    </w:p>
    <w:p w14:paraId="4531BA51" w14:textId="77777777" w:rsidR="00DE2E09" w:rsidRPr="00DE2E09" w:rsidRDefault="00DE2E09" w:rsidP="00DE2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hr-HR"/>
        </w:rPr>
      </w:pPr>
    </w:p>
    <w:p w14:paraId="1FC58AEC" w14:textId="77777777" w:rsidR="00212FB0" w:rsidRDefault="00212FB0" w:rsidP="0086369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Ministri vanjskih poslova 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država članica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NATO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-a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zajedničkoj </w:t>
      </w:r>
      <w:r w:rsidR="000925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deklaraciji u kolovozu 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zaključili 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da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Savez treba </w:t>
      </w:r>
      <w:r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ispuniti obveze 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po pitanju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sigurne evakuacije državljana</w:t>
      </w:r>
      <w:r w:rsidR="00E55DD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savezničkih država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, državljana partnerskih država</w:t>
      </w:r>
      <w:r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i 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državljana Afganistana koji su sudjelovali</w:t>
      </w:r>
      <w:r w:rsidR="00161E52"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naporima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Saveza tijekom proteklih dvadeset godina, zbog čega su njihovi životi i životi članova </w:t>
      </w:r>
      <w:r w:rsidR="00DE2E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njihovih 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obitelji ugroženi.</w:t>
      </w:r>
      <w:r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</w:p>
    <w:p w14:paraId="786F3CDF" w14:textId="77777777" w:rsidR="00376F09" w:rsidRDefault="00DE2E09" w:rsidP="00376F0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M</w:t>
      </w:r>
      <w:r w:rsid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inistri</w:t>
      </w:r>
      <w:r w:rsidR="0032241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vanjskih poslova</w:t>
      </w:r>
      <w:r w:rsid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pozvali</w:t>
      </w:r>
      <w:r w:rsidR="0032241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su predstavnike režima u Afganistanu</w:t>
      </w:r>
      <w:r w:rsid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212FB0"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da poštuju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odabir Afganistanaca koji žele napustiti državu</w:t>
      </w:r>
      <w:r w:rsidR="00212FB0"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i olakšaju</w:t>
      </w:r>
      <w:r w:rsidR="00161E52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im</w:t>
      </w:r>
      <w:r w:rsidR="00212FB0"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sigurn</w:t>
      </w:r>
      <w:r w:rsidR="000B4B7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u</w:t>
      </w:r>
      <w:r w:rsidR="00212FB0" w:rsidRPr="00212F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0B4B7B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evakuaciju</w:t>
      </w:r>
      <w:r w:rsidR="00D5492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, posebno kroz međunarodnu zračnu luku Hamid Karzai u Kabulu</w:t>
      </w:r>
      <w:r w:rsidR="00376F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, gdje je NATO </w:t>
      </w:r>
      <w:r w:rsidR="0032241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pružao</w:t>
      </w:r>
      <w:r w:rsidR="00376F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sigurnosnu i operativnu potporu do kolovoza 2021</w:t>
      </w:r>
      <w:r w:rsidR="00D5492D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. </w:t>
      </w:r>
    </w:p>
    <w:p w14:paraId="5E7F3F9B" w14:textId="77777777" w:rsidR="001B0616" w:rsidRPr="00DE2E09" w:rsidRDefault="00376F09" w:rsidP="00DE2E0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Sjevernoatlantsko vijeće </w:t>
      </w:r>
      <w:r w:rsidRPr="00DE2E09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hr-HR"/>
        </w:rPr>
        <w:t xml:space="preserve">(North Atlantic Council </w:t>
      </w:r>
      <w:r w:rsidR="00DE2E09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hr-HR"/>
        </w:rPr>
        <w:t>–</w:t>
      </w:r>
      <w:r w:rsidRPr="00DE2E09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hr-HR"/>
        </w:rPr>
        <w:t xml:space="preserve"> NAC)</w:t>
      </w:r>
      <w:r w:rsidR="000925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dalo</w:t>
      </w:r>
      <w:r w:rsidR="000925B0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zadaću vojnim vlastima NATO-a da osiguraju provedbu sigurne evakuacije građana Afganistana </w:t>
      </w:r>
      <w:r w:rsidR="0032241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na privremene lokacije te do trajnog 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preseljenja u neku od država članica NATO-a.</w:t>
      </w:r>
    </w:p>
    <w:p w14:paraId="52B7FC3E" w14:textId="77777777" w:rsidR="00851C32" w:rsidRPr="00376F09" w:rsidRDefault="001B0616" w:rsidP="00376F0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NATO je </w:t>
      </w:r>
      <w:r w:rsidR="0076416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u kolovozu 2021. </w:t>
      </w:r>
      <w:r w:rsidR="00DE2E09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evakuirao oko 120 000 osoba </w:t>
      </w:r>
      <w:r w:rsidR="0076416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iz Afganistana kroz zračnu luku u Kabulu, š</w:t>
      </w:r>
      <w:r w:rsidR="008212AC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to predstavlja</w:t>
      </w:r>
      <w:r w:rsidR="0076416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</w:t>
      </w:r>
      <w:r w:rsidR="008212AC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najveću evakuacijsku misiju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 xml:space="preserve"> u povijesti </w:t>
      </w:r>
      <w:r w:rsidR="0076416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Savez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a</w:t>
      </w:r>
      <w:r w:rsidR="00764167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hr-HR"/>
        </w:rPr>
        <w:t>.</w:t>
      </w:r>
    </w:p>
    <w:p w14:paraId="7754B5AE" w14:textId="77777777" w:rsidR="00650CCB" w:rsidRPr="00AD6752" w:rsidRDefault="003D0D18" w:rsidP="007965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</w:p>
    <w:p w14:paraId="07CAC847" w14:textId="77777777" w:rsidR="00E0598C" w:rsidRPr="003E46FD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</w:pPr>
      <w:r w:rsidRPr="00AD6752">
        <w:rPr>
          <w:rFonts w:ascii="Times New Roman" w:eastAsia="MS Mincho" w:hAnsi="Times New Roman" w:cs="Times New Roman"/>
          <w:b/>
          <w:noProof w:val="0"/>
          <w:color w:val="FF0000"/>
          <w:sz w:val="24"/>
          <w:szCs w:val="24"/>
          <w:lang w:eastAsia="ja-JP"/>
        </w:rPr>
        <w:tab/>
      </w:r>
      <w:r w:rsidRPr="003E46FD"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  <w:t>III.</w:t>
      </w:r>
      <w:r w:rsidRPr="003E46FD"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  <w:tab/>
        <w:t xml:space="preserve">RAZLOZI I CILJEVI DONOŠENJA </w:t>
      </w:r>
      <w:r w:rsidR="00DE2E09"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  <w:t xml:space="preserve">OVE </w:t>
      </w:r>
      <w:r w:rsidRPr="003E46FD"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  <w:t>ODLUKE</w:t>
      </w:r>
    </w:p>
    <w:p w14:paraId="09720D36" w14:textId="77777777" w:rsidR="00E0598C" w:rsidRPr="003E46FD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77173AE" w14:textId="77777777" w:rsidR="00725D97" w:rsidRDefault="003D4696" w:rsidP="00863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noProof w:val="0"/>
          <w:sz w:val="24"/>
          <w:szCs w:val="24"/>
          <w:lang w:eastAsia="hr-HR"/>
        </w:rPr>
        <w:t>Nastavn</w:t>
      </w:r>
      <w:r w:rsidR="00725D97">
        <w:rPr>
          <w:rFonts w:ascii="Times New Roman" w:hAnsi="Times New Roman"/>
          <w:noProof w:val="0"/>
          <w:sz w:val="24"/>
          <w:szCs w:val="24"/>
          <w:lang w:eastAsia="hr-HR"/>
        </w:rPr>
        <w:t>o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na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odluku</w:t>
      </w:r>
      <w:r w:rsidR="00725D97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264A4E">
        <w:rPr>
          <w:rFonts w:ascii="Times New Roman" w:hAnsi="Times New Roman"/>
          <w:noProof w:val="0"/>
          <w:sz w:val="24"/>
          <w:szCs w:val="24"/>
          <w:lang w:eastAsia="hr-HR"/>
        </w:rPr>
        <w:t>NAC-a</w:t>
      </w:r>
      <w:r w:rsidR="007F6DE8">
        <w:rPr>
          <w:rFonts w:ascii="Times New Roman" w:hAnsi="Times New Roman"/>
          <w:noProof w:val="0"/>
          <w:sz w:val="24"/>
          <w:szCs w:val="24"/>
          <w:lang w:eastAsia="hr-HR"/>
        </w:rPr>
        <w:t>,</w:t>
      </w:r>
      <w:r w:rsidR="00725D97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vojne vlasti </w:t>
      </w:r>
      <w:r w:rsidR="00D8598E">
        <w:rPr>
          <w:rFonts w:ascii="Times New Roman" w:hAnsi="Times New Roman"/>
          <w:noProof w:val="0"/>
          <w:sz w:val="24"/>
          <w:szCs w:val="24"/>
          <w:lang w:eastAsia="hr-HR"/>
        </w:rPr>
        <w:t xml:space="preserve">NATO-a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 xml:space="preserve">započele </w:t>
      </w:r>
      <w:r w:rsidR="000925B0">
        <w:rPr>
          <w:rFonts w:ascii="Times New Roman" w:hAnsi="Times New Roman"/>
          <w:noProof w:val="0"/>
          <w:sz w:val="24"/>
          <w:szCs w:val="24"/>
          <w:lang w:eastAsia="hr-HR"/>
        </w:rPr>
        <w:t xml:space="preserve">su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provedbu zadaće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DE2E09">
        <w:rPr>
          <w:rFonts w:ascii="Times New Roman" w:hAnsi="Times New Roman"/>
          <w:noProof w:val="0"/>
          <w:sz w:val="24"/>
          <w:szCs w:val="24"/>
          <w:lang w:eastAsia="hr-HR"/>
        </w:rPr>
        <w:t>radi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>osigura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nja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 sigurn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og</w:t>
      </w:r>
      <w:r w:rsidR="007F6DE8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izmještanja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 evakuiranih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osoba</w:t>
      </w:r>
      <w:r w:rsidR="00D8598E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putem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 privremenih lokacija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te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 dalje do 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>trajnog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 preseljenja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u neku od </w:t>
      </w:r>
      <w:r w:rsidR="007F6DE8">
        <w:rPr>
          <w:rFonts w:ascii="Times New Roman" w:hAnsi="Times New Roman"/>
          <w:noProof w:val="0"/>
          <w:sz w:val="24"/>
          <w:szCs w:val="24"/>
          <w:lang w:eastAsia="hr-HR"/>
        </w:rPr>
        <w:t xml:space="preserve">država članica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NATO</w:t>
      </w:r>
      <w:r w:rsidR="007F6DE8">
        <w:rPr>
          <w:rFonts w:ascii="Times New Roman" w:hAnsi="Times New Roman"/>
          <w:noProof w:val="0"/>
          <w:sz w:val="24"/>
          <w:szCs w:val="24"/>
          <w:lang w:eastAsia="hr-HR"/>
        </w:rPr>
        <w:t>-a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koj</w:t>
      </w:r>
      <w:r w:rsidR="000B4B7B">
        <w:rPr>
          <w:rFonts w:ascii="Times New Roman" w:hAnsi="Times New Roman"/>
          <w:noProof w:val="0"/>
          <w:sz w:val="24"/>
          <w:szCs w:val="24"/>
          <w:lang w:eastAsia="hr-HR"/>
        </w:rPr>
        <w:t>e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0B4B7B">
        <w:rPr>
          <w:rFonts w:ascii="Times New Roman" w:hAnsi="Times New Roman"/>
          <w:noProof w:val="0"/>
          <w:sz w:val="24"/>
          <w:szCs w:val="24"/>
          <w:lang w:eastAsia="hr-HR"/>
        </w:rPr>
        <w:t xml:space="preserve">su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solidarno </w:t>
      </w:r>
      <w:r w:rsidR="007F6DE8">
        <w:rPr>
          <w:rFonts w:ascii="Times New Roman" w:hAnsi="Times New Roman"/>
          <w:noProof w:val="0"/>
          <w:sz w:val="24"/>
          <w:szCs w:val="24"/>
          <w:lang w:eastAsia="hr-HR"/>
        </w:rPr>
        <w:t>pristale prihvatiti određeni broj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evakuiranih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 xml:space="preserve"> osoba</w:t>
      </w:r>
      <w:r w:rsidRPr="003D4696">
        <w:rPr>
          <w:rFonts w:ascii="Times New Roman" w:hAnsi="Times New Roman"/>
          <w:noProof w:val="0"/>
          <w:sz w:val="24"/>
          <w:szCs w:val="24"/>
          <w:lang w:eastAsia="hr-HR"/>
        </w:rPr>
        <w:t xml:space="preserve">. </w:t>
      </w:r>
    </w:p>
    <w:p w14:paraId="566FDAB6" w14:textId="6690BB48" w:rsidR="006019AE" w:rsidRDefault="002B55A3" w:rsidP="00863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noProof w:val="0"/>
          <w:sz w:val="24"/>
          <w:szCs w:val="24"/>
          <w:lang w:eastAsia="hr-HR"/>
        </w:rPr>
        <w:t>Jedna od dvije europske lokacije</w:t>
      </w:r>
      <w:r w:rsidR="006237B5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0B4B7B">
        <w:rPr>
          <w:rFonts w:ascii="Times New Roman" w:hAnsi="Times New Roman"/>
          <w:noProof w:val="0"/>
          <w:sz w:val="24"/>
          <w:szCs w:val="24"/>
          <w:lang w:eastAsia="hr-HR"/>
        </w:rPr>
        <w:t xml:space="preserve">za privremeni smještaj evakuiranih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Afganistanaca</w:t>
      </w:r>
      <w:r w:rsidR="000B4B7B">
        <w:rPr>
          <w:rFonts w:ascii="Times New Roman" w:hAnsi="Times New Roman"/>
          <w:noProof w:val="0"/>
          <w:sz w:val="24"/>
          <w:szCs w:val="24"/>
          <w:lang w:eastAsia="hr-HR"/>
        </w:rPr>
        <w:t xml:space="preserve"> je „Kamp Bechtel“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u Republici Kosov</w:t>
      </w:r>
      <w:r w:rsidR="00AA5776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>. Kamp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je 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 xml:space="preserve">na korištenje NATO-u ponudila Vlada </w:t>
      </w:r>
      <w:r w:rsidR="00264A4E">
        <w:rPr>
          <w:rFonts w:ascii="Times New Roman" w:hAnsi="Times New Roman"/>
          <w:noProof w:val="0"/>
          <w:sz w:val="24"/>
          <w:szCs w:val="24"/>
          <w:lang w:eastAsia="hr-HR"/>
        </w:rPr>
        <w:t xml:space="preserve">Republike 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>Kosov</w:t>
      </w:r>
      <w:r w:rsidR="00264A4E">
        <w:rPr>
          <w:rFonts w:ascii="Times New Roman" w:hAnsi="Times New Roman"/>
          <w:noProof w:val="0"/>
          <w:sz w:val="24"/>
          <w:szCs w:val="24"/>
          <w:lang w:eastAsia="hr-HR"/>
        </w:rPr>
        <w:t>o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 xml:space="preserve">, a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opremljen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 xml:space="preserve"> je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 potrebnom infrastrukturom za smještaj oko 800 osoba</w:t>
      </w:r>
      <w:r w:rsidR="00214777">
        <w:rPr>
          <w:rFonts w:ascii="Times New Roman" w:hAnsi="Times New Roman"/>
          <w:noProof w:val="0"/>
          <w:sz w:val="24"/>
          <w:szCs w:val="24"/>
          <w:lang w:eastAsia="hr-HR"/>
        </w:rPr>
        <w:t>.</w:t>
      </w:r>
    </w:p>
    <w:p w14:paraId="1C2665BD" w14:textId="77777777" w:rsidR="00322418" w:rsidRDefault="00286741" w:rsidP="00863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noProof w:val="0"/>
          <w:sz w:val="24"/>
          <w:szCs w:val="24"/>
          <w:lang w:eastAsia="hr-HR"/>
        </w:rPr>
        <w:t>Određen dio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 xml:space="preserve"> evak</w:t>
      </w:r>
      <w:r w:rsidR="00DE2E09">
        <w:rPr>
          <w:rFonts w:ascii="Times New Roman" w:hAnsi="Times New Roman"/>
          <w:noProof w:val="0"/>
          <w:sz w:val="24"/>
          <w:szCs w:val="24"/>
          <w:lang w:eastAsia="hr-HR"/>
        </w:rPr>
        <w:t>uiranih osoba čine žene i djeca</w:t>
      </w:r>
      <w:r w:rsidR="00322418">
        <w:rPr>
          <w:rFonts w:ascii="Times New Roman" w:hAnsi="Times New Roman"/>
          <w:noProof w:val="0"/>
          <w:sz w:val="24"/>
          <w:szCs w:val="24"/>
          <w:lang w:eastAsia="hr-HR"/>
        </w:rPr>
        <w:t xml:space="preserve"> odnosno obitelji osoba koje su surađivale s NATO-om tijekom dvadesetogodišnjeg angažmana u Afganistanu.</w:t>
      </w:r>
    </w:p>
    <w:p w14:paraId="0819D38A" w14:textId="77777777" w:rsidR="00A17E79" w:rsidRDefault="00A17E79" w:rsidP="00863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Vrhovni zapovjednik savezničkih snaga za Europu </w:t>
      </w:r>
      <w:r w:rsidRPr="00DE2E09">
        <w:rPr>
          <w:rFonts w:ascii="Times New Roman" w:hAnsi="Times New Roman"/>
          <w:i/>
          <w:noProof w:val="0"/>
          <w:sz w:val="24"/>
          <w:szCs w:val="24"/>
          <w:lang w:eastAsia="hr-HR"/>
        </w:rPr>
        <w:t>(Supreme Allied Commander Europe – SACEUR)</w:t>
      </w:r>
      <w:r w:rsidR="000925B0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u svrhu provedbe dodijeljene zadaće zatražio </w:t>
      </w:r>
      <w:r w:rsidR="000925B0">
        <w:rPr>
          <w:rFonts w:ascii="Times New Roman" w:hAnsi="Times New Roman"/>
          <w:noProof w:val="0"/>
          <w:sz w:val="24"/>
          <w:szCs w:val="24"/>
          <w:lang w:eastAsia="hr-HR"/>
        </w:rPr>
        <w:t xml:space="preserve">je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 xml:space="preserve">od savezničkih država da pridonesu aktivnosti privremenog zbrinjavanja sa specijalističkim zdravstvenim timovima kako bi se evakuiranim osobama pružila zdravstvena skrb. </w:t>
      </w:r>
    </w:p>
    <w:p w14:paraId="61D4FA5F" w14:textId="2EB34A90" w:rsidR="00B949F2" w:rsidRDefault="00765251" w:rsidP="00863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>
        <w:rPr>
          <w:rFonts w:ascii="Times New Roman" w:hAnsi="Times New Roman"/>
          <w:noProof w:val="0"/>
          <w:sz w:val="24"/>
          <w:szCs w:val="24"/>
          <w:lang w:eastAsia="hr-HR"/>
        </w:rPr>
        <w:lastRenderedPageBreak/>
        <w:t>Ministarstvo obrane Republike Hrvatske</w:t>
      </w:r>
      <w:r w:rsidR="00A17E79">
        <w:rPr>
          <w:rFonts w:ascii="Times New Roman" w:hAnsi="Times New Roman"/>
          <w:noProof w:val="0"/>
          <w:sz w:val="24"/>
          <w:szCs w:val="24"/>
          <w:lang w:eastAsia="hr-HR"/>
        </w:rPr>
        <w:t xml:space="preserve"> koje uključuje i Glavni stožer Oružanih snaga Republike Hrvatske </w:t>
      </w:r>
      <w:r>
        <w:rPr>
          <w:rFonts w:ascii="Times New Roman" w:hAnsi="Times New Roman"/>
          <w:noProof w:val="0"/>
          <w:sz w:val="24"/>
          <w:szCs w:val="24"/>
          <w:lang w:eastAsia="hr-HR"/>
        </w:rPr>
        <w:t>provelo je</w:t>
      </w:r>
      <w:r w:rsidR="00B949F2" w:rsidRPr="00B949F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A17E79">
        <w:rPr>
          <w:rFonts w:ascii="Times New Roman" w:hAnsi="Times New Roman"/>
          <w:noProof w:val="0"/>
          <w:sz w:val="24"/>
          <w:szCs w:val="24"/>
          <w:lang w:eastAsia="hr-HR"/>
        </w:rPr>
        <w:t>raščlambu mogućnosti</w:t>
      </w:r>
      <w:r w:rsidR="00B949F2" w:rsidRPr="00B949F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A17E79">
        <w:rPr>
          <w:rFonts w:ascii="Times New Roman" w:hAnsi="Times New Roman"/>
          <w:noProof w:val="0"/>
          <w:sz w:val="24"/>
          <w:szCs w:val="24"/>
          <w:lang w:eastAsia="hr-HR"/>
        </w:rPr>
        <w:t>te je predložilo angažman zdravstvenog osoblja</w:t>
      </w:r>
      <w:r w:rsidR="00286741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>u Republici Kosov</w:t>
      </w:r>
      <w:r w:rsidR="00AA5776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B949F2" w:rsidRPr="00B949F2">
        <w:rPr>
          <w:rFonts w:ascii="Times New Roman" w:hAnsi="Times New Roman"/>
          <w:noProof w:val="0"/>
          <w:sz w:val="24"/>
          <w:szCs w:val="24"/>
          <w:lang w:eastAsia="hr-HR"/>
        </w:rPr>
        <w:t>.</w:t>
      </w:r>
    </w:p>
    <w:p w14:paraId="4295F2EA" w14:textId="17EE30E1" w:rsidR="006019AE" w:rsidRPr="00AD6752" w:rsidRDefault="006019AE" w:rsidP="006019AE">
      <w:pPr>
        <w:suppressAutoHyphens/>
        <w:spacing w:after="0"/>
        <w:ind w:firstLine="709"/>
        <w:jc w:val="both"/>
        <w:rPr>
          <w:rFonts w:ascii="Times New Roman" w:hAnsi="Times New Roman"/>
          <w:noProof w:val="0"/>
          <w:color w:val="FF0000"/>
          <w:sz w:val="24"/>
          <w:szCs w:val="24"/>
          <w:lang w:eastAsia="hr-HR"/>
        </w:rPr>
      </w:pPr>
      <w:r w:rsidRPr="003E46FD">
        <w:rPr>
          <w:rFonts w:ascii="Times New Roman" w:hAnsi="Times New Roman"/>
          <w:noProof w:val="0"/>
          <w:sz w:val="24"/>
          <w:szCs w:val="24"/>
          <w:lang w:eastAsia="hr-HR"/>
        </w:rPr>
        <w:t xml:space="preserve">Republika Hrvatska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 xml:space="preserve">će </w:t>
      </w:r>
      <w:r w:rsidRPr="003E46FD">
        <w:rPr>
          <w:rFonts w:ascii="Times New Roman" w:hAnsi="Times New Roman"/>
          <w:noProof w:val="0"/>
          <w:sz w:val="24"/>
          <w:szCs w:val="24"/>
          <w:lang w:eastAsia="hr-HR"/>
        </w:rPr>
        <w:t>sudjelovanjem u</w:t>
      </w:r>
      <w:r w:rsidR="00F04F76">
        <w:rPr>
          <w:rFonts w:ascii="Times New Roman" w:hAnsi="Times New Roman"/>
          <w:noProof w:val="0"/>
          <w:sz w:val="24"/>
          <w:szCs w:val="24"/>
          <w:lang w:eastAsia="hr-HR"/>
        </w:rPr>
        <w:t xml:space="preserve"> ovoj</w:t>
      </w:r>
      <w:r w:rsidRPr="003E46FD">
        <w:rPr>
          <w:rFonts w:ascii="Times New Roman" w:hAnsi="Times New Roman"/>
          <w:noProof w:val="0"/>
          <w:sz w:val="24"/>
          <w:szCs w:val="24"/>
          <w:lang w:eastAsia="hr-HR"/>
        </w:rPr>
        <w:t xml:space="preserve"> operaciji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>doprinijeti</w:t>
      </w:r>
      <w:r w:rsidRPr="003E46FD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A17E79">
        <w:rPr>
          <w:rFonts w:ascii="Times New Roman" w:hAnsi="Times New Roman"/>
          <w:noProof w:val="0"/>
          <w:sz w:val="24"/>
          <w:szCs w:val="24"/>
          <w:lang w:eastAsia="hr-HR"/>
        </w:rPr>
        <w:t>osiguranju životnih uvjeta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 xml:space="preserve"> za</w:t>
      </w:r>
      <w:r w:rsidR="00EA6E3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 xml:space="preserve">evakuirane </w:t>
      </w:r>
      <w:r w:rsidR="00A17E79">
        <w:rPr>
          <w:rFonts w:ascii="Times New Roman" w:hAnsi="Times New Roman"/>
          <w:noProof w:val="0"/>
          <w:sz w:val="24"/>
          <w:szCs w:val="24"/>
          <w:lang w:eastAsia="hr-HR"/>
        </w:rPr>
        <w:t>osobe</w:t>
      </w:r>
      <w:r w:rsidR="00EA6E32">
        <w:rPr>
          <w:rFonts w:ascii="Times New Roman" w:hAnsi="Times New Roman"/>
          <w:noProof w:val="0"/>
          <w:sz w:val="24"/>
          <w:szCs w:val="24"/>
          <w:lang w:eastAsia="hr-HR"/>
        </w:rPr>
        <w:t xml:space="preserve"> u „Kampu Bechtel“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EA6E3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>Republici Kosov</w:t>
      </w:r>
      <w:r w:rsidR="00AA5776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264A4E">
        <w:rPr>
          <w:rFonts w:ascii="Times New Roman" w:hAnsi="Times New Roman"/>
          <w:noProof w:val="0"/>
          <w:sz w:val="24"/>
          <w:szCs w:val="24"/>
          <w:lang w:eastAsia="hr-HR"/>
        </w:rPr>
        <w:t>, kao i ukupnim savezničkim naporima u ovoj operaciji.</w:t>
      </w:r>
    </w:p>
    <w:p w14:paraId="0D94E423" w14:textId="366EA1A3" w:rsidR="006019AE" w:rsidRPr="00934029" w:rsidRDefault="006019AE" w:rsidP="006019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 w:val="0"/>
          <w:sz w:val="24"/>
          <w:szCs w:val="24"/>
          <w:lang w:eastAsia="hr-HR"/>
        </w:rPr>
      </w:pP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>Slijedom navedenoga predlaže se sudjelovanje</w:t>
      </w:r>
      <w:r w:rsidR="000B2667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5464E6">
        <w:rPr>
          <w:rFonts w:ascii="Times New Roman" w:hAnsi="Times New Roman"/>
          <w:noProof w:val="0"/>
          <w:sz w:val="24"/>
          <w:szCs w:val="24"/>
          <w:lang w:eastAsia="hr-HR"/>
        </w:rPr>
        <w:t xml:space="preserve">pripadnika </w:t>
      </w: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Oružanih </w:t>
      </w:r>
      <w:r w:rsidR="006530CA" w:rsidRPr="00934029">
        <w:rPr>
          <w:rFonts w:ascii="Times New Roman" w:hAnsi="Times New Roman"/>
          <w:noProof w:val="0"/>
          <w:sz w:val="24"/>
          <w:szCs w:val="24"/>
          <w:lang w:eastAsia="hr-HR"/>
        </w:rPr>
        <w:t>snag</w:t>
      </w:r>
      <w:r w:rsidR="006530CA">
        <w:rPr>
          <w:rFonts w:ascii="Times New Roman" w:hAnsi="Times New Roman"/>
          <w:noProof w:val="0"/>
          <w:sz w:val="24"/>
          <w:szCs w:val="24"/>
          <w:lang w:eastAsia="hr-HR"/>
        </w:rPr>
        <w:t>a</w:t>
      </w:r>
      <w:r w:rsidR="006530CA"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Republike Hrvatske u </w:t>
      </w:r>
      <w:r w:rsidR="00863692" w:rsidRPr="00863692">
        <w:rPr>
          <w:rFonts w:ascii="Times New Roman" w:hAnsi="Times New Roman"/>
          <w:noProof w:val="0"/>
          <w:sz w:val="24"/>
          <w:szCs w:val="24"/>
          <w:lang w:eastAsia="hr-HR"/>
        </w:rPr>
        <w:t xml:space="preserve">operaciji </w:t>
      </w:r>
      <w:r w:rsidR="001B0616" w:rsidRPr="00863692">
        <w:rPr>
          <w:rFonts w:ascii="Times New Roman" w:hAnsi="Times New Roman"/>
          <w:noProof w:val="0"/>
          <w:sz w:val="24"/>
          <w:szCs w:val="24"/>
          <w:lang w:eastAsia="hr-HR"/>
        </w:rPr>
        <w:t>NATO</w:t>
      </w:r>
      <w:r w:rsidR="001B0616">
        <w:rPr>
          <w:rFonts w:ascii="Times New Roman" w:hAnsi="Times New Roman"/>
          <w:noProof w:val="0"/>
          <w:sz w:val="24"/>
          <w:szCs w:val="24"/>
          <w:lang w:eastAsia="hr-HR"/>
        </w:rPr>
        <w:t>-a „Allied Solace“ u Republici Kosov</w:t>
      </w:r>
      <w:r w:rsidR="00AA5776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1B0616" w:rsidRPr="0086369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5464E6">
        <w:rPr>
          <w:rFonts w:ascii="Times New Roman" w:hAnsi="Times New Roman"/>
          <w:noProof w:val="0"/>
          <w:sz w:val="24"/>
          <w:szCs w:val="24"/>
          <w:lang w:eastAsia="hr-HR"/>
        </w:rPr>
        <w:t>s</w:t>
      </w: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 do tri pripadnika, koji mogu biti razmješteni </w:t>
      </w:r>
      <w:r w:rsidR="001B0616">
        <w:rPr>
          <w:rFonts w:ascii="Times New Roman" w:hAnsi="Times New Roman"/>
          <w:noProof w:val="0"/>
          <w:sz w:val="24"/>
          <w:szCs w:val="24"/>
          <w:lang w:eastAsia="hr-HR"/>
        </w:rPr>
        <w:t>u Republici Kosov</w:t>
      </w:r>
      <w:r w:rsidR="00AA5776">
        <w:rPr>
          <w:rFonts w:ascii="Times New Roman" w:hAnsi="Times New Roman"/>
          <w:noProof w:val="0"/>
          <w:sz w:val="24"/>
          <w:szCs w:val="24"/>
          <w:lang w:eastAsia="hr-HR"/>
        </w:rPr>
        <w:t>u</w:t>
      </w:r>
      <w:r w:rsidR="001B0616">
        <w:rPr>
          <w:rFonts w:ascii="Times New Roman" w:hAnsi="Times New Roman"/>
          <w:noProof w:val="0"/>
          <w:sz w:val="24"/>
          <w:szCs w:val="24"/>
          <w:lang w:eastAsia="hr-HR"/>
        </w:rPr>
        <w:t xml:space="preserve"> tijekom </w:t>
      </w:r>
      <w:r w:rsidR="00863692">
        <w:rPr>
          <w:rFonts w:ascii="Times New Roman" w:hAnsi="Times New Roman"/>
          <w:noProof w:val="0"/>
          <w:sz w:val="24"/>
          <w:szCs w:val="24"/>
          <w:lang w:eastAsia="hr-HR"/>
        </w:rPr>
        <w:t xml:space="preserve"> </w:t>
      </w:r>
      <w:r w:rsidR="00934029" w:rsidRPr="00934029">
        <w:rPr>
          <w:rFonts w:ascii="Times New Roman" w:hAnsi="Times New Roman"/>
          <w:noProof w:val="0"/>
          <w:sz w:val="24"/>
          <w:szCs w:val="24"/>
          <w:lang w:eastAsia="hr-HR"/>
        </w:rPr>
        <w:t>202</w:t>
      </w:r>
      <w:r w:rsidR="00863692">
        <w:rPr>
          <w:rFonts w:ascii="Times New Roman" w:hAnsi="Times New Roman"/>
          <w:noProof w:val="0"/>
          <w:sz w:val="24"/>
          <w:szCs w:val="24"/>
          <w:lang w:eastAsia="hr-HR"/>
        </w:rPr>
        <w:t>1</w:t>
      </w:r>
      <w:r w:rsidR="00934029" w:rsidRPr="00934029">
        <w:rPr>
          <w:rFonts w:ascii="Times New Roman" w:hAnsi="Times New Roman"/>
          <w:noProof w:val="0"/>
          <w:sz w:val="24"/>
          <w:szCs w:val="24"/>
          <w:lang w:eastAsia="hr-HR"/>
        </w:rPr>
        <w:t>.</w:t>
      </w:r>
      <w:r w:rsidR="006530CA">
        <w:rPr>
          <w:rFonts w:ascii="Times New Roman" w:hAnsi="Times New Roman"/>
          <w:noProof w:val="0"/>
          <w:sz w:val="24"/>
          <w:szCs w:val="24"/>
          <w:lang w:eastAsia="hr-HR"/>
        </w:rPr>
        <w:t xml:space="preserve"> i</w:t>
      </w:r>
      <w:r w:rsidR="00934029"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 202</w:t>
      </w:r>
      <w:r w:rsidR="00863692">
        <w:rPr>
          <w:rFonts w:ascii="Times New Roman" w:hAnsi="Times New Roman"/>
          <w:noProof w:val="0"/>
          <w:sz w:val="24"/>
          <w:szCs w:val="24"/>
          <w:lang w:eastAsia="hr-HR"/>
        </w:rPr>
        <w:t>2</w:t>
      </w: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. godine, </w:t>
      </w:r>
      <w:r w:rsidR="005464E6">
        <w:rPr>
          <w:rFonts w:ascii="Times New Roman" w:hAnsi="Times New Roman"/>
          <w:noProof w:val="0"/>
          <w:sz w:val="24"/>
          <w:szCs w:val="24"/>
          <w:lang w:eastAsia="hr-HR"/>
        </w:rPr>
        <w:t xml:space="preserve">do </w:t>
      </w:r>
      <w:r w:rsidR="00286741">
        <w:rPr>
          <w:rFonts w:ascii="Times New Roman" w:hAnsi="Times New Roman"/>
          <w:noProof w:val="0"/>
          <w:sz w:val="24"/>
          <w:szCs w:val="24"/>
          <w:lang w:eastAsia="hr-HR"/>
        </w:rPr>
        <w:t>šest mjeseci</w:t>
      </w:r>
      <w:r w:rsidRPr="00934029">
        <w:rPr>
          <w:rFonts w:ascii="Times New Roman" w:hAnsi="Times New Roman"/>
          <w:noProof w:val="0"/>
          <w:sz w:val="24"/>
          <w:szCs w:val="24"/>
          <w:lang w:eastAsia="hr-HR"/>
        </w:rPr>
        <w:t xml:space="preserve">. </w:t>
      </w:r>
    </w:p>
    <w:p w14:paraId="2400C020" w14:textId="77777777" w:rsidR="006019AE" w:rsidRPr="00A074B4" w:rsidRDefault="006019AE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BD741F3" w14:textId="77777777" w:rsidR="00E0598C" w:rsidRPr="00A074B4" w:rsidRDefault="00E0598C" w:rsidP="00E059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IV.</w:t>
      </w:r>
      <w:r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ab/>
        <w:t>POTREBNA FINANCIJSKA SREDSTVA</w:t>
      </w:r>
    </w:p>
    <w:p w14:paraId="1C09D535" w14:textId="77777777" w:rsidR="00E0598C" w:rsidRPr="00A074B4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40450222" w14:textId="77777777" w:rsidR="00090787" w:rsidRPr="00090787" w:rsidRDefault="00090787" w:rsidP="005464E6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9078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Financijska sredstva za provedbu ove Odluke osigurana su u državnom proračunu Republike Hrvatske za 202</w:t>
      </w:r>
      <w:r w:rsidR="0086369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</w:t>
      </w:r>
      <w:r w:rsidRPr="0009078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i 202</w:t>
      </w:r>
      <w:r w:rsidR="0086369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2</w:t>
      </w:r>
      <w:r w:rsidRPr="0009078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na razdjelu Ministarstva obrane u skladu s predviđenim projekcijama financijskoga plana Ministarstva obrane za 2022. i 2023. godinu. </w:t>
      </w:r>
    </w:p>
    <w:p w14:paraId="326FAED0" w14:textId="77777777" w:rsidR="00E0598C" w:rsidRPr="00A074B4" w:rsidRDefault="00090787" w:rsidP="00090787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09078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 </w:t>
      </w:r>
      <w:r w:rsidR="00264A4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</w:t>
      </w:r>
      <w:r w:rsidR="0055125A"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br w:type="page"/>
      </w:r>
    </w:p>
    <w:p w14:paraId="019240F3" w14:textId="77777777" w:rsidR="00536523" w:rsidRPr="002266A2" w:rsidRDefault="00536523" w:rsidP="005365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62D26685" w14:textId="77777777" w:rsidR="00E0598C" w:rsidRPr="005464E6" w:rsidRDefault="00E0598C" w:rsidP="005464E6">
      <w:pPr>
        <w:autoSpaceDE w:val="0"/>
        <w:autoSpaceDN w:val="0"/>
        <w:adjustRightInd w:val="0"/>
        <w:spacing w:after="0"/>
        <w:ind w:firstLine="708"/>
        <w:jc w:val="both"/>
      </w:pP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 temelju članka 54. stavka 2. Zakona o obrani (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„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Narodne novine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“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br. 73/13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75/15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E22E4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27/16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5464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110/17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352461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5464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–</w:t>
      </w:r>
      <w:r w:rsidR="0070525C" w:rsidRPr="0070525C">
        <w:t xml:space="preserve"> </w:t>
      </w:r>
      <w:r w:rsidR="0070525C">
        <w:t xml:space="preserve"> </w:t>
      </w:r>
      <w:r w:rsidR="0070525C" w:rsidRPr="0070525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Odluka Ustavnog</w:t>
      </w:r>
      <w:r w:rsidR="005464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suda Republike Hrvatske, 30/18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5464E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 70/19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352461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),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na prijedlog Vlade Republike Hrvatske i uz prethodnu suglasnost Predsjedni</w:t>
      </w:r>
      <w:r w:rsidR="005175C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Republike Hrvatske, Hrvatski sabor na sjednici ______</w:t>
      </w:r>
      <w:r w:rsidR="008C2FB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________</w:t>
      </w:r>
      <w:r w:rsidR="00F97DC8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donio je</w:t>
      </w:r>
    </w:p>
    <w:p w14:paraId="3CB3D7A8" w14:textId="77777777" w:rsidR="00E0598C" w:rsidRPr="00A074B4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5A651714" w14:textId="77777777" w:rsidR="00E0598C" w:rsidRPr="00A074B4" w:rsidRDefault="00E0598C" w:rsidP="00E0598C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</w:pPr>
      <w:r w:rsidRPr="00A07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O D L U K U</w:t>
      </w:r>
    </w:p>
    <w:p w14:paraId="73334C4E" w14:textId="5A024CE2" w:rsidR="00536523" w:rsidRDefault="003642D5" w:rsidP="005365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A07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 O </w:t>
      </w:r>
      <w:r w:rsidR="00E0598C" w:rsidRPr="00A074B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SUDJELOVANJU </w:t>
      </w:r>
      <w:r w:rsidR="005464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PRIPADNIKA </w:t>
      </w:r>
      <w:r w:rsidR="0053652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ORUŽANIH SNAGA REPUBLIKE HRVATSKE U OPERACIJI NATO-a „ALLIED SOLACE“ U REPUBLICI KOSOV</w:t>
      </w:r>
      <w:r w:rsidR="00AA57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U</w:t>
      </w:r>
    </w:p>
    <w:p w14:paraId="120337B6" w14:textId="77777777" w:rsidR="00E0598C" w:rsidRPr="00A074B4" w:rsidRDefault="00E0598C" w:rsidP="00E0598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I.</w:t>
      </w:r>
    </w:p>
    <w:p w14:paraId="207CFFD6" w14:textId="0A6EFE3B" w:rsidR="00E0598C" w:rsidRPr="002A5E71" w:rsidRDefault="00E0598C" w:rsidP="00E0598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</w:pP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ab/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U operaciju</w:t>
      </w:r>
      <w:r w:rsidR="005271E0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 xml:space="preserve"> NATO-a „Allied Solace“ u Republici Kosov</w:t>
      </w:r>
      <w:r w:rsidR="00AA5776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u</w:t>
      </w:r>
      <w:r w:rsidR="003D5496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 xml:space="preserve"> </w:t>
      </w:r>
      <w:r w:rsidR="002A5E71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upućuju se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 xml:space="preserve"> </w:t>
      </w:r>
      <w:r w:rsidRPr="002A5E71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do tri pripadnika Or</w:t>
      </w:r>
      <w:r w:rsidR="005271E0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užanih snaga Republike Hrvatske</w:t>
      </w:r>
      <w:r w:rsidR="00F04F76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 xml:space="preserve"> u 2021. i 2022. </w:t>
      </w:r>
      <w:r w:rsidR="00F2079E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g</w:t>
      </w:r>
      <w:r w:rsidR="00F04F76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odini</w:t>
      </w:r>
      <w:r w:rsidR="000925B0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>,</w:t>
      </w:r>
      <w:r w:rsidRPr="002A5E71">
        <w:rPr>
          <w:rFonts w:ascii="Times New Roman" w:eastAsia="MS Mincho" w:hAnsi="Times New Roman" w:cs="Times New Roman"/>
          <w:noProof w:val="0"/>
          <w:sz w:val="24"/>
          <w:szCs w:val="24"/>
          <w:lang w:eastAsia="ja-JP" w:bidi="ta-IN"/>
        </w:rPr>
        <w:t xml:space="preserve"> uz mogućnost rotacije. </w:t>
      </w:r>
    </w:p>
    <w:p w14:paraId="766F697D" w14:textId="77777777" w:rsidR="00E0598C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 w:bidi="ta-IN"/>
        </w:rPr>
      </w:pPr>
      <w:r w:rsidRPr="005C40D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 w:bidi="ta-IN"/>
        </w:rPr>
        <w:t>II.</w:t>
      </w:r>
    </w:p>
    <w:p w14:paraId="2B2EDBD2" w14:textId="77777777" w:rsidR="000925B0" w:rsidRPr="005C40D7" w:rsidRDefault="000925B0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 w:bidi="ta-IN"/>
        </w:rPr>
      </w:pPr>
    </w:p>
    <w:p w14:paraId="3FB3C10F" w14:textId="77777777" w:rsidR="00E0598C" w:rsidRPr="005C40D7" w:rsidRDefault="00863692" w:rsidP="006145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 w:bidi="ta-IN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</w:t>
      </w:r>
      <w:r w:rsidR="009F3517" w:rsidRPr="005C40D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Izvješće o sudjelovanju pripadnika Oružanih snaga Republike Hrvatske u </w:t>
      </w:r>
      <w:r w:rsidR="003D54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NATO </w:t>
      </w:r>
      <w:r w:rsidR="00E22E4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operaciji </w:t>
      </w:r>
      <w:r w:rsidR="009F3517" w:rsidRPr="005C40D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 točke I. ove Odluke bit će dio Godišnjeg izvješća o obrani koje Vlada Republike Hrvatske podnosi Hrvatskome saboru.</w:t>
      </w:r>
    </w:p>
    <w:p w14:paraId="6E023802" w14:textId="77777777" w:rsidR="00B40F66" w:rsidRPr="005C40D7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5C40D7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ab/>
      </w:r>
    </w:p>
    <w:p w14:paraId="662BA394" w14:textId="77777777" w:rsidR="00E0598C" w:rsidRPr="002A5E71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2A5E7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III.</w:t>
      </w:r>
    </w:p>
    <w:p w14:paraId="332F5289" w14:textId="77777777" w:rsidR="00E0598C" w:rsidRPr="00A074B4" w:rsidRDefault="00E0598C" w:rsidP="00E059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397E2F95" w14:textId="77777777" w:rsidR="00E0598C" w:rsidRPr="00A074B4" w:rsidRDefault="00E0598C" w:rsidP="0076042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</w:pP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      </w:t>
      </w:r>
      <w:r w:rsidR="00F97DC8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>Ova Odluka stupa na snagu osmoga</w:t>
      </w:r>
      <w:r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 xml:space="preserve"> dana od dana objave u 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>„</w:t>
      </w:r>
      <w:r w:rsidR="00F97DC8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>Narodnim novinama</w:t>
      </w:r>
      <w:r w:rsidR="00760421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>“</w:t>
      </w:r>
      <w:r w:rsidR="00F97DC8" w:rsidRPr="00A074B4"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  <w:t>.</w:t>
      </w:r>
    </w:p>
    <w:p w14:paraId="38F42A7D" w14:textId="77777777" w:rsidR="00E0598C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 w:bidi="ta-IN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2761"/>
        <w:gridCol w:w="236"/>
        <w:gridCol w:w="2179"/>
        <w:gridCol w:w="2150"/>
        <w:gridCol w:w="1287"/>
      </w:tblGrid>
      <w:tr w:rsidR="008C2FB6" w:rsidRPr="005E75B8" w14:paraId="3FEBD2AB" w14:textId="77777777" w:rsidTr="008C2FB6">
        <w:tc>
          <w:tcPr>
            <w:tcW w:w="567" w:type="dxa"/>
            <w:shd w:val="clear" w:color="auto" w:fill="auto"/>
          </w:tcPr>
          <w:p w14:paraId="0A0EE291" w14:textId="77777777" w:rsidR="008C2FB6" w:rsidRPr="005E75B8" w:rsidRDefault="008C2FB6" w:rsidP="00D41CF1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78169064" w14:textId="77777777" w:rsidR="008C2FB6" w:rsidRPr="005E75B8" w:rsidDel="00EE4DAE" w:rsidRDefault="008C2FB6" w:rsidP="005C644D">
            <w:pPr>
              <w:pStyle w:val="NormalWeb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14:paraId="14AE439E" w14:textId="77777777" w:rsidR="008C2FB6" w:rsidRPr="005E75B8" w:rsidDel="00EE4DAE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437" w:type="dxa"/>
            <w:gridSpan w:val="2"/>
            <w:shd w:val="clear" w:color="auto" w:fill="auto"/>
          </w:tcPr>
          <w:p w14:paraId="7C64BE77" w14:textId="77777777" w:rsidR="008C2FB6" w:rsidRPr="005E75B8" w:rsidDel="00EE4DAE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C2FB6" w:rsidRPr="005E75B8" w14:paraId="41A24F8D" w14:textId="77777777" w:rsidTr="008C2FB6">
        <w:tc>
          <w:tcPr>
            <w:tcW w:w="9180" w:type="dxa"/>
            <w:gridSpan w:val="6"/>
            <w:shd w:val="clear" w:color="auto" w:fill="auto"/>
          </w:tcPr>
          <w:p w14:paraId="54FDB247" w14:textId="77777777" w:rsidR="005464E6" w:rsidRDefault="005464E6" w:rsidP="005464E6">
            <w:pPr>
              <w:pStyle w:val="NormalWeb"/>
              <w:spacing w:after="120"/>
              <w:rPr>
                <w:color w:val="000000"/>
              </w:rPr>
            </w:pPr>
          </w:p>
          <w:p w14:paraId="23AD2490" w14:textId="77777777" w:rsidR="008C2FB6" w:rsidRDefault="008C2FB6" w:rsidP="00D41CF1">
            <w:pPr>
              <w:pStyle w:val="NormalWeb"/>
              <w:spacing w:after="120"/>
              <w:jc w:val="center"/>
              <w:rPr>
                <w:color w:val="000000"/>
              </w:rPr>
            </w:pPr>
            <w:r w:rsidRPr="005E75B8">
              <w:rPr>
                <w:color w:val="000000"/>
              </w:rPr>
              <w:t>HRVATSKI SABOR</w:t>
            </w:r>
          </w:p>
          <w:p w14:paraId="446068D3" w14:textId="77777777" w:rsidR="005464E6" w:rsidRPr="005E75B8" w:rsidRDefault="005464E6" w:rsidP="00D41CF1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</w:tc>
      </w:tr>
      <w:tr w:rsidR="008C2FB6" w:rsidRPr="005E75B8" w14:paraId="6A43D0D8" w14:textId="77777777" w:rsidTr="008C2FB6">
        <w:tc>
          <w:tcPr>
            <w:tcW w:w="567" w:type="dxa"/>
            <w:shd w:val="clear" w:color="auto" w:fill="auto"/>
          </w:tcPr>
          <w:p w14:paraId="0AD2B974" w14:textId="77777777" w:rsidR="008C2FB6" w:rsidRPr="005E75B8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761" w:type="dxa"/>
            <w:shd w:val="clear" w:color="auto" w:fill="auto"/>
          </w:tcPr>
          <w:p w14:paraId="512159D3" w14:textId="77777777" w:rsidR="008C2FB6" w:rsidRPr="005E75B8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077FE6D2" w14:textId="77777777" w:rsidR="008C2FB6" w:rsidRPr="005E75B8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5616" w:type="dxa"/>
            <w:gridSpan w:val="3"/>
            <w:shd w:val="clear" w:color="auto" w:fill="auto"/>
          </w:tcPr>
          <w:p w14:paraId="50C6C0BC" w14:textId="77777777" w:rsidR="008C2FB6" w:rsidRPr="005E75B8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5B8">
              <w:rPr>
                <w:color w:val="000000"/>
              </w:rPr>
              <w:t xml:space="preserve">Predsjednik </w:t>
            </w:r>
          </w:p>
          <w:p w14:paraId="73DCB9D8" w14:textId="77777777" w:rsidR="008C2FB6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75B8">
              <w:rPr>
                <w:color w:val="000000"/>
              </w:rPr>
              <w:t xml:space="preserve">Hrvatskoga sabora </w:t>
            </w:r>
          </w:p>
          <w:p w14:paraId="75D29398" w14:textId="77777777" w:rsidR="000925B0" w:rsidRPr="005E75B8" w:rsidRDefault="000925B0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A751F70" w14:textId="77777777" w:rsidR="008C2FB6" w:rsidRPr="000925B0" w:rsidRDefault="008C2FB6" w:rsidP="00D41CF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0925B0">
              <w:rPr>
                <w:color w:val="000000"/>
              </w:rPr>
              <w:t>Gordan Jandroković</w:t>
            </w:r>
            <w:r w:rsidRPr="000925B0">
              <w:rPr>
                <w:color w:val="000000"/>
              </w:rPr>
              <w:br/>
            </w:r>
          </w:p>
        </w:tc>
      </w:tr>
      <w:tr w:rsidR="008C2FB6" w:rsidRPr="005E75B8" w14:paraId="57B5F7CC" w14:textId="77777777" w:rsidTr="008C2FB6">
        <w:trPr>
          <w:gridAfter w:val="1"/>
          <w:wAfter w:w="1287" w:type="dxa"/>
        </w:trPr>
        <w:tc>
          <w:tcPr>
            <w:tcW w:w="7893" w:type="dxa"/>
            <w:gridSpan w:val="5"/>
            <w:shd w:val="clear" w:color="auto" w:fill="auto"/>
          </w:tcPr>
          <w:p w14:paraId="46AFE169" w14:textId="77777777" w:rsidR="000925B0" w:rsidRDefault="005464E6" w:rsidP="00092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Klasa:</w:t>
            </w:r>
          </w:p>
          <w:p w14:paraId="6467450C" w14:textId="77777777" w:rsidR="00B13A89" w:rsidRPr="000925B0" w:rsidRDefault="005464E6" w:rsidP="00092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Zagreb,</w:t>
            </w:r>
          </w:p>
          <w:p w14:paraId="68D0B745" w14:textId="77777777" w:rsidR="00286741" w:rsidRDefault="00286741" w:rsidP="00D41CF1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  <w:p w14:paraId="2A13D112" w14:textId="77777777" w:rsidR="005464E6" w:rsidRDefault="005464E6" w:rsidP="00D41CF1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  <w:p w14:paraId="554874CE" w14:textId="77777777" w:rsidR="00B13A89" w:rsidRPr="005E75B8" w:rsidRDefault="00B13A89" w:rsidP="00D41CF1">
            <w:pPr>
              <w:pStyle w:val="NormalWeb"/>
              <w:spacing w:after="120"/>
              <w:jc w:val="center"/>
              <w:rPr>
                <w:b/>
                <w:color w:val="000000"/>
              </w:rPr>
            </w:pPr>
          </w:p>
        </w:tc>
      </w:tr>
    </w:tbl>
    <w:p w14:paraId="7AF03BB3" w14:textId="77777777" w:rsidR="00E0598C" w:rsidRPr="00A074B4" w:rsidRDefault="00E0598C" w:rsidP="00A574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>O B R A Z L O Ž E N</w:t>
      </w:r>
      <w:r w:rsidR="00CB72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 xml:space="preserve"> </w:t>
      </w:r>
      <w:r w:rsidRPr="00A074B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J E</w:t>
      </w:r>
    </w:p>
    <w:p w14:paraId="6D2F4620" w14:textId="30598C00" w:rsidR="00E0598C" w:rsidRPr="00A074B4" w:rsidRDefault="00E0598C" w:rsidP="000925B0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</w:pPr>
      <w:r w:rsidRPr="00A074B4">
        <w:rPr>
          <w:rFonts w:ascii="Times New Roman" w:eastAsia="MS Mincho" w:hAnsi="Times New Roman" w:cs="Times New Roman"/>
          <w:b/>
          <w:bCs/>
          <w:noProof w:val="0"/>
          <w:sz w:val="24"/>
          <w:szCs w:val="24"/>
          <w:lang w:eastAsia="ja-JP"/>
        </w:rPr>
        <w:t>Točkom I.</w:t>
      </w:r>
      <w:r w:rsidR="00760421">
        <w:rPr>
          <w:rFonts w:ascii="Times New Roman" w:eastAsia="MS Mincho" w:hAnsi="Times New Roman" w:cs="Times New Roman"/>
          <w:b/>
          <w:bCs/>
          <w:noProof w:val="0"/>
          <w:sz w:val="24"/>
          <w:szCs w:val="24"/>
          <w:lang w:eastAsia="ja-JP"/>
        </w:rPr>
        <w:t xml:space="preserve"> </w:t>
      </w:r>
      <w:r w:rsidRPr="00A074B4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>o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dređuje se da Hrvatski sabor donosi </w:t>
      </w:r>
      <w:r w:rsidR="00E22E4B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Odluku 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o 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sudjelovanju 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pripadnika 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Oružanih snaga Republike H</w:t>
      </w:r>
      <w:r w:rsidR="00536523" w:rsidRP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rvatske u operaciji 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NATO-a „Allied Solace“ u Republici K</w:t>
      </w:r>
      <w:r w:rsidR="00536523" w:rsidRP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osov</w:t>
      </w:r>
      <w:r w:rsidR="00AA577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u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="00536523" w:rsidRPr="00863692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Pravni temelj za donošenje Odluke Hrvatskoga sabora je članak 7. stavak 5. Ustava Republike Hrvatske (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„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Narodne novine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“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, br. 85/10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– pročišćeni tekst i 5/14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– Odluka Ustavnog suda Republike Hrvatske) koji propisuje da Oružane snage Republike Hrvatske mogu prijeći njezine granice ili djelovati preko njezinih granica na temelju Odluke H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rvatskoga sabora, koju predlaže 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Vlada Republike Hrvatske, uz prethodnu suglasnost </w:t>
      </w:r>
      <w:r w:rsidR="006530CA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Predsjedni</w:t>
      </w:r>
      <w:r w:rsidR="006530CA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ka</w:t>
      </w:r>
      <w:r w:rsidR="006530CA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Republike Hrvatske. Zakon o obrani (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„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Narodne novine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“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, br. 73/13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, 75/15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="00456D06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, 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27/16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="00CA7CD8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, 110/17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="00456D06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–</w:t>
      </w:r>
      <w:r w:rsidR="00456D06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</w:t>
      </w:r>
      <w:r w:rsidR="00EF3A93" w:rsidRPr="00EF3A9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Odluka Ustavnog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suda Republike Hrvatske, 30/18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i 70/19</w:t>
      </w:r>
      <w:r w:rsidR="00760421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) u članku 54. stavku 2. na istovjetan način uređuje ovo područje. 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U </w:t>
      </w:r>
      <w:r w:rsidR="00863692" w:rsidRP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operacij</w:t>
      </w:r>
      <w:r w:rsid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u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NATO-a</w:t>
      </w:r>
      <w:r w:rsidR="00863692" w:rsidRP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</w:t>
      </w:r>
      <w:r w:rsid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„Allied Solace“ u Republici K</w:t>
      </w:r>
      <w:r w:rsidR="00536523" w:rsidRPr="00536523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osov</w:t>
      </w:r>
      <w:r w:rsidR="00AA5776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u</w:t>
      </w:r>
      <w:r w:rsidR="00863692" w:rsidRP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</w:t>
      </w:r>
      <w:r w:rsidR="002A5E71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upućuju se</w:t>
      </w:r>
      <w:r w:rsidR="00323F2B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u 202</w:t>
      </w:r>
      <w:r w:rsid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1</w:t>
      </w:r>
      <w:r w:rsidR="00D3211B"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.</w:t>
      </w:r>
      <w:r w:rsidR="005464E6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i </w:t>
      </w:r>
      <w:r w:rsidR="00323F2B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202</w:t>
      </w:r>
      <w:r w:rsidR="0086369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2</w:t>
      </w:r>
      <w:r w:rsidR="00A01B82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>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hr-HR" w:bidi="ta-IN"/>
        </w:rPr>
        <w:t xml:space="preserve"> godini do tri pripadnika Oružanih snaga Republike Hrvatske, uz mogućnost rotacije. </w:t>
      </w:r>
    </w:p>
    <w:p w14:paraId="49A21C75" w14:textId="77777777" w:rsidR="008B6C4E" w:rsidRPr="005464E6" w:rsidRDefault="000533E0" w:rsidP="000925B0">
      <w:pPr>
        <w:autoSpaceDE w:val="0"/>
        <w:autoSpaceDN w:val="0"/>
        <w:adjustRightInd w:val="0"/>
        <w:ind w:firstLine="708"/>
        <w:jc w:val="both"/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</w:pPr>
      <w:r w:rsidRPr="005C644D">
        <w:rPr>
          <w:rFonts w:ascii="Times New Roman" w:hAnsi="Times New Roman" w:cs="Times New Roman"/>
          <w:b/>
          <w:bCs/>
          <w:sz w:val="24"/>
          <w:szCs w:val="24"/>
        </w:rPr>
        <w:t xml:space="preserve">Točkom II. </w:t>
      </w:r>
      <w:r w:rsidR="000925B0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>određuje</w:t>
      </w:r>
      <w:r w:rsidR="00593781" w:rsidRPr="00593781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 xml:space="preserve"> se da će izvješće o sudjelovanju </w:t>
      </w:r>
      <w:r w:rsidR="005464E6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 xml:space="preserve">pripadnika </w:t>
      </w:r>
      <w:r w:rsidR="00593781" w:rsidRPr="00593781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 xml:space="preserve">Oružanih snaga Republike Hrvatske u operaciji </w:t>
      </w:r>
      <w:r w:rsidR="005464E6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 xml:space="preserve">NATO-a </w:t>
      </w:r>
      <w:r w:rsidR="00593781" w:rsidRPr="00593781">
        <w:rPr>
          <w:rFonts w:ascii="Times New Roman" w:eastAsia="MS Mincho" w:hAnsi="Times New Roman" w:cs="Times New Roman"/>
          <w:bCs/>
          <w:noProof w:val="0"/>
          <w:sz w:val="24"/>
          <w:szCs w:val="24"/>
          <w:lang w:eastAsia="ja-JP"/>
        </w:rPr>
        <w:t>iz točke I. ove Odluke biti dio Godišnjeg izvješća o obrani koje Vlada Republike Hrvatske podnosi Hrvatskome saboru.</w:t>
      </w:r>
    </w:p>
    <w:p w14:paraId="6B2A7E75" w14:textId="77777777" w:rsidR="00E0598C" w:rsidRPr="00A074B4" w:rsidRDefault="00E0598C" w:rsidP="000925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</w:pPr>
      <w:r w:rsidRPr="00A074B4">
        <w:rPr>
          <w:rFonts w:ascii="Times New Roman" w:eastAsia="MS Mincho" w:hAnsi="Times New Roman" w:cs="Times New Roman"/>
          <w:b/>
          <w:noProof w:val="0"/>
          <w:sz w:val="24"/>
          <w:szCs w:val="24"/>
          <w:lang w:eastAsia="ja-JP"/>
        </w:rPr>
        <w:t>Točkom III.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 xml:space="preserve"> </w:t>
      </w:r>
      <w:r w:rsidR="005175C3" w:rsidRPr="00D168D3">
        <w:rPr>
          <w:rFonts w:ascii="Times New Roman" w:hAnsi="Times New Roman"/>
          <w:color w:val="000000"/>
          <w:sz w:val="24"/>
          <w:szCs w:val="24"/>
        </w:rPr>
        <w:t>određuje se stupanje na snagu</w:t>
      </w:r>
      <w:r w:rsidR="005175C3">
        <w:rPr>
          <w:rFonts w:ascii="Times New Roman" w:hAnsi="Times New Roman"/>
          <w:color w:val="000000"/>
          <w:sz w:val="24"/>
          <w:szCs w:val="24"/>
        </w:rPr>
        <w:t xml:space="preserve"> ove</w:t>
      </w:r>
      <w:r w:rsidR="005175C3" w:rsidRPr="00D168D3">
        <w:rPr>
          <w:rFonts w:ascii="Times New Roman" w:hAnsi="Times New Roman"/>
          <w:color w:val="000000"/>
          <w:sz w:val="24"/>
          <w:szCs w:val="24"/>
        </w:rPr>
        <w:t xml:space="preserve"> Odluk</w:t>
      </w:r>
      <w:r w:rsidR="005175C3">
        <w:rPr>
          <w:rFonts w:ascii="Times New Roman" w:hAnsi="Times New Roman"/>
          <w:color w:val="000000"/>
          <w:sz w:val="24"/>
          <w:szCs w:val="24"/>
        </w:rPr>
        <w:t>e</w:t>
      </w:r>
      <w:r w:rsidRPr="00A074B4">
        <w:rPr>
          <w:rFonts w:ascii="Times New Roman" w:eastAsia="MS Mincho" w:hAnsi="Times New Roman" w:cs="Times New Roman"/>
          <w:noProof w:val="0"/>
          <w:sz w:val="24"/>
          <w:szCs w:val="24"/>
          <w:lang w:eastAsia="ja-JP"/>
        </w:rPr>
        <w:t>.</w:t>
      </w:r>
    </w:p>
    <w:p w14:paraId="5842330E" w14:textId="77777777" w:rsidR="00E0598C" w:rsidRPr="00A074B4" w:rsidRDefault="00E0598C" w:rsidP="00E0598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EAD974B" w14:textId="77777777" w:rsidR="00DE2629" w:rsidRPr="00A074B4" w:rsidRDefault="00DE2629" w:rsidP="00BB0E3C"/>
    <w:sectPr w:rsidR="00DE2629" w:rsidRPr="00A074B4" w:rsidSect="00B13A89">
      <w:headerReference w:type="even" r:id="rId9"/>
      <w:footerReference w:type="even" r:id="rId10"/>
      <w:footerReference w:type="default" r:id="rId11"/>
      <w:pgSz w:w="11907" w:h="16839" w:code="9"/>
      <w:pgMar w:top="1417" w:right="1417" w:bottom="1417" w:left="1417" w:header="720" w:footer="720" w:gutter="0"/>
      <w:cols w:space="720"/>
      <w:noEndnote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5453" w14:textId="77777777" w:rsidR="00C1364D" w:rsidRDefault="00C1364D" w:rsidP="00B465F9">
      <w:pPr>
        <w:spacing w:after="0" w:line="240" w:lineRule="auto"/>
      </w:pPr>
      <w:r>
        <w:separator/>
      </w:r>
    </w:p>
  </w:endnote>
  <w:endnote w:type="continuationSeparator" w:id="0">
    <w:p w14:paraId="7381C9DF" w14:textId="77777777" w:rsidR="00C1364D" w:rsidRDefault="00C1364D" w:rsidP="00B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2709" w14:textId="5877A67C" w:rsidR="008C6DB2" w:rsidRPr="00423707" w:rsidRDefault="008C6DB2" w:rsidP="00CE78D1">
    <w:pPr>
      <w:pStyle w:val="Footer"/>
      <w:pBdr>
        <w:top w:val="single" w:sz="4" w:space="1" w:color="404040" w:themeColor="text1" w:themeTint="BF"/>
      </w:pBdr>
      <w:jc w:val="center"/>
      <w:rPr>
        <w:b w:val="0"/>
        <w:i w:val="0"/>
        <w:color w:val="404040" w:themeColor="text1" w:themeTint="BF"/>
        <w:spacing w:val="20"/>
        <w:sz w:val="20"/>
        <w:szCs w:val="20"/>
      </w:rPr>
    </w:pPr>
    <w:r w:rsidRPr="00423707">
      <w:rPr>
        <w:b w:val="0"/>
        <w:i w:val="0"/>
        <w:color w:val="404040" w:themeColor="text1" w:themeTint="BF"/>
        <w:spacing w:val="20"/>
        <w:sz w:val="20"/>
        <w:szCs w:val="20"/>
      </w:rPr>
      <w:t>Banski dvori | Trg Sv. Marka 2  | 10000 Zagreb | tel. 01 4569 2</w:t>
    </w:r>
    <w:r w:rsidR="007F5B91">
      <w:rPr>
        <w:b w:val="0"/>
        <w:i w:val="0"/>
        <w:color w:val="404040" w:themeColor="text1" w:themeTint="BF"/>
        <w:spacing w:val="20"/>
        <w:sz w:val="20"/>
        <w:szCs w:val="20"/>
      </w:rPr>
      <w:t>22</w:t>
    </w:r>
    <w:r w:rsidRPr="00423707">
      <w:rPr>
        <w:b w:val="0"/>
        <w:i w:val="0"/>
        <w:color w:val="404040" w:themeColor="text1" w:themeTint="BF"/>
        <w:spacing w:val="20"/>
        <w:sz w:val="20"/>
        <w:szCs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F538" w14:textId="77777777" w:rsidR="008D23ED" w:rsidRDefault="008C48F4" w:rsidP="00020AE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04B8C" w14:textId="77777777" w:rsidR="008D23ED" w:rsidRDefault="00E273E8" w:rsidP="00020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09069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p w14:paraId="561F1BBC" w14:textId="7C27B0E3" w:rsidR="00DE2E09" w:rsidRPr="00760421" w:rsidRDefault="00DE2E09" w:rsidP="00760421">
        <w:pPr>
          <w:pStyle w:val="Footer"/>
          <w:jc w:val="center"/>
          <w:rPr>
            <w:b w:val="0"/>
            <w:i w:val="0"/>
          </w:rPr>
        </w:pPr>
        <w:r w:rsidRPr="00760421">
          <w:rPr>
            <w:b w:val="0"/>
            <w:i w:val="0"/>
          </w:rPr>
          <w:fldChar w:fldCharType="begin"/>
        </w:r>
        <w:r w:rsidRPr="00760421">
          <w:rPr>
            <w:b w:val="0"/>
            <w:i w:val="0"/>
          </w:rPr>
          <w:instrText>PAGE   \* MERGEFORMAT</w:instrText>
        </w:r>
        <w:r w:rsidRPr="00760421">
          <w:rPr>
            <w:b w:val="0"/>
            <w:i w:val="0"/>
          </w:rPr>
          <w:fldChar w:fldCharType="separate"/>
        </w:r>
        <w:r w:rsidR="00E273E8">
          <w:rPr>
            <w:b w:val="0"/>
            <w:i w:val="0"/>
            <w:noProof/>
          </w:rPr>
          <w:t>6</w:t>
        </w:r>
        <w:r w:rsidRPr="00760421">
          <w:rPr>
            <w:b w:val="0"/>
            <w:i w:val="0"/>
          </w:rPr>
          <w:fldChar w:fldCharType="end"/>
        </w:r>
      </w:p>
    </w:sdtContent>
  </w:sdt>
  <w:p w14:paraId="0277E0FB" w14:textId="77777777" w:rsidR="00DE2E09" w:rsidRDefault="00DE2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9CF4" w14:textId="77777777" w:rsidR="00C1364D" w:rsidRDefault="00C1364D" w:rsidP="00B465F9">
      <w:pPr>
        <w:spacing w:after="0" w:line="240" w:lineRule="auto"/>
      </w:pPr>
      <w:r>
        <w:separator/>
      </w:r>
    </w:p>
  </w:footnote>
  <w:footnote w:type="continuationSeparator" w:id="0">
    <w:p w14:paraId="01D81716" w14:textId="77777777" w:rsidR="00C1364D" w:rsidRDefault="00C1364D" w:rsidP="00B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663F" w14:textId="77777777" w:rsidR="008D23ED" w:rsidRDefault="008C48F4" w:rsidP="008D23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95474" w14:textId="77777777" w:rsidR="008D23ED" w:rsidRDefault="00E27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F9"/>
    <w:rsid w:val="000318DA"/>
    <w:rsid w:val="000533E0"/>
    <w:rsid w:val="00056B9F"/>
    <w:rsid w:val="0005724C"/>
    <w:rsid w:val="000606C3"/>
    <w:rsid w:val="000760E5"/>
    <w:rsid w:val="00087083"/>
    <w:rsid w:val="00090787"/>
    <w:rsid w:val="000925B0"/>
    <w:rsid w:val="000A3139"/>
    <w:rsid w:val="000B1EF8"/>
    <w:rsid w:val="000B2667"/>
    <w:rsid w:val="000B4B7B"/>
    <w:rsid w:val="000C762A"/>
    <w:rsid w:val="000D17B7"/>
    <w:rsid w:val="000E1462"/>
    <w:rsid w:val="000E3E03"/>
    <w:rsid w:val="001018F7"/>
    <w:rsid w:val="00103468"/>
    <w:rsid w:val="00132F85"/>
    <w:rsid w:val="00136BDC"/>
    <w:rsid w:val="00161E52"/>
    <w:rsid w:val="00164B86"/>
    <w:rsid w:val="00181B4F"/>
    <w:rsid w:val="001862C7"/>
    <w:rsid w:val="001A0227"/>
    <w:rsid w:val="001A4BAA"/>
    <w:rsid w:val="001B0616"/>
    <w:rsid w:val="001C031F"/>
    <w:rsid w:val="001C51B0"/>
    <w:rsid w:val="001D644E"/>
    <w:rsid w:val="001E0E22"/>
    <w:rsid w:val="00212FB0"/>
    <w:rsid w:val="00214777"/>
    <w:rsid w:val="002266A2"/>
    <w:rsid w:val="002315A3"/>
    <w:rsid w:val="00256163"/>
    <w:rsid w:val="00264A4E"/>
    <w:rsid w:val="002710CE"/>
    <w:rsid w:val="00283212"/>
    <w:rsid w:val="00283D29"/>
    <w:rsid w:val="00283FA9"/>
    <w:rsid w:val="00286741"/>
    <w:rsid w:val="002954A6"/>
    <w:rsid w:val="002A0E60"/>
    <w:rsid w:val="002A5E71"/>
    <w:rsid w:val="002B55A3"/>
    <w:rsid w:val="002C239A"/>
    <w:rsid w:val="002C4487"/>
    <w:rsid w:val="002E2528"/>
    <w:rsid w:val="002E27CC"/>
    <w:rsid w:val="002F2996"/>
    <w:rsid w:val="002F77E9"/>
    <w:rsid w:val="003116CA"/>
    <w:rsid w:val="00322418"/>
    <w:rsid w:val="00323F2B"/>
    <w:rsid w:val="00334AD1"/>
    <w:rsid w:val="00335403"/>
    <w:rsid w:val="003357A3"/>
    <w:rsid w:val="00352461"/>
    <w:rsid w:val="003642D5"/>
    <w:rsid w:val="003700CE"/>
    <w:rsid w:val="00376F09"/>
    <w:rsid w:val="003A2712"/>
    <w:rsid w:val="003D0D18"/>
    <w:rsid w:val="003D4696"/>
    <w:rsid w:val="003D5496"/>
    <w:rsid w:val="003E46FD"/>
    <w:rsid w:val="003E4D98"/>
    <w:rsid w:val="00402155"/>
    <w:rsid w:val="0040311F"/>
    <w:rsid w:val="00406624"/>
    <w:rsid w:val="00414834"/>
    <w:rsid w:val="00416C10"/>
    <w:rsid w:val="00423707"/>
    <w:rsid w:val="004301C3"/>
    <w:rsid w:val="00456D06"/>
    <w:rsid w:val="004714E0"/>
    <w:rsid w:val="004C5DDF"/>
    <w:rsid w:val="004F07BB"/>
    <w:rsid w:val="004F2C83"/>
    <w:rsid w:val="005175C3"/>
    <w:rsid w:val="00517AB9"/>
    <w:rsid w:val="005271E0"/>
    <w:rsid w:val="00536523"/>
    <w:rsid w:val="005464E6"/>
    <w:rsid w:val="0055125A"/>
    <w:rsid w:val="00555A91"/>
    <w:rsid w:val="00564466"/>
    <w:rsid w:val="00593781"/>
    <w:rsid w:val="005A7534"/>
    <w:rsid w:val="005C40D7"/>
    <w:rsid w:val="005C4227"/>
    <w:rsid w:val="005C644D"/>
    <w:rsid w:val="005E1864"/>
    <w:rsid w:val="005F2122"/>
    <w:rsid w:val="005F2659"/>
    <w:rsid w:val="006019AE"/>
    <w:rsid w:val="0060722D"/>
    <w:rsid w:val="0061457E"/>
    <w:rsid w:val="006237B5"/>
    <w:rsid w:val="00636E29"/>
    <w:rsid w:val="00650CCB"/>
    <w:rsid w:val="006530CA"/>
    <w:rsid w:val="0067418B"/>
    <w:rsid w:val="0069035C"/>
    <w:rsid w:val="00692D86"/>
    <w:rsid w:val="006A6618"/>
    <w:rsid w:val="006C3CD5"/>
    <w:rsid w:val="006E5334"/>
    <w:rsid w:val="006F7191"/>
    <w:rsid w:val="006F7288"/>
    <w:rsid w:val="00701639"/>
    <w:rsid w:val="0070525C"/>
    <w:rsid w:val="00725D97"/>
    <w:rsid w:val="007411CD"/>
    <w:rsid w:val="00752D64"/>
    <w:rsid w:val="00760421"/>
    <w:rsid w:val="00764167"/>
    <w:rsid w:val="00765251"/>
    <w:rsid w:val="00765282"/>
    <w:rsid w:val="00775934"/>
    <w:rsid w:val="00777DCA"/>
    <w:rsid w:val="007831A9"/>
    <w:rsid w:val="00790307"/>
    <w:rsid w:val="00796534"/>
    <w:rsid w:val="007A2408"/>
    <w:rsid w:val="007B3615"/>
    <w:rsid w:val="007C1402"/>
    <w:rsid w:val="007E2AC0"/>
    <w:rsid w:val="007E3FF6"/>
    <w:rsid w:val="007E764D"/>
    <w:rsid w:val="007F2B95"/>
    <w:rsid w:val="007F3117"/>
    <w:rsid w:val="007F5B91"/>
    <w:rsid w:val="007F6DE8"/>
    <w:rsid w:val="008212AC"/>
    <w:rsid w:val="00822E74"/>
    <w:rsid w:val="00851C32"/>
    <w:rsid w:val="0085303D"/>
    <w:rsid w:val="00854BB0"/>
    <w:rsid w:val="008550F8"/>
    <w:rsid w:val="0086347C"/>
    <w:rsid w:val="00863692"/>
    <w:rsid w:val="00873BC7"/>
    <w:rsid w:val="008B6C4E"/>
    <w:rsid w:val="008C2FB6"/>
    <w:rsid w:val="008C48F4"/>
    <w:rsid w:val="008C6DB2"/>
    <w:rsid w:val="008C6FAC"/>
    <w:rsid w:val="008E3313"/>
    <w:rsid w:val="008E75C2"/>
    <w:rsid w:val="00910D56"/>
    <w:rsid w:val="00934029"/>
    <w:rsid w:val="00945EDC"/>
    <w:rsid w:val="00962513"/>
    <w:rsid w:val="0096476D"/>
    <w:rsid w:val="00967F3D"/>
    <w:rsid w:val="00973A66"/>
    <w:rsid w:val="00992FCD"/>
    <w:rsid w:val="009B2963"/>
    <w:rsid w:val="009D733C"/>
    <w:rsid w:val="009F3517"/>
    <w:rsid w:val="00A01B82"/>
    <w:rsid w:val="00A074B4"/>
    <w:rsid w:val="00A16F1E"/>
    <w:rsid w:val="00A17E79"/>
    <w:rsid w:val="00A46C6F"/>
    <w:rsid w:val="00A57449"/>
    <w:rsid w:val="00A80056"/>
    <w:rsid w:val="00A826F4"/>
    <w:rsid w:val="00AA5776"/>
    <w:rsid w:val="00AB222B"/>
    <w:rsid w:val="00AD6752"/>
    <w:rsid w:val="00AE0A0B"/>
    <w:rsid w:val="00AE5E4D"/>
    <w:rsid w:val="00AE65D7"/>
    <w:rsid w:val="00AF4BFB"/>
    <w:rsid w:val="00B13A89"/>
    <w:rsid w:val="00B26C2E"/>
    <w:rsid w:val="00B36DE8"/>
    <w:rsid w:val="00B40F66"/>
    <w:rsid w:val="00B465F9"/>
    <w:rsid w:val="00B949F2"/>
    <w:rsid w:val="00BA147D"/>
    <w:rsid w:val="00BA2F5A"/>
    <w:rsid w:val="00BA39D8"/>
    <w:rsid w:val="00BB0E3C"/>
    <w:rsid w:val="00BB10AA"/>
    <w:rsid w:val="00BD0119"/>
    <w:rsid w:val="00C0323A"/>
    <w:rsid w:val="00C1364D"/>
    <w:rsid w:val="00C758B6"/>
    <w:rsid w:val="00C85342"/>
    <w:rsid w:val="00C86F3B"/>
    <w:rsid w:val="00C94824"/>
    <w:rsid w:val="00CA7CD8"/>
    <w:rsid w:val="00CB5911"/>
    <w:rsid w:val="00CB721D"/>
    <w:rsid w:val="00CC1237"/>
    <w:rsid w:val="00CE6977"/>
    <w:rsid w:val="00CE728C"/>
    <w:rsid w:val="00CF3449"/>
    <w:rsid w:val="00D20DDE"/>
    <w:rsid w:val="00D228AD"/>
    <w:rsid w:val="00D3211B"/>
    <w:rsid w:val="00D5492D"/>
    <w:rsid w:val="00D60F68"/>
    <w:rsid w:val="00D82EE7"/>
    <w:rsid w:val="00D8598E"/>
    <w:rsid w:val="00D93FBB"/>
    <w:rsid w:val="00DD2A75"/>
    <w:rsid w:val="00DE2629"/>
    <w:rsid w:val="00DE2E09"/>
    <w:rsid w:val="00DE58B9"/>
    <w:rsid w:val="00DF460F"/>
    <w:rsid w:val="00E036DA"/>
    <w:rsid w:val="00E0598C"/>
    <w:rsid w:val="00E10A66"/>
    <w:rsid w:val="00E22E4B"/>
    <w:rsid w:val="00E237E6"/>
    <w:rsid w:val="00E273E8"/>
    <w:rsid w:val="00E305F3"/>
    <w:rsid w:val="00E37358"/>
    <w:rsid w:val="00E406DE"/>
    <w:rsid w:val="00E40B99"/>
    <w:rsid w:val="00E50D11"/>
    <w:rsid w:val="00E54BC4"/>
    <w:rsid w:val="00E55DDF"/>
    <w:rsid w:val="00E610FD"/>
    <w:rsid w:val="00E9319B"/>
    <w:rsid w:val="00EA6085"/>
    <w:rsid w:val="00EA6E32"/>
    <w:rsid w:val="00EC2FCB"/>
    <w:rsid w:val="00EE0218"/>
    <w:rsid w:val="00EE7875"/>
    <w:rsid w:val="00EF3A93"/>
    <w:rsid w:val="00F04F76"/>
    <w:rsid w:val="00F2079E"/>
    <w:rsid w:val="00F3541C"/>
    <w:rsid w:val="00F43620"/>
    <w:rsid w:val="00F54048"/>
    <w:rsid w:val="00F648BD"/>
    <w:rsid w:val="00F75A91"/>
    <w:rsid w:val="00F81524"/>
    <w:rsid w:val="00F87040"/>
    <w:rsid w:val="00F90445"/>
    <w:rsid w:val="00F92ED4"/>
    <w:rsid w:val="00F96B59"/>
    <w:rsid w:val="00F97DC8"/>
    <w:rsid w:val="00FA5BC2"/>
    <w:rsid w:val="00FD21B0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7FCE"/>
  <w15:docId w15:val="{1CB8B34B-9594-4CC2-9740-3605074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6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5F9"/>
    <w:rPr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B465F9"/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i/>
      <w:noProof w:val="0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465F9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styleId="PageNumber">
    <w:name w:val="page number"/>
    <w:rsid w:val="00B465F9"/>
    <w:rPr>
      <w:rFonts w:cs="Times New Roman"/>
    </w:rPr>
  </w:style>
  <w:style w:type="character" w:styleId="FootnoteReference">
    <w:name w:val="footnote reference"/>
    <w:semiHidden/>
    <w:rsid w:val="00B465F9"/>
    <w:rPr>
      <w:vertAlign w:val="superscript"/>
    </w:rPr>
  </w:style>
  <w:style w:type="paragraph" w:styleId="Header">
    <w:name w:val="header"/>
    <w:basedOn w:val="Normal"/>
    <w:link w:val="HeaderChar"/>
    <w:rsid w:val="00B465F9"/>
    <w:pPr>
      <w:tabs>
        <w:tab w:val="center" w:pos="4536"/>
        <w:tab w:val="right" w:pos="9072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i/>
      <w:noProof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465F9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445"/>
    <w:pPr>
      <w:spacing w:after="0" w:line="240" w:lineRule="auto"/>
    </w:pPr>
    <w:rPr>
      <w:rFonts w:ascii="Calibri" w:hAnsi="Calibri"/>
      <w:noProof w:val="0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445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17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rsid w:val="0051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F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1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17"/>
    <w:rPr>
      <w:b/>
      <w:bCs/>
      <w:noProof/>
      <w:sz w:val="20"/>
      <w:szCs w:val="20"/>
    </w:rPr>
  </w:style>
  <w:style w:type="table" w:styleId="TableGrid">
    <w:name w:val="Table Grid"/>
    <w:basedOn w:val="TableNormal"/>
    <w:rsid w:val="008C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D86C-B5A5-4DF3-BC7B-69ED003F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Perić</dc:creator>
  <cp:lastModifiedBy>Senada Džafović</cp:lastModifiedBy>
  <cp:revision>14</cp:revision>
  <dcterms:created xsi:type="dcterms:W3CDTF">2021-11-11T13:30:00Z</dcterms:created>
  <dcterms:modified xsi:type="dcterms:W3CDTF">2021-11-23T09:58:00Z</dcterms:modified>
</cp:coreProperties>
</file>