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60B24" w14:textId="77777777" w:rsidR="002254C2" w:rsidRPr="002254C2" w:rsidRDefault="002254C2" w:rsidP="002254C2">
      <w:pPr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62B56" w14:textId="77777777" w:rsidR="002254C2" w:rsidRPr="002254C2" w:rsidRDefault="002254C2" w:rsidP="002254C2">
      <w:pPr>
        <w:tabs>
          <w:tab w:val="left" w:pos="2304"/>
          <w:tab w:val="center" w:pos="4536"/>
        </w:tabs>
        <w:spacing w:before="60" w:after="1680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00F9521F" w14:textId="1601A222" w:rsidR="002254C2" w:rsidRPr="002254C2" w:rsidRDefault="002254C2" w:rsidP="002254C2">
      <w:pPr>
        <w:tabs>
          <w:tab w:val="right" w:pos="9070"/>
        </w:tabs>
        <w:spacing w:after="2400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Zagreb,</w:t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2</w:t>
      </w:r>
      <w:r w:rsidR="00A506DF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. studenoga </w:t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2021.</w:t>
      </w:r>
    </w:p>
    <w:p w14:paraId="77D0147F" w14:textId="77777777"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04AF56E9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5A5D095" w14:textId="77777777" w:rsidR="002254C2" w:rsidRPr="002254C2" w:rsidRDefault="002254C2" w:rsidP="002254C2">
      <w:pPr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PREDLAGATELJ:</w:t>
      </w: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2254C2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Ministarstvo pravosuđa i uprave</w:t>
      </w:r>
    </w:p>
    <w:p w14:paraId="553FB6D9" w14:textId="77777777"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0856910E" w14:textId="77777777" w:rsidR="002254C2" w:rsidRPr="002254C2" w:rsidRDefault="002254C2" w:rsidP="002254C2">
      <w:pPr>
        <w:ind w:left="2124" w:hanging="1416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7C0780FA" w14:textId="77777777" w:rsidR="002254C2" w:rsidRPr="00A95804" w:rsidRDefault="002254C2" w:rsidP="002254C2">
      <w:pPr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  <w:r w:rsidRPr="002254C2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PREDMET: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 </w:t>
      </w:r>
      <w:r w:rsidRPr="00A95804">
        <w:rPr>
          <w:rFonts w:ascii="Times New Roman" w:eastAsia="Calibri" w:hAnsi="Times New Roman"/>
          <w:sz w:val="24"/>
          <w:szCs w:val="24"/>
        </w:rPr>
        <w:t xml:space="preserve">Prijedlog zakona o izmjeni i dopuni Kaznenog zakona (predlagatelj: Klub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Pr="00A95804">
        <w:rPr>
          <w:rFonts w:ascii="Times New Roman" w:eastAsia="Calibri" w:hAnsi="Times New Roman"/>
          <w:sz w:val="24"/>
          <w:szCs w:val="24"/>
        </w:rPr>
        <w:t>zastupnika Most</w:t>
      </w:r>
      <w:r>
        <w:rPr>
          <w:rFonts w:ascii="Times New Roman" w:eastAsia="Calibri" w:hAnsi="Times New Roman"/>
          <w:sz w:val="24"/>
          <w:szCs w:val="24"/>
        </w:rPr>
        <w:t>-</w:t>
      </w:r>
      <w:r w:rsidRPr="00A95804">
        <w:rPr>
          <w:rFonts w:ascii="Times New Roman" w:eastAsia="Calibri" w:hAnsi="Times New Roman"/>
          <w:sz w:val="24"/>
          <w:szCs w:val="24"/>
        </w:rPr>
        <w:t>a u Hrvatskome saboru)</w:t>
      </w:r>
      <w:r>
        <w:rPr>
          <w:rFonts w:ascii="Times New Roman" w:eastAsia="Calibri" w:hAnsi="Times New Roman"/>
          <w:sz w:val="24"/>
          <w:szCs w:val="24"/>
        </w:rPr>
        <w:t xml:space="preserve"> – mišljenje Vlade Republike Hrvatske</w:t>
      </w:r>
    </w:p>
    <w:p w14:paraId="46EBEE2E" w14:textId="77777777" w:rsidR="002254C2" w:rsidRPr="002254C2" w:rsidRDefault="002254C2" w:rsidP="002254C2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14:paraId="641D422F" w14:textId="77777777" w:rsidR="002254C2" w:rsidRPr="002254C2" w:rsidRDefault="002254C2" w:rsidP="002254C2">
      <w:pPr>
        <w:pBdr>
          <w:bottom w:val="single" w:sz="4" w:space="1" w:color="auto"/>
        </w:pBd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180FF5B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CD130AE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0456F42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2CA0DF7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7C86B882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7615620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C31F00D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2D3082D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4ED7DF0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060546FE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38139D8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F94D674" w14:textId="77777777" w:rsidR="002254C2" w:rsidRPr="002254C2" w:rsidRDefault="002254C2" w:rsidP="002254C2">
      <w:pPr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BF408D0" w14:textId="77777777" w:rsidR="002254C2" w:rsidRPr="002254C2" w:rsidRDefault="002254C2" w:rsidP="002254C2">
      <w:pPr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0C030A41" w14:textId="77777777"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6BAD084C" w14:textId="77777777"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68243DA6" w14:textId="77777777"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515DF4D3" w14:textId="77777777" w:rsidR="002254C2" w:rsidRP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1C863598" w14:textId="77777777" w:rsidR="002254C2" w:rsidRDefault="002254C2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63C2D41F" w14:textId="77777777" w:rsidR="0092213F" w:rsidRPr="002254C2" w:rsidRDefault="0092213F" w:rsidP="002254C2">
      <w:pPr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4450832D" w14:textId="77777777" w:rsidR="0092213F" w:rsidRPr="002254C2" w:rsidRDefault="0092213F" w:rsidP="0092213F">
      <w:pPr>
        <w:jc w:val="center"/>
        <w:rPr>
          <w:rFonts w:ascii="Times New Roman" w:eastAsia="Times New Roman" w:hAnsi="Times New Roman"/>
          <w:snapToGrid w:val="0"/>
          <w:spacing w:val="20"/>
          <w:sz w:val="20"/>
          <w:szCs w:val="20"/>
          <w:u w:val="single"/>
          <w:lang w:eastAsia="hr-HR"/>
        </w:rPr>
      </w:pPr>
      <w:r w:rsidRPr="002254C2">
        <w:rPr>
          <w:rFonts w:ascii="Times New Roman" w:eastAsia="Times New Roman" w:hAnsi="Times New Roman"/>
          <w:snapToGrid w:val="0"/>
          <w:spacing w:val="20"/>
          <w:sz w:val="20"/>
          <w:szCs w:val="20"/>
          <w:u w:val="single"/>
          <w:lang w:eastAsia="hr-HR"/>
        </w:rPr>
        <w:t>Banski dvori | Trg Sv. Marka 2 | 10000 Zagreb | tel. 01 4569 222 |vlada.gov.hr</w:t>
      </w:r>
    </w:p>
    <w:p w14:paraId="5FC52DFC" w14:textId="77777777" w:rsidR="00BD18A3" w:rsidRPr="00BD18A3" w:rsidRDefault="00BD18A3" w:rsidP="00BD18A3">
      <w:pPr>
        <w:jc w:val="right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PRIJEDLOG</w:t>
      </w:r>
    </w:p>
    <w:p w14:paraId="2A82182E" w14:textId="77777777"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</w:p>
    <w:p w14:paraId="5BE66B4F" w14:textId="77777777"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</w:p>
    <w:p w14:paraId="31AFA44B" w14:textId="77777777"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Klasa:</w:t>
      </w:r>
    </w:p>
    <w:p w14:paraId="3A3EAEFB" w14:textId="77777777"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Urbroj:</w:t>
      </w:r>
    </w:p>
    <w:p w14:paraId="11CBB5F1" w14:textId="77777777" w:rsidR="00BD18A3" w:rsidRPr="00BD18A3" w:rsidRDefault="00BD18A3" w:rsidP="00BD18A3">
      <w:pPr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Zagreb,</w:t>
      </w:r>
    </w:p>
    <w:p w14:paraId="4F0FA176" w14:textId="77777777"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14:paraId="25B20D93" w14:textId="77777777"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14:paraId="3ABF94D9" w14:textId="77777777" w:rsidR="00BD18A3" w:rsidRPr="00BD18A3" w:rsidRDefault="00BD18A3" w:rsidP="00BD18A3">
      <w:pPr>
        <w:ind w:left="4956"/>
        <w:rPr>
          <w:rFonts w:ascii="Times New Roman" w:hAnsi="Times New Roman"/>
          <w:b/>
          <w:sz w:val="24"/>
          <w:szCs w:val="24"/>
        </w:rPr>
      </w:pPr>
    </w:p>
    <w:p w14:paraId="62BE1781" w14:textId="77777777" w:rsidR="00BD18A3" w:rsidRPr="00BD18A3" w:rsidRDefault="00BD18A3" w:rsidP="00BD18A3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3198A56D" w14:textId="77777777"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14:paraId="480F2036" w14:textId="77777777"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14:paraId="07539AC0" w14:textId="77777777" w:rsidR="00BD18A3" w:rsidRPr="00BD18A3" w:rsidRDefault="00BD18A3" w:rsidP="00BD18A3">
      <w:pPr>
        <w:rPr>
          <w:rFonts w:ascii="Times New Roman" w:hAnsi="Times New Roman"/>
          <w:sz w:val="24"/>
          <w:szCs w:val="24"/>
        </w:rPr>
      </w:pPr>
    </w:p>
    <w:p w14:paraId="2D647724" w14:textId="77777777" w:rsidR="00A95804" w:rsidRPr="00A95804" w:rsidRDefault="002254C2" w:rsidP="002254C2">
      <w:pPr>
        <w:ind w:left="1416" w:hanging="1416"/>
        <w:jc w:val="both"/>
        <w:rPr>
          <w:rFonts w:ascii="Times New Roman" w:eastAsia="Calibri" w:hAnsi="Times New Roman"/>
          <w:sz w:val="24"/>
          <w:szCs w:val="24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PREDMET</w:t>
      </w:r>
      <w:bookmarkStart w:id="0" w:name="_Hlk86047250"/>
      <w:bookmarkStart w:id="1" w:name="_Hlk86049062"/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:  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Prijedlog </w:t>
      </w:r>
      <w:bookmarkStart w:id="2" w:name="_Hlk86052153"/>
      <w:r w:rsidR="00A95804" w:rsidRPr="00A95804">
        <w:rPr>
          <w:rFonts w:ascii="Times New Roman" w:eastAsia="Calibri" w:hAnsi="Times New Roman"/>
          <w:sz w:val="24"/>
          <w:szCs w:val="24"/>
        </w:rPr>
        <w:t>zakona o izmjeni i dopuni Kaznenog zakona (predlagatelj: Klub zastupnika Mosta u Hrvatskome saboru)</w:t>
      </w:r>
      <w:bookmarkEnd w:id="0"/>
      <w:bookmarkEnd w:id="2"/>
      <w:r w:rsidR="009B7A09">
        <w:rPr>
          <w:rFonts w:ascii="Times New Roman" w:eastAsia="Calibri" w:hAnsi="Times New Roman"/>
          <w:sz w:val="24"/>
          <w:szCs w:val="24"/>
        </w:rPr>
        <w:t xml:space="preserve"> – mišljenje Vlade</w:t>
      </w:r>
    </w:p>
    <w:bookmarkEnd w:id="1"/>
    <w:p w14:paraId="023B6D2F" w14:textId="77777777" w:rsidR="00BD18A3" w:rsidRPr="00BD18A3" w:rsidRDefault="00BD18A3" w:rsidP="00BD18A3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14:paraId="3CD85407" w14:textId="77777777"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14:paraId="521C73F9" w14:textId="77777777" w:rsidR="00BD18A3" w:rsidRPr="00BD18A3" w:rsidRDefault="00BD18A3" w:rsidP="00BD18A3">
      <w:pPr>
        <w:widowControl w:val="0"/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Veza:</w:t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  <w:t>Pismo Hrvatskoga sabora,</w:t>
      </w:r>
      <w:r w:rsidR="00A95804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</w:t>
      </w:r>
      <w:r w:rsidR="00A95804" w:rsidRPr="00A95804">
        <w:rPr>
          <w:rFonts w:ascii="Times New Roman" w:eastAsia="Calibri" w:hAnsi="Times New Roman"/>
          <w:sz w:val="24"/>
          <w:szCs w:val="24"/>
        </w:rPr>
        <w:t>KLASA: 740-15/21-01</w:t>
      </w:r>
      <w:r w:rsidR="009B7A09">
        <w:rPr>
          <w:rFonts w:ascii="Times New Roman" w:eastAsia="Calibri" w:hAnsi="Times New Roman"/>
          <w:sz w:val="24"/>
          <w:szCs w:val="24"/>
        </w:rPr>
        <w:t>/01</w:t>
      </w:r>
      <w:r w:rsidR="00A95804" w:rsidRPr="00A95804">
        <w:rPr>
          <w:rFonts w:ascii="Times New Roman" w:eastAsia="Calibri" w:hAnsi="Times New Roman"/>
          <w:sz w:val="24"/>
          <w:szCs w:val="24"/>
        </w:rPr>
        <w:t>, URBROJ: 65-21-03</w:t>
      </w:r>
      <w:r w:rsidR="009B7A09">
        <w:rPr>
          <w:rFonts w:ascii="Times New Roman" w:eastAsia="Calibri" w:hAnsi="Times New Roman"/>
          <w:sz w:val="24"/>
          <w:szCs w:val="24"/>
        </w:rPr>
        <w:t>,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od 12. listopada 2021.</w:t>
      </w:r>
    </w:p>
    <w:p w14:paraId="289A09B9" w14:textId="77777777"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14:paraId="3873D81F" w14:textId="77777777"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eastAsia="Times New Roman" w:hAnsi="Times New Roman"/>
          <w:snapToGrid w:val="0"/>
          <w:spacing w:val="-3"/>
          <w:sz w:val="24"/>
          <w:szCs w:val="20"/>
        </w:rPr>
      </w:pPr>
    </w:p>
    <w:p w14:paraId="4F36F5E7" w14:textId="4404E1D3" w:rsidR="00BD18A3" w:rsidRPr="00BD18A3" w:rsidRDefault="00BD18A3" w:rsidP="00BD18A3">
      <w:pPr>
        <w:widowControl w:val="0"/>
        <w:tabs>
          <w:tab w:val="left" w:pos="-72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  <w:t xml:space="preserve">Na temelju članka 122. stavka 2. Poslovnika Hrvatskoga sabora </w:t>
      </w:r>
      <w:r w:rsidR="002254C2" w:rsidRPr="002254C2">
        <w:rPr>
          <w:rFonts w:ascii="Times New Roman" w:hAnsi="Times New Roman"/>
          <w:sz w:val="24"/>
          <w:szCs w:val="24"/>
        </w:rPr>
        <w:t>(„Narodne novine“, br. 81/13., 113/16., 69/17., 29/18., 53/20., 119/20. – Odluka Ustavnog suda Republike Hrvatske i 123/20.),</w:t>
      </w:r>
      <w:r w:rsidRPr="002254C2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</w:t>
      </w:r>
      <w:r w:rsidRPr="00BD18A3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Vlada Republike Hrvatske </w:t>
      </w:r>
      <w:r w:rsidRPr="00BD18A3">
        <w:rPr>
          <w:rFonts w:ascii="Times New Roman" w:hAnsi="Times New Roman"/>
          <w:sz w:val="24"/>
          <w:szCs w:val="24"/>
        </w:rPr>
        <w:t xml:space="preserve">o Prijedlogu zakona o </w:t>
      </w:r>
      <w:r w:rsidR="009B7A09">
        <w:rPr>
          <w:rFonts w:ascii="Times New Roman" w:hAnsi="Times New Roman"/>
          <w:sz w:val="24"/>
          <w:szCs w:val="24"/>
        </w:rPr>
        <w:t xml:space="preserve">izmjeni i </w:t>
      </w:r>
      <w:r w:rsidR="00DD7B92">
        <w:rPr>
          <w:rFonts w:ascii="Times New Roman" w:hAnsi="Times New Roman"/>
          <w:sz w:val="24"/>
          <w:szCs w:val="24"/>
        </w:rPr>
        <w:t>dopuni K</w:t>
      </w:r>
      <w:r w:rsidRPr="00BD18A3">
        <w:rPr>
          <w:rFonts w:ascii="Times New Roman" w:hAnsi="Times New Roman"/>
          <w:sz w:val="24"/>
          <w:szCs w:val="24"/>
        </w:rPr>
        <w:t>azneno</w:t>
      </w:r>
      <w:r w:rsidR="00DD7B92">
        <w:rPr>
          <w:rFonts w:ascii="Times New Roman" w:hAnsi="Times New Roman"/>
          <w:sz w:val="24"/>
          <w:szCs w:val="24"/>
        </w:rPr>
        <w:t>g</w:t>
      </w:r>
      <w:r w:rsidRPr="00BD18A3">
        <w:rPr>
          <w:rFonts w:ascii="Times New Roman" w:hAnsi="Times New Roman"/>
          <w:sz w:val="24"/>
          <w:szCs w:val="24"/>
        </w:rPr>
        <w:t xml:space="preserve"> </w:t>
      </w:r>
      <w:r w:rsidR="00DD7B92">
        <w:rPr>
          <w:rFonts w:ascii="Times New Roman" w:hAnsi="Times New Roman"/>
          <w:sz w:val="24"/>
          <w:szCs w:val="24"/>
        </w:rPr>
        <w:t xml:space="preserve">zakona </w:t>
      </w:r>
      <w:r w:rsidR="009B7A09">
        <w:rPr>
          <w:rFonts w:ascii="Times New Roman" w:hAnsi="Times New Roman"/>
          <w:sz w:val="24"/>
          <w:szCs w:val="24"/>
        </w:rPr>
        <w:t>(</w:t>
      </w:r>
      <w:r w:rsidRPr="00BD18A3">
        <w:rPr>
          <w:rFonts w:ascii="Times New Roman" w:hAnsi="Times New Roman"/>
          <w:sz w:val="24"/>
          <w:szCs w:val="24"/>
        </w:rPr>
        <w:t>predlagatelj</w:t>
      </w:r>
      <w:r w:rsidR="00230A47">
        <w:rPr>
          <w:rFonts w:ascii="Times New Roman" w:hAnsi="Times New Roman"/>
          <w:sz w:val="24"/>
          <w:szCs w:val="24"/>
        </w:rPr>
        <w:t>: Klub</w:t>
      </w:r>
      <w:r w:rsidR="009B7A09">
        <w:rPr>
          <w:rFonts w:ascii="Times New Roman" w:hAnsi="Times New Roman"/>
          <w:sz w:val="24"/>
          <w:szCs w:val="24"/>
        </w:rPr>
        <w:t xml:space="preserve"> zastupnika Most</w:t>
      </w:r>
      <w:r w:rsidR="00A95804">
        <w:rPr>
          <w:rFonts w:ascii="Times New Roman" w:hAnsi="Times New Roman"/>
          <w:sz w:val="24"/>
          <w:szCs w:val="24"/>
        </w:rPr>
        <w:t>a u Hrvatskom</w:t>
      </w:r>
      <w:r w:rsidR="00230A47">
        <w:rPr>
          <w:rFonts w:ascii="Times New Roman" w:hAnsi="Times New Roman"/>
          <w:sz w:val="24"/>
          <w:szCs w:val="24"/>
        </w:rPr>
        <w:t>e</w:t>
      </w:r>
      <w:bookmarkStart w:id="3" w:name="_GoBack"/>
      <w:bookmarkEnd w:id="3"/>
      <w:r w:rsidR="00A95804">
        <w:rPr>
          <w:rFonts w:ascii="Times New Roman" w:hAnsi="Times New Roman"/>
          <w:sz w:val="24"/>
          <w:szCs w:val="24"/>
        </w:rPr>
        <w:t xml:space="preserve"> saboru</w:t>
      </w:r>
      <w:r w:rsidR="009B7A09">
        <w:rPr>
          <w:rFonts w:ascii="Times New Roman" w:hAnsi="Times New Roman"/>
          <w:sz w:val="24"/>
          <w:szCs w:val="24"/>
        </w:rPr>
        <w:t>),</w:t>
      </w:r>
      <w:r w:rsidRPr="00BD18A3">
        <w:rPr>
          <w:rFonts w:ascii="Times New Roman" w:hAnsi="Times New Roman"/>
          <w:sz w:val="24"/>
          <w:szCs w:val="24"/>
        </w:rPr>
        <w:t xml:space="preserve"> daje sljedeće</w:t>
      </w:r>
    </w:p>
    <w:p w14:paraId="0A847431" w14:textId="77777777" w:rsidR="00BD18A3" w:rsidRPr="00BD18A3" w:rsidRDefault="00BD18A3" w:rsidP="00BD18A3">
      <w:pPr>
        <w:jc w:val="both"/>
        <w:rPr>
          <w:rFonts w:ascii="Times New Roman" w:hAnsi="Times New Roman"/>
          <w:sz w:val="24"/>
          <w:szCs w:val="24"/>
        </w:rPr>
      </w:pPr>
    </w:p>
    <w:p w14:paraId="166A240A" w14:textId="77777777" w:rsidR="00BD18A3" w:rsidRPr="00BD18A3" w:rsidRDefault="00BD18A3" w:rsidP="00BD18A3">
      <w:pPr>
        <w:jc w:val="both"/>
        <w:rPr>
          <w:rFonts w:ascii="Times New Roman" w:hAnsi="Times New Roman"/>
          <w:sz w:val="24"/>
          <w:szCs w:val="24"/>
        </w:rPr>
      </w:pPr>
    </w:p>
    <w:p w14:paraId="00F55BDE" w14:textId="5C719A43" w:rsidR="00BD18A3" w:rsidRDefault="00BD18A3" w:rsidP="00BD18A3">
      <w:pPr>
        <w:jc w:val="center"/>
        <w:rPr>
          <w:rFonts w:ascii="Times New Roman" w:hAnsi="Times New Roman"/>
          <w:b/>
          <w:sz w:val="24"/>
          <w:szCs w:val="24"/>
        </w:rPr>
      </w:pPr>
      <w:r w:rsidRPr="00BD18A3">
        <w:rPr>
          <w:rFonts w:ascii="Times New Roman" w:hAnsi="Times New Roman"/>
          <w:b/>
          <w:sz w:val="24"/>
          <w:szCs w:val="24"/>
        </w:rPr>
        <w:t>M I Š L</w:t>
      </w:r>
      <w:r w:rsidR="00D67864">
        <w:rPr>
          <w:rFonts w:ascii="Times New Roman" w:hAnsi="Times New Roman"/>
          <w:b/>
          <w:sz w:val="24"/>
          <w:szCs w:val="24"/>
        </w:rPr>
        <w:t xml:space="preserve"> </w:t>
      </w:r>
      <w:r w:rsidRPr="00BD18A3">
        <w:rPr>
          <w:rFonts w:ascii="Times New Roman" w:hAnsi="Times New Roman"/>
          <w:b/>
          <w:sz w:val="24"/>
          <w:szCs w:val="24"/>
        </w:rPr>
        <w:t>J E N</w:t>
      </w:r>
      <w:r w:rsidR="00D67864">
        <w:rPr>
          <w:rFonts w:ascii="Times New Roman" w:hAnsi="Times New Roman"/>
          <w:b/>
          <w:sz w:val="24"/>
          <w:szCs w:val="24"/>
        </w:rPr>
        <w:t xml:space="preserve"> </w:t>
      </w:r>
      <w:r w:rsidRPr="00BD18A3">
        <w:rPr>
          <w:rFonts w:ascii="Times New Roman" w:hAnsi="Times New Roman"/>
          <w:b/>
          <w:sz w:val="24"/>
          <w:szCs w:val="24"/>
        </w:rPr>
        <w:t>J E</w:t>
      </w:r>
    </w:p>
    <w:p w14:paraId="5FD20B05" w14:textId="77777777" w:rsidR="009B7A09" w:rsidRPr="00BD18A3" w:rsidRDefault="009B7A09" w:rsidP="00BD18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7FDA193" w14:textId="77777777" w:rsidR="00BD18A3" w:rsidRDefault="00BD18A3" w:rsidP="00BD18A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2C52C6" w14:textId="77777777" w:rsidR="00BD18A3" w:rsidRDefault="00311577" w:rsidP="00BD18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 w:rsidR="004453A6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ab/>
      </w:r>
      <w:r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>Vlada Republike Hrvatske predlaže Hrvatskome saboru da ne prihvati</w:t>
      </w:r>
      <w:r w:rsidR="004453A6">
        <w:rPr>
          <w:rFonts w:ascii="Times New Roman" w:eastAsia="Times New Roman" w:hAnsi="Times New Roman"/>
          <w:snapToGrid w:val="0"/>
          <w:spacing w:val="-3"/>
          <w:sz w:val="24"/>
          <w:szCs w:val="20"/>
        </w:rPr>
        <w:t xml:space="preserve"> </w:t>
      </w:r>
      <w:r w:rsidR="004453A6" w:rsidRPr="00A95804">
        <w:rPr>
          <w:rFonts w:ascii="Times New Roman" w:eastAsia="Calibri" w:hAnsi="Times New Roman"/>
          <w:sz w:val="24"/>
          <w:szCs w:val="24"/>
        </w:rPr>
        <w:t>Prijedlog zakona o izmjeni i dopuni Kaznenog zakona</w:t>
      </w:r>
      <w:r w:rsidR="004453A6">
        <w:rPr>
          <w:rFonts w:ascii="Times New Roman" w:eastAsia="Calibri" w:hAnsi="Times New Roman"/>
          <w:sz w:val="24"/>
          <w:szCs w:val="24"/>
        </w:rPr>
        <w:t xml:space="preserve"> koji je predsjedniku Hrvatskoga sabora uputio Klub zastupnika Mosta, aktom od 11. listopada 2021., iz sljedećih razloga:</w:t>
      </w:r>
    </w:p>
    <w:p w14:paraId="577075FB" w14:textId="77777777" w:rsidR="00311577" w:rsidRPr="00BD18A3" w:rsidRDefault="00311577" w:rsidP="00BD18A3">
      <w:pPr>
        <w:jc w:val="both"/>
        <w:rPr>
          <w:rFonts w:ascii="Times New Roman" w:hAnsi="Times New Roman"/>
          <w:sz w:val="24"/>
          <w:szCs w:val="24"/>
        </w:rPr>
      </w:pPr>
    </w:p>
    <w:p w14:paraId="106B085C" w14:textId="77777777" w:rsidR="00A95804" w:rsidRDefault="00A95804" w:rsidP="002254C2">
      <w:pPr>
        <w:ind w:firstLine="1416"/>
        <w:jc w:val="both"/>
        <w:rPr>
          <w:rFonts w:ascii="Times New Roman" w:eastAsia="Calibri" w:hAnsi="Times New Roman"/>
          <w:sz w:val="24"/>
          <w:szCs w:val="24"/>
        </w:rPr>
      </w:pPr>
      <w:bookmarkStart w:id="4" w:name="_Hlk86929493"/>
      <w:r w:rsidRPr="00A95804">
        <w:rPr>
          <w:rFonts w:ascii="Times New Roman" w:eastAsia="Calibri" w:hAnsi="Times New Roman"/>
          <w:sz w:val="24"/>
          <w:szCs w:val="24"/>
        </w:rPr>
        <w:lastRenderedPageBreak/>
        <w:t xml:space="preserve">Prijedlogom zakona o izmjeni i dopuni Kaznenog zakona </w:t>
      </w:r>
      <w:bookmarkEnd w:id="4"/>
      <w:r w:rsidRPr="00A95804">
        <w:rPr>
          <w:rFonts w:ascii="Times New Roman" w:eastAsia="Calibri" w:hAnsi="Times New Roman"/>
          <w:sz w:val="24"/>
          <w:szCs w:val="24"/>
        </w:rPr>
        <w:t>predlaže se dopuna kaznenog djela davanja lažnog iskaza iz članka 305. Kaznenog zakona (</w:t>
      </w:r>
      <w:r w:rsidR="002254C2">
        <w:rPr>
          <w:rFonts w:ascii="Times New Roman" w:eastAsia="Calibri" w:hAnsi="Times New Roman"/>
          <w:sz w:val="24"/>
          <w:szCs w:val="24"/>
        </w:rPr>
        <w:t>„</w:t>
      </w:r>
      <w:r w:rsidRPr="00A95804">
        <w:rPr>
          <w:rFonts w:ascii="Times New Roman" w:eastAsia="Calibri" w:hAnsi="Times New Roman"/>
          <w:sz w:val="24"/>
          <w:szCs w:val="24"/>
        </w:rPr>
        <w:t>Narodne novine</w:t>
      </w:r>
      <w:r w:rsidR="002254C2">
        <w:rPr>
          <w:rFonts w:ascii="Times New Roman" w:eastAsia="Calibri" w:hAnsi="Times New Roman"/>
          <w:sz w:val="24"/>
          <w:szCs w:val="24"/>
        </w:rPr>
        <w:t xml:space="preserve">“, br. </w:t>
      </w:r>
      <w:r w:rsidRPr="00A95804">
        <w:rPr>
          <w:rFonts w:ascii="Times New Roman" w:eastAsia="Calibri" w:hAnsi="Times New Roman"/>
          <w:sz w:val="24"/>
          <w:szCs w:val="24"/>
        </w:rPr>
        <w:t>125/11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144/12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56/15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61/15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101/17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118/18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>, 126/19</w:t>
      </w:r>
      <w:r w:rsidR="002254C2">
        <w:rPr>
          <w:rFonts w:ascii="Times New Roman" w:eastAsia="Calibri" w:hAnsi="Times New Roman"/>
          <w:sz w:val="24"/>
          <w:szCs w:val="24"/>
        </w:rPr>
        <w:t>.</w:t>
      </w:r>
      <w:r w:rsidRPr="00A95804">
        <w:rPr>
          <w:rFonts w:ascii="Times New Roman" w:eastAsia="Calibri" w:hAnsi="Times New Roman"/>
          <w:sz w:val="24"/>
          <w:szCs w:val="24"/>
        </w:rPr>
        <w:t xml:space="preserve"> i 84/21</w:t>
      </w:r>
      <w:r w:rsidR="002254C2">
        <w:rPr>
          <w:rFonts w:ascii="Times New Roman" w:eastAsia="Calibri" w:hAnsi="Times New Roman"/>
          <w:sz w:val="24"/>
          <w:szCs w:val="24"/>
        </w:rPr>
        <w:t xml:space="preserve">. </w:t>
      </w:r>
      <w:r w:rsidR="004453A6">
        <w:rPr>
          <w:rFonts w:ascii="Times New Roman" w:eastAsia="Calibri" w:hAnsi="Times New Roman"/>
          <w:sz w:val="24"/>
          <w:szCs w:val="24"/>
        </w:rPr>
        <w:t>–</w:t>
      </w:r>
      <w:r w:rsidR="002254C2">
        <w:rPr>
          <w:rFonts w:ascii="Times New Roman" w:eastAsia="Calibri" w:hAnsi="Times New Roman"/>
          <w:sz w:val="24"/>
          <w:szCs w:val="24"/>
        </w:rPr>
        <w:t xml:space="preserve"> </w:t>
      </w:r>
      <w:r w:rsidR="004453A6">
        <w:rPr>
          <w:rFonts w:ascii="Times New Roman" w:eastAsia="Calibri" w:hAnsi="Times New Roman"/>
          <w:sz w:val="24"/>
          <w:szCs w:val="24"/>
        </w:rPr>
        <w:t xml:space="preserve">u daljnjem </w:t>
      </w:r>
      <w:r w:rsidRPr="00A95804">
        <w:rPr>
          <w:rFonts w:ascii="Times New Roman" w:eastAsia="Calibri" w:hAnsi="Times New Roman"/>
          <w:sz w:val="24"/>
          <w:szCs w:val="24"/>
        </w:rPr>
        <w:t>tekstu: Kazneni zakon) i kaznenog djela sprječavanja dokazivanja iz članka 306. Kaznenog zakona.</w:t>
      </w:r>
    </w:p>
    <w:p w14:paraId="752C73A8" w14:textId="77777777" w:rsidR="002254C2" w:rsidRDefault="002254C2" w:rsidP="002254C2">
      <w:pPr>
        <w:ind w:firstLine="1416"/>
        <w:jc w:val="both"/>
        <w:rPr>
          <w:rFonts w:ascii="Times New Roman" w:eastAsia="Calibri" w:hAnsi="Times New Roman"/>
          <w:sz w:val="24"/>
          <w:szCs w:val="24"/>
        </w:rPr>
      </w:pPr>
    </w:p>
    <w:p w14:paraId="455DE3C0" w14:textId="77777777" w:rsidR="00A95804" w:rsidRPr="00A95804" w:rsidRDefault="009B7A09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odnosu na </w:t>
      </w:r>
      <w:r>
        <w:rPr>
          <w:rFonts w:ascii="Times New Roman" w:eastAsia="Calibri" w:hAnsi="Times New Roman"/>
          <w:sz w:val="24"/>
          <w:szCs w:val="24"/>
        </w:rPr>
        <w:t xml:space="preserve">prijedlog da se </w:t>
      </w:r>
      <w:r w:rsidR="00A95804" w:rsidRPr="00A95804">
        <w:rPr>
          <w:rFonts w:ascii="Times New Roman" w:eastAsia="Calibri" w:hAnsi="Times New Roman"/>
          <w:sz w:val="24"/>
          <w:szCs w:val="24"/>
        </w:rPr>
        <w:t>članak 305. Kaznenog zakona (davanje lažnog iskaza) dopuni novom inkriminacijom kojom se sankcionira onaj tko podnese očitovanje s lažnim podacima ili dade lažan iskaz u postupku pred radnim tije</w:t>
      </w:r>
      <w:r w:rsidR="002254C2">
        <w:rPr>
          <w:rFonts w:ascii="Times New Roman" w:eastAsia="Calibri" w:hAnsi="Times New Roman"/>
          <w:sz w:val="24"/>
          <w:szCs w:val="24"/>
        </w:rPr>
        <w:t>lima Hrvatskog</w:t>
      </w:r>
      <w:r>
        <w:rPr>
          <w:rFonts w:ascii="Times New Roman" w:eastAsia="Calibri" w:hAnsi="Times New Roman"/>
          <w:sz w:val="24"/>
          <w:szCs w:val="24"/>
        </w:rPr>
        <w:t>a</w:t>
      </w:r>
      <w:r w:rsidR="002254C2">
        <w:rPr>
          <w:rFonts w:ascii="Times New Roman" w:eastAsia="Calibri" w:hAnsi="Times New Roman"/>
          <w:sz w:val="24"/>
          <w:szCs w:val="24"/>
        </w:rPr>
        <w:t xml:space="preserve"> sabora ili pred P</w:t>
      </w:r>
      <w:r w:rsidR="00A95804" w:rsidRPr="00A95804">
        <w:rPr>
          <w:rFonts w:ascii="Times New Roman" w:eastAsia="Calibri" w:hAnsi="Times New Roman"/>
          <w:sz w:val="24"/>
          <w:szCs w:val="24"/>
        </w:rPr>
        <w:t>ovjerenstvom za odlučivanje o sukobu interesa,</w:t>
      </w:r>
      <w:r w:rsidR="002254C2">
        <w:rPr>
          <w:rFonts w:ascii="Times New Roman" w:eastAsia="Calibri" w:hAnsi="Times New Roman"/>
          <w:sz w:val="24"/>
          <w:szCs w:val="24"/>
        </w:rPr>
        <w:t xml:space="preserve"> Vlada Republike Hrvatske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u</w:t>
      </w:r>
      <w:r w:rsidR="002254C2">
        <w:rPr>
          <w:rFonts w:ascii="Times New Roman" w:eastAsia="Calibri" w:hAnsi="Times New Roman"/>
          <w:sz w:val="24"/>
          <w:szCs w:val="24"/>
        </w:rPr>
        <w:t>kazuje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kako slijedi:</w:t>
      </w:r>
    </w:p>
    <w:p w14:paraId="3DF70FFF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>Temeljnim oblikom kaznenog djela davanja lažnog iskaza iz članka 305. Kaznenog zakona sankcionira se svjedok, vještak, prevoditelj ili tumač koji u prethodnom postupku, u postupku pred sudom, međunarodnim sudom čiju sudbenost Republika Hrvatska prihvaća, arbitražom, u prekršajnom postupku, upravnom postupku, postupku pred javnim bilježnikom ili stegovnom</w:t>
      </w:r>
      <w:r w:rsidR="009B7A09">
        <w:rPr>
          <w:rFonts w:ascii="Times New Roman" w:eastAsia="Calibri" w:hAnsi="Times New Roman"/>
          <w:sz w:val="24"/>
          <w:szCs w:val="24"/>
        </w:rPr>
        <w:t xml:space="preserve"> postupku</w:t>
      </w:r>
      <w:r w:rsidRPr="00A95804">
        <w:rPr>
          <w:rFonts w:ascii="Times New Roman" w:eastAsia="Calibri" w:hAnsi="Times New Roman"/>
          <w:sz w:val="24"/>
          <w:szCs w:val="24"/>
        </w:rPr>
        <w:t xml:space="preserve"> dade lažni iskaz nalaz ili mišljenje.</w:t>
      </w:r>
    </w:p>
    <w:p w14:paraId="4A2D7BE8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>O kvalificiranom obliku ovog kaznenog djela radit će se kada se na lažnom iskazu stranke, osim okrivljenika, temelji konačna odluka u tom postupku.</w:t>
      </w:r>
    </w:p>
    <w:p w14:paraId="4DF75E0E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>Iz navedenih zakonskih odredbi razvidno je da je krug počinitelja ovog kazn</w:t>
      </w:r>
      <w:r w:rsidR="009B7A09">
        <w:rPr>
          <w:rFonts w:ascii="Times New Roman" w:eastAsia="Calibri" w:hAnsi="Times New Roman"/>
          <w:sz w:val="24"/>
          <w:szCs w:val="24"/>
        </w:rPr>
        <w:t>enog djela ograničen, odnosno kako</w:t>
      </w:r>
      <w:r w:rsidRPr="00A95804">
        <w:rPr>
          <w:rFonts w:ascii="Times New Roman" w:eastAsia="Calibri" w:hAnsi="Times New Roman"/>
          <w:sz w:val="24"/>
          <w:szCs w:val="24"/>
        </w:rPr>
        <w:t xml:space="preserve"> je on određen na način da se radi o posebnom kaznenom djelu (delicta propria). Njegovi počinitelji mogu biti samo svjedoci, vještaci, prevoditelji, tumači i stranke u postupku osim okrivljenika. Okrivljenik, iako ima status stranke u kaznenom postupku nije dužan iskazivati, niti je dužan istinito iskazivati, stoga on ne može biti niti odgovoran za kazneno djelo davanja lažnog iskaza. </w:t>
      </w:r>
    </w:p>
    <w:p w14:paraId="25E012B5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>Počinitelji ovog kaznenog djela moraju prije davanja iskaza, a na temelju posebnih propisa, biti upozoreni od strane nadležnih tijela da je davanje lažnog iskaza kazneno djelo, kada je lažan iskaz dan u jednom od taksativno navedenih postupaka. Iskaz kao objekt radnje, ovoga kaznenog djela sukladno pravnoj teoriji treba tumačiti u smislu usmenog očitovanja svih procesnih sudionika o određenim činjenicama i okolnostima. Stoga se neće svaka lažna izjava stranaka smatrati davanjem lažnog iskaza.</w:t>
      </w:r>
    </w:p>
    <w:p w14:paraId="203A7881" w14:textId="77777777" w:rsidR="00A95804" w:rsidRPr="00A95804" w:rsidRDefault="00A95804" w:rsidP="002254C2">
      <w:pPr>
        <w:spacing w:after="160" w:line="259" w:lineRule="auto"/>
        <w:ind w:firstLine="1418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lastRenderedPageBreak/>
        <w:t>Prijedlo</w:t>
      </w:r>
      <w:r w:rsidR="00865CD2">
        <w:rPr>
          <w:rFonts w:ascii="Times New Roman" w:eastAsia="Calibri" w:hAnsi="Times New Roman"/>
          <w:sz w:val="24"/>
          <w:szCs w:val="24"/>
        </w:rPr>
        <w:t xml:space="preserve">g </w:t>
      </w:r>
      <w:r w:rsidRPr="00A95804">
        <w:rPr>
          <w:rFonts w:ascii="Times New Roman" w:eastAsia="Calibri" w:hAnsi="Times New Roman"/>
          <w:sz w:val="24"/>
          <w:szCs w:val="24"/>
        </w:rPr>
        <w:t>zakona o izmjeni i dopuni Kaznenog zakona (predlagatelj: Klub zastupnika Mosta u Hrvatskome saboru) širi subjekte počinjenja ovog kaznenog djela propisujući ga s obzirom na krug mogućih počinitelja, kao kazneno djelo koje može počiniti svatko. Kako je prema logici stvari jasno da ovo kazneno</w:t>
      </w:r>
      <w:r w:rsidR="00865CD2">
        <w:rPr>
          <w:rFonts w:ascii="Times New Roman" w:eastAsia="Calibri" w:hAnsi="Times New Roman"/>
          <w:sz w:val="24"/>
          <w:szCs w:val="24"/>
        </w:rPr>
        <w:t xml:space="preserve"> djelo ne može počiniti svatko,</w:t>
      </w:r>
      <w:r w:rsidRPr="00A95804">
        <w:rPr>
          <w:rFonts w:ascii="Times New Roman" w:eastAsia="Calibri" w:hAnsi="Times New Roman"/>
          <w:sz w:val="24"/>
          <w:szCs w:val="24"/>
        </w:rPr>
        <w:t xml:space="preserve"> već samo osobe koje se u određenim svojstvima pojavljuju u određenim vrstama postupaka, budući da samo one imaju određena saznanja ili specifična znanja za utvrđivanje i ocjenu neke važne činjenice, odnosno davanje iskaza, subjekt počinjenja kaznenog djela davanja lažnog iskaza ne može biti određen odnosnom zamjenicom „tko“. </w:t>
      </w:r>
    </w:p>
    <w:p w14:paraId="7E2DC307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 xml:space="preserve">Nadalje, </w:t>
      </w:r>
      <w:r w:rsidR="0092213F">
        <w:rPr>
          <w:rFonts w:ascii="Times New Roman" w:eastAsia="Calibri" w:hAnsi="Times New Roman"/>
          <w:sz w:val="24"/>
          <w:szCs w:val="24"/>
        </w:rPr>
        <w:t xml:space="preserve">Vlada Republike Hrvatske ističe kako je </w:t>
      </w:r>
      <w:r w:rsidRPr="00A95804">
        <w:rPr>
          <w:rFonts w:ascii="Times New Roman" w:eastAsia="Calibri" w:hAnsi="Times New Roman"/>
          <w:sz w:val="24"/>
          <w:szCs w:val="24"/>
        </w:rPr>
        <w:t>postupak pred radnim tijelima Hrvatskog</w:t>
      </w:r>
      <w:r w:rsidR="0092213F">
        <w:rPr>
          <w:rFonts w:ascii="Times New Roman" w:eastAsia="Calibri" w:hAnsi="Times New Roman"/>
          <w:sz w:val="24"/>
          <w:szCs w:val="24"/>
        </w:rPr>
        <w:t>a</w:t>
      </w:r>
      <w:r w:rsidRPr="00A95804">
        <w:rPr>
          <w:rFonts w:ascii="Times New Roman" w:eastAsia="Calibri" w:hAnsi="Times New Roman"/>
          <w:sz w:val="24"/>
          <w:szCs w:val="24"/>
        </w:rPr>
        <w:t xml:space="preserve"> sabora definiran Poslovnikom Hrvatskog sabora. Tako je člankom 44. Poslovnika</w:t>
      </w:r>
      <w:r w:rsidR="0092213F">
        <w:rPr>
          <w:rFonts w:ascii="Times New Roman" w:eastAsia="Calibri" w:hAnsi="Times New Roman"/>
          <w:sz w:val="24"/>
          <w:szCs w:val="24"/>
        </w:rPr>
        <w:t xml:space="preserve"> Hrvatskoga sabora propisano da su r</w:t>
      </w:r>
      <w:r w:rsidRPr="00A95804">
        <w:rPr>
          <w:rFonts w:ascii="Times New Roman" w:eastAsia="Calibri" w:hAnsi="Times New Roman"/>
          <w:sz w:val="24"/>
          <w:szCs w:val="24"/>
        </w:rPr>
        <w:t xml:space="preserve">adna tijela </w:t>
      </w:r>
      <w:r w:rsidR="0092213F">
        <w:rPr>
          <w:rFonts w:ascii="Times New Roman" w:eastAsia="Calibri" w:hAnsi="Times New Roman"/>
          <w:sz w:val="24"/>
          <w:szCs w:val="24"/>
        </w:rPr>
        <w:t>Hrvatskoga s</w:t>
      </w:r>
      <w:r w:rsidRPr="00A95804">
        <w:rPr>
          <w:rFonts w:ascii="Times New Roman" w:eastAsia="Calibri" w:hAnsi="Times New Roman"/>
          <w:sz w:val="24"/>
          <w:szCs w:val="24"/>
        </w:rPr>
        <w:t>abora odbori i povjerenstva osnovani Poslovnikom</w:t>
      </w:r>
      <w:r w:rsidR="0092213F">
        <w:rPr>
          <w:rFonts w:ascii="Times New Roman" w:eastAsia="Calibri" w:hAnsi="Times New Roman"/>
          <w:sz w:val="24"/>
          <w:szCs w:val="24"/>
        </w:rPr>
        <w:t xml:space="preserve"> Hrvatskoga sabora</w:t>
      </w:r>
      <w:r w:rsidRPr="00A95804">
        <w:rPr>
          <w:rFonts w:ascii="Times New Roman" w:eastAsia="Calibri" w:hAnsi="Times New Roman"/>
          <w:sz w:val="24"/>
          <w:szCs w:val="24"/>
        </w:rPr>
        <w:t xml:space="preserve">. U radnom tijelu Sabora raspravlja se o prijedlozima i poticajima za donošenje zakona i drugih akata te o drugim pitanjima iz djelokruga </w:t>
      </w:r>
      <w:r w:rsidR="0092213F">
        <w:rPr>
          <w:rFonts w:ascii="Times New Roman" w:eastAsia="Calibri" w:hAnsi="Times New Roman"/>
          <w:sz w:val="24"/>
          <w:szCs w:val="24"/>
        </w:rPr>
        <w:t>Hrvatskoga s</w:t>
      </w:r>
      <w:r w:rsidRPr="00A95804">
        <w:rPr>
          <w:rFonts w:ascii="Times New Roman" w:eastAsia="Calibri" w:hAnsi="Times New Roman"/>
          <w:sz w:val="24"/>
          <w:szCs w:val="24"/>
        </w:rPr>
        <w:t xml:space="preserve">abora. Radno tijelo </w:t>
      </w:r>
      <w:r w:rsidR="0092213F">
        <w:rPr>
          <w:rFonts w:ascii="Times New Roman" w:eastAsia="Calibri" w:hAnsi="Times New Roman"/>
          <w:sz w:val="24"/>
          <w:szCs w:val="24"/>
        </w:rPr>
        <w:t>Hrvatskoga s</w:t>
      </w:r>
      <w:r w:rsidRPr="00A95804">
        <w:rPr>
          <w:rFonts w:ascii="Times New Roman" w:eastAsia="Calibri" w:hAnsi="Times New Roman"/>
          <w:sz w:val="24"/>
          <w:szCs w:val="24"/>
        </w:rPr>
        <w:t>abora prati, u okviru svog djelokruga, rad Vlade</w:t>
      </w:r>
      <w:r w:rsidR="0092213F">
        <w:rPr>
          <w:rFonts w:ascii="Times New Roman" w:eastAsia="Calibri" w:hAnsi="Times New Roman"/>
          <w:sz w:val="24"/>
          <w:szCs w:val="24"/>
        </w:rPr>
        <w:t xml:space="preserve"> Republike Hrvatske</w:t>
      </w:r>
      <w:r w:rsidRPr="00A95804">
        <w:rPr>
          <w:rFonts w:ascii="Times New Roman" w:eastAsia="Calibri" w:hAnsi="Times New Roman"/>
          <w:sz w:val="24"/>
          <w:szCs w:val="24"/>
        </w:rPr>
        <w:t xml:space="preserve"> i drugih tijela čiji rad nadzire </w:t>
      </w:r>
      <w:r w:rsidR="0092213F">
        <w:rPr>
          <w:rFonts w:ascii="Times New Roman" w:eastAsia="Calibri" w:hAnsi="Times New Roman"/>
          <w:sz w:val="24"/>
          <w:szCs w:val="24"/>
        </w:rPr>
        <w:t xml:space="preserve">Hrvatski </w:t>
      </w:r>
      <w:r w:rsidRPr="00A95804">
        <w:rPr>
          <w:rFonts w:ascii="Times New Roman" w:eastAsia="Calibri" w:hAnsi="Times New Roman"/>
          <w:sz w:val="24"/>
          <w:szCs w:val="24"/>
        </w:rPr>
        <w:t xml:space="preserve">Sabor u skladu s Ustavom Republike Hrvatske i zakonom. Radno tijelo </w:t>
      </w:r>
      <w:r w:rsidR="0092213F">
        <w:rPr>
          <w:rFonts w:ascii="Times New Roman" w:eastAsia="Calibri" w:hAnsi="Times New Roman"/>
          <w:sz w:val="24"/>
          <w:szCs w:val="24"/>
        </w:rPr>
        <w:t>Hrvatskoga s</w:t>
      </w:r>
      <w:r w:rsidRPr="00A95804">
        <w:rPr>
          <w:rFonts w:ascii="Times New Roman" w:eastAsia="Calibri" w:hAnsi="Times New Roman"/>
          <w:sz w:val="24"/>
          <w:szCs w:val="24"/>
        </w:rPr>
        <w:t xml:space="preserve">abora raspravlja o izvješćima i poslovnicima tijela i pravnih osoba koje imaju javne ovlasti, koja oni na temelju zakona podnose </w:t>
      </w:r>
      <w:r w:rsidR="0092213F">
        <w:rPr>
          <w:rFonts w:ascii="Times New Roman" w:eastAsia="Calibri" w:hAnsi="Times New Roman"/>
          <w:sz w:val="24"/>
          <w:szCs w:val="24"/>
        </w:rPr>
        <w:t>Hrvatskome s</w:t>
      </w:r>
      <w:r w:rsidRPr="00A95804">
        <w:rPr>
          <w:rFonts w:ascii="Times New Roman" w:eastAsia="Calibri" w:hAnsi="Times New Roman"/>
          <w:sz w:val="24"/>
          <w:szCs w:val="24"/>
        </w:rPr>
        <w:t xml:space="preserve">aboru, a o kojima </w:t>
      </w:r>
      <w:r w:rsidR="0092213F">
        <w:rPr>
          <w:rFonts w:ascii="Times New Roman" w:eastAsia="Calibri" w:hAnsi="Times New Roman"/>
          <w:sz w:val="24"/>
          <w:szCs w:val="24"/>
        </w:rPr>
        <w:t>Hrvatski s</w:t>
      </w:r>
      <w:r w:rsidRPr="00A95804">
        <w:rPr>
          <w:rFonts w:ascii="Times New Roman" w:eastAsia="Calibri" w:hAnsi="Times New Roman"/>
          <w:sz w:val="24"/>
          <w:szCs w:val="24"/>
        </w:rPr>
        <w:t xml:space="preserve">abor odlučuje bez rasprave. </w:t>
      </w:r>
    </w:p>
    <w:p w14:paraId="3C9FDF66" w14:textId="77777777" w:rsidR="00A95804" w:rsidRPr="00A95804" w:rsidRDefault="00A95804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t>Slijedom citiranih odredbi, kojima se definira djelokrug poslova pred radnim tijelima Hrvatskog</w:t>
      </w:r>
      <w:r w:rsidR="0092213F">
        <w:rPr>
          <w:rFonts w:ascii="Times New Roman" w:eastAsia="Calibri" w:hAnsi="Times New Roman"/>
          <w:sz w:val="24"/>
          <w:szCs w:val="24"/>
        </w:rPr>
        <w:t>a</w:t>
      </w:r>
      <w:r w:rsidRPr="00A95804">
        <w:rPr>
          <w:rFonts w:ascii="Times New Roman" w:eastAsia="Calibri" w:hAnsi="Times New Roman"/>
          <w:sz w:val="24"/>
          <w:szCs w:val="24"/>
        </w:rPr>
        <w:t xml:space="preserve"> sabora, razvidno je kako se pred istima ne daje iskaz u smislu članka 305. Kaznenog zakona, koji kao objekt radnje predstavlja konstitutivni element bića kaznenog djela davanja lažnog iskaza.</w:t>
      </w:r>
    </w:p>
    <w:p w14:paraId="5C4A2FA2" w14:textId="77777777" w:rsidR="00A95804" w:rsidRPr="00A95804" w:rsidRDefault="0092213F" w:rsidP="002254C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Vlada Republike Hrvatske ističe kako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i u postupku pred Povjerenstvom za </w:t>
      </w:r>
      <w:r w:rsidR="0087094F">
        <w:rPr>
          <w:rFonts w:ascii="Times New Roman" w:eastAsia="Calibri" w:hAnsi="Times New Roman"/>
          <w:sz w:val="24"/>
          <w:szCs w:val="24"/>
        </w:rPr>
        <w:t>odlučivanju o sukobu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interesa, počinitelj kaznenog djela davanja lažnog iskaza</w:t>
      </w:r>
      <w:r w:rsidR="008F104E">
        <w:rPr>
          <w:rFonts w:ascii="Times New Roman" w:eastAsia="Calibri" w:hAnsi="Times New Roman"/>
          <w:sz w:val="24"/>
          <w:szCs w:val="24"/>
        </w:rPr>
        <w:t>, zbog gore navedenog,</w:t>
      </w:r>
      <w:r w:rsidR="00A95804" w:rsidRPr="00A95804">
        <w:rPr>
          <w:rFonts w:ascii="Times New Roman" w:eastAsia="Calibri" w:hAnsi="Times New Roman"/>
          <w:sz w:val="24"/>
          <w:szCs w:val="24"/>
        </w:rPr>
        <w:t xml:space="preserve"> ne bi mogao biti bilo tko. </w:t>
      </w:r>
    </w:p>
    <w:p w14:paraId="2512430E" w14:textId="77777777" w:rsidR="00A95804" w:rsidRPr="00A10AA8" w:rsidRDefault="00A95804" w:rsidP="00A10AA8">
      <w:pPr>
        <w:ind w:firstLine="1418"/>
        <w:jc w:val="both"/>
        <w:rPr>
          <w:rFonts w:ascii="Times New Roman" w:hAnsi="Times New Roman"/>
        </w:rPr>
      </w:pPr>
      <w:r w:rsidRPr="00A95804">
        <w:rPr>
          <w:rFonts w:ascii="Times New Roman" w:eastAsia="Calibri" w:hAnsi="Times New Roman"/>
          <w:sz w:val="24"/>
          <w:szCs w:val="24"/>
        </w:rPr>
        <w:t>Nadalje, u odnosu na prijedlog za dopunom kaznenog djela sprječavanja dokazivanja i to na način da se mijenja stavak 1.</w:t>
      </w:r>
      <w:r w:rsidR="0092213F">
        <w:rPr>
          <w:rFonts w:ascii="Times New Roman" w:eastAsia="Calibri" w:hAnsi="Times New Roman"/>
          <w:sz w:val="24"/>
          <w:szCs w:val="24"/>
        </w:rPr>
        <w:t xml:space="preserve"> Kaznenog zakona</w:t>
      </w:r>
      <w:r w:rsidRPr="00A95804">
        <w:rPr>
          <w:rFonts w:ascii="Times New Roman" w:eastAsia="Calibri" w:hAnsi="Times New Roman"/>
          <w:sz w:val="24"/>
          <w:szCs w:val="24"/>
        </w:rPr>
        <w:t>, ukazuj</w:t>
      </w:r>
      <w:r w:rsidR="0092213F">
        <w:rPr>
          <w:rFonts w:ascii="Times New Roman" w:eastAsia="Calibri" w:hAnsi="Times New Roman"/>
          <w:sz w:val="24"/>
          <w:szCs w:val="24"/>
        </w:rPr>
        <w:t xml:space="preserve">emo kako je stavak 1., </w:t>
      </w:r>
      <w:r w:rsidRPr="00A95804">
        <w:rPr>
          <w:rFonts w:ascii="Times New Roman" w:eastAsia="Calibri" w:hAnsi="Times New Roman"/>
          <w:sz w:val="24"/>
          <w:szCs w:val="24"/>
        </w:rPr>
        <w:t xml:space="preserve">usklađen s </w:t>
      </w:r>
      <w:r w:rsidR="00A10AA8">
        <w:rPr>
          <w:rFonts w:ascii="Times New Roman" w:hAnsi="Times New Roman"/>
          <w:color w:val="000000"/>
          <w:shd w:val="clear" w:color="auto" w:fill="FFFFFF"/>
        </w:rPr>
        <w:t>Konvencijom Ujedi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njenih naroda protiv transnacionalnoga organiziranog kriminaliteta, Protokolom za sprječava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nje, suzbija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nje i kaž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njava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nje krijumčare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 xml:space="preserve">nja 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ljudi, posebice žena i djece te Protokolom protiv krijumčare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nja migranata kopnom, morem i zrakom, kojima se dopu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njuje Konvencija Ujedi</w:t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</w:r>
      <w:r w:rsidR="00A10AA8">
        <w:rPr>
          <w:rFonts w:ascii="Times New Roman" w:hAnsi="Times New Roman"/>
          <w:color w:val="000000"/>
          <w:shd w:val="clear" w:color="auto" w:fill="FFFFFF"/>
        </w:rPr>
        <w:softHyphen/>
        <w:t>njenih naroda protiv transnacionalnoga organiziranog kriminaliteta</w:t>
      </w:r>
      <w:r w:rsidR="00A10AA8">
        <w:rPr>
          <w:rFonts w:ascii="Times New Roman" w:eastAsia="Calibri" w:hAnsi="Times New Roman"/>
          <w:sz w:val="24"/>
          <w:szCs w:val="24"/>
        </w:rPr>
        <w:t xml:space="preserve"> </w:t>
      </w:r>
      <w:r w:rsidRPr="00A95804">
        <w:rPr>
          <w:rFonts w:ascii="Times New Roman" w:eastAsia="Calibri" w:hAnsi="Times New Roman"/>
          <w:sz w:val="24"/>
          <w:szCs w:val="24"/>
        </w:rPr>
        <w:t>(</w:t>
      </w:r>
      <w:r w:rsidR="0092213F">
        <w:rPr>
          <w:rFonts w:ascii="Times New Roman" w:eastAsia="Calibri" w:hAnsi="Times New Roman"/>
          <w:sz w:val="24"/>
          <w:szCs w:val="24"/>
        </w:rPr>
        <w:t>„</w:t>
      </w:r>
      <w:r w:rsidRPr="00A95804">
        <w:rPr>
          <w:rFonts w:ascii="Times New Roman" w:eastAsia="Calibri" w:hAnsi="Times New Roman"/>
          <w:sz w:val="24"/>
          <w:szCs w:val="24"/>
        </w:rPr>
        <w:t>Narodne novine</w:t>
      </w:r>
      <w:r w:rsidR="0092213F">
        <w:rPr>
          <w:rFonts w:ascii="Times New Roman" w:eastAsia="Calibri" w:hAnsi="Times New Roman"/>
          <w:sz w:val="24"/>
          <w:szCs w:val="24"/>
        </w:rPr>
        <w:t>“, MU broj 14/</w:t>
      </w:r>
      <w:r w:rsidRPr="00A95804">
        <w:rPr>
          <w:rFonts w:ascii="Times New Roman" w:eastAsia="Calibri" w:hAnsi="Times New Roman"/>
          <w:sz w:val="24"/>
          <w:szCs w:val="24"/>
        </w:rPr>
        <w:t>02</w:t>
      </w:r>
      <w:r w:rsidR="0092213F">
        <w:rPr>
          <w:rFonts w:ascii="Times New Roman" w:eastAsia="Calibri" w:hAnsi="Times New Roman"/>
          <w:sz w:val="24"/>
          <w:szCs w:val="24"/>
        </w:rPr>
        <w:t>.</w:t>
      </w:r>
      <w:r w:rsidR="000A23EC">
        <w:rPr>
          <w:rFonts w:ascii="Times New Roman" w:eastAsia="Calibri" w:hAnsi="Times New Roman"/>
          <w:sz w:val="24"/>
          <w:szCs w:val="24"/>
        </w:rPr>
        <w:t>).</w:t>
      </w:r>
    </w:p>
    <w:p w14:paraId="48A32476" w14:textId="77777777" w:rsidR="00865CD2" w:rsidRPr="00865CD2" w:rsidRDefault="00A95804" w:rsidP="00865CD2">
      <w:pPr>
        <w:spacing w:after="160" w:line="259" w:lineRule="auto"/>
        <w:ind w:firstLine="1416"/>
        <w:jc w:val="both"/>
        <w:rPr>
          <w:rFonts w:ascii="Times New Roman" w:eastAsia="Calibri" w:hAnsi="Times New Roman"/>
          <w:sz w:val="24"/>
          <w:szCs w:val="24"/>
        </w:rPr>
      </w:pPr>
      <w:r w:rsidRPr="00A95804">
        <w:rPr>
          <w:rFonts w:ascii="Times New Roman" w:eastAsia="Calibri" w:hAnsi="Times New Roman"/>
          <w:sz w:val="24"/>
          <w:szCs w:val="24"/>
        </w:rPr>
        <w:lastRenderedPageBreak/>
        <w:t>Međutim, ukoliko je intencija predlagatelja bila dopuna stavka 2.</w:t>
      </w:r>
      <w:r w:rsidR="0092213F">
        <w:rPr>
          <w:rFonts w:ascii="Times New Roman" w:eastAsia="Calibri" w:hAnsi="Times New Roman"/>
          <w:sz w:val="24"/>
          <w:szCs w:val="24"/>
        </w:rPr>
        <w:t xml:space="preserve"> Kaznenog zakona</w:t>
      </w:r>
      <w:r w:rsidRPr="00A95804">
        <w:rPr>
          <w:rFonts w:ascii="Times New Roman" w:eastAsia="Calibri" w:hAnsi="Times New Roman"/>
          <w:sz w:val="24"/>
          <w:szCs w:val="24"/>
        </w:rPr>
        <w:t xml:space="preserve">, što je izgledno s obzirom na sadržaj prijedloga, ukazujemo kako se ovim člankom s obzirom na zaštitni objekt-pravosuđe gledano u širem smislu riječi, radnja počinjenja može odnositi samo na sprječavanje ili znatno otežavanje dokazivanja, - procesne radnje usmjerene na utvrđivanje činjenica u postupku, a ne i na širenje inkriminacije na sprječavanje ili znatno otežavanje donošenja bilo kojih vrsta odluka. </w:t>
      </w:r>
    </w:p>
    <w:p w14:paraId="35BA9B6F" w14:textId="77777777" w:rsidR="00865CD2" w:rsidRPr="00865CD2" w:rsidRDefault="00865CD2" w:rsidP="00865CD2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865CD2">
        <w:rPr>
          <w:rFonts w:ascii="Times New Roman" w:hAnsi="Times New Roman"/>
          <w:sz w:val="24"/>
          <w:szCs w:val="24"/>
        </w:rPr>
        <w:t xml:space="preserve">Za svoje predstavnike, koji će u vezi s iznesenim mišljenjem biti nazočni na sjednicama Hrvatskoga sabora i njegovih radnih tijela, Vlada je odredila </w:t>
      </w:r>
      <w:r w:rsidRPr="00865CD2">
        <w:rPr>
          <w:rStyle w:val="Zadanifontodlomka"/>
          <w:rFonts w:ascii="Times New Roman" w:hAnsi="Times New Roman"/>
          <w:spacing w:val="-3"/>
          <w:sz w:val="24"/>
          <w:szCs w:val="24"/>
        </w:rPr>
        <w:t xml:space="preserve">ministra pravosuđa i uprave </w:t>
      </w:r>
      <w:r w:rsidRPr="00865CD2">
        <w:rPr>
          <w:rFonts w:ascii="Times New Roman" w:hAnsi="Times New Roman"/>
          <w:sz w:val="24"/>
          <w:szCs w:val="24"/>
        </w:rPr>
        <w:t xml:space="preserve">dr. sc. </w:t>
      </w:r>
      <w:r w:rsidRPr="00865CD2">
        <w:rPr>
          <w:rStyle w:val="Zadanifontodlomka"/>
          <w:rFonts w:ascii="Times New Roman" w:hAnsi="Times New Roman"/>
          <w:spacing w:val="-3"/>
          <w:sz w:val="24"/>
          <w:szCs w:val="24"/>
        </w:rPr>
        <w:t xml:space="preserve">Ivana Malenicu i državne tajnike </w:t>
      </w:r>
      <w:r w:rsidRPr="00865CD2">
        <w:rPr>
          <w:rFonts w:ascii="Times New Roman" w:hAnsi="Times New Roman"/>
          <w:sz w:val="24"/>
          <w:szCs w:val="24"/>
        </w:rPr>
        <w:t>mr.sc. Josipa Salapića, Sanjina Rukavinu i Juru Martinovića.</w:t>
      </w:r>
    </w:p>
    <w:p w14:paraId="52E9BFA0" w14:textId="77777777" w:rsidR="00865CD2" w:rsidRPr="00BD18A3" w:rsidRDefault="00865CD2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6C692FD8" w14:textId="77777777" w:rsidR="00A95804" w:rsidRDefault="00A95804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1A5D5FB1" w14:textId="77777777" w:rsidR="00A95804" w:rsidRDefault="00A95804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B2CC446" w14:textId="77777777" w:rsidR="00BD18A3" w:rsidRPr="002254C2" w:rsidRDefault="00865CD2" w:rsidP="002254C2">
      <w:pPr>
        <w:tabs>
          <w:tab w:val="left" w:pos="1260"/>
        </w:tabs>
        <w:autoSpaceDE w:val="0"/>
        <w:autoSpaceDN w:val="0"/>
        <w:adjustRightInd w:val="0"/>
        <w:ind w:firstLine="652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BD18A3" w:rsidRPr="002254C2">
        <w:rPr>
          <w:rFonts w:ascii="Times New Roman" w:hAnsi="Times New Roman"/>
          <w:bCs/>
          <w:sz w:val="24"/>
          <w:szCs w:val="24"/>
        </w:rPr>
        <w:t>PREDSJEDNIK</w:t>
      </w:r>
    </w:p>
    <w:p w14:paraId="4F726308" w14:textId="77777777" w:rsidR="00BD18A3" w:rsidRPr="002254C2" w:rsidRDefault="00BD18A3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24E0D2F" w14:textId="77777777" w:rsidR="00BD18A3" w:rsidRPr="002254C2" w:rsidRDefault="00BD18A3" w:rsidP="00BD18A3">
      <w:pPr>
        <w:tabs>
          <w:tab w:val="left" w:pos="126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Pr="002254C2">
        <w:rPr>
          <w:rFonts w:ascii="Times New Roman" w:hAnsi="Times New Roman"/>
          <w:bCs/>
          <w:sz w:val="24"/>
          <w:szCs w:val="24"/>
        </w:rPr>
        <w:tab/>
      </w:r>
      <w:r w:rsidR="00135B54" w:rsidRPr="002254C2">
        <w:rPr>
          <w:rFonts w:ascii="Times New Roman" w:hAnsi="Times New Roman"/>
          <w:bCs/>
          <w:sz w:val="24"/>
          <w:szCs w:val="24"/>
        </w:rPr>
        <w:t xml:space="preserve">mr. sc. </w:t>
      </w:r>
      <w:r w:rsidR="00F36F36" w:rsidRPr="002254C2">
        <w:rPr>
          <w:rFonts w:ascii="Times New Roman" w:hAnsi="Times New Roman"/>
          <w:bCs/>
          <w:sz w:val="24"/>
          <w:szCs w:val="24"/>
        </w:rPr>
        <w:t>Andrej Plenković</w:t>
      </w:r>
    </w:p>
    <w:p w14:paraId="375CB7C4" w14:textId="77777777" w:rsidR="0062643E" w:rsidRDefault="0062643E" w:rsidP="003D4E27">
      <w:pPr>
        <w:jc w:val="both"/>
        <w:rPr>
          <w:rFonts w:ascii="Times New Roman" w:hAnsi="Times New Roman"/>
          <w:sz w:val="24"/>
          <w:szCs w:val="24"/>
        </w:rPr>
      </w:pPr>
    </w:p>
    <w:p w14:paraId="7B029F0F" w14:textId="77777777" w:rsidR="0062643E" w:rsidRDefault="0062643E" w:rsidP="003D4E27">
      <w:pPr>
        <w:jc w:val="both"/>
        <w:rPr>
          <w:rFonts w:ascii="Times New Roman" w:hAnsi="Times New Roman"/>
          <w:sz w:val="24"/>
          <w:szCs w:val="24"/>
        </w:rPr>
      </w:pPr>
    </w:p>
    <w:p w14:paraId="2E9CFFE1" w14:textId="77777777" w:rsidR="00EA0C88" w:rsidRPr="00101A32" w:rsidRDefault="00EA0C88" w:rsidP="00101A32">
      <w:pPr>
        <w:jc w:val="both"/>
        <w:rPr>
          <w:rFonts w:ascii="Times New Roman" w:hAnsi="Times New Roman"/>
          <w:sz w:val="24"/>
          <w:szCs w:val="24"/>
        </w:rPr>
      </w:pPr>
    </w:p>
    <w:sectPr w:rsidR="00EA0C88" w:rsidRPr="00101A32" w:rsidSect="00922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AFD24" w14:textId="77777777" w:rsidR="000301BE" w:rsidRDefault="000301BE" w:rsidP="002254C2">
      <w:r>
        <w:separator/>
      </w:r>
    </w:p>
  </w:endnote>
  <w:endnote w:type="continuationSeparator" w:id="0">
    <w:p w14:paraId="3C4E29CA" w14:textId="77777777" w:rsidR="000301BE" w:rsidRDefault="000301BE" w:rsidP="0022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13746" w14:textId="77777777" w:rsidR="000301BE" w:rsidRDefault="000301BE" w:rsidP="002254C2">
      <w:r>
        <w:separator/>
      </w:r>
    </w:p>
  </w:footnote>
  <w:footnote w:type="continuationSeparator" w:id="0">
    <w:p w14:paraId="27825EC9" w14:textId="77777777" w:rsidR="000301BE" w:rsidRDefault="000301BE" w:rsidP="002254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6C"/>
    <w:rsid w:val="00003C7A"/>
    <w:rsid w:val="000155CA"/>
    <w:rsid w:val="000301BE"/>
    <w:rsid w:val="000A23EC"/>
    <w:rsid w:val="00101A32"/>
    <w:rsid w:val="00135B54"/>
    <w:rsid w:val="002254C2"/>
    <w:rsid w:val="00230A47"/>
    <w:rsid w:val="002333E0"/>
    <w:rsid w:val="002635B8"/>
    <w:rsid w:val="002C3494"/>
    <w:rsid w:val="002E6FD3"/>
    <w:rsid w:val="0030503D"/>
    <w:rsid w:val="00311577"/>
    <w:rsid w:val="00315270"/>
    <w:rsid w:val="003152A5"/>
    <w:rsid w:val="00315F6C"/>
    <w:rsid w:val="00326EBA"/>
    <w:rsid w:val="003559E1"/>
    <w:rsid w:val="0036015A"/>
    <w:rsid w:val="0037206C"/>
    <w:rsid w:val="003B141A"/>
    <w:rsid w:val="003D4E27"/>
    <w:rsid w:val="00405B3C"/>
    <w:rsid w:val="004453A6"/>
    <w:rsid w:val="004569FE"/>
    <w:rsid w:val="00460AB9"/>
    <w:rsid w:val="004844A6"/>
    <w:rsid w:val="004879CF"/>
    <w:rsid w:val="004A715A"/>
    <w:rsid w:val="004B429E"/>
    <w:rsid w:val="004C5A8F"/>
    <w:rsid w:val="004E0375"/>
    <w:rsid w:val="00556EFB"/>
    <w:rsid w:val="00571D17"/>
    <w:rsid w:val="005911A6"/>
    <w:rsid w:val="005C7F56"/>
    <w:rsid w:val="005E4E11"/>
    <w:rsid w:val="00624944"/>
    <w:rsid w:val="0062643E"/>
    <w:rsid w:val="00636FD5"/>
    <w:rsid w:val="006728D8"/>
    <w:rsid w:val="00677008"/>
    <w:rsid w:val="006948C2"/>
    <w:rsid w:val="006A73BB"/>
    <w:rsid w:val="006D331D"/>
    <w:rsid w:val="00714E78"/>
    <w:rsid w:val="00720B8B"/>
    <w:rsid w:val="00744BED"/>
    <w:rsid w:val="007C732C"/>
    <w:rsid w:val="007D075C"/>
    <w:rsid w:val="007E418D"/>
    <w:rsid w:val="007F70DA"/>
    <w:rsid w:val="0084015A"/>
    <w:rsid w:val="00857853"/>
    <w:rsid w:val="00865CD2"/>
    <w:rsid w:val="0087094F"/>
    <w:rsid w:val="00885206"/>
    <w:rsid w:val="008C13B7"/>
    <w:rsid w:val="008E2358"/>
    <w:rsid w:val="008F104E"/>
    <w:rsid w:val="0092213F"/>
    <w:rsid w:val="00963D97"/>
    <w:rsid w:val="009B7A09"/>
    <w:rsid w:val="009E731B"/>
    <w:rsid w:val="00A10AA8"/>
    <w:rsid w:val="00A16BD5"/>
    <w:rsid w:val="00A2482C"/>
    <w:rsid w:val="00A506DF"/>
    <w:rsid w:val="00A55228"/>
    <w:rsid w:val="00A654F3"/>
    <w:rsid w:val="00A95804"/>
    <w:rsid w:val="00AA419C"/>
    <w:rsid w:val="00AB24FE"/>
    <w:rsid w:val="00AC6C8C"/>
    <w:rsid w:val="00AE2509"/>
    <w:rsid w:val="00B15071"/>
    <w:rsid w:val="00B24F34"/>
    <w:rsid w:val="00B3246A"/>
    <w:rsid w:val="00B429BF"/>
    <w:rsid w:val="00B824DC"/>
    <w:rsid w:val="00BD18A3"/>
    <w:rsid w:val="00C312BF"/>
    <w:rsid w:val="00C719DB"/>
    <w:rsid w:val="00C751D3"/>
    <w:rsid w:val="00CE6ED5"/>
    <w:rsid w:val="00D31C8C"/>
    <w:rsid w:val="00D67864"/>
    <w:rsid w:val="00D821E8"/>
    <w:rsid w:val="00DA39DA"/>
    <w:rsid w:val="00DB4CB1"/>
    <w:rsid w:val="00DD3B23"/>
    <w:rsid w:val="00DD7B92"/>
    <w:rsid w:val="00DE0D4B"/>
    <w:rsid w:val="00E070D7"/>
    <w:rsid w:val="00E20AA5"/>
    <w:rsid w:val="00E6366E"/>
    <w:rsid w:val="00EA0C88"/>
    <w:rsid w:val="00EA7DC1"/>
    <w:rsid w:val="00F36F36"/>
    <w:rsid w:val="00F44328"/>
    <w:rsid w:val="00F5604D"/>
    <w:rsid w:val="00F61E2B"/>
    <w:rsid w:val="00F62B26"/>
    <w:rsid w:val="00F8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5932F1"/>
  <w15:docId w15:val="{DD0DEC22-649A-4269-9AD9-5AB3194B7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B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1A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54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4C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54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4C2"/>
    <w:rPr>
      <w:rFonts w:ascii="Calibri" w:hAnsi="Calibri" w:cs="Times New Roman"/>
    </w:rPr>
  </w:style>
  <w:style w:type="character" w:customStyle="1" w:styleId="Zadanifontodlomka">
    <w:name w:val="Zadani font odlomka"/>
    <w:rsid w:val="0086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54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2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68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93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7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2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431F-C2AC-454E-A3CD-FF6A34E6D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1042</Words>
  <Characters>5944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Kovačević</dc:creator>
  <cp:lastModifiedBy>Mladen Duvnjak</cp:lastModifiedBy>
  <cp:revision>12</cp:revision>
  <cp:lastPrinted>2018-01-08T11:59:00Z</cp:lastPrinted>
  <dcterms:created xsi:type="dcterms:W3CDTF">2021-11-04T14:53:00Z</dcterms:created>
  <dcterms:modified xsi:type="dcterms:W3CDTF">2021-11-24T07:55:00Z</dcterms:modified>
</cp:coreProperties>
</file>