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26CC3" w14:textId="77777777" w:rsidR="00076F0C" w:rsidRDefault="00076F0C" w:rsidP="00076F0C">
      <w:pPr>
        <w:tabs>
          <w:tab w:val="left" w:pos="7545"/>
        </w:tabs>
      </w:pPr>
    </w:p>
    <w:p w14:paraId="5C8352CC" w14:textId="77777777" w:rsidR="00076F0C" w:rsidRDefault="00076F0C" w:rsidP="00076F0C">
      <w:pPr>
        <w:jc w:val="center"/>
      </w:pPr>
      <w:r>
        <w:rPr>
          <w:noProof/>
        </w:rPr>
        <w:drawing>
          <wp:inline distT="0" distB="0" distL="0" distR="0" wp14:anchorId="52C966ED" wp14:editId="137E63FF">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50C53C5" w14:textId="77777777" w:rsidR="00076F0C" w:rsidRDefault="00076F0C" w:rsidP="00076F0C">
      <w:pPr>
        <w:spacing w:before="60" w:after="1680"/>
        <w:jc w:val="center"/>
        <w:rPr>
          <w:sz w:val="28"/>
        </w:rPr>
      </w:pPr>
      <w:r>
        <w:rPr>
          <w:sz w:val="28"/>
        </w:rPr>
        <w:t>VLADA REPUBLIKE HRVATSKE</w:t>
      </w:r>
    </w:p>
    <w:p w14:paraId="34F6897A" w14:textId="77777777" w:rsidR="00076F0C" w:rsidRDefault="00076F0C" w:rsidP="00076F0C">
      <w:pPr>
        <w:spacing w:before="60" w:after="1680"/>
        <w:jc w:val="center"/>
      </w:pPr>
      <w:r>
        <w:rPr>
          <w:sz w:val="28"/>
        </w:rPr>
        <w:t xml:space="preserve">                                                                                     </w:t>
      </w:r>
      <w:r>
        <w:t>Zagreb, 24. studenoga 2021.</w:t>
      </w:r>
    </w:p>
    <w:p w14:paraId="7104F026" w14:textId="77777777" w:rsidR="00076F0C" w:rsidRDefault="00076F0C" w:rsidP="00076F0C">
      <w:pPr>
        <w:pBdr>
          <w:bottom w:val="single" w:sz="4" w:space="1" w:color="auto"/>
        </w:pBdr>
      </w:pPr>
    </w:p>
    <w:p w14:paraId="657DD20C" w14:textId="77777777" w:rsidR="00076F0C" w:rsidRDefault="00076F0C" w:rsidP="00076F0C">
      <w:pPr>
        <w:pBdr>
          <w:bottom w:val="single" w:sz="4" w:space="1" w:color="auto"/>
        </w:pBdr>
      </w:pPr>
    </w:p>
    <w:tbl>
      <w:tblPr>
        <w:tblW w:w="0" w:type="auto"/>
        <w:tblLook w:val="04A0" w:firstRow="1" w:lastRow="0" w:firstColumn="1" w:lastColumn="0" w:noHBand="0" w:noVBand="1"/>
      </w:tblPr>
      <w:tblGrid>
        <w:gridCol w:w="2236"/>
        <w:gridCol w:w="6834"/>
      </w:tblGrid>
      <w:tr w:rsidR="00076F0C" w14:paraId="27E84E3C" w14:textId="77777777" w:rsidTr="00AA2C9E">
        <w:tc>
          <w:tcPr>
            <w:tcW w:w="2243" w:type="dxa"/>
            <w:hideMark/>
          </w:tcPr>
          <w:p w14:paraId="26EFF419" w14:textId="77777777" w:rsidR="00076F0C" w:rsidRDefault="00076F0C" w:rsidP="00AA2C9E">
            <w:pPr>
              <w:spacing w:line="360" w:lineRule="auto"/>
            </w:pPr>
            <w:r>
              <w:rPr>
                <w:smallCaps/>
              </w:rPr>
              <w:t>PREDLAGATELJ</w:t>
            </w:r>
            <w:r>
              <w:t>:</w:t>
            </w:r>
          </w:p>
        </w:tc>
        <w:tc>
          <w:tcPr>
            <w:tcW w:w="7117" w:type="dxa"/>
            <w:hideMark/>
          </w:tcPr>
          <w:p w14:paraId="5E741F79" w14:textId="77777777" w:rsidR="00076F0C" w:rsidRDefault="00076F0C" w:rsidP="00AA2C9E">
            <w:pPr>
              <w:autoSpaceDE w:val="0"/>
              <w:autoSpaceDN w:val="0"/>
              <w:adjustRightInd w:val="0"/>
              <w:rPr>
                <w:color w:val="000000"/>
              </w:rPr>
            </w:pPr>
            <w:r>
              <w:rPr>
                <w:bCs/>
                <w:color w:val="000000"/>
              </w:rPr>
              <w:t>Ministarstvo mora, prometa i infrastrukture</w:t>
            </w:r>
          </w:p>
        </w:tc>
      </w:tr>
    </w:tbl>
    <w:p w14:paraId="160E0F25" w14:textId="77777777" w:rsidR="00076F0C" w:rsidRDefault="00076F0C" w:rsidP="00076F0C">
      <w:pPr>
        <w:spacing w:line="360" w:lineRule="auto"/>
      </w:pPr>
      <w:r>
        <w:t>________________________________________________________________________</w:t>
      </w:r>
    </w:p>
    <w:tbl>
      <w:tblPr>
        <w:tblW w:w="0" w:type="auto"/>
        <w:tblLook w:val="04A0" w:firstRow="1" w:lastRow="0" w:firstColumn="1" w:lastColumn="0" w:noHBand="0" w:noVBand="1"/>
      </w:tblPr>
      <w:tblGrid>
        <w:gridCol w:w="1942"/>
        <w:gridCol w:w="7128"/>
      </w:tblGrid>
      <w:tr w:rsidR="00076F0C" w14:paraId="5B20F542" w14:textId="77777777" w:rsidTr="00AA2C9E">
        <w:tc>
          <w:tcPr>
            <w:tcW w:w="1951" w:type="dxa"/>
            <w:hideMark/>
          </w:tcPr>
          <w:p w14:paraId="3467AC86" w14:textId="77777777" w:rsidR="00076F0C" w:rsidRDefault="00076F0C" w:rsidP="00AA2C9E">
            <w:pPr>
              <w:spacing w:line="360" w:lineRule="auto"/>
            </w:pPr>
            <w:r>
              <w:rPr>
                <w:smallCaps/>
              </w:rPr>
              <w:t xml:space="preserve">           PREDMET</w:t>
            </w:r>
            <w:r>
              <w:rPr>
                <w:b/>
              </w:rPr>
              <w:t xml:space="preserve">: </w:t>
            </w:r>
          </w:p>
        </w:tc>
        <w:tc>
          <w:tcPr>
            <w:tcW w:w="7229" w:type="dxa"/>
            <w:hideMark/>
          </w:tcPr>
          <w:p w14:paraId="08525F5C" w14:textId="77777777" w:rsidR="00076F0C" w:rsidRDefault="00076F0C" w:rsidP="00AA2C9E">
            <w:pPr>
              <w:autoSpaceDE w:val="0"/>
              <w:autoSpaceDN w:val="0"/>
              <w:adjustRightInd w:val="0"/>
              <w:jc w:val="both"/>
              <w:rPr>
                <w:color w:val="000000"/>
              </w:rPr>
            </w:pPr>
            <w:r>
              <w:rPr>
                <w:color w:val="000000"/>
              </w:rPr>
              <w:t>Prijedlog zakona o izmjenama i dopunama Zakona o uspostavi infrastrukture za alternativna goriva</w:t>
            </w:r>
          </w:p>
        </w:tc>
      </w:tr>
    </w:tbl>
    <w:p w14:paraId="1A6DBE98" w14:textId="77777777" w:rsidR="00076F0C" w:rsidRDefault="00076F0C" w:rsidP="00076F0C">
      <w:pPr>
        <w:tabs>
          <w:tab w:val="left" w:pos="1843"/>
        </w:tabs>
        <w:spacing w:line="360" w:lineRule="auto"/>
      </w:pPr>
      <w:r>
        <w:t>________________________________________________________________________</w:t>
      </w:r>
    </w:p>
    <w:p w14:paraId="7F3589FB" w14:textId="77777777" w:rsidR="00076F0C" w:rsidRDefault="00076F0C" w:rsidP="00076F0C">
      <w:pPr>
        <w:spacing w:after="200" w:line="276" w:lineRule="auto"/>
        <w:rPr>
          <w:rFonts w:eastAsia="Calibri"/>
        </w:rPr>
      </w:pPr>
    </w:p>
    <w:p w14:paraId="43FB6E4D" w14:textId="77777777" w:rsidR="00076F0C" w:rsidRDefault="00076F0C" w:rsidP="00076F0C">
      <w:pPr>
        <w:spacing w:after="200" w:line="276" w:lineRule="auto"/>
        <w:rPr>
          <w:rFonts w:eastAsia="Calibri"/>
        </w:rPr>
      </w:pPr>
    </w:p>
    <w:p w14:paraId="1FC34D3A" w14:textId="77777777" w:rsidR="00076F0C" w:rsidRDefault="00076F0C" w:rsidP="00076F0C">
      <w:pPr>
        <w:spacing w:after="200" w:line="276" w:lineRule="auto"/>
        <w:rPr>
          <w:rFonts w:eastAsia="Calibri"/>
        </w:rPr>
      </w:pPr>
    </w:p>
    <w:p w14:paraId="227667F7" w14:textId="77777777" w:rsidR="00076F0C" w:rsidRDefault="00076F0C" w:rsidP="00076F0C">
      <w:pPr>
        <w:spacing w:after="200" w:line="276" w:lineRule="auto"/>
        <w:rPr>
          <w:rFonts w:eastAsia="Calibri"/>
        </w:rPr>
      </w:pPr>
    </w:p>
    <w:p w14:paraId="337F238E" w14:textId="77777777" w:rsidR="00076F0C" w:rsidRDefault="00076F0C" w:rsidP="00076F0C">
      <w:pPr>
        <w:spacing w:after="200" w:line="276" w:lineRule="auto"/>
        <w:rPr>
          <w:rFonts w:eastAsia="Calibri"/>
        </w:rPr>
      </w:pPr>
    </w:p>
    <w:p w14:paraId="2F83DA99" w14:textId="77777777" w:rsidR="00076F0C" w:rsidRDefault="00076F0C" w:rsidP="00076F0C">
      <w:pPr>
        <w:spacing w:after="200" w:line="276" w:lineRule="auto"/>
        <w:rPr>
          <w:rFonts w:eastAsia="Calibri"/>
        </w:rPr>
      </w:pPr>
    </w:p>
    <w:p w14:paraId="7065FB84" w14:textId="77777777" w:rsidR="00076F0C" w:rsidRDefault="00076F0C" w:rsidP="00076F0C">
      <w:pPr>
        <w:spacing w:after="200" w:line="276" w:lineRule="auto"/>
        <w:rPr>
          <w:rFonts w:eastAsia="Calibri"/>
        </w:rPr>
      </w:pPr>
    </w:p>
    <w:p w14:paraId="136EF24A" w14:textId="77777777" w:rsidR="00076F0C" w:rsidRDefault="00076F0C" w:rsidP="00076F0C">
      <w:pPr>
        <w:spacing w:after="200" w:line="276" w:lineRule="auto"/>
        <w:rPr>
          <w:rFonts w:eastAsia="Calibri"/>
        </w:rPr>
      </w:pPr>
    </w:p>
    <w:p w14:paraId="2251B3C3" w14:textId="77777777" w:rsidR="00076F0C" w:rsidRDefault="00076F0C" w:rsidP="00076F0C">
      <w:pPr>
        <w:spacing w:after="200" w:line="276" w:lineRule="auto"/>
        <w:rPr>
          <w:rFonts w:eastAsia="Calibri"/>
        </w:rPr>
      </w:pPr>
    </w:p>
    <w:p w14:paraId="336A0021" w14:textId="77777777" w:rsidR="00076F0C" w:rsidRDefault="00076F0C" w:rsidP="00076F0C">
      <w:pPr>
        <w:spacing w:after="200" w:line="276" w:lineRule="auto"/>
        <w:rPr>
          <w:rFonts w:eastAsia="Calibri"/>
        </w:rPr>
      </w:pPr>
    </w:p>
    <w:p w14:paraId="0493C5FD" w14:textId="77777777" w:rsidR="00076F0C" w:rsidRDefault="00076F0C" w:rsidP="00076F0C">
      <w:pPr>
        <w:spacing w:after="200" w:line="276" w:lineRule="auto"/>
        <w:rPr>
          <w:rFonts w:eastAsia="Calibri"/>
        </w:rPr>
      </w:pPr>
    </w:p>
    <w:p w14:paraId="341F1FC7" w14:textId="77777777" w:rsidR="00076F0C" w:rsidRDefault="00076F0C" w:rsidP="00076F0C">
      <w:pPr>
        <w:spacing w:after="200" w:line="276" w:lineRule="auto"/>
        <w:rPr>
          <w:rFonts w:eastAsia="Calibri"/>
        </w:rPr>
      </w:pPr>
    </w:p>
    <w:p w14:paraId="2912D6DB" w14:textId="77777777" w:rsidR="00076F0C" w:rsidRDefault="00076F0C" w:rsidP="00076F0C">
      <w:pPr>
        <w:pBdr>
          <w:top w:val="single" w:sz="4" w:space="1" w:color="404040"/>
        </w:pBdr>
        <w:tabs>
          <w:tab w:val="center" w:pos="4536"/>
          <w:tab w:val="right" w:pos="9072"/>
        </w:tabs>
        <w:jc w:val="center"/>
        <w:rPr>
          <w:rStyle w:val="000000"/>
          <w:rFonts w:eastAsia="Calibri"/>
          <w:color w:val="404040"/>
          <w:spacing w:val="20"/>
          <w:sz w:val="20"/>
        </w:rPr>
      </w:pPr>
      <w:r>
        <w:rPr>
          <w:rFonts w:eastAsia="Calibri"/>
          <w:color w:val="404040"/>
          <w:spacing w:val="20"/>
          <w:sz w:val="20"/>
        </w:rPr>
        <w:t>Banski dvori | Trg Sv. Marka 2 | 10000 Zagreb | tel. 01 4569 222 | vlada.gov.hr</w:t>
      </w:r>
    </w:p>
    <w:p w14:paraId="08F3A3A4" w14:textId="72CEF591" w:rsidR="00BC796D" w:rsidRPr="002109C8" w:rsidRDefault="00BC796D" w:rsidP="00076F0C">
      <w:pPr>
        <w:pBdr>
          <w:bottom w:val="single" w:sz="12" w:space="1" w:color="auto"/>
        </w:pBdr>
        <w:suppressAutoHyphens/>
        <w:jc w:val="center"/>
        <w:rPr>
          <w:rFonts w:eastAsia="Calibri"/>
          <w:b/>
          <w:spacing w:val="-3"/>
        </w:rPr>
      </w:pPr>
      <w:r w:rsidRPr="002109C8">
        <w:rPr>
          <w:rFonts w:eastAsia="Calibri"/>
          <w:b/>
          <w:spacing w:val="-3"/>
        </w:rPr>
        <w:lastRenderedPageBreak/>
        <w:t>VLADA REPUBLIKE HRVATSKE</w:t>
      </w:r>
    </w:p>
    <w:p w14:paraId="05D97A9C" w14:textId="77777777" w:rsidR="00BC796D" w:rsidRPr="002109C8" w:rsidRDefault="00BC796D" w:rsidP="00BC796D">
      <w:pPr>
        <w:suppressAutoHyphens/>
        <w:jc w:val="center"/>
        <w:rPr>
          <w:rFonts w:eastAsia="Calibri"/>
          <w:b/>
          <w:spacing w:val="-3"/>
        </w:rPr>
      </w:pPr>
    </w:p>
    <w:p w14:paraId="034176B6" w14:textId="77777777" w:rsidR="00BC796D" w:rsidRPr="002109C8" w:rsidRDefault="00BC796D" w:rsidP="00BC796D">
      <w:pPr>
        <w:jc w:val="center"/>
        <w:rPr>
          <w:b/>
          <w:snapToGrid w:val="0"/>
          <w:spacing w:val="-3"/>
          <w:lang w:eastAsia="en-US"/>
        </w:rPr>
      </w:pPr>
    </w:p>
    <w:p w14:paraId="0173D4E6" w14:textId="77777777" w:rsidR="00BC796D" w:rsidRPr="002109C8" w:rsidRDefault="00BC796D" w:rsidP="00BC796D">
      <w:pPr>
        <w:autoSpaceDE w:val="0"/>
        <w:autoSpaceDN w:val="0"/>
        <w:adjustRightInd w:val="0"/>
        <w:jc w:val="center"/>
        <w:rPr>
          <w:b/>
          <w:bCs/>
        </w:rPr>
      </w:pPr>
    </w:p>
    <w:p w14:paraId="53BB388C" w14:textId="77777777" w:rsidR="00BC796D" w:rsidRPr="002109C8" w:rsidRDefault="00BC796D" w:rsidP="00BC796D">
      <w:pPr>
        <w:autoSpaceDE w:val="0"/>
        <w:autoSpaceDN w:val="0"/>
        <w:adjustRightInd w:val="0"/>
        <w:jc w:val="center"/>
        <w:rPr>
          <w:b/>
          <w:bCs/>
        </w:rPr>
      </w:pPr>
    </w:p>
    <w:p w14:paraId="50753E26" w14:textId="77777777" w:rsidR="00BC796D" w:rsidRPr="002109C8" w:rsidRDefault="00BC796D" w:rsidP="00BC796D">
      <w:pPr>
        <w:autoSpaceDE w:val="0"/>
        <w:autoSpaceDN w:val="0"/>
        <w:adjustRightInd w:val="0"/>
        <w:jc w:val="center"/>
        <w:rPr>
          <w:b/>
          <w:bCs/>
        </w:rPr>
      </w:pPr>
    </w:p>
    <w:p w14:paraId="3CDE2919" w14:textId="77777777" w:rsidR="00BC796D" w:rsidRPr="002109C8" w:rsidRDefault="00BC796D" w:rsidP="00BC796D">
      <w:pPr>
        <w:autoSpaceDE w:val="0"/>
        <w:autoSpaceDN w:val="0"/>
        <w:adjustRightInd w:val="0"/>
        <w:jc w:val="center"/>
        <w:rPr>
          <w:b/>
          <w:bCs/>
        </w:rPr>
      </w:pPr>
    </w:p>
    <w:p w14:paraId="31DB7023" w14:textId="77777777" w:rsidR="00BC796D" w:rsidRPr="002109C8" w:rsidRDefault="00BC796D" w:rsidP="00BC796D">
      <w:pPr>
        <w:autoSpaceDE w:val="0"/>
        <w:autoSpaceDN w:val="0"/>
        <w:adjustRightInd w:val="0"/>
        <w:jc w:val="center"/>
        <w:rPr>
          <w:b/>
          <w:bCs/>
        </w:rPr>
      </w:pPr>
    </w:p>
    <w:p w14:paraId="4A69B034" w14:textId="77777777" w:rsidR="00BC796D" w:rsidRPr="002109C8" w:rsidRDefault="00BC796D" w:rsidP="00BC796D">
      <w:pPr>
        <w:autoSpaceDE w:val="0"/>
        <w:autoSpaceDN w:val="0"/>
        <w:adjustRightInd w:val="0"/>
        <w:jc w:val="center"/>
        <w:rPr>
          <w:b/>
          <w:bCs/>
        </w:rPr>
      </w:pPr>
    </w:p>
    <w:p w14:paraId="53998B4A" w14:textId="77777777" w:rsidR="00BC796D" w:rsidRPr="002109C8" w:rsidRDefault="00BC796D" w:rsidP="00BC796D">
      <w:pPr>
        <w:autoSpaceDE w:val="0"/>
        <w:autoSpaceDN w:val="0"/>
        <w:adjustRightInd w:val="0"/>
        <w:jc w:val="center"/>
        <w:rPr>
          <w:b/>
          <w:bCs/>
        </w:rPr>
      </w:pPr>
    </w:p>
    <w:p w14:paraId="44816BE7" w14:textId="77777777" w:rsidR="00BC796D" w:rsidRPr="002109C8" w:rsidRDefault="00BC796D" w:rsidP="00BC796D">
      <w:pPr>
        <w:autoSpaceDE w:val="0"/>
        <w:autoSpaceDN w:val="0"/>
        <w:adjustRightInd w:val="0"/>
        <w:jc w:val="center"/>
        <w:rPr>
          <w:b/>
          <w:bCs/>
        </w:rPr>
      </w:pPr>
    </w:p>
    <w:p w14:paraId="3415447A" w14:textId="77777777" w:rsidR="00BC796D" w:rsidRPr="002109C8" w:rsidRDefault="00BC796D" w:rsidP="00BC796D">
      <w:pPr>
        <w:autoSpaceDE w:val="0"/>
        <w:autoSpaceDN w:val="0"/>
        <w:adjustRightInd w:val="0"/>
        <w:jc w:val="center"/>
        <w:rPr>
          <w:b/>
          <w:bCs/>
        </w:rPr>
      </w:pPr>
    </w:p>
    <w:p w14:paraId="2EF0C1B5" w14:textId="77777777" w:rsidR="00BC796D" w:rsidRPr="002109C8" w:rsidRDefault="00BC796D" w:rsidP="00BC796D">
      <w:pPr>
        <w:autoSpaceDE w:val="0"/>
        <w:autoSpaceDN w:val="0"/>
        <w:adjustRightInd w:val="0"/>
        <w:jc w:val="center"/>
        <w:rPr>
          <w:b/>
          <w:bCs/>
        </w:rPr>
      </w:pPr>
    </w:p>
    <w:p w14:paraId="6543F7DF" w14:textId="77777777" w:rsidR="00BC796D" w:rsidRPr="002109C8" w:rsidRDefault="00BC796D" w:rsidP="00BC796D">
      <w:pPr>
        <w:autoSpaceDE w:val="0"/>
        <w:autoSpaceDN w:val="0"/>
        <w:adjustRightInd w:val="0"/>
        <w:jc w:val="center"/>
        <w:rPr>
          <w:b/>
          <w:bCs/>
        </w:rPr>
      </w:pPr>
    </w:p>
    <w:p w14:paraId="7B890BE9" w14:textId="77777777" w:rsidR="00BC796D" w:rsidRPr="002109C8" w:rsidRDefault="00BC796D" w:rsidP="00BC796D">
      <w:pPr>
        <w:autoSpaceDE w:val="0"/>
        <w:autoSpaceDN w:val="0"/>
        <w:adjustRightInd w:val="0"/>
        <w:jc w:val="center"/>
        <w:rPr>
          <w:b/>
          <w:bCs/>
        </w:rPr>
      </w:pPr>
    </w:p>
    <w:p w14:paraId="539AEB0B" w14:textId="77777777" w:rsidR="00BC796D" w:rsidRPr="002109C8" w:rsidRDefault="00BC796D" w:rsidP="00BC796D">
      <w:pPr>
        <w:autoSpaceDE w:val="0"/>
        <w:autoSpaceDN w:val="0"/>
        <w:adjustRightInd w:val="0"/>
        <w:jc w:val="center"/>
        <w:rPr>
          <w:b/>
          <w:bCs/>
        </w:rPr>
      </w:pPr>
    </w:p>
    <w:p w14:paraId="7937F982" w14:textId="77777777" w:rsidR="00BC796D" w:rsidRPr="002109C8" w:rsidRDefault="00BC796D" w:rsidP="00BC796D">
      <w:pPr>
        <w:autoSpaceDE w:val="0"/>
        <w:autoSpaceDN w:val="0"/>
        <w:adjustRightInd w:val="0"/>
        <w:jc w:val="center"/>
        <w:rPr>
          <w:b/>
          <w:bCs/>
        </w:rPr>
      </w:pPr>
    </w:p>
    <w:p w14:paraId="736BDB5F" w14:textId="77777777" w:rsidR="00BC796D" w:rsidRPr="002109C8" w:rsidRDefault="00BC796D" w:rsidP="00BC796D">
      <w:pPr>
        <w:autoSpaceDE w:val="0"/>
        <w:autoSpaceDN w:val="0"/>
        <w:adjustRightInd w:val="0"/>
        <w:jc w:val="center"/>
        <w:rPr>
          <w:b/>
          <w:bCs/>
        </w:rPr>
      </w:pPr>
    </w:p>
    <w:p w14:paraId="0BCBC220" w14:textId="77777777" w:rsidR="00BC796D" w:rsidRDefault="00BC796D" w:rsidP="00BC796D">
      <w:pPr>
        <w:autoSpaceDE w:val="0"/>
        <w:autoSpaceDN w:val="0"/>
        <w:adjustRightInd w:val="0"/>
        <w:jc w:val="center"/>
        <w:rPr>
          <w:b/>
          <w:bCs/>
        </w:rPr>
      </w:pPr>
    </w:p>
    <w:p w14:paraId="22E30DC8" w14:textId="77777777" w:rsidR="007611F8" w:rsidRDefault="007611F8" w:rsidP="00BC796D">
      <w:pPr>
        <w:autoSpaceDE w:val="0"/>
        <w:autoSpaceDN w:val="0"/>
        <w:adjustRightInd w:val="0"/>
        <w:jc w:val="center"/>
        <w:rPr>
          <w:b/>
          <w:bCs/>
        </w:rPr>
      </w:pPr>
    </w:p>
    <w:p w14:paraId="7B94886B" w14:textId="77777777" w:rsidR="007611F8" w:rsidRDefault="007611F8" w:rsidP="00BC796D">
      <w:pPr>
        <w:autoSpaceDE w:val="0"/>
        <w:autoSpaceDN w:val="0"/>
        <w:adjustRightInd w:val="0"/>
        <w:jc w:val="center"/>
        <w:rPr>
          <w:b/>
          <w:bCs/>
        </w:rPr>
      </w:pPr>
    </w:p>
    <w:p w14:paraId="0C427E1D" w14:textId="77777777" w:rsidR="007611F8" w:rsidRDefault="007611F8" w:rsidP="00BC796D">
      <w:pPr>
        <w:autoSpaceDE w:val="0"/>
        <w:autoSpaceDN w:val="0"/>
        <w:adjustRightInd w:val="0"/>
        <w:jc w:val="center"/>
        <w:rPr>
          <w:b/>
          <w:bCs/>
        </w:rPr>
      </w:pPr>
    </w:p>
    <w:p w14:paraId="6DECE125" w14:textId="77777777" w:rsidR="007611F8" w:rsidRDefault="007611F8" w:rsidP="00BC796D">
      <w:pPr>
        <w:autoSpaceDE w:val="0"/>
        <w:autoSpaceDN w:val="0"/>
        <w:adjustRightInd w:val="0"/>
        <w:jc w:val="center"/>
        <w:rPr>
          <w:b/>
          <w:bCs/>
        </w:rPr>
      </w:pPr>
    </w:p>
    <w:p w14:paraId="338634A4" w14:textId="77777777" w:rsidR="007611F8" w:rsidRDefault="007611F8" w:rsidP="00BC796D">
      <w:pPr>
        <w:autoSpaceDE w:val="0"/>
        <w:autoSpaceDN w:val="0"/>
        <w:adjustRightInd w:val="0"/>
        <w:jc w:val="center"/>
        <w:rPr>
          <w:b/>
          <w:bCs/>
        </w:rPr>
      </w:pPr>
    </w:p>
    <w:p w14:paraId="3E9E3625" w14:textId="77777777" w:rsidR="007611F8" w:rsidRPr="002109C8" w:rsidRDefault="007611F8" w:rsidP="00BC796D">
      <w:pPr>
        <w:autoSpaceDE w:val="0"/>
        <w:autoSpaceDN w:val="0"/>
        <w:adjustRightInd w:val="0"/>
        <w:jc w:val="center"/>
        <w:rPr>
          <w:b/>
          <w:bCs/>
        </w:rPr>
      </w:pPr>
    </w:p>
    <w:p w14:paraId="568FF69E" w14:textId="77777777" w:rsidR="00BC796D" w:rsidRPr="002109C8" w:rsidRDefault="00BC796D" w:rsidP="00BC796D">
      <w:pPr>
        <w:autoSpaceDE w:val="0"/>
        <w:autoSpaceDN w:val="0"/>
        <w:adjustRightInd w:val="0"/>
        <w:jc w:val="center"/>
        <w:rPr>
          <w:b/>
          <w:bCs/>
        </w:rPr>
      </w:pPr>
      <w:r w:rsidRPr="002109C8">
        <w:rPr>
          <w:b/>
          <w:bCs/>
        </w:rPr>
        <w:t>NACRT PRIJEDLOGA ZAKONA O IZMJENAMA I DOPUNAMA</w:t>
      </w:r>
    </w:p>
    <w:p w14:paraId="6BF4E8AF" w14:textId="77777777" w:rsidR="00BC796D" w:rsidRPr="002109C8" w:rsidRDefault="00BC796D" w:rsidP="00BC796D">
      <w:pPr>
        <w:autoSpaceDE w:val="0"/>
        <w:autoSpaceDN w:val="0"/>
        <w:adjustRightInd w:val="0"/>
        <w:jc w:val="center"/>
        <w:rPr>
          <w:b/>
          <w:bCs/>
        </w:rPr>
      </w:pPr>
      <w:r w:rsidRPr="002109C8">
        <w:rPr>
          <w:b/>
          <w:bCs/>
        </w:rPr>
        <w:t xml:space="preserve">ZAKONA O </w:t>
      </w:r>
      <w:r w:rsidRPr="002109C8">
        <w:rPr>
          <w:b/>
          <w:color w:val="000000"/>
        </w:rPr>
        <w:t xml:space="preserve">USPOSTAVI INFRASTRUKTURE ZA ALTERNATIVNA GORIVA </w:t>
      </w:r>
    </w:p>
    <w:p w14:paraId="2D8F60E2" w14:textId="77777777" w:rsidR="00BC796D" w:rsidRPr="002109C8" w:rsidRDefault="00BC796D" w:rsidP="00BC796D">
      <w:pPr>
        <w:autoSpaceDE w:val="0"/>
        <w:autoSpaceDN w:val="0"/>
        <w:adjustRightInd w:val="0"/>
        <w:jc w:val="center"/>
        <w:rPr>
          <w:b/>
          <w:bCs/>
        </w:rPr>
      </w:pPr>
    </w:p>
    <w:p w14:paraId="708499BC" w14:textId="77777777" w:rsidR="00BC796D" w:rsidRPr="002109C8" w:rsidRDefault="00BC796D" w:rsidP="00BC796D">
      <w:pPr>
        <w:autoSpaceDE w:val="0"/>
        <w:autoSpaceDN w:val="0"/>
        <w:adjustRightInd w:val="0"/>
        <w:jc w:val="center"/>
        <w:rPr>
          <w:b/>
          <w:bCs/>
        </w:rPr>
      </w:pPr>
    </w:p>
    <w:p w14:paraId="2A0AC71F" w14:textId="77777777" w:rsidR="00BC796D" w:rsidRPr="002109C8" w:rsidRDefault="00BC796D" w:rsidP="00BC796D">
      <w:pPr>
        <w:autoSpaceDE w:val="0"/>
        <w:autoSpaceDN w:val="0"/>
        <w:adjustRightInd w:val="0"/>
        <w:jc w:val="center"/>
        <w:rPr>
          <w:b/>
          <w:bCs/>
        </w:rPr>
      </w:pPr>
    </w:p>
    <w:p w14:paraId="7A85B39E" w14:textId="77777777" w:rsidR="00BC796D" w:rsidRPr="002109C8" w:rsidRDefault="00BC796D" w:rsidP="00BC796D">
      <w:pPr>
        <w:autoSpaceDE w:val="0"/>
        <w:autoSpaceDN w:val="0"/>
        <w:adjustRightInd w:val="0"/>
        <w:jc w:val="center"/>
        <w:rPr>
          <w:b/>
          <w:bCs/>
        </w:rPr>
      </w:pPr>
    </w:p>
    <w:p w14:paraId="7648BFE9" w14:textId="77777777" w:rsidR="00BC796D" w:rsidRPr="002109C8" w:rsidRDefault="00BC796D" w:rsidP="00BC796D">
      <w:pPr>
        <w:autoSpaceDE w:val="0"/>
        <w:autoSpaceDN w:val="0"/>
        <w:adjustRightInd w:val="0"/>
        <w:jc w:val="center"/>
        <w:rPr>
          <w:b/>
          <w:bCs/>
        </w:rPr>
      </w:pPr>
    </w:p>
    <w:p w14:paraId="5FF7563D" w14:textId="77777777" w:rsidR="00BC796D" w:rsidRPr="002109C8" w:rsidRDefault="00BC796D" w:rsidP="00BC796D">
      <w:pPr>
        <w:autoSpaceDE w:val="0"/>
        <w:autoSpaceDN w:val="0"/>
        <w:adjustRightInd w:val="0"/>
        <w:jc w:val="center"/>
        <w:rPr>
          <w:b/>
          <w:bCs/>
        </w:rPr>
      </w:pPr>
    </w:p>
    <w:p w14:paraId="2EB44118" w14:textId="77777777" w:rsidR="00BC796D" w:rsidRPr="002109C8" w:rsidRDefault="00BC796D" w:rsidP="00BC796D">
      <w:pPr>
        <w:autoSpaceDE w:val="0"/>
        <w:autoSpaceDN w:val="0"/>
        <w:adjustRightInd w:val="0"/>
        <w:jc w:val="center"/>
        <w:rPr>
          <w:b/>
          <w:bCs/>
        </w:rPr>
      </w:pPr>
    </w:p>
    <w:p w14:paraId="543214E0" w14:textId="77777777" w:rsidR="00BC796D" w:rsidRPr="002109C8" w:rsidRDefault="00BC796D" w:rsidP="00BC796D">
      <w:pPr>
        <w:autoSpaceDE w:val="0"/>
        <w:autoSpaceDN w:val="0"/>
        <w:adjustRightInd w:val="0"/>
        <w:jc w:val="center"/>
        <w:rPr>
          <w:b/>
          <w:bCs/>
        </w:rPr>
      </w:pPr>
    </w:p>
    <w:p w14:paraId="2057C971" w14:textId="77777777" w:rsidR="00BC796D" w:rsidRPr="002109C8" w:rsidRDefault="00BC796D" w:rsidP="00BC796D">
      <w:pPr>
        <w:autoSpaceDE w:val="0"/>
        <w:autoSpaceDN w:val="0"/>
        <w:adjustRightInd w:val="0"/>
        <w:jc w:val="center"/>
        <w:rPr>
          <w:b/>
          <w:bCs/>
        </w:rPr>
      </w:pPr>
    </w:p>
    <w:p w14:paraId="62D7B563" w14:textId="77777777" w:rsidR="00BC796D" w:rsidRPr="002109C8" w:rsidRDefault="00BC796D" w:rsidP="00BC796D">
      <w:pPr>
        <w:autoSpaceDE w:val="0"/>
        <w:autoSpaceDN w:val="0"/>
        <w:adjustRightInd w:val="0"/>
        <w:jc w:val="center"/>
        <w:rPr>
          <w:b/>
          <w:bCs/>
        </w:rPr>
      </w:pPr>
    </w:p>
    <w:p w14:paraId="08567FCB" w14:textId="77777777" w:rsidR="00BC796D" w:rsidRPr="002109C8" w:rsidRDefault="00BC796D" w:rsidP="00BC796D">
      <w:pPr>
        <w:autoSpaceDE w:val="0"/>
        <w:autoSpaceDN w:val="0"/>
        <w:adjustRightInd w:val="0"/>
        <w:jc w:val="center"/>
        <w:rPr>
          <w:b/>
          <w:bCs/>
        </w:rPr>
      </w:pPr>
    </w:p>
    <w:p w14:paraId="797146A4" w14:textId="77777777" w:rsidR="00BC796D" w:rsidRPr="002109C8" w:rsidRDefault="00BC796D" w:rsidP="00BC796D">
      <w:pPr>
        <w:autoSpaceDE w:val="0"/>
        <w:autoSpaceDN w:val="0"/>
        <w:adjustRightInd w:val="0"/>
        <w:jc w:val="center"/>
        <w:rPr>
          <w:b/>
          <w:bCs/>
        </w:rPr>
      </w:pPr>
    </w:p>
    <w:p w14:paraId="09AFEEC1" w14:textId="77777777" w:rsidR="00BC796D" w:rsidRPr="002109C8" w:rsidRDefault="00BC796D" w:rsidP="00BC796D">
      <w:pPr>
        <w:autoSpaceDE w:val="0"/>
        <w:autoSpaceDN w:val="0"/>
        <w:adjustRightInd w:val="0"/>
        <w:jc w:val="center"/>
        <w:rPr>
          <w:b/>
          <w:bCs/>
        </w:rPr>
      </w:pPr>
    </w:p>
    <w:p w14:paraId="3D670841" w14:textId="77777777" w:rsidR="00BC796D" w:rsidRPr="002109C8" w:rsidRDefault="00BC796D" w:rsidP="00BC796D">
      <w:pPr>
        <w:autoSpaceDE w:val="0"/>
        <w:autoSpaceDN w:val="0"/>
        <w:adjustRightInd w:val="0"/>
        <w:jc w:val="center"/>
        <w:rPr>
          <w:b/>
          <w:bCs/>
        </w:rPr>
      </w:pPr>
    </w:p>
    <w:p w14:paraId="34B46A8C" w14:textId="77777777" w:rsidR="00BC796D" w:rsidRPr="002109C8" w:rsidRDefault="00BC796D" w:rsidP="00BC796D">
      <w:pPr>
        <w:autoSpaceDE w:val="0"/>
        <w:autoSpaceDN w:val="0"/>
        <w:adjustRightInd w:val="0"/>
        <w:jc w:val="center"/>
        <w:rPr>
          <w:b/>
          <w:bCs/>
        </w:rPr>
      </w:pPr>
    </w:p>
    <w:p w14:paraId="08685AE6" w14:textId="77777777" w:rsidR="00BC796D" w:rsidRPr="002109C8" w:rsidRDefault="00BC796D" w:rsidP="00BC796D">
      <w:pPr>
        <w:autoSpaceDE w:val="0"/>
        <w:autoSpaceDN w:val="0"/>
        <w:adjustRightInd w:val="0"/>
        <w:jc w:val="center"/>
        <w:rPr>
          <w:b/>
          <w:bCs/>
        </w:rPr>
      </w:pPr>
    </w:p>
    <w:p w14:paraId="2673DB75" w14:textId="77777777" w:rsidR="00BC796D" w:rsidRPr="002109C8" w:rsidRDefault="00BC796D" w:rsidP="00BC796D">
      <w:pPr>
        <w:autoSpaceDE w:val="0"/>
        <w:autoSpaceDN w:val="0"/>
        <w:adjustRightInd w:val="0"/>
        <w:jc w:val="center"/>
        <w:rPr>
          <w:b/>
          <w:bCs/>
        </w:rPr>
      </w:pPr>
    </w:p>
    <w:p w14:paraId="45B6F04B" w14:textId="77777777" w:rsidR="00BC796D" w:rsidRPr="002109C8" w:rsidRDefault="00BC796D" w:rsidP="00BC796D">
      <w:pPr>
        <w:autoSpaceDE w:val="0"/>
        <w:autoSpaceDN w:val="0"/>
        <w:adjustRightInd w:val="0"/>
        <w:jc w:val="center"/>
        <w:rPr>
          <w:b/>
          <w:bCs/>
        </w:rPr>
      </w:pPr>
    </w:p>
    <w:p w14:paraId="162D5074" w14:textId="77777777" w:rsidR="00BC796D" w:rsidRPr="002109C8" w:rsidRDefault="00BC796D" w:rsidP="00BC796D">
      <w:pPr>
        <w:autoSpaceDE w:val="0"/>
        <w:autoSpaceDN w:val="0"/>
        <w:adjustRightInd w:val="0"/>
        <w:jc w:val="center"/>
        <w:rPr>
          <w:b/>
          <w:bCs/>
        </w:rPr>
      </w:pPr>
    </w:p>
    <w:p w14:paraId="6374387F" w14:textId="77777777" w:rsidR="00BC796D" w:rsidRPr="002109C8" w:rsidRDefault="00BC796D" w:rsidP="00BC796D">
      <w:pPr>
        <w:autoSpaceDE w:val="0"/>
        <w:autoSpaceDN w:val="0"/>
        <w:adjustRightInd w:val="0"/>
        <w:jc w:val="center"/>
        <w:rPr>
          <w:b/>
          <w:bCs/>
        </w:rPr>
      </w:pPr>
    </w:p>
    <w:p w14:paraId="7CA84F7A" w14:textId="77777777" w:rsidR="00BC796D" w:rsidRPr="002109C8" w:rsidRDefault="00BC796D" w:rsidP="00BC796D">
      <w:pPr>
        <w:autoSpaceDE w:val="0"/>
        <w:autoSpaceDN w:val="0"/>
        <w:adjustRightInd w:val="0"/>
        <w:jc w:val="center"/>
        <w:rPr>
          <w:b/>
          <w:bCs/>
        </w:rPr>
      </w:pPr>
    </w:p>
    <w:p w14:paraId="5FFDF860" w14:textId="77777777" w:rsidR="00BC796D" w:rsidRDefault="00BC796D" w:rsidP="00BC796D">
      <w:pPr>
        <w:pBdr>
          <w:bottom w:val="single" w:sz="12" w:space="1" w:color="auto"/>
        </w:pBdr>
        <w:suppressAutoHyphens/>
        <w:jc w:val="center"/>
        <w:rPr>
          <w:rFonts w:eastAsia="Calibri"/>
          <w:b/>
        </w:rPr>
      </w:pPr>
    </w:p>
    <w:p w14:paraId="2D2E5ADC" w14:textId="77777777" w:rsidR="007611F8" w:rsidRDefault="007611F8" w:rsidP="00BC796D">
      <w:pPr>
        <w:pBdr>
          <w:bottom w:val="single" w:sz="12" w:space="1" w:color="auto"/>
        </w:pBdr>
        <w:suppressAutoHyphens/>
        <w:jc w:val="center"/>
        <w:rPr>
          <w:rFonts w:eastAsia="Calibri"/>
          <w:b/>
        </w:rPr>
      </w:pPr>
    </w:p>
    <w:p w14:paraId="6660778C" w14:textId="77777777" w:rsidR="007611F8" w:rsidRPr="002109C8" w:rsidRDefault="007611F8" w:rsidP="00BC796D">
      <w:pPr>
        <w:pBdr>
          <w:bottom w:val="single" w:sz="12" w:space="1" w:color="auto"/>
        </w:pBdr>
        <w:suppressAutoHyphens/>
        <w:jc w:val="center"/>
        <w:rPr>
          <w:rFonts w:eastAsia="Calibri"/>
          <w:b/>
        </w:rPr>
      </w:pPr>
    </w:p>
    <w:p w14:paraId="1DD71698" w14:textId="0F020504" w:rsidR="00452881" w:rsidRDefault="00BC796D" w:rsidP="007611F8">
      <w:pPr>
        <w:suppressAutoHyphens/>
        <w:jc w:val="center"/>
        <w:rPr>
          <w:rFonts w:eastAsia="Calibri"/>
          <w:b/>
        </w:rPr>
      </w:pPr>
      <w:r w:rsidRPr="002109C8">
        <w:rPr>
          <w:rFonts w:eastAsia="Calibri"/>
          <w:b/>
        </w:rPr>
        <w:t xml:space="preserve">Zagreb, </w:t>
      </w:r>
      <w:r w:rsidR="001F0C11">
        <w:rPr>
          <w:rFonts w:eastAsia="Calibri"/>
          <w:b/>
        </w:rPr>
        <w:t>studeni</w:t>
      </w:r>
      <w:r w:rsidRPr="002109C8">
        <w:rPr>
          <w:rFonts w:eastAsia="Calibri"/>
          <w:b/>
        </w:rPr>
        <w:t xml:space="preserve"> 2021. </w:t>
      </w:r>
    </w:p>
    <w:p w14:paraId="5F8A8BCD" w14:textId="6832750A" w:rsidR="00BC796D" w:rsidRPr="002109C8" w:rsidRDefault="00BC796D" w:rsidP="00452881">
      <w:pPr>
        <w:suppressAutoHyphens/>
        <w:jc w:val="center"/>
        <w:rPr>
          <w:b/>
          <w:bCs/>
        </w:rPr>
      </w:pPr>
      <w:r w:rsidRPr="002109C8">
        <w:rPr>
          <w:b/>
          <w:bCs/>
        </w:rPr>
        <w:lastRenderedPageBreak/>
        <w:t>PRIJEDLOG ZAKONA O IZMJENAMA I</w:t>
      </w:r>
      <w:r w:rsidR="00452881">
        <w:rPr>
          <w:b/>
          <w:bCs/>
        </w:rPr>
        <w:t xml:space="preserve"> </w:t>
      </w:r>
      <w:r w:rsidRPr="002109C8">
        <w:rPr>
          <w:b/>
          <w:bCs/>
        </w:rPr>
        <w:t xml:space="preserve">DOPUNAMA ZAKONA O </w:t>
      </w:r>
      <w:r w:rsidRPr="002109C8">
        <w:rPr>
          <w:b/>
          <w:color w:val="000000"/>
        </w:rPr>
        <w:t>USPOSTAVI INFRASTRUKTURE ZA ALTERNATIVNA GORIVA</w:t>
      </w:r>
    </w:p>
    <w:p w14:paraId="6122155B" w14:textId="77777777" w:rsidR="00BC796D" w:rsidRPr="002109C8" w:rsidRDefault="00BC796D" w:rsidP="00BC796D">
      <w:pPr>
        <w:suppressAutoHyphens/>
        <w:jc w:val="center"/>
        <w:rPr>
          <w:b/>
          <w:bCs/>
        </w:rPr>
      </w:pPr>
    </w:p>
    <w:p w14:paraId="739A34BF" w14:textId="77777777" w:rsidR="00BC796D" w:rsidRPr="002109C8" w:rsidRDefault="00BC796D" w:rsidP="00BC796D">
      <w:pPr>
        <w:autoSpaceDE w:val="0"/>
        <w:autoSpaceDN w:val="0"/>
        <w:adjustRightInd w:val="0"/>
        <w:rPr>
          <w:b/>
          <w:bCs/>
        </w:rPr>
      </w:pPr>
    </w:p>
    <w:p w14:paraId="7DE68AC7" w14:textId="77777777" w:rsidR="00BC796D" w:rsidRPr="002109C8" w:rsidRDefault="00BC796D" w:rsidP="00BC796D">
      <w:pPr>
        <w:numPr>
          <w:ilvl w:val="0"/>
          <w:numId w:val="6"/>
        </w:numPr>
        <w:tabs>
          <w:tab w:val="num" w:pos="709"/>
        </w:tabs>
        <w:autoSpaceDE w:val="0"/>
        <w:autoSpaceDN w:val="0"/>
        <w:adjustRightInd w:val="0"/>
        <w:ind w:left="709" w:hanging="709"/>
        <w:rPr>
          <w:b/>
          <w:bCs/>
        </w:rPr>
      </w:pPr>
      <w:r w:rsidRPr="002109C8">
        <w:rPr>
          <w:b/>
          <w:bCs/>
        </w:rPr>
        <w:t>USTAVNA OSNOVA ZA DONOŠENJE ZAKONA</w:t>
      </w:r>
    </w:p>
    <w:p w14:paraId="1066FD31" w14:textId="77777777" w:rsidR="00BC796D" w:rsidRPr="002109C8" w:rsidRDefault="00BC796D" w:rsidP="00BC796D">
      <w:pPr>
        <w:autoSpaceDE w:val="0"/>
        <w:autoSpaceDN w:val="0"/>
        <w:adjustRightInd w:val="0"/>
        <w:rPr>
          <w:b/>
          <w:bCs/>
        </w:rPr>
      </w:pPr>
    </w:p>
    <w:p w14:paraId="5A0BEEE1" w14:textId="72C0E230" w:rsidR="00BC796D" w:rsidRPr="002109C8" w:rsidRDefault="00BC796D" w:rsidP="00BC796D">
      <w:pPr>
        <w:autoSpaceDE w:val="0"/>
        <w:autoSpaceDN w:val="0"/>
        <w:adjustRightInd w:val="0"/>
        <w:ind w:firstLine="709"/>
        <w:jc w:val="both"/>
      </w:pPr>
      <w:r w:rsidRPr="002109C8">
        <w:t xml:space="preserve">Ustavna osnova za donošenje ovoga </w:t>
      </w:r>
      <w:r w:rsidR="00452881">
        <w:t>Z</w:t>
      </w:r>
      <w:r w:rsidR="00452881" w:rsidRPr="002109C8">
        <w:t xml:space="preserve">akona </w:t>
      </w:r>
      <w:r w:rsidRPr="002109C8">
        <w:t>sadržana je u odredbi članka 2. stavka 4. podstavka 1. Ustava Republike Hrvatske („Narodne novine“, br. 85/10</w:t>
      </w:r>
      <w:r w:rsidR="00452881">
        <w:t>.</w:t>
      </w:r>
      <w:r w:rsidRPr="002109C8">
        <w:t xml:space="preserve"> - pročišćeni tekst i 5/14</w:t>
      </w:r>
      <w:r w:rsidR="00452881">
        <w:t>.</w:t>
      </w:r>
      <w:r w:rsidRPr="002109C8">
        <w:t xml:space="preserve"> - Odluka Ustavnog suda Republike Hrvatske).</w:t>
      </w:r>
    </w:p>
    <w:p w14:paraId="16D822C7" w14:textId="77777777" w:rsidR="00BC796D" w:rsidRPr="002109C8" w:rsidRDefault="00BC796D" w:rsidP="00BC796D">
      <w:pPr>
        <w:autoSpaceDE w:val="0"/>
        <w:autoSpaceDN w:val="0"/>
        <w:adjustRightInd w:val="0"/>
        <w:rPr>
          <w:b/>
          <w:bCs/>
        </w:rPr>
      </w:pPr>
    </w:p>
    <w:p w14:paraId="7CBAFB7D" w14:textId="77777777" w:rsidR="00BC796D" w:rsidRPr="002109C8" w:rsidRDefault="00BC796D" w:rsidP="00BC796D">
      <w:pPr>
        <w:autoSpaceDE w:val="0"/>
        <w:autoSpaceDN w:val="0"/>
        <w:adjustRightInd w:val="0"/>
        <w:rPr>
          <w:b/>
          <w:bCs/>
        </w:rPr>
      </w:pPr>
    </w:p>
    <w:p w14:paraId="2C4EEA64" w14:textId="77777777" w:rsidR="00BC796D" w:rsidRPr="002109C8" w:rsidRDefault="00BC796D" w:rsidP="00BC796D">
      <w:pPr>
        <w:numPr>
          <w:ilvl w:val="0"/>
          <w:numId w:val="6"/>
        </w:numPr>
        <w:tabs>
          <w:tab w:val="num" w:pos="709"/>
        </w:tabs>
        <w:autoSpaceDE w:val="0"/>
        <w:autoSpaceDN w:val="0"/>
        <w:adjustRightInd w:val="0"/>
        <w:ind w:left="709" w:hanging="709"/>
        <w:jc w:val="both"/>
        <w:rPr>
          <w:b/>
          <w:bCs/>
        </w:rPr>
      </w:pPr>
      <w:r w:rsidRPr="002109C8">
        <w:rPr>
          <w:b/>
          <w:bCs/>
        </w:rPr>
        <w:t>OCJENA STANJA I OSNOVNA PITANJA KOJA SE TREBAJU UREDITI ZAKONOM TE POSLJEDICE KOJE ĆE DONOŠENJEM ZAKONA PROISTEĆI</w:t>
      </w:r>
    </w:p>
    <w:p w14:paraId="6A82BB18" w14:textId="77777777" w:rsidR="00BC796D" w:rsidRPr="002109C8" w:rsidRDefault="00BC796D" w:rsidP="00BC796D">
      <w:pPr>
        <w:autoSpaceDE w:val="0"/>
        <w:autoSpaceDN w:val="0"/>
        <w:adjustRightInd w:val="0"/>
        <w:rPr>
          <w:b/>
          <w:bCs/>
        </w:rPr>
      </w:pPr>
    </w:p>
    <w:p w14:paraId="34506D79" w14:textId="77777777" w:rsidR="00BC796D" w:rsidRPr="002109C8" w:rsidRDefault="00BC796D" w:rsidP="00BC796D">
      <w:pPr>
        <w:autoSpaceDE w:val="0"/>
        <w:autoSpaceDN w:val="0"/>
        <w:adjustRightInd w:val="0"/>
        <w:rPr>
          <w:b/>
          <w:bCs/>
        </w:rPr>
      </w:pPr>
      <w:r w:rsidRPr="002109C8">
        <w:rPr>
          <w:b/>
          <w:bCs/>
        </w:rPr>
        <w:tab/>
        <w:t>a)</w:t>
      </w:r>
      <w:r w:rsidRPr="002109C8">
        <w:rPr>
          <w:b/>
          <w:bCs/>
        </w:rPr>
        <w:tab/>
        <w:t>Ocjena stanja</w:t>
      </w:r>
    </w:p>
    <w:p w14:paraId="53647DC4" w14:textId="0311A71B" w:rsidR="00BC796D" w:rsidRPr="002109C8" w:rsidRDefault="00BC796D" w:rsidP="00BC796D">
      <w:pPr>
        <w:jc w:val="both"/>
      </w:pPr>
    </w:p>
    <w:p w14:paraId="5139ABA2" w14:textId="0C2705B2" w:rsidR="00BC796D" w:rsidRPr="002109C8" w:rsidRDefault="00BC796D" w:rsidP="00452881">
      <w:pPr>
        <w:ind w:firstLine="708"/>
        <w:jc w:val="both"/>
      </w:pPr>
      <w:r w:rsidRPr="002109C8">
        <w:t>Pravni okvir za korištenje alternativnih goriva u prometu i razvoj infrastrukture za ista donesen je Zakonom o uspostavi infrastrukture za alternativna goriva („Narodne novine“, br</w:t>
      </w:r>
      <w:r w:rsidR="00452881">
        <w:t>oj</w:t>
      </w:r>
      <w:r w:rsidRPr="002109C8">
        <w:t xml:space="preserve"> 120/16</w:t>
      </w:r>
      <w:r w:rsidR="00452881">
        <w:t>.</w:t>
      </w:r>
      <w:r w:rsidRPr="002109C8">
        <w:t>).</w:t>
      </w:r>
    </w:p>
    <w:p w14:paraId="2C7A411E" w14:textId="77777777" w:rsidR="00BC796D" w:rsidRPr="002109C8" w:rsidRDefault="00BC796D" w:rsidP="00BC796D">
      <w:pPr>
        <w:jc w:val="both"/>
      </w:pPr>
    </w:p>
    <w:p w14:paraId="6920D883" w14:textId="044CB87C" w:rsidR="00BC796D" w:rsidRPr="002109C8" w:rsidRDefault="00BC796D" w:rsidP="00452881">
      <w:pPr>
        <w:ind w:firstLine="708"/>
        <w:jc w:val="both"/>
      </w:pPr>
      <w:r w:rsidRPr="002109C8">
        <w:t>U skladu sa za sada raspoloživim tehnologijama te uzimajući u obzir europsko okruženje i pravni okvir Europske unije tj. Direktivu 2014/94/EU Europskog parlamenta i Vijeća od 22. listopada 2014. o uspostavi infrastrukture za alternativna goriva (SL L 307, 28.10.2014.), u daljnjem tekstu: Direktiva 2014/94/EU, u Republici Hrvatskoj alternativna goriva koja se koriste u prometu obuhvaćaju: električnu energiju, vodik, biogoriva, prirodni plin i ukapljeni naftni plin (UNP). Osim UNP-a i korištenja biogoriva, u Republici Hrvatskoj za sada postoji izuzetno ograničeno korištenje ostalih alternativnih goriva u prometu, uz vrlo malo tržište za prijevozna sredstva koja ne koriste naftne derivate. Cilj Republike Hrvatske je razviti infrastrukturu za alternativna goriva kao preduvjet za korištenje  alternativnih goriva u prometu kako bi se postigao razvoj održivog tržišta i prometnog sustava na temelju istih, koji bi rezultirali minimalnim negativnim učinkom po okoliš i društvo.</w:t>
      </w:r>
    </w:p>
    <w:p w14:paraId="2C1F17C5" w14:textId="77777777" w:rsidR="00BC796D" w:rsidRPr="002109C8" w:rsidRDefault="00BC796D" w:rsidP="00BC796D">
      <w:pPr>
        <w:jc w:val="both"/>
      </w:pPr>
    </w:p>
    <w:p w14:paraId="3FDFB5E9" w14:textId="1A878BCE" w:rsidR="00BC796D" w:rsidRPr="002109C8" w:rsidRDefault="00452881" w:rsidP="00452881">
      <w:pPr>
        <w:ind w:firstLine="708"/>
        <w:jc w:val="both"/>
      </w:pPr>
      <w:r>
        <w:t>P</w:t>
      </w:r>
      <w:r w:rsidR="00BC796D" w:rsidRPr="002109C8">
        <w:t>rijedlog</w:t>
      </w:r>
      <w:r>
        <w:t>om</w:t>
      </w:r>
      <w:r w:rsidR="00BC796D" w:rsidRPr="002109C8">
        <w:t xml:space="preserve"> zakona o izmjenama i dopunama Zakona o uspostavi infrastrukture za alternativna goriva u nacionalno zakonodavstvo prenijet će se odredbe Delegirane uredbe Komisije (EU) 2019/1745 оd 13. kolovoza 2019. o dopuni i izmjeni Direktive 2014/94/EU Europskog parlamenta i Vijeća u pogledu mjesta za punjenje motornih vozila kategorije L, opskrbe električnom energijom s kopna za plovila na unutarnjim vodnim putovima, opskrbe vodikom za cestovni promet, opskrbe prirodnim plinom za cestovni i vodni promet te o stavljanju izvan snage Delegirane uredbe Komisije (EU) 2018/674. </w:t>
      </w:r>
      <w:r w:rsidR="00972AA3">
        <w:t>Ovim Prijedlogom zakona</w:t>
      </w:r>
      <w:r w:rsidR="00972AA3" w:rsidRPr="002109C8">
        <w:t xml:space="preserve"> </w:t>
      </w:r>
      <w:r w:rsidR="00BC796D" w:rsidRPr="002109C8">
        <w:t>se osigurava primjena Provedbene uredbe komisije (EU) 2018/732 оd 17. svibnja 2018. o zajedničkoj metodologiji za usporedbu jediničnih cijena alternativnih goriva u skladu s Direktivom 2014/94/EU Europskog parlamenta i Vijeća.</w:t>
      </w:r>
    </w:p>
    <w:p w14:paraId="04528137" w14:textId="77777777" w:rsidR="00BC796D" w:rsidRPr="002109C8" w:rsidRDefault="00BC796D" w:rsidP="00BC796D">
      <w:pPr>
        <w:jc w:val="both"/>
      </w:pPr>
    </w:p>
    <w:p w14:paraId="6C33DF17" w14:textId="77777777" w:rsidR="00BC796D" w:rsidRPr="002109C8" w:rsidRDefault="00452881" w:rsidP="00452881">
      <w:pPr>
        <w:ind w:firstLine="708"/>
        <w:jc w:val="both"/>
        <w:rPr>
          <w:color w:val="000000"/>
        </w:rPr>
      </w:pPr>
      <w:r>
        <w:rPr>
          <w:color w:val="000000"/>
        </w:rPr>
        <w:t xml:space="preserve">Predloženim </w:t>
      </w:r>
      <w:r w:rsidR="00BC796D" w:rsidRPr="002109C8">
        <w:rPr>
          <w:color w:val="000000"/>
        </w:rPr>
        <w:t xml:space="preserve">Zakonom o izmjenama i dopunama Zakona o uspostavi infrastrukture za alternativna goriva dodatno se uređuju, radi interoperabilnosti, područja vezana za mjesta za punjenje motornih vozila kategorije L, opskrbe električnom energijom s kopna za plovila na unutarnjim vodnim putovima i mjesta za opskrbu ukapljenim prirodnim plinom za vodni promet te novog razvoja događaja nastalog aktivnostima Europskog odbora za normizaciju (CEN-a) i Europskog odbora za elektrotehničku normizaciju (Cenelec-a) u području normi za opskrbu prirodnim plinom i vodikom. Delegirana uredba Komisije (EU) 2018/674 stavlja se izvan snage. Osigurava se uspostava registra punionica alternativnih goriva i informiranje </w:t>
      </w:r>
      <w:r w:rsidR="00BC796D" w:rsidRPr="002109C8">
        <w:rPr>
          <w:color w:val="000000"/>
        </w:rPr>
        <w:lastRenderedPageBreak/>
        <w:t>korisnika. Postaje za opskrbu gorivom obavezne su prikazivati usporedbu jediničnih cijena alternativnih i konvencionalnih goriva.</w:t>
      </w:r>
    </w:p>
    <w:p w14:paraId="1D025378" w14:textId="77777777" w:rsidR="00BC796D" w:rsidRPr="002109C8" w:rsidRDefault="00BC796D" w:rsidP="00BC796D">
      <w:pPr>
        <w:jc w:val="both"/>
        <w:rPr>
          <w:color w:val="000000"/>
        </w:rPr>
      </w:pPr>
    </w:p>
    <w:p w14:paraId="7D48DB76" w14:textId="77777777" w:rsidR="00BC796D" w:rsidRPr="002109C8" w:rsidRDefault="00BC796D" w:rsidP="00BC796D">
      <w:pPr>
        <w:jc w:val="both"/>
      </w:pPr>
      <w:r w:rsidRPr="002109C8">
        <w:rPr>
          <w:color w:val="000000"/>
        </w:rPr>
        <w:t>Treba napomenutu kako je također Nacionalnim okvirom politike za uspostavu infrastrukture za alternativna goriva i razvoj tržišta alternativnih goriva u prometu („Narodne novine“, broj 34/17</w:t>
      </w:r>
      <w:r w:rsidR="007706F1">
        <w:rPr>
          <w:color w:val="000000"/>
        </w:rPr>
        <w:t>.</w:t>
      </w:r>
      <w:r w:rsidRPr="002109C8">
        <w:rPr>
          <w:color w:val="000000"/>
        </w:rPr>
        <w:t xml:space="preserve">, u daljnjem tekstu: NOP) predviđena obveza donošenja </w:t>
      </w:r>
      <w:r w:rsidRPr="002109C8">
        <w:t>zakonskih i podzakonskih akata kojima će se urediti određivanje uvjeta priključka na elektroenergetski sustav za punionice, uvjete distribuiranja, naplate i jediničnu cijenu alternativnih energenata koji se koriste u prometu, te određivanje uvjeta punionica za ukapljeni prirodni plin (UPP) i stlačeni prirodni plin (SPP).</w:t>
      </w:r>
    </w:p>
    <w:p w14:paraId="6F1838E6" w14:textId="77777777" w:rsidR="00BC796D" w:rsidRPr="002109C8" w:rsidRDefault="00BC796D" w:rsidP="00BC796D">
      <w:pPr>
        <w:jc w:val="both"/>
        <w:rPr>
          <w:color w:val="000000"/>
          <w:highlight w:val="yellow"/>
        </w:rPr>
      </w:pPr>
    </w:p>
    <w:p w14:paraId="0F4BB34A" w14:textId="03C8C474" w:rsidR="00BC796D" w:rsidRPr="002109C8" w:rsidRDefault="00BC796D" w:rsidP="00BC796D">
      <w:pPr>
        <w:jc w:val="both"/>
        <w:rPr>
          <w:color w:val="000000"/>
        </w:rPr>
      </w:pPr>
      <w:r w:rsidRPr="002109C8">
        <w:rPr>
          <w:color w:val="000000"/>
        </w:rPr>
        <w:t>Slijedom navedenog</w:t>
      </w:r>
      <w:r w:rsidR="00972AA3">
        <w:rPr>
          <w:color w:val="000000"/>
        </w:rPr>
        <w:t>a</w:t>
      </w:r>
      <w:r w:rsidRPr="002109C8">
        <w:rPr>
          <w:color w:val="000000"/>
        </w:rPr>
        <w:t xml:space="preserve"> pristupilo se izradi </w:t>
      </w:r>
      <w:r w:rsidR="00972AA3" w:rsidRPr="002109C8">
        <w:rPr>
          <w:color w:val="000000"/>
        </w:rPr>
        <w:t>izmjen</w:t>
      </w:r>
      <w:r w:rsidR="00972AA3">
        <w:rPr>
          <w:color w:val="000000"/>
        </w:rPr>
        <w:t>a</w:t>
      </w:r>
      <w:r w:rsidR="00972AA3" w:rsidRPr="002109C8">
        <w:rPr>
          <w:color w:val="000000"/>
        </w:rPr>
        <w:t xml:space="preserve"> </w:t>
      </w:r>
      <w:r w:rsidRPr="002109C8">
        <w:rPr>
          <w:color w:val="000000"/>
        </w:rPr>
        <w:t xml:space="preserve">i </w:t>
      </w:r>
      <w:r w:rsidR="00972AA3" w:rsidRPr="002109C8">
        <w:rPr>
          <w:color w:val="000000"/>
        </w:rPr>
        <w:t>dopun</w:t>
      </w:r>
      <w:r w:rsidR="00972AA3">
        <w:rPr>
          <w:color w:val="000000"/>
        </w:rPr>
        <w:t>a</w:t>
      </w:r>
      <w:r w:rsidR="00972AA3" w:rsidRPr="002109C8">
        <w:rPr>
          <w:color w:val="000000"/>
        </w:rPr>
        <w:t xml:space="preserve"> </w:t>
      </w:r>
      <w:r w:rsidR="00972AA3">
        <w:rPr>
          <w:color w:val="000000"/>
        </w:rPr>
        <w:t xml:space="preserve">ovoga </w:t>
      </w:r>
      <w:r w:rsidRPr="002109C8">
        <w:rPr>
          <w:color w:val="000000"/>
        </w:rPr>
        <w:t>Zakona kao i izradi provedbenih propisa čime će se provesti usklađivanje s EU regulativom, ispuniti navedena obveza iz NOP-a i ujedno stvoriti preduvjeti za daljnji razvoj infrastrukture za alternativna goriva.</w:t>
      </w:r>
    </w:p>
    <w:p w14:paraId="6629C85D" w14:textId="77777777" w:rsidR="00BC796D" w:rsidRPr="002109C8" w:rsidRDefault="00BC796D" w:rsidP="00BC796D">
      <w:pPr>
        <w:jc w:val="both"/>
      </w:pPr>
    </w:p>
    <w:p w14:paraId="6BF8979C" w14:textId="48254485" w:rsidR="00BC796D" w:rsidRPr="002109C8" w:rsidRDefault="00BC796D" w:rsidP="00BC796D">
      <w:pPr>
        <w:autoSpaceDE w:val="0"/>
        <w:autoSpaceDN w:val="0"/>
        <w:adjustRightInd w:val="0"/>
        <w:rPr>
          <w:b/>
          <w:bCs/>
        </w:rPr>
      </w:pPr>
      <w:r w:rsidRPr="002109C8">
        <w:rPr>
          <w:b/>
          <w:bCs/>
        </w:rPr>
        <w:tab/>
        <w:t>b)</w:t>
      </w:r>
      <w:r w:rsidRPr="002109C8">
        <w:rPr>
          <w:b/>
          <w:bCs/>
        </w:rPr>
        <w:tab/>
        <w:t xml:space="preserve">Osnovna pitanja koja se trebaju urediti </w:t>
      </w:r>
      <w:r w:rsidR="007706F1">
        <w:rPr>
          <w:b/>
          <w:bCs/>
        </w:rPr>
        <w:t>Z</w:t>
      </w:r>
      <w:r w:rsidR="007706F1" w:rsidRPr="002109C8">
        <w:rPr>
          <w:b/>
          <w:bCs/>
        </w:rPr>
        <w:t>akonom</w:t>
      </w:r>
    </w:p>
    <w:p w14:paraId="3ADD373B" w14:textId="77777777" w:rsidR="00BC796D" w:rsidRPr="002109C8" w:rsidRDefault="00BC796D" w:rsidP="00BC796D">
      <w:pPr>
        <w:autoSpaceDE w:val="0"/>
        <w:autoSpaceDN w:val="0"/>
        <w:adjustRightInd w:val="0"/>
        <w:rPr>
          <w:b/>
          <w:bCs/>
        </w:rPr>
      </w:pPr>
    </w:p>
    <w:p w14:paraId="539C9A24" w14:textId="77777777" w:rsidR="00BC796D" w:rsidRPr="002109C8" w:rsidRDefault="00BC796D" w:rsidP="00BC796D">
      <w:pPr>
        <w:autoSpaceDE w:val="0"/>
        <w:autoSpaceDN w:val="0"/>
        <w:adjustRightInd w:val="0"/>
        <w:jc w:val="both"/>
        <w:rPr>
          <w:bCs/>
        </w:rPr>
      </w:pPr>
      <w:r w:rsidRPr="002109C8">
        <w:rPr>
          <w:bCs/>
        </w:rPr>
        <w:tab/>
        <w:t>Predloženim zakonom uređuju se sljedeća osnovna pitanja:</w:t>
      </w:r>
    </w:p>
    <w:p w14:paraId="39D22A66" w14:textId="77777777" w:rsidR="00BC796D" w:rsidRPr="002109C8" w:rsidRDefault="00BC796D" w:rsidP="00BC796D">
      <w:pPr>
        <w:numPr>
          <w:ilvl w:val="0"/>
          <w:numId w:val="4"/>
        </w:numPr>
        <w:jc w:val="both"/>
      </w:pPr>
      <w:r w:rsidRPr="002109C8">
        <w:rPr>
          <w:shd w:val="clear" w:color="auto" w:fill="FFFFFF"/>
        </w:rPr>
        <w:t xml:space="preserve">propisuju se tehničke specifikacije za mjesta za punjenje motornih vozila kategorije L </w:t>
      </w:r>
    </w:p>
    <w:p w14:paraId="4EB1644B" w14:textId="77777777" w:rsidR="00BC796D" w:rsidRPr="002109C8" w:rsidRDefault="00BC796D" w:rsidP="00BC796D">
      <w:pPr>
        <w:numPr>
          <w:ilvl w:val="0"/>
          <w:numId w:val="4"/>
        </w:numPr>
        <w:jc w:val="both"/>
      </w:pPr>
      <w:r w:rsidRPr="002109C8">
        <w:t>propisuju se tehničke specifikacije za opskrbu električnom energijom s kopna za plovila na unutarnjim vodnim putovima mora biti u skladu s normom EN 15869-2 ili normom EN 16840, ovisno o energetskim zahtjevima</w:t>
      </w:r>
    </w:p>
    <w:p w14:paraId="066177E7" w14:textId="77777777" w:rsidR="00BC796D" w:rsidRPr="002109C8" w:rsidRDefault="00BC796D" w:rsidP="00BC796D">
      <w:pPr>
        <w:numPr>
          <w:ilvl w:val="0"/>
          <w:numId w:val="4"/>
        </w:numPr>
        <w:jc w:val="both"/>
      </w:pPr>
      <w:r w:rsidRPr="002109C8">
        <w:t>propisuju se tehničke specifikacije za mjesta za opskrbu stlačenim prirodnim plinom (SPP) za motorna vozila</w:t>
      </w:r>
    </w:p>
    <w:p w14:paraId="6441868C" w14:textId="77777777" w:rsidR="00BC796D" w:rsidRPr="002109C8" w:rsidRDefault="00BC796D" w:rsidP="00BC796D">
      <w:pPr>
        <w:numPr>
          <w:ilvl w:val="0"/>
          <w:numId w:val="4"/>
        </w:numPr>
        <w:jc w:val="both"/>
      </w:pPr>
      <w:r w:rsidRPr="002109C8">
        <w:t xml:space="preserve">propisuju se tehničke specifikacije za mjesta za opskrbu plovila na unutarnjim plovnim putovima ili morskih brodova </w:t>
      </w:r>
    </w:p>
    <w:p w14:paraId="40D39A73" w14:textId="58C28CDD" w:rsidR="00BC796D" w:rsidRPr="002109C8" w:rsidRDefault="00BC796D" w:rsidP="00BC796D">
      <w:pPr>
        <w:numPr>
          <w:ilvl w:val="0"/>
          <w:numId w:val="4"/>
        </w:numPr>
        <w:jc w:val="both"/>
      </w:pPr>
      <w:r w:rsidRPr="002109C8">
        <w:t>mijenja se Prilog II. Direktivi 2014/94/EU, točke: 2.1., 2.2., 2.3. i 2.4. vezano za tehničke specifikacije koje se odnose na stanice na otvorenom za punjenje plinovitim vodikom koji se upotrebljava kao gorivo u motornim vozilima, uključujući karakteristike kvalitete vodika, algoritam za dovod goriva, kao i priključaka za opskrbu motornih vozila plinovitim vodikom</w:t>
      </w:r>
    </w:p>
    <w:p w14:paraId="10D915B5" w14:textId="3AA2DF5D" w:rsidR="00BC796D" w:rsidRPr="002109C8" w:rsidRDefault="00BC796D" w:rsidP="00BC796D">
      <w:pPr>
        <w:numPr>
          <w:ilvl w:val="0"/>
          <w:numId w:val="4"/>
        </w:numPr>
        <w:jc w:val="both"/>
      </w:pPr>
      <w:r w:rsidRPr="002109C8">
        <w:t>mijenja se Prilog II. Direktivi 2014/94/EU, točka 3.3. vezano za tehničke specifikacije koje se odnose na profil priključka za punjenje stlačenim prirodnim plinom (SPP)</w:t>
      </w:r>
    </w:p>
    <w:p w14:paraId="732271C1" w14:textId="155FCDE7" w:rsidR="00BC796D" w:rsidRPr="002109C8" w:rsidRDefault="00BC796D" w:rsidP="00BC796D">
      <w:pPr>
        <w:numPr>
          <w:ilvl w:val="0"/>
          <w:numId w:val="4"/>
        </w:numPr>
        <w:jc w:val="both"/>
      </w:pPr>
      <w:r w:rsidRPr="002109C8">
        <w:t>delegirana uredba Komisije (EU) 2018/674 stavlja se izvan snage</w:t>
      </w:r>
    </w:p>
    <w:p w14:paraId="0B72F160" w14:textId="77777777" w:rsidR="00BC796D" w:rsidRPr="002109C8" w:rsidRDefault="00BC796D" w:rsidP="00BC796D">
      <w:pPr>
        <w:numPr>
          <w:ilvl w:val="0"/>
          <w:numId w:val="4"/>
        </w:numPr>
        <w:jc w:val="both"/>
      </w:pPr>
      <w:r w:rsidRPr="002109C8">
        <w:t>određuje se način uspostave registra punionica</w:t>
      </w:r>
    </w:p>
    <w:p w14:paraId="53A2B7E1" w14:textId="77777777" w:rsidR="00BC796D" w:rsidRPr="002109C8" w:rsidRDefault="00BC796D" w:rsidP="00BC796D">
      <w:pPr>
        <w:numPr>
          <w:ilvl w:val="0"/>
          <w:numId w:val="4"/>
        </w:numPr>
        <w:jc w:val="both"/>
      </w:pPr>
      <w:r w:rsidRPr="002109C8">
        <w:t>uspostavlja se sustav o usporedbi jediničnih cijena alternativnih i konvencionalnih goriva</w:t>
      </w:r>
      <w:r w:rsidR="007706F1">
        <w:t>.</w:t>
      </w:r>
    </w:p>
    <w:p w14:paraId="247521EF" w14:textId="77777777" w:rsidR="00BC796D" w:rsidRPr="002109C8" w:rsidRDefault="00BC796D" w:rsidP="00BC796D">
      <w:pPr>
        <w:jc w:val="both"/>
      </w:pPr>
    </w:p>
    <w:p w14:paraId="3CA39695" w14:textId="176AC59A" w:rsidR="00BC796D" w:rsidRPr="002109C8" w:rsidRDefault="00BC796D" w:rsidP="00BC796D">
      <w:pPr>
        <w:autoSpaceDE w:val="0"/>
        <w:autoSpaceDN w:val="0"/>
        <w:adjustRightInd w:val="0"/>
        <w:rPr>
          <w:b/>
          <w:bCs/>
        </w:rPr>
      </w:pPr>
      <w:r w:rsidRPr="002109C8">
        <w:rPr>
          <w:b/>
          <w:bCs/>
        </w:rPr>
        <w:t>c)</w:t>
      </w:r>
      <w:r w:rsidRPr="002109C8">
        <w:rPr>
          <w:b/>
          <w:bCs/>
        </w:rPr>
        <w:tab/>
        <w:t xml:space="preserve">Posljedice koje će donošenjem </w:t>
      </w:r>
      <w:r w:rsidR="007706F1">
        <w:rPr>
          <w:b/>
          <w:bCs/>
        </w:rPr>
        <w:t>Z</w:t>
      </w:r>
      <w:r w:rsidR="007706F1" w:rsidRPr="002109C8">
        <w:rPr>
          <w:b/>
          <w:bCs/>
        </w:rPr>
        <w:t xml:space="preserve">akona </w:t>
      </w:r>
      <w:r w:rsidRPr="002109C8">
        <w:rPr>
          <w:b/>
          <w:bCs/>
        </w:rPr>
        <w:t>proisteći</w:t>
      </w:r>
    </w:p>
    <w:p w14:paraId="6AD493EA" w14:textId="77777777" w:rsidR="00BC796D" w:rsidRPr="002109C8" w:rsidRDefault="00BC796D" w:rsidP="00BC796D">
      <w:pPr>
        <w:autoSpaceDE w:val="0"/>
        <w:autoSpaceDN w:val="0"/>
        <w:adjustRightInd w:val="0"/>
        <w:jc w:val="both"/>
      </w:pPr>
    </w:p>
    <w:p w14:paraId="783B6447" w14:textId="738D0AAB" w:rsidR="00BC796D" w:rsidRPr="002109C8" w:rsidRDefault="00BC796D" w:rsidP="00BC796D">
      <w:pPr>
        <w:shd w:val="clear" w:color="auto" w:fill="FFFFFF"/>
        <w:ind w:firstLine="709"/>
        <w:jc w:val="both"/>
        <w:rPr>
          <w:shd w:val="clear" w:color="auto" w:fill="FFFFFF"/>
        </w:rPr>
      </w:pPr>
      <w:r w:rsidRPr="002109C8">
        <w:rPr>
          <w:shd w:val="clear" w:color="auto" w:fill="FFFFFF"/>
        </w:rPr>
        <w:t xml:space="preserve">Ovim Zakonom će se u zakonodavstvo Republike Hrvatske na odgovarajući način preuzeti odredbe Delegirane uredbe Europske komisije (EU) 2019/1745 оd 13. kolovoza 2019. o dopuni i izmjeni Direktive 2014/94/EU Europskog parlamenta i Vijeća u pogledu mjesta za punjenje motornih vozila kategorije L, opskrbe električnom energijom s kopna za plovila na unutarnjim vodnim putovima, opskrbe vodikom za cestovni promet, opskrbe prirodnim plinom za cestovni i vodni promet te o stavljanju izvan snage Delegirane uredbe </w:t>
      </w:r>
      <w:r w:rsidR="00917514">
        <w:rPr>
          <w:shd w:val="clear" w:color="auto" w:fill="FFFFFF"/>
        </w:rPr>
        <w:t>K</w:t>
      </w:r>
      <w:r w:rsidRPr="002109C8">
        <w:rPr>
          <w:shd w:val="clear" w:color="auto" w:fill="FFFFFF"/>
        </w:rPr>
        <w:t xml:space="preserve">omisije (EU) 2018/674. </w:t>
      </w:r>
    </w:p>
    <w:p w14:paraId="1982E3C4" w14:textId="77777777" w:rsidR="00BC796D" w:rsidRPr="002109C8" w:rsidRDefault="00BC796D" w:rsidP="00BC796D">
      <w:pPr>
        <w:shd w:val="clear" w:color="auto" w:fill="FFFFFF"/>
        <w:ind w:firstLine="709"/>
        <w:jc w:val="both"/>
        <w:rPr>
          <w:shd w:val="clear" w:color="auto" w:fill="FFFFFF"/>
        </w:rPr>
      </w:pPr>
    </w:p>
    <w:p w14:paraId="4D68A64D" w14:textId="77777777" w:rsidR="00BC796D" w:rsidRPr="002109C8" w:rsidRDefault="007706F1" w:rsidP="00BC796D">
      <w:pPr>
        <w:shd w:val="clear" w:color="auto" w:fill="FFFFFF"/>
        <w:ind w:firstLine="709"/>
        <w:jc w:val="both"/>
        <w:rPr>
          <w:shd w:val="clear" w:color="auto" w:fill="FFFFFF"/>
        </w:rPr>
      </w:pPr>
      <w:r>
        <w:rPr>
          <w:shd w:val="clear" w:color="auto" w:fill="FFFFFF"/>
        </w:rPr>
        <w:t xml:space="preserve">Ovim </w:t>
      </w:r>
      <w:r w:rsidR="00BC796D" w:rsidRPr="002109C8">
        <w:rPr>
          <w:shd w:val="clear" w:color="auto" w:fill="FFFFFF"/>
        </w:rPr>
        <w:t xml:space="preserve">Zakonom će se osigurati da tehničke specifikacije za interoperabilnost mjesta za punjenje i opskrbu alternativnih goriva budu specificirane u skladu s europskim i međunarodnim normama tako da se potrebne tehničke specifikacije utvrde uzimajući u obzir </w:t>
      </w:r>
      <w:r w:rsidR="00BC796D" w:rsidRPr="002109C8">
        <w:rPr>
          <w:shd w:val="clear" w:color="auto" w:fill="FFFFFF"/>
        </w:rPr>
        <w:lastRenderedPageBreak/>
        <w:t>postojeće europske norme i povezane međunarodne normizacijske aktivnosti. Norme koje je izradio Europski odbor za normizaciju (CEN) i Europski odbor za elektrotehničku normizaciju</w:t>
      </w:r>
      <w:r w:rsidR="00BC796D" w:rsidRPr="002109C8">
        <w:rPr>
          <w:spacing w:val="-10"/>
          <w:w w:val="95"/>
          <w:sz w:val="19"/>
        </w:rPr>
        <w:t xml:space="preserve"> (</w:t>
      </w:r>
      <w:r w:rsidR="00BC796D" w:rsidRPr="002109C8">
        <w:rPr>
          <w:shd w:val="clear" w:color="auto" w:fill="FFFFFF"/>
        </w:rPr>
        <w:t>Cenelec) prihvatila je europska industrija kako bi se u cijeloj Uniji osigurala mobilnost s vozilima i plovilima na različita goriva. CEN i Cenelec predložili su Komisiji da te norme uključe u pravni okvir Unije. U skladu s navedenim potrebno je Tehničke specifikacije iz Priloga II. Direktive 2014/94/EU na odgovarajući način dopuniti ili izmijeniti.</w:t>
      </w:r>
      <w:r w:rsidR="00BC796D" w:rsidRPr="002109C8">
        <w:t xml:space="preserve"> </w:t>
      </w:r>
    </w:p>
    <w:p w14:paraId="42C0B87B" w14:textId="77777777" w:rsidR="00BC796D" w:rsidRPr="002109C8" w:rsidRDefault="00BC796D" w:rsidP="00BC796D">
      <w:pPr>
        <w:shd w:val="clear" w:color="auto" w:fill="FFFFFF"/>
        <w:ind w:firstLine="708"/>
        <w:jc w:val="both"/>
        <w:rPr>
          <w:shd w:val="clear" w:color="auto" w:fill="FFFFFF"/>
        </w:rPr>
      </w:pPr>
    </w:p>
    <w:p w14:paraId="76721EB9" w14:textId="77777777" w:rsidR="00BC796D" w:rsidRPr="002109C8" w:rsidRDefault="00BC796D" w:rsidP="00BC796D">
      <w:pPr>
        <w:shd w:val="clear" w:color="auto" w:fill="FFFFFF"/>
        <w:ind w:firstLine="708"/>
        <w:jc w:val="both"/>
        <w:rPr>
          <w:shd w:val="clear" w:color="auto" w:fill="FFFFFF"/>
        </w:rPr>
      </w:pPr>
      <w:r w:rsidRPr="002109C8">
        <w:rPr>
          <w:shd w:val="clear" w:color="auto" w:fill="FFFFFF"/>
        </w:rPr>
        <w:t>Odredbe vezane za interoperabilnost u kontekstu Delegirane uredbe (EU) 2019/1745 odnose se isključivo na kapacitet stanica za punjenje i opskrbu kako bi se opskrbljivali s energijom u obliku koji je kompatibilan sa svim tehnologijama vozila te kako bi se omogućila neometana upotreba vozila na alternativna goriva na cijelom području EU-a.</w:t>
      </w:r>
    </w:p>
    <w:p w14:paraId="13118975" w14:textId="77777777" w:rsidR="00BC796D" w:rsidRDefault="00BC796D" w:rsidP="00BC796D">
      <w:pPr>
        <w:shd w:val="clear" w:color="auto" w:fill="FFFFFF"/>
        <w:ind w:firstLine="708"/>
        <w:jc w:val="both"/>
        <w:rPr>
          <w:shd w:val="clear" w:color="auto" w:fill="FFFFFF"/>
        </w:rPr>
      </w:pPr>
    </w:p>
    <w:p w14:paraId="22D316DC" w14:textId="77777777" w:rsidR="007706F1" w:rsidRPr="002109C8" w:rsidRDefault="007706F1" w:rsidP="00BC796D">
      <w:pPr>
        <w:shd w:val="clear" w:color="auto" w:fill="FFFFFF"/>
        <w:ind w:firstLine="708"/>
        <w:jc w:val="both"/>
        <w:rPr>
          <w:shd w:val="clear" w:color="auto" w:fill="FFFFFF"/>
        </w:rPr>
      </w:pPr>
    </w:p>
    <w:p w14:paraId="1720C918" w14:textId="77777777" w:rsidR="00BC796D" w:rsidRPr="002109C8" w:rsidRDefault="00BC796D" w:rsidP="00BC796D">
      <w:pPr>
        <w:numPr>
          <w:ilvl w:val="0"/>
          <w:numId w:val="6"/>
        </w:numPr>
        <w:tabs>
          <w:tab w:val="num" w:pos="709"/>
        </w:tabs>
        <w:autoSpaceDE w:val="0"/>
        <w:autoSpaceDN w:val="0"/>
        <w:adjustRightInd w:val="0"/>
        <w:ind w:left="709" w:hanging="709"/>
        <w:jc w:val="both"/>
        <w:rPr>
          <w:b/>
          <w:bCs/>
        </w:rPr>
      </w:pPr>
      <w:r w:rsidRPr="002109C8">
        <w:rPr>
          <w:b/>
          <w:bCs/>
        </w:rPr>
        <w:t>OCJENA I IZVORI SREDSTAVA POTREBNIH ZA PROVOĐENJE ZAKONA</w:t>
      </w:r>
    </w:p>
    <w:p w14:paraId="5FCF6905" w14:textId="77777777" w:rsidR="00BC796D" w:rsidRPr="002109C8" w:rsidRDefault="00BC796D" w:rsidP="00BC796D">
      <w:pPr>
        <w:autoSpaceDE w:val="0"/>
        <w:autoSpaceDN w:val="0"/>
        <w:adjustRightInd w:val="0"/>
      </w:pPr>
    </w:p>
    <w:p w14:paraId="32FCD3B6" w14:textId="04DF367D" w:rsidR="00BC796D" w:rsidRPr="002109C8" w:rsidRDefault="00BC796D" w:rsidP="007706F1">
      <w:pPr>
        <w:shd w:val="clear" w:color="auto" w:fill="FFFFFF"/>
        <w:ind w:firstLine="708"/>
        <w:jc w:val="both"/>
      </w:pPr>
      <w:r w:rsidRPr="002109C8">
        <w:t xml:space="preserve">Za </w:t>
      </w:r>
      <w:r w:rsidR="007706F1">
        <w:t>provođenje</w:t>
      </w:r>
      <w:r w:rsidR="007706F1" w:rsidRPr="002109C8">
        <w:t xml:space="preserve"> </w:t>
      </w:r>
      <w:r w:rsidRPr="002109C8">
        <w:t xml:space="preserve">ovoga Zakona nije potrebno osigurati </w:t>
      </w:r>
      <w:r>
        <w:t xml:space="preserve">dodatna </w:t>
      </w:r>
      <w:r w:rsidRPr="002109C8">
        <w:t>sredstva u državnom proračunu Republike Hrvatske, niti u proračunima jedinica lokalne i područne (regionalne) samouprave.</w:t>
      </w:r>
    </w:p>
    <w:p w14:paraId="2852C05D" w14:textId="77777777" w:rsidR="00BC796D" w:rsidRPr="002109C8" w:rsidRDefault="00BC796D" w:rsidP="00BC796D">
      <w:pPr>
        <w:shd w:val="clear" w:color="auto" w:fill="FFFFFF"/>
        <w:jc w:val="both"/>
      </w:pPr>
    </w:p>
    <w:p w14:paraId="09AA820F" w14:textId="77777777" w:rsidR="00BC796D" w:rsidRPr="002109C8" w:rsidRDefault="00BC796D" w:rsidP="007706F1">
      <w:pPr>
        <w:shd w:val="clear" w:color="auto" w:fill="FFFFFF"/>
        <w:ind w:firstLine="708"/>
        <w:jc w:val="both"/>
      </w:pPr>
      <w:r w:rsidRPr="002109C8">
        <w:t xml:space="preserve">Cilj Zakona nije dodatno financijski opteretiti državni proračun ili regionalna i lokalna tijela vlasti, nego ujednačiti tehničke specifikacije stanica za punjenje i opskrbu alternativnim gorivima kako bi bile kompatibilne sa svim tehnologijama vozila te kako bi se omogućila neometana upotreba vozila na alternativna goriva na cijelom području EU-a u vremenima koja dolaze. </w:t>
      </w:r>
    </w:p>
    <w:p w14:paraId="6D4C3DDB" w14:textId="77777777" w:rsidR="00BC796D" w:rsidRPr="002109C8" w:rsidRDefault="00BC796D" w:rsidP="00BC796D">
      <w:pPr>
        <w:shd w:val="clear" w:color="auto" w:fill="FFFFFF"/>
        <w:spacing w:line="288" w:lineRule="atLeast"/>
        <w:jc w:val="both"/>
      </w:pPr>
    </w:p>
    <w:p w14:paraId="20EDF48B" w14:textId="08916C31" w:rsidR="00BC796D" w:rsidRPr="002109C8" w:rsidRDefault="00BC796D" w:rsidP="00917514">
      <w:pPr>
        <w:suppressAutoHyphens/>
        <w:jc w:val="center"/>
        <w:rPr>
          <w:b/>
          <w:bCs/>
        </w:rPr>
      </w:pPr>
      <w:r w:rsidRPr="002109C8">
        <w:br w:type="page"/>
      </w:r>
      <w:r w:rsidRPr="002109C8">
        <w:rPr>
          <w:b/>
        </w:rPr>
        <w:lastRenderedPageBreak/>
        <w:t xml:space="preserve"> </w:t>
      </w:r>
      <w:r w:rsidRPr="002109C8">
        <w:rPr>
          <w:b/>
          <w:bCs/>
        </w:rPr>
        <w:t>PRIJEDLOG ZAKONA O IZMJENAMA I</w:t>
      </w:r>
      <w:r w:rsidR="00917514">
        <w:rPr>
          <w:b/>
          <w:bCs/>
        </w:rPr>
        <w:t xml:space="preserve"> </w:t>
      </w:r>
      <w:r w:rsidRPr="002109C8">
        <w:rPr>
          <w:b/>
          <w:bCs/>
        </w:rPr>
        <w:t xml:space="preserve">DOPUNAMA ZAKONA O </w:t>
      </w:r>
      <w:r w:rsidRPr="002109C8">
        <w:rPr>
          <w:b/>
          <w:color w:val="000000"/>
        </w:rPr>
        <w:t>USPOSTAVI INFRASTRUKTURE ZA ALTERNATIVNA GORIVA</w:t>
      </w:r>
    </w:p>
    <w:p w14:paraId="63CB473E" w14:textId="77777777" w:rsidR="00BC796D" w:rsidRPr="002109C8" w:rsidRDefault="00BC796D" w:rsidP="00BC796D">
      <w:pPr>
        <w:keepNext/>
        <w:widowControl w:val="0"/>
        <w:jc w:val="center"/>
        <w:rPr>
          <w:b/>
        </w:rPr>
      </w:pPr>
    </w:p>
    <w:p w14:paraId="0879120F" w14:textId="77777777" w:rsidR="00BC796D" w:rsidRPr="002109C8" w:rsidRDefault="00BC796D" w:rsidP="00BC796D">
      <w:pPr>
        <w:keepNext/>
        <w:widowControl w:val="0"/>
        <w:jc w:val="center"/>
        <w:rPr>
          <w:b/>
        </w:rPr>
      </w:pPr>
    </w:p>
    <w:p w14:paraId="27B67895" w14:textId="77777777" w:rsidR="00BC796D" w:rsidRPr="002109C8" w:rsidRDefault="00BC796D" w:rsidP="00BC796D">
      <w:pPr>
        <w:keepNext/>
        <w:widowControl w:val="0"/>
        <w:jc w:val="center"/>
        <w:rPr>
          <w:b/>
        </w:rPr>
      </w:pPr>
      <w:r w:rsidRPr="002109C8">
        <w:rPr>
          <w:b/>
        </w:rPr>
        <w:t>Članak 1.</w:t>
      </w:r>
    </w:p>
    <w:p w14:paraId="1E3CA946" w14:textId="77777777" w:rsidR="00BC796D" w:rsidRPr="002109C8" w:rsidRDefault="00BC796D" w:rsidP="00917514">
      <w:pPr>
        <w:keepNext/>
        <w:widowControl w:val="0"/>
        <w:rPr>
          <w:b/>
        </w:rPr>
      </w:pPr>
    </w:p>
    <w:p w14:paraId="18369E4D" w14:textId="77386A75" w:rsidR="00BC796D" w:rsidRPr="002109C8" w:rsidRDefault="00BC796D" w:rsidP="00917514">
      <w:pPr>
        <w:keepNext/>
        <w:widowControl w:val="0"/>
        <w:ind w:firstLine="708"/>
        <w:jc w:val="both"/>
      </w:pPr>
      <w:r w:rsidRPr="002109C8">
        <w:t>U Zakonu o uspostavi infrastrukture za alternativ</w:t>
      </w:r>
      <w:r w:rsidR="003420E3">
        <w:t>na goriva („Narodne novine“, broj 120/</w:t>
      </w:r>
      <w:r w:rsidRPr="002109C8">
        <w:t>16.), u članku 1. stavak 3. mijenja se i glasi:</w:t>
      </w:r>
    </w:p>
    <w:p w14:paraId="0263A879" w14:textId="77777777" w:rsidR="00BC796D" w:rsidRPr="002109C8" w:rsidRDefault="00BC796D" w:rsidP="00BC796D">
      <w:pPr>
        <w:keepNext/>
        <w:widowControl w:val="0"/>
        <w:jc w:val="both"/>
      </w:pPr>
    </w:p>
    <w:p w14:paraId="4442DBC9" w14:textId="77777777" w:rsidR="00BC796D" w:rsidRPr="002109C8" w:rsidRDefault="00BC796D" w:rsidP="00BC796D">
      <w:pPr>
        <w:keepNext/>
        <w:widowControl w:val="0"/>
        <w:jc w:val="both"/>
      </w:pPr>
      <w:r w:rsidRPr="002109C8">
        <w:t>„</w:t>
      </w:r>
      <w:r>
        <w:t xml:space="preserve">(3) </w:t>
      </w:r>
      <w:r w:rsidRPr="002109C8">
        <w:t>Na sva ostala pitanja uspostave infrastrukture za alternativna goriva koja nisu uređena ovim Zakonom primjenjuju se propisi kojima se uređuje područje prometne infrastrukture, područje prostornog uređenja, područje infrastrukture prostornih podataka, područje gradnje, područje energetike, područje energetske učinkovitosti, područje zaštite okoliša, te zakoni kojima je osnovan i koji određuju djelokrug Fonda za zaštitu okoliša i energetsku učinkovitost.“</w:t>
      </w:r>
      <w:r w:rsidR="00917514">
        <w:t>.</w:t>
      </w:r>
    </w:p>
    <w:p w14:paraId="53F67FD8" w14:textId="77777777" w:rsidR="00BC796D" w:rsidRPr="002109C8" w:rsidRDefault="00BC796D" w:rsidP="00BC796D">
      <w:pPr>
        <w:keepNext/>
        <w:widowControl w:val="0"/>
      </w:pPr>
    </w:p>
    <w:p w14:paraId="32935970" w14:textId="77777777" w:rsidR="00BC796D" w:rsidRPr="002109C8" w:rsidRDefault="00BC796D" w:rsidP="00BC796D">
      <w:pPr>
        <w:autoSpaceDE w:val="0"/>
        <w:autoSpaceDN w:val="0"/>
        <w:adjustRightInd w:val="0"/>
        <w:jc w:val="center"/>
        <w:rPr>
          <w:rFonts w:eastAsia="Calibri"/>
          <w:b/>
          <w:bCs/>
        </w:rPr>
      </w:pPr>
      <w:r w:rsidRPr="002109C8">
        <w:rPr>
          <w:rFonts w:eastAsia="Calibri"/>
          <w:b/>
          <w:bCs/>
        </w:rPr>
        <w:t>Članak 2.</w:t>
      </w:r>
    </w:p>
    <w:p w14:paraId="59DADA9A" w14:textId="77777777" w:rsidR="00BC796D" w:rsidRPr="002109C8" w:rsidRDefault="00BC796D" w:rsidP="00917514">
      <w:pPr>
        <w:autoSpaceDE w:val="0"/>
        <w:autoSpaceDN w:val="0"/>
        <w:adjustRightInd w:val="0"/>
        <w:rPr>
          <w:rFonts w:eastAsia="Calibri"/>
          <w:b/>
          <w:bCs/>
        </w:rPr>
      </w:pPr>
    </w:p>
    <w:p w14:paraId="3C0139A3" w14:textId="77777777" w:rsidR="00BC796D" w:rsidRPr="002109C8" w:rsidRDefault="00BC796D" w:rsidP="00917514">
      <w:pPr>
        <w:autoSpaceDE w:val="0"/>
        <w:autoSpaceDN w:val="0"/>
        <w:adjustRightInd w:val="0"/>
        <w:ind w:firstLine="708"/>
        <w:jc w:val="both"/>
      </w:pPr>
      <w:r w:rsidRPr="002109C8">
        <w:rPr>
          <w:rFonts w:eastAsia="Calibri"/>
        </w:rPr>
        <w:t>Članak 2. mijenja se i glasi:</w:t>
      </w:r>
      <w:r w:rsidRPr="002109C8">
        <w:t xml:space="preserve"> </w:t>
      </w:r>
    </w:p>
    <w:p w14:paraId="160CE714" w14:textId="77777777" w:rsidR="00BC796D" w:rsidRPr="002109C8" w:rsidRDefault="00BC796D" w:rsidP="00BC796D">
      <w:pPr>
        <w:autoSpaceDE w:val="0"/>
        <w:autoSpaceDN w:val="0"/>
        <w:adjustRightInd w:val="0"/>
        <w:jc w:val="both"/>
      </w:pPr>
    </w:p>
    <w:p w14:paraId="08099AF9" w14:textId="77777777" w:rsidR="00BC796D" w:rsidRPr="002109C8" w:rsidRDefault="00BC796D" w:rsidP="00BC796D">
      <w:pPr>
        <w:autoSpaceDE w:val="0"/>
        <w:autoSpaceDN w:val="0"/>
        <w:adjustRightInd w:val="0"/>
        <w:jc w:val="both"/>
      </w:pPr>
      <w:r w:rsidRPr="002109C8">
        <w:rPr>
          <w:color w:val="000000"/>
        </w:rPr>
        <w:t xml:space="preserve">„(1) </w:t>
      </w:r>
      <w:r w:rsidRPr="002109C8">
        <w:t>Ovim Zakonom u hrvatsko zakonodavstvo preuzima se Direktiva 2014/94/EU Europskog parlamenta i Vijeća od 22. listopada 2014. o uspostavi infrastrukture za alternativna goriva (SL L 307, 28.10.2014.), kako je posljednji put izmijenjena Delegiranom uredbom Komisije (EU) 2019/1745 оd 13. kolovoza 2019. o dopuni i izmjeni Direktive 2014/94/EU Europskog parlamenta i Vijeća u pogledu mjesta za punjenje motornih vozila kategorije L, opskrbe električnom energijom s kopna za plovila na unutarnjim vodnim putovima, opskrbe vodikom za cestovni promet, opskrbe prirodnim plinom za cestovni i vodni promet te o stavljanju izvan snage Delegirane uredbe Komisije (EU) 2018/674</w:t>
      </w:r>
      <w:r>
        <w:t xml:space="preserve"> (Tekst značajan za EGP) (SL L 268, 22.10.2019.)</w:t>
      </w:r>
      <w:r w:rsidRPr="002109C8">
        <w:t>.</w:t>
      </w:r>
    </w:p>
    <w:p w14:paraId="738AF87A" w14:textId="77777777" w:rsidR="00BC796D" w:rsidRPr="002109C8" w:rsidRDefault="00BC796D" w:rsidP="00BC796D">
      <w:pPr>
        <w:autoSpaceDE w:val="0"/>
        <w:autoSpaceDN w:val="0"/>
        <w:adjustRightInd w:val="0"/>
        <w:jc w:val="both"/>
      </w:pPr>
    </w:p>
    <w:p w14:paraId="356B5F1A" w14:textId="1630545C" w:rsidR="00BC796D" w:rsidRPr="002109C8" w:rsidRDefault="00BC796D" w:rsidP="00BC796D">
      <w:pPr>
        <w:autoSpaceDE w:val="0"/>
        <w:autoSpaceDN w:val="0"/>
        <w:adjustRightInd w:val="0"/>
        <w:jc w:val="both"/>
      </w:pPr>
      <w:r w:rsidRPr="002109C8">
        <w:t xml:space="preserve">(2) </w:t>
      </w:r>
      <w:r>
        <w:t>Ovim Zakonom osigurava se p</w:t>
      </w:r>
      <w:r w:rsidRPr="002109C8">
        <w:t>rovedba Delegirane uredbe Komisije (EU) 2019/1745 оd 13. kolovoza 2019. o dopuni i izmjeni Direktive 2014/94/EU Europskog parlamenta i Vijeća u pogledu mjesta za punjenje motornih vozila kategorije L, opskrbe električnom energijom s kopna za plovila na unutarnjim vodnim putovima, opskrbe vodikom za cestovni promet, opskrbe prirodnim plinom za cestovni i vodni promet te o stavljanju izvan snage Delegirane uredbe Komisije (EU) 2018/674</w:t>
      </w:r>
      <w:r w:rsidRPr="00955CF4">
        <w:t xml:space="preserve"> </w:t>
      </w:r>
      <w:r>
        <w:t>(Tekst značajan za EGP) (SL L 268, 22.10.2019.).“</w:t>
      </w:r>
      <w:r w:rsidR="00917514">
        <w:t>.</w:t>
      </w:r>
    </w:p>
    <w:p w14:paraId="732C28CE" w14:textId="77777777" w:rsidR="00BC796D" w:rsidRDefault="00BC796D" w:rsidP="00917514">
      <w:pPr>
        <w:keepNext/>
        <w:widowControl w:val="0"/>
        <w:rPr>
          <w:b/>
        </w:rPr>
      </w:pPr>
    </w:p>
    <w:p w14:paraId="0026682B" w14:textId="77777777" w:rsidR="00BC796D" w:rsidRPr="002109C8" w:rsidRDefault="00BC796D" w:rsidP="00BC796D">
      <w:pPr>
        <w:keepNext/>
        <w:widowControl w:val="0"/>
        <w:jc w:val="center"/>
        <w:rPr>
          <w:b/>
        </w:rPr>
      </w:pPr>
      <w:r w:rsidRPr="002109C8">
        <w:rPr>
          <w:b/>
        </w:rPr>
        <w:t>Članak 3.</w:t>
      </w:r>
    </w:p>
    <w:p w14:paraId="5C76DA83" w14:textId="77777777" w:rsidR="00BC796D" w:rsidRPr="002109C8" w:rsidRDefault="00BC796D" w:rsidP="00BC796D">
      <w:pPr>
        <w:keepNext/>
        <w:widowControl w:val="0"/>
        <w:rPr>
          <w:b/>
        </w:rPr>
      </w:pPr>
    </w:p>
    <w:p w14:paraId="56A9C9D4" w14:textId="77777777" w:rsidR="00BC796D" w:rsidRDefault="00BC796D" w:rsidP="008340B9">
      <w:pPr>
        <w:keepNext/>
        <w:widowControl w:val="0"/>
        <w:ind w:firstLine="708"/>
        <w:jc w:val="both"/>
      </w:pPr>
      <w:r w:rsidRPr="002109C8">
        <w:t>U članku 3. stavak 2. mijenja se i glasi:</w:t>
      </w:r>
    </w:p>
    <w:p w14:paraId="4AB0A401" w14:textId="77777777" w:rsidR="00BC796D" w:rsidRPr="002109C8" w:rsidRDefault="00BC796D" w:rsidP="00BC796D">
      <w:pPr>
        <w:keepNext/>
        <w:widowControl w:val="0"/>
        <w:jc w:val="both"/>
      </w:pPr>
    </w:p>
    <w:p w14:paraId="759099F8" w14:textId="77777777" w:rsidR="00BC796D" w:rsidRPr="002109C8" w:rsidRDefault="00BC796D" w:rsidP="00BC796D">
      <w:pPr>
        <w:keepNext/>
        <w:widowControl w:val="0"/>
        <w:jc w:val="both"/>
      </w:pPr>
      <w:r w:rsidRPr="002109C8">
        <w:t>„</w:t>
      </w:r>
      <w:r>
        <w:t xml:space="preserve">(2) </w:t>
      </w:r>
      <w:r w:rsidRPr="002109C8">
        <w:t>U smislu ovoga Zakona pojedini pojmovi, koji nisu utvrđeni ovim Zakonom, imaju značenje propisano zakonima kojima je uređeno područje prostornog uređenja, područje energetike, područje prometne infrastrukture, područje gradnje, područje zaštite okoliša, područje poreza, područje državnih potpora, te zakonima kojima je osnovan i koji određuju djelokrug Fonda za zaštitu oko</w:t>
      </w:r>
      <w:r>
        <w:t>liša i energetsku učinkovitost.“</w:t>
      </w:r>
      <w:r w:rsidR="008340B9">
        <w:t>.</w:t>
      </w:r>
    </w:p>
    <w:p w14:paraId="476FB69B" w14:textId="77777777" w:rsidR="00BC796D" w:rsidRPr="002109C8" w:rsidRDefault="00BC796D" w:rsidP="00BC796D">
      <w:pPr>
        <w:autoSpaceDE w:val="0"/>
        <w:autoSpaceDN w:val="0"/>
        <w:adjustRightInd w:val="0"/>
        <w:rPr>
          <w:rFonts w:eastAsia="Calibri"/>
          <w:b/>
          <w:bCs/>
        </w:rPr>
      </w:pPr>
    </w:p>
    <w:p w14:paraId="23BD275C" w14:textId="77777777" w:rsidR="00BC796D" w:rsidRPr="002109C8" w:rsidRDefault="00BC796D" w:rsidP="00BC796D">
      <w:pPr>
        <w:autoSpaceDE w:val="0"/>
        <w:autoSpaceDN w:val="0"/>
        <w:adjustRightInd w:val="0"/>
        <w:jc w:val="center"/>
        <w:rPr>
          <w:rFonts w:eastAsia="Calibri"/>
          <w:b/>
          <w:bCs/>
        </w:rPr>
      </w:pPr>
      <w:r w:rsidRPr="002109C8">
        <w:rPr>
          <w:rFonts w:eastAsia="Calibri"/>
          <w:b/>
          <w:bCs/>
        </w:rPr>
        <w:t>Članak 4.</w:t>
      </w:r>
    </w:p>
    <w:p w14:paraId="2A9BC01A" w14:textId="77777777" w:rsidR="00BC796D" w:rsidRPr="002109C8" w:rsidRDefault="00BC796D" w:rsidP="00BC796D">
      <w:pPr>
        <w:autoSpaceDE w:val="0"/>
        <w:autoSpaceDN w:val="0"/>
        <w:adjustRightInd w:val="0"/>
        <w:jc w:val="both"/>
        <w:rPr>
          <w:rFonts w:eastAsia="Calibri"/>
        </w:rPr>
      </w:pPr>
    </w:p>
    <w:p w14:paraId="34256A75" w14:textId="5720F848" w:rsidR="00BC796D" w:rsidRPr="002109C8" w:rsidRDefault="00BC796D" w:rsidP="00A0564A">
      <w:pPr>
        <w:autoSpaceDE w:val="0"/>
        <w:autoSpaceDN w:val="0"/>
        <w:adjustRightInd w:val="0"/>
        <w:ind w:firstLine="708"/>
        <w:jc w:val="both"/>
        <w:rPr>
          <w:rFonts w:eastAsia="Calibri"/>
        </w:rPr>
      </w:pPr>
      <w:r w:rsidRPr="002109C8">
        <w:rPr>
          <w:rFonts w:eastAsia="Calibri"/>
        </w:rPr>
        <w:t>U članku 6. iza stavka 13. dodaju se stavci 14.</w:t>
      </w:r>
      <w:r w:rsidR="001926FD">
        <w:rPr>
          <w:rFonts w:eastAsia="Calibri"/>
        </w:rPr>
        <w:t>,</w:t>
      </w:r>
      <w:r w:rsidRPr="002109C8">
        <w:rPr>
          <w:rFonts w:eastAsia="Calibri"/>
        </w:rPr>
        <w:t xml:space="preserve"> 15. </w:t>
      </w:r>
      <w:r w:rsidR="001926FD">
        <w:rPr>
          <w:rFonts w:eastAsia="Calibri"/>
        </w:rPr>
        <w:t xml:space="preserve">i 16. </w:t>
      </w:r>
      <w:r w:rsidRPr="002109C8">
        <w:rPr>
          <w:rFonts w:eastAsia="Calibri"/>
        </w:rPr>
        <w:t>koji glase:</w:t>
      </w:r>
    </w:p>
    <w:p w14:paraId="1A71C926" w14:textId="77777777" w:rsidR="00BC796D" w:rsidRPr="002109C8" w:rsidRDefault="00BC796D" w:rsidP="00BC796D">
      <w:pPr>
        <w:autoSpaceDE w:val="0"/>
        <w:autoSpaceDN w:val="0"/>
        <w:adjustRightInd w:val="0"/>
        <w:jc w:val="both"/>
        <w:rPr>
          <w:rFonts w:eastAsia="Calibri"/>
        </w:rPr>
      </w:pPr>
    </w:p>
    <w:p w14:paraId="1A3E6497" w14:textId="77777777" w:rsidR="00BC796D" w:rsidRPr="002109C8" w:rsidRDefault="00BC796D" w:rsidP="00BC796D">
      <w:pPr>
        <w:autoSpaceDE w:val="0"/>
        <w:autoSpaceDN w:val="0"/>
        <w:adjustRightInd w:val="0"/>
        <w:jc w:val="both"/>
        <w:rPr>
          <w:rFonts w:eastAsia="Calibri"/>
        </w:rPr>
      </w:pPr>
      <w:r>
        <w:rPr>
          <w:color w:val="000000"/>
        </w:rPr>
        <w:t>„</w:t>
      </w:r>
      <w:r>
        <w:rPr>
          <w:rFonts w:eastAsia="Calibri"/>
        </w:rPr>
        <w:t xml:space="preserve">(14) </w:t>
      </w:r>
      <w:r w:rsidRPr="002109C8">
        <w:rPr>
          <w:rFonts w:eastAsia="Calibri"/>
        </w:rPr>
        <w:t>Na mjestima za punjenje motornih vozila kategorije L primjenjuju se sljedeće tehničke specifikacije:</w:t>
      </w:r>
    </w:p>
    <w:p w14:paraId="66A5A7A8" w14:textId="26E1B81A" w:rsidR="00BC796D" w:rsidRPr="002109C8" w:rsidRDefault="00BC796D" w:rsidP="00BC796D">
      <w:pPr>
        <w:autoSpaceDE w:val="0"/>
        <w:autoSpaceDN w:val="0"/>
        <w:adjustRightInd w:val="0"/>
        <w:jc w:val="both"/>
        <w:rPr>
          <w:rFonts w:eastAsia="Calibri"/>
        </w:rPr>
      </w:pPr>
      <w:r w:rsidRPr="002109C8">
        <w:rPr>
          <w:rFonts w:eastAsia="Calibri"/>
        </w:rPr>
        <w:lastRenderedPageBreak/>
        <w:t>-</w:t>
      </w:r>
      <w:r w:rsidRPr="002109C8">
        <w:rPr>
          <w:rFonts w:eastAsia="Calibri"/>
        </w:rPr>
        <w:tab/>
      </w:r>
      <w:r w:rsidR="00A0564A">
        <w:rPr>
          <w:rFonts w:eastAsia="Calibri"/>
        </w:rPr>
        <w:t>j</w:t>
      </w:r>
      <w:r w:rsidR="00A0564A" w:rsidRPr="002109C8">
        <w:rPr>
          <w:rFonts w:eastAsia="Calibri"/>
        </w:rPr>
        <w:t xml:space="preserve">avno </w:t>
      </w:r>
      <w:r w:rsidRPr="002109C8">
        <w:rPr>
          <w:rFonts w:eastAsia="Calibri"/>
        </w:rPr>
        <w:t>dostupna mjesta za punjenje izmjeničnom strujom snage do 3,7 kVA rezervirana za električna vozila kategorije L moraju biti opremljena barem jednim od sljedećih elemenata:</w:t>
      </w:r>
    </w:p>
    <w:p w14:paraId="7C1DB7B6" w14:textId="77777777" w:rsidR="00BC796D" w:rsidRPr="002109C8" w:rsidRDefault="00BC796D" w:rsidP="003420E3">
      <w:pPr>
        <w:autoSpaceDE w:val="0"/>
        <w:autoSpaceDN w:val="0"/>
        <w:adjustRightInd w:val="0"/>
        <w:ind w:left="1418" w:hanging="713"/>
        <w:jc w:val="both"/>
        <w:rPr>
          <w:rFonts w:eastAsia="Calibri"/>
        </w:rPr>
      </w:pPr>
      <w:r w:rsidRPr="002109C8">
        <w:rPr>
          <w:rFonts w:eastAsia="Calibri"/>
        </w:rPr>
        <w:t>1.</w:t>
      </w:r>
      <w:r w:rsidRPr="002109C8">
        <w:rPr>
          <w:rFonts w:eastAsia="Calibri"/>
        </w:rPr>
        <w:tab/>
        <w:t>utičnicama ili priključcima za vozila tipa 3 A kako su opisani u normi HRN EN 62196-2 (za mehanizam punjenja 3) i</w:t>
      </w:r>
    </w:p>
    <w:p w14:paraId="1B1DBF99" w14:textId="3C607E09" w:rsidR="00BC796D" w:rsidRPr="002109C8" w:rsidRDefault="00BC796D" w:rsidP="003420E3">
      <w:pPr>
        <w:autoSpaceDE w:val="0"/>
        <w:autoSpaceDN w:val="0"/>
        <w:adjustRightInd w:val="0"/>
        <w:ind w:left="1418" w:hanging="713"/>
        <w:jc w:val="both"/>
        <w:rPr>
          <w:rFonts w:eastAsia="Calibri"/>
        </w:rPr>
      </w:pPr>
      <w:r w:rsidRPr="002109C8">
        <w:rPr>
          <w:rFonts w:eastAsia="Calibri"/>
        </w:rPr>
        <w:t>2.</w:t>
      </w:r>
      <w:r w:rsidRPr="002109C8">
        <w:rPr>
          <w:rFonts w:eastAsia="Calibri"/>
        </w:rPr>
        <w:tab/>
        <w:t>utičnicama u skladu s normom HRN IEC 60884-1 (za mehanizme punjenja 1 i 2)</w:t>
      </w:r>
    </w:p>
    <w:p w14:paraId="5F4C1B6F" w14:textId="5CCFE8C6" w:rsidR="00BC796D" w:rsidRPr="002109C8" w:rsidRDefault="00BC796D" w:rsidP="00BC796D">
      <w:pPr>
        <w:autoSpaceDE w:val="0"/>
        <w:autoSpaceDN w:val="0"/>
        <w:adjustRightInd w:val="0"/>
        <w:jc w:val="both"/>
        <w:rPr>
          <w:rFonts w:eastAsia="Calibri"/>
        </w:rPr>
      </w:pPr>
      <w:r w:rsidRPr="002109C8">
        <w:rPr>
          <w:rFonts w:eastAsia="Calibri"/>
        </w:rPr>
        <w:t>-</w:t>
      </w:r>
      <w:r w:rsidRPr="002109C8">
        <w:rPr>
          <w:rFonts w:eastAsia="Calibri"/>
        </w:rPr>
        <w:tab/>
      </w:r>
      <w:r w:rsidR="00A0564A">
        <w:rPr>
          <w:rFonts w:eastAsia="Calibri"/>
        </w:rPr>
        <w:t>j</w:t>
      </w:r>
      <w:r w:rsidRPr="002109C8">
        <w:rPr>
          <w:rFonts w:eastAsia="Calibri"/>
        </w:rPr>
        <w:t xml:space="preserve">avno dostupna mjesta za punjenje izmjeničnom strujom snage veće od 3,7 kVA rezervirana za električna vozila kategorije L trebala bi biti opremljena, radi interoperabilnosti, barem utičnicama ili priključcima za vozila tipa 2 kako su opisani u normi HRN EN 62196-2. </w:t>
      </w:r>
    </w:p>
    <w:p w14:paraId="05C55CC6" w14:textId="77777777" w:rsidR="00A0564A" w:rsidRDefault="00A0564A" w:rsidP="00BC796D">
      <w:pPr>
        <w:autoSpaceDE w:val="0"/>
        <w:autoSpaceDN w:val="0"/>
        <w:adjustRightInd w:val="0"/>
        <w:jc w:val="both"/>
        <w:rPr>
          <w:rFonts w:eastAsia="Calibri"/>
        </w:rPr>
      </w:pPr>
    </w:p>
    <w:p w14:paraId="6C22061A" w14:textId="77777777" w:rsidR="00EB2742" w:rsidRDefault="00BC796D" w:rsidP="00BC796D">
      <w:pPr>
        <w:autoSpaceDE w:val="0"/>
        <w:autoSpaceDN w:val="0"/>
        <w:adjustRightInd w:val="0"/>
        <w:jc w:val="both"/>
        <w:rPr>
          <w:rFonts w:eastAsia="Calibri"/>
        </w:rPr>
      </w:pPr>
      <w:r w:rsidRPr="002109C8">
        <w:rPr>
          <w:rFonts w:eastAsia="Calibri"/>
        </w:rPr>
        <w:t>(15) Za opskrbu s kopna električnom energijom plovila na unutarnjim vodnim putovima primjenjuju se tehnička specifikacije koje moraju biti u skladu s normom HRN EN 15869-2 ili normom HRN EN 16840, ovisno o energetskim zahtjevima.</w:t>
      </w:r>
    </w:p>
    <w:p w14:paraId="6C8EF11F" w14:textId="77777777" w:rsidR="00EB2742" w:rsidRDefault="00EB2742" w:rsidP="00BC796D">
      <w:pPr>
        <w:autoSpaceDE w:val="0"/>
        <w:autoSpaceDN w:val="0"/>
        <w:adjustRightInd w:val="0"/>
        <w:jc w:val="both"/>
        <w:rPr>
          <w:rFonts w:eastAsia="Calibri"/>
        </w:rPr>
      </w:pPr>
    </w:p>
    <w:p w14:paraId="7F84DD89" w14:textId="3D67BF6E" w:rsidR="00BC796D" w:rsidRPr="002109C8" w:rsidRDefault="00EB2742" w:rsidP="00BC796D">
      <w:pPr>
        <w:autoSpaceDE w:val="0"/>
        <w:autoSpaceDN w:val="0"/>
        <w:adjustRightInd w:val="0"/>
        <w:jc w:val="both"/>
        <w:rPr>
          <w:rFonts w:eastAsia="Calibri"/>
        </w:rPr>
      </w:pPr>
      <w:r w:rsidRPr="00EB2742">
        <w:rPr>
          <w:rFonts w:eastAsia="Calibri"/>
        </w:rPr>
        <w:t>(1</w:t>
      </w:r>
      <w:r>
        <w:rPr>
          <w:rFonts w:eastAsia="Calibri"/>
        </w:rPr>
        <w:t>6</w:t>
      </w:r>
      <w:r w:rsidRPr="00EB2742">
        <w:rPr>
          <w:rFonts w:eastAsia="Calibri"/>
        </w:rPr>
        <w:t>) Upravitelji punionica alternativnih goriva</w:t>
      </w:r>
      <w:r w:rsidRPr="00EB2742">
        <w:t xml:space="preserve"> </w:t>
      </w:r>
      <w:r w:rsidR="00382D3F">
        <w:rPr>
          <w:rFonts w:eastAsia="Calibri"/>
        </w:rPr>
        <w:t>i pružatelji</w:t>
      </w:r>
      <w:r w:rsidRPr="00EB2742">
        <w:rPr>
          <w:rFonts w:eastAsia="Calibri"/>
        </w:rPr>
        <w:t xml:space="preserve"> usluga punjenja</w:t>
      </w:r>
      <w:r>
        <w:rPr>
          <w:rFonts w:eastAsia="Calibri"/>
        </w:rPr>
        <w:t xml:space="preserve"> </w:t>
      </w:r>
      <w:r w:rsidR="00382D3F">
        <w:rPr>
          <w:rFonts w:eastAsia="Calibri"/>
        </w:rPr>
        <w:t>duž</w:t>
      </w:r>
      <w:r>
        <w:rPr>
          <w:rFonts w:eastAsia="Calibri"/>
        </w:rPr>
        <w:t>n</w:t>
      </w:r>
      <w:r w:rsidR="00382D3F">
        <w:rPr>
          <w:rFonts w:eastAsia="Calibri"/>
        </w:rPr>
        <w:t>i su</w:t>
      </w:r>
      <w:r>
        <w:rPr>
          <w:rFonts w:eastAsia="Calibri"/>
        </w:rPr>
        <w:t xml:space="preserve"> objaviti podatke o</w:t>
      </w:r>
      <w:r w:rsidRPr="00EB2742">
        <w:rPr>
          <w:rFonts w:eastAsia="Calibri"/>
        </w:rPr>
        <w:t xml:space="preserve"> svim javno dostupnim mjestima za punjenje korisnicima e</w:t>
      </w:r>
      <w:r>
        <w:rPr>
          <w:rFonts w:eastAsia="Calibri"/>
        </w:rPr>
        <w:t xml:space="preserve">lektričnih vozila koja također </w:t>
      </w:r>
      <w:r w:rsidRPr="00EB2742">
        <w:rPr>
          <w:rFonts w:eastAsia="Calibri"/>
        </w:rPr>
        <w:t xml:space="preserve">pružaju mogućnost punjenja na ad hoc osnovi, bez sklapanja ugovora s dotičnim opskrbljivačem električnom energijom ili operatorom, a kako je to propisano člankom 6. stavkom </w:t>
      </w:r>
      <w:r w:rsidRPr="00382B32">
        <w:rPr>
          <w:rFonts w:eastAsia="Calibri"/>
        </w:rPr>
        <w:t xml:space="preserve">9. </w:t>
      </w:r>
      <w:r w:rsidR="003420E3" w:rsidRPr="00382B32">
        <w:rPr>
          <w:rFonts w:eastAsia="Calibri"/>
        </w:rPr>
        <w:t>ovoga Zakona</w:t>
      </w:r>
      <w:r w:rsidR="00EF3C9B" w:rsidRPr="00382B32">
        <w:rPr>
          <w:rFonts w:eastAsia="Calibri"/>
        </w:rPr>
        <w:t>.</w:t>
      </w:r>
      <w:r w:rsidR="00BC796D" w:rsidRPr="00382B32">
        <w:rPr>
          <w:color w:val="000000"/>
        </w:rPr>
        <w:t>“</w:t>
      </w:r>
      <w:r w:rsidR="00A0564A" w:rsidRPr="00382B32">
        <w:rPr>
          <w:color w:val="000000"/>
        </w:rPr>
        <w:t>.</w:t>
      </w:r>
    </w:p>
    <w:p w14:paraId="2733C728" w14:textId="77777777" w:rsidR="00BC796D" w:rsidRPr="002109C8" w:rsidRDefault="00BC796D" w:rsidP="00BC796D">
      <w:pPr>
        <w:jc w:val="both"/>
      </w:pPr>
    </w:p>
    <w:p w14:paraId="086C2313" w14:textId="77777777" w:rsidR="00BC796D" w:rsidRPr="002109C8" w:rsidRDefault="00BC796D" w:rsidP="00BC796D">
      <w:pPr>
        <w:autoSpaceDE w:val="0"/>
        <w:autoSpaceDN w:val="0"/>
        <w:adjustRightInd w:val="0"/>
        <w:jc w:val="center"/>
        <w:rPr>
          <w:rFonts w:eastAsia="Calibri"/>
          <w:b/>
        </w:rPr>
      </w:pPr>
      <w:r w:rsidRPr="002109C8">
        <w:rPr>
          <w:rFonts w:eastAsia="Calibri"/>
          <w:b/>
        </w:rPr>
        <w:t>Članak 5.</w:t>
      </w:r>
    </w:p>
    <w:p w14:paraId="378A45B4" w14:textId="77777777" w:rsidR="00BC796D" w:rsidRPr="002109C8" w:rsidRDefault="00BC796D" w:rsidP="00BC796D">
      <w:pPr>
        <w:autoSpaceDE w:val="0"/>
        <w:autoSpaceDN w:val="0"/>
        <w:adjustRightInd w:val="0"/>
        <w:rPr>
          <w:rFonts w:eastAsia="Calibri"/>
          <w:b/>
        </w:rPr>
      </w:pPr>
    </w:p>
    <w:p w14:paraId="4EA0CDE7" w14:textId="77777777" w:rsidR="00BC796D" w:rsidRPr="002109C8" w:rsidRDefault="00BC796D" w:rsidP="00675081">
      <w:pPr>
        <w:autoSpaceDE w:val="0"/>
        <w:autoSpaceDN w:val="0"/>
        <w:adjustRightInd w:val="0"/>
        <w:ind w:firstLine="708"/>
        <w:rPr>
          <w:rFonts w:eastAsia="Calibri"/>
        </w:rPr>
      </w:pPr>
      <w:r w:rsidRPr="002109C8">
        <w:rPr>
          <w:rFonts w:eastAsia="Calibri"/>
        </w:rPr>
        <w:t>U članku 7. stavak 2. mijenja se i glasi:</w:t>
      </w:r>
    </w:p>
    <w:p w14:paraId="0A07E3A6" w14:textId="77777777" w:rsidR="00BC796D" w:rsidRPr="002109C8" w:rsidRDefault="00BC796D" w:rsidP="00BC796D">
      <w:pPr>
        <w:autoSpaceDE w:val="0"/>
        <w:autoSpaceDN w:val="0"/>
        <w:adjustRightInd w:val="0"/>
        <w:rPr>
          <w:rFonts w:eastAsia="Calibri"/>
        </w:rPr>
      </w:pPr>
    </w:p>
    <w:p w14:paraId="6BB50AC7" w14:textId="77777777" w:rsidR="00BC796D" w:rsidRPr="002109C8" w:rsidRDefault="00BC796D" w:rsidP="00BC796D">
      <w:pPr>
        <w:autoSpaceDE w:val="0"/>
        <w:autoSpaceDN w:val="0"/>
        <w:adjustRightInd w:val="0"/>
        <w:rPr>
          <w:rFonts w:eastAsia="Calibri"/>
        </w:rPr>
      </w:pPr>
      <w:r>
        <w:rPr>
          <w:rFonts w:eastAsia="Calibri"/>
        </w:rPr>
        <w:t>„</w:t>
      </w:r>
      <w:r w:rsidRPr="002109C8">
        <w:rPr>
          <w:rFonts w:eastAsia="Calibri"/>
        </w:rPr>
        <w:t>(2) Tehničke specifikacije za mjesta za opskrbu motornih vozila vodikom su sljedeće:</w:t>
      </w:r>
    </w:p>
    <w:p w14:paraId="1B6B6C55" w14:textId="77777777" w:rsidR="00BC796D" w:rsidRPr="002109C8" w:rsidRDefault="00BC796D" w:rsidP="00BC796D">
      <w:pPr>
        <w:autoSpaceDE w:val="0"/>
        <w:autoSpaceDN w:val="0"/>
        <w:adjustRightInd w:val="0"/>
        <w:rPr>
          <w:rFonts w:eastAsia="Calibri"/>
        </w:rPr>
      </w:pPr>
    </w:p>
    <w:p w14:paraId="0327AC0F" w14:textId="3FF6A3B2" w:rsidR="00BC796D" w:rsidRPr="002109C8" w:rsidRDefault="00BC796D" w:rsidP="00BC796D">
      <w:pPr>
        <w:autoSpaceDE w:val="0"/>
        <w:autoSpaceDN w:val="0"/>
        <w:adjustRightInd w:val="0"/>
        <w:jc w:val="both"/>
        <w:rPr>
          <w:rFonts w:eastAsia="Calibri"/>
        </w:rPr>
      </w:pPr>
      <w:r w:rsidRPr="002109C8">
        <w:rPr>
          <w:rFonts w:eastAsia="Calibri"/>
        </w:rPr>
        <w:t xml:space="preserve">1. </w:t>
      </w:r>
      <w:r w:rsidR="00675081">
        <w:rPr>
          <w:rFonts w:eastAsia="Calibri"/>
        </w:rPr>
        <w:t>s</w:t>
      </w:r>
      <w:r w:rsidR="00675081" w:rsidRPr="002109C8">
        <w:rPr>
          <w:rFonts w:eastAsia="Calibri"/>
        </w:rPr>
        <w:t xml:space="preserve">tanice </w:t>
      </w:r>
      <w:r w:rsidRPr="002109C8">
        <w:rPr>
          <w:rFonts w:eastAsia="Calibri"/>
        </w:rPr>
        <w:t>na otvorenom za punjenje plinovitim vodikom koji se upotrebljava kao gorivo u motornim vozilima moraju ispunjavati zahtjeve za interoperabilnost opisane u normi HRN EN 17127 „Postaje na otvorenom za punjenje plinovitim vodikom s protokolom za punjenje</w:t>
      </w:r>
      <w:r w:rsidR="00675081">
        <w:rPr>
          <w:rFonts w:eastAsia="Calibri"/>
        </w:rPr>
        <w:t>“</w:t>
      </w:r>
    </w:p>
    <w:p w14:paraId="24007140" w14:textId="77777777" w:rsidR="00BC796D" w:rsidRPr="002109C8" w:rsidRDefault="00BC796D" w:rsidP="00BC796D">
      <w:pPr>
        <w:autoSpaceDE w:val="0"/>
        <w:autoSpaceDN w:val="0"/>
        <w:adjustRightInd w:val="0"/>
        <w:jc w:val="both"/>
        <w:rPr>
          <w:rFonts w:eastAsia="Calibri"/>
        </w:rPr>
      </w:pPr>
    </w:p>
    <w:p w14:paraId="400567C3" w14:textId="4AC92A66" w:rsidR="00BC796D" w:rsidRPr="002109C8" w:rsidRDefault="00BC796D" w:rsidP="00BC796D">
      <w:pPr>
        <w:autoSpaceDE w:val="0"/>
        <w:autoSpaceDN w:val="0"/>
        <w:adjustRightInd w:val="0"/>
        <w:jc w:val="both"/>
        <w:rPr>
          <w:rFonts w:eastAsia="Calibri"/>
        </w:rPr>
      </w:pPr>
      <w:r w:rsidRPr="002109C8">
        <w:rPr>
          <w:rFonts w:eastAsia="Calibri"/>
        </w:rPr>
        <w:t xml:space="preserve">2. </w:t>
      </w:r>
      <w:r w:rsidR="00675081">
        <w:rPr>
          <w:rFonts w:eastAsia="Calibri"/>
        </w:rPr>
        <w:t>k</w:t>
      </w:r>
      <w:r w:rsidR="00675081" w:rsidRPr="002109C8">
        <w:rPr>
          <w:rFonts w:eastAsia="Calibri"/>
        </w:rPr>
        <w:t xml:space="preserve">arakteristike </w:t>
      </w:r>
      <w:r w:rsidRPr="002109C8">
        <w:rPr>
          <w:rFonts w:eastAsia="Calibri"/>
        </w:rPr>
        <w:t>kvalitete vodika kojim stanice za punjenje opskrbljuju cestovna vozila moraju biti u skladu sa zahtjevima opisanim u normi HRN EN 17124, „Vodik kao gorivo – Specifikacija proizvoda i osiguranje kvalitete – Gorivi članci s polimernom protonski vodljivom membranom (PEM) za cestovna vozila</w:t>
      </w:r>
      <w:r w:rsidR="00675081">
        <w:rPr>
          <w:rFonts w:eastAsia="Calibri"/>
        </w:rPr>
        <w:t>“</w:t>
      </w:r>
      <w:r w:rsidRPr="002109C8">
        <w:rPr>
          <w:rFonts w:eastAsia="Calibri"/>
        </w:rPr>
        <w:t xml:space="preserve"> te su u normi ujedno opisane metode za osiguravanje kvalitete.</w:t>
      </w:r>
      <w:r w:rsidR="00675081" w:rsidRPr="002109C8" w:rsidDel="00675081">
        <w:rPr>
          <w:rFonts w:eastAsia="Calibri"/>
        </w:rPr>
        <w:t xml:space="preserve"> </w:t>
      </w:r>
    </w:p>
    <w:p w14:paraId="2A6A8792" w14:textId="77777777" w:rsidR="00BC796D" w:rsidRPr="002109C8" w:rsidRDefault="00BC796D" w:rsidP="00BC796D">
      <w:pPr>
        <w:autoSpaceDE w:val="0"/>
        <w:autoSpaceDN w:val="0"/>
        <w:adjustRightInd w:val="0"/>
        <w:jc w:val="both"/>
        <w:rPr>
          <w:rFonts w:eastAsia="Calibri"/>
        </w:rPr>
      </w:pPr>
    </w:p>
    <w:p w14:paraId="53DFBCD0" w14:textId="31CC695C" w:rsidR="00BC796D" w:rsidRPr="002109C8" w:rsidRDefault="00BC796D" w:rsidP="00BC796D">
      <w:pPr>
        <w:autoSpaceDE w:val="0"/>
        <w:autoSpaceDN w:val="0"/>
        <w:adjustRightInd w:val="0"/>
        <w:jc w:val="both"/>
        <w:rPr>
          <w:rFonts w:eastAsia="Calibri"/>
        </w:rPr>
      </w:pPr>
      <w:r w:rsidRPr="002109C8">
        <w:rPr>
          <w:rFonts w:eastAsia="Calibri"/>
        </w:rPr>
        <w:t xml:space="preserve">3. </w:t>
      </w:r>
      <w:r w:rsidR="00675081">
        <w:rPr>
          <w:rFonts w:eastAsia="Calibri"/>
        </w:rPr>
        <w:t>a</w:t>
      </w:r>
      <w:r w:rsidR="00675081" w:rsidRPr="002109C8">
        <w:rPr>
          <w:rFonts w:eastAsia="Calibri"/>
        </w:rPr>
        <w:t xml:space="preserve">lgoritam </w:t>
      </w:r>
      <w:r w:rsidRPr="002109C8">
        <w:rPr>
          <w:rFonts w:eastAsia="Calibri"/>
        </w:rPr>
        <w:t>za dovod goriva mora ispunjavati zahtjeve norme HRN EN 17127 „Postaje na otvorenom za punjenje plinovitim vodikom s protokolom za punjenje</w:t>
      </w:r>
      <w:r w:rsidR="00675081">
        <w:rPr>
          <w:rFonts w:eastAsia="Calibri"/>
        </w:rPr>
        <w:t>“</w:t>
      </w:r>
    </w:p>
    <w:p w14:paraId="495B4A0F" w14:textId="77777777" w:rsidR="00BC796D" w:rsidRPr="002109C8" w:rsidRDefault="00BC796D" w:rsidP="00BC796D">
      <w:pPr>
        <w:autoSpaceDE w:val="0"/>
        <w:autoSpaceDN w:val="0"/>
        <w:adjustRightInd w:val="0"/>
        <w:jc w:val="both"/>
        <w:rPr>
          <w:rFonts w:eastAsia="Calibri"/>
        </w:rPr>
      </w:pPr>
    </w:p>
    <w:p w14:paraId="4E34FAC3" w14:textId="3E3C4F14" w:rsidR="00BC796D" w:rsidRPr="002109C8" w:rsidRDefault="00BC796D" w:rsidP="00BC796D">
      <w:pPr>
        <w:autoSpaceDE w:val="0"/>
        <w:autoSpaceDN w:val="0"/>
        <w:adjustRightInd w:val="0"/>
        <w:jc w:val="both"/>
        <w:rPr>
          <w:rFonts w:eastAsia="Calibri"/>
        </w:rPr>
      </w:pPr>
      <w:r w:rsidRPr="002109C8">
        <w:rPr>
          <w:rFonts w:eastAsia="Calibri"/>
        </w:rPr>
        <w:t xml:space="preserve">4. </w:t>
      </w:r>
      <w:r w:rsidR="00675081">
        <w:rPr>
          <w:rFonts w:eastAsia="Calibri"/>
        </w:rPr>
        <w:t>n</w:t>
      </w:r>
      <w:r w:rsidR="00675081" w:rsidRPr="002109C8">
        <w:rPr>
          <w:rFonts w:eastAsia="Calibri"/>
        </w:rPr>
        <w:t xml:space="preserve">akon </w:t>
      </w:r>
      <w:r w:rsidRPr="002109C8">
        <w:rPr>
          <w:rFonts w:eastAsia="Calibri"/>
        </w:rPr>
        <w:t>što se zaključe postupci za certifikaciju priključaka, priključci za opskrbu motornih vozila plinovitim vodikom moraju biti u skladu s normom HRN EN ISO 17268 „Priključni uređaji za punjenje gorivom terensk</w:t>
      </w:r>
      <w:r>
        <w:rPr>
          <w:rFonts w:eastAsia="Calibri"/>
        </w:rPr>
        <w:t>ih vozila na plinoviti vodik“.“</w:t>
      </w:r>
      <w:r w:rsidR="00675081">
        <w:rPr>
          <w:rFonts w:eastAsia="Calibri"/>
        </w:rPr>
        <w:t>.</w:t>
      </w:r>
    </w:p>
    <w:p w14:paraId="6184F875" w14:textId="77777777" w:rsidR="00BC796D" w:rsidRPr="002109C8" w:rsidRDefault="00BC796D" w:rsidP="00CB36FC">
      <w:pPr>
        <w:autoSpaceDE w:val="0"/>
        <w:autoSpaceDN w:val="0"/>
        <w:adjustRightInd w:val="0"/>
        <w:rPr>
          <w:rFonts w:eastAsia="Calibri"/>
          <w:b/>
        </w:rPr>
      </w:pPr>
    </w:p>
    <w:p w14:paraId="453C96BE" w14:textId="77777777" w:rsidR="00BC796D" w:rsidRPr="002109C8" w:rsidRDefault="00BC796D" w:rsidP="00BC796D">
      <w:pPr>
        <w:autoSpaceDE w:val="0"/>
        <w:autoSpaceDN w:val="0"/>
        <w:adjustRightInd w:val="0"/>
        <w:jc w:val="center"/>
        <w:rPr>
          <w:rFonts w:eastAsia="Calibri"/>
          <w:b/>
        </w:rPr>
      </w:pPr>
      <w:r w:rsidRPr="002109C8">
        <w:rPr>
          <w:rFonts w:eastAsia="Calibri"/>
          <w:b/>
        </w:rPr>
        <w:t>Članak 6.</w:t>
      </w:r>
    </w:p>
    <w:p w14:paraId="406FC2A0" w14:textId="77777777" w:rsidR="00BC796D" w:rsidRPr="002109C8" w:rsidRDefault="00BC796D" w:rsidP="00CB36FC">
      <w:pPr>
        <w:autoSpaceDE w:val="0"/>
        <w:autoSpaceDN w:val="0"/>
        <w:adjustRightInd w:val="0"/>
        <w:rPr>
          <w:rFonts w:eastAsia="Calibri"/>
          <w:b/>
        </w:rPr>
      </w:pPr>
    </w:p>
    <w:p w14:paraId="1A8A5888" w14:textId="77777777" w:rsidR="00BC796D" w:rsidRPr="002109C8" w:rsidRDefault="00BC796D" w:rsidP="00CB36FC">
      <w:pPr>
        <w:autoSpaceDE w:val="0"/>
        <w:autoSpaceDN w:val="0"/>
        <w:adjustRightInd w:val="0"/>
        <w:ind w:firstLine="708"/>
        <w:rPr>
          <w:rFonts w:eastAsia="Calibri"/>
        </w:rPr>
      </w:pPr>
      <w:r w:rsidRPr="002109C8">
        <w:rPr>
          <w:rFonts w:eastAsia="Calibri"/>
        </w:rPr>
        <w:t>U članku 8. stavak 11. mijenja se i glasi:</w:t>
      </w:r>
    </w:p>
    <w:p w14:paraId="48731C2B" w14:textId="77777777" w:rsidR="00BC796D" w:rsidRPr="002109C8" w:rsidRDefault="00BC796D" w:rsidP="00BC796D">
      <w:pPr>
        <w:autoSpaceDE w:val="0"/>
        <w:autoSpaceDN w:val="0"/>
        <w:adjustRightInd w:val="0"/>
        <w:rPr>
          <w:rFonts w:eastAsia="Calibri"/>
        </w:rPr>
      </w:pPr>
    </w:p>
    <w:p w14:paraId="030C7165" w14:textId="77777777" w:rsidR="00BC796D" w:rsidRPr="002109C8" w:rsidRDefault="00BC796D" w:rsidP="00BC796D">
      <w:pPr>
        <w:autoSpaceDE w:val="0"/>
        <w:autoSpaceDN w:val="0"/>
        <w:adjustRightInd w:val="0"/>
        <w:rPr>
          <w:rFonts w:eastAsia="Calibri"/>
        </w:rPr>
      </w:pPr>
      <w:r>
        <w:rPr>
          <w:rFonts w:eastAsia="Calibri"/>
        </w:rPr>
        <w:t xml:space="preserve">„(11) </w:t>
      </w:r>
      <w:r w:rsidRPr="002109C8">
        <w:rPr>
          <w:rFonts w:eastAsia="Calibri"/>
        </w:rPr>
        <w:t>Profil priključka mora ispunjavati zahtjeve norme HRN EN ISO 14469 „Cestovna vozila – Priključak za punjenje stlačenim prirodnim plinom (SPP).</w:t>
      </w:r>
      <w:r>
        <w:t>“</w:t>
      </w:r>
      <w:r w:rsidR="00CB36FC">
        <w:t>.</w:t>
      </w:r>
    </w:p>
    <w:p w14:paraId="0F66E605" w14:textId="77777777" w:rsidR="00BC796D" w:rsidRPr="002109C8" w:rsidRDefault="00BC796D" w:rsidP="00BC796D">
      <w:pPr>
        <w:autoSpaceDE w:val="0"/>
        <w:autoSpaceDN w:val="0"/>
        <w:adjustRightInd w:val="0"/>
        <w:rPr>
          <w:rFonts w:eastAsia="Calibri"/>
        </w:rPr>
      </w:pPr>
    </w:p>
    <w:p w14:paraId="7992F561" w14:textId="77777777" w:rsidR="00BC796D" w:rsidRPr="00CB36FC" w:rsidRDefault="00BC796D" w:rsidP="00CB36FC">
      <w:pPr>
        <w:autoSpaceDE w:val="0"/>
        <w:autoSpaceDN w:val="0"/>
        <w:adjustRightInd w:val="0"/>
        <w:ind w:firstLine="708"/>
        <w:rPr>
          <w:rFonts w:eastAsia="Calibri"/>
        </w:rPr>
      </w:pPr>
      <w:r w:rsidRPr="002109C8">
        <w:rPr>
          <w:rFonts w:eastAsia="Calibri"/>
        </w:rPr>
        <w:t xml:space="preserve">Iza stavka 11. dodaju se stavci 12., 13. i 14. koji </w:t>
      </w:r>
      <w:r w:rsidRPr="00CB36FC">
        <w:rPr>
          <w:rFonts w:eastAsia="Calibri"/>
        </w:rPr>
        <w:t>glase:</w:t>
      </w:r>
    </w:p>
    <w:p w14:paraId="15DC777D" w14:textId="77777777" w:rsidR="00BC796D" w:rsidRPr="002109C8" w:rsidRDefault="00BC796D" w:rsidP="00BC796D">
      <w:pPr>
        <w:autoSpaceDE w:val="0"/>
        <w:autoSpaceDN w:val="0"/>
        <w:adjustRightInd w:val="0"/>
        <w:rPr>
          <w:rFonts w:eastAsia="Calibri"/>
          <w:b/>
        </w:rPr>
      </w:pPr>
    </w:p>
    <w:p w14:paraId="45E0A398" w14:textId="77777777" w:rsidR="00BC796D" w:rsidRPr="002109C8" w:rsidRDefault="00BC796D" w:rsidP="00BC796D">
      <w:pPr>
        <w:autoSpaceDE w:val="0"/>
        <w:autoSpaceDN w:val="0"/>
        <w:adjustRightInd w:val="0"/>
        <w:jc w:val="both"/>
        <w:rPr>
          <w:rFonts w:eastAsia="Calibri"/>
        </w:rPr>
      </w:pPr>
      <w:r>
        <w:rPr>
          <w:rFonts w:eastAsia="Calibri"/>
        </w:rPr>
        <w:lastRenderedPageBreak/>
        <w:t xml:space="preserve">„(12) </w:t>
      </w:r>
      <w:r w:rsidRPr="002109C8">
        <w:rPr>
          <w:rFonts w:eastAsia="Calibri"/>
        </w:rPr>
        <w:t>Kad je riječ o mjestima za opskrbu stlačenim prirodnim plinom (SPP) primjenjuju se sljedeće tehničke specifikacije:</w:t>
      </w:r>
    </w:p>
    <w:p w14:paraId="55F0C600" w14:textId="1D542964" w:rsidR="00BC796D" w:rsidRPr="002109C8" w:rsidRDefault="00BC796D" w:rsidP="00BC796D">
      <w:pPr>
        <w:autoSpaceDE w:val="0"/>
        <w:autoSpaceDN w:val="0"/>
        <w:adjustRightInd w:val="0"/>
        <w:jc w:val="both"/>
        <w:rPr>
          <w:rFonts w:eastAsia="Calibri"/>
        </w:rPr>
      </w:pPr>
      <w:r>
        <w:rPr>
          <w:rFonts w:eastAsia="Calibri"/>
        </w:rPr>
        <w:t>- t</w:t>
      </w:r>
      <w:r w:rsidRPr="002109C8">
        <w:rPr>
          <w:rFonts w:eastAsia="Calibri"/>
        </w:rPr>
        <w:t>lak goriva pri punjenju (radni tlak) je manometarski tlak od 20,0 MPa (200 bara) na 15 °C. Najveći dopušteni tlak goriva pri punjenju goriva jest 26,0 MPa s „kompenzacijom temperature</w:t>
      </w:r>
      <w:r w:rsidR="00CB36FC">
        <w:rPr>
          <w:rFonts w:eastAsia="Calibri"/>
        </w:rPr>
        <w:t>“</w:t>
      </w:r>
      <w:r w:rsidRPr="002109C8">
        <w:rPr>
          <w:rFonts w:eastAsia="Calibri"/>
        </w:rPr>
        <w:t xml:space="preserve"> kako je navedeno u normi HRN EN ISO 16923 „Stanice za punjenje prirodnim plinom – Stanice za punjenje vozila stlačenim prirodnim plinom (SPP)</w:t>
      </w:r>
      <w:r w:rsidR="00CB36FC">
        <w:rPr>
          <w:rFonts w:eastAsia="Calibri"/>
        </w:rPr>
        <w:t>“</w:t>
      </w:r>
      <w:r w:rsidRPr="002109C8">
        <w:rPr>
          <w:rFonts w:eastAsia="Calibri"/>
        </w:rPr>
        <w:t>.</w:t>
      </w:r>
    </w:p>
    <w:p w14:paraId="10E8C84B" w14:textId="77777777" w:rsidR="00BC796D" w:rsidRPr="002109C8" w:rsidRDefault="00BC796D" w:rsidP="00BC796D">
      <w:pPr>
        <w:autoSpaceDE w:val="0"/>
        <w:autoSpaceDN w:val="0"/>
        <w:adjustRightInd w:val="0"/>
        <w:jc w:val="both"/>
        <w:rPr>
          <w:rFonts w:eastAsia="Calibri"/>
        </w:rPr>
      </w:pPr>
      <w:r w:rsidRPr="002109C8">
        <w:rPr>
          <w:rFonts w:eastAsia="Calibri"/>
        </w:rPr>
        <w:t xml:space="preserve"> </w:t>
      </w:r>
    </w:p>
    <w:p w14:paraId="4D589400" w14:textId="77777777" w:rsidR="00BC796D" w:rsidRDefault="00BC796D" w:rsidP="00BC796D">
      <w:pPr>
        <w:autoSpaceDE w:val="0"/>
        <w:autoSpaceDN w:val="0"/>
        <w:adjustRightInd w:val="0"/>
        <w:jc w:val="both"/>
        <w:rPr>
          <w:rFonts w:eastAsia="Calibri"/>
        </w:rPr>
      </w:pPr>
      <w:r>
        <w:rPr>
          <w:rFonts w:eastAsia="Calibri"/>
        </w:rPr>
        <w:t xml:space="preserve">(13) </w:t>
      </w:r>
      <w:r w:rsidRPr="002109C8">
        <w:rPr>
          <w:rFonts w:eastAsia="Calibri"/>
        </w:rPr>
        <w:t>Kad je riječ o mjestima za opskrbu ukapljenim prirodnim plinom (UPP) za motorna vozila primjenjuju se sljedeće tehničke specifikacije:</w:t>
      </w:r>
    </w:p>
    <w:p w14:paraId="5A32AB06" w14:textId="51B58730" w:rsidR="00BC796D" w:rsidRDefault="00BC796D" w:rsidP="00BC796D">
      <w:pPr>
        <w:autoSpaceDE w:val="0"/>
        <w:autoSpaceDN w:val="0"/>
        <w:adjustRightInd w:val="0"/>
        <w:jc w:val="both"/>
        <w:rPr>
          <w:rFonts w:eastAsia="Calibri"/>
        </w:rPr>
      </w:pPr>
      <w:r>
        <w:rPr>
          <w:rFonts w:eastAsia="Calibri"/>
        </w:rPr>
        <w:t>- t</w:t>
      </w:r>
      <w:r w:rsidRPr="00024994">
        <w:rPr>
          <w:rFonts w:eastAsia="Calibri"/>
        </w:rPr>
        <w:t>lak goriva pri punjenju jest niži od najvećeg dopuštenog radnog tlaka spremnika vozila, kako je navedeno u normi HRN EN ISO 16924 „Stanice za punjenje prirodnim plinom – Stanice za punjenje vozila ukapljenim prirodnim plinom (UPP)</w:t>
      </w:r>
      <w:r w:rsidR="00CB36FC">
        <w:rPr>
          <w:rFonts w:eastAsia="Calibri"/>
        </w:rPr>
        <w:t>“</w:t>
      </w:r>
    </w:p>
    <w:p w14:paraId="64D7FC04" w14:textId="3C10135B" w:rsidR="00BC796D" w:rsidRPr="00024994" w:rsidRDefault="00BC796D" w:rsidP="00BC796D">
      <w:pPr>
        <w:autoSpaceDE w:val="0"/>
        <w:autoSpaceDN w:val="0"/>
        <w:adjustRightInd w:val="0"/>
        <w:jc w:val="both"/>
        <w:rPr>
          <w:rFonts w:eastAsia="Calibri"/>
        </w:rPr>
      </w:pPr>
      <w:r>
        <w:rPr>
          <w:rFonts w:eastAsia="Calibri"/>
        </w:rPr>
        <w:t>- z</w:t>
      </w:r>
      <w:r w:rsidRPr="00024994">
        <w:rPr>
          <w:rFonts w:eastAsia="Calibri"/>
        </w:rPr>
        <w:t>a profil priključka primjenjuje se norma HRN EN ISO 12617 „Cestovna vozila – Priključak za punjenje ukapljenim prirodnim plinom (UPP) – Priključak za 3,1 MPa</w:t>
      </w:r>
      <w:r w:rsidR="00CB36FC">
        <w:rPr>
          <w:rFonts w:eastAsia="Calibri"/>
        </w:rPr>
        <w:t>“</w:t>
      </w:r>
      <w:r w:rsidRPr="00024994">
        <w:rPr>
          <w:rFonts w:eastAsia="Calibri"/>
        </w:rPr>
        <w:t xml:space="preserve">. </w:t>
      </w:r>
    </w:p>
    <w:p w14:paraId="4CEC0270" w14:textId="77777777" w:rsidR="00BC796D" w:rsidRPr="002109C8" w:rsidRDefault="00BC796D" w:rsidP="00BC796D">
      <w:pPr>
        <w:autoSpaceDE w:val="0"/>
        <w:autoSpaceDN w:val="0"/>
        <w:adjustRightInd w:val="0"/>
        <w:jc w:val="both"/>
        <w:rPr>
          <w:rFonts w:eastAsia="Calibri"/>
        </w:rPr>
      </w:pPr>
    </w:p>
    <w:p w14:paraId="15266C7D" w14:textId="77777777" w:rsidR="00BC796D" w:rsidRDefault="00BC796D" w:rsidP="00BC796D">
      <w:pPr>
        <w:autoSpaceDE w:val="0"/>
        <w:autoSpaceDN w:val="0"/>
        <w:adjustRightInd w:val="0"/>
        <w:jc w:val="both"/>
        <w:rPr>
          <w:rFonts w:eastAsia="Calibri"/>
        </w:rPr>
      </w:pPr>
      <w:r>
        <w:rPr>
          <w:rFonts w:eastAsia="Calibri"/>
        </w:rPr>
        <w:t xml:space="preserve">(14) </w:t>
      </w:r>
      <w:r w:rsidRPr="002109C8">
        <w:rPr>
          <w:rFonts w:eastAsia="Calibri"/>
        </w:rPr>
        <w:t>Kad je riječ o mjestima za opskrbu plovila na unutarnjim plovnim putovima ili morskih brodova primjenjuju se sljedeće tehničke specifikacije:</w:t>
      </w:r>
    </w:p>
    <w:p w14:paraId="7E1CBD2A" w14:textId="4FC35882" w:rsidR="00BC796D" w:rsidRDefault="00BC796D" w:rsidP="00BC796D">
      <w:pPr>
        <w:autoSpaceDE w:val="0"/>
        <w:autoSpaceDN w:val="0"/>
        <w:adjustRightInd w:val="0"/>
        <w:jc w:val="both"/>
        <w:rPr>
          <w:rFonts w:eastAsia="Calibri"/>
        </w:rPr>
      </w:pPr>
      <w:r>
        <w:rPr>
          <w:rFonts w:eastAsia="Calibri"/>
        </w:rPr>
        <w:t>- z</w:t>
      </w:r>
      <w:r w:rsidRPr="002109C8">
        <w:rPr>
          <w:rFonts w:eastAsia="Calibri"/>
        </w:rPr>
        <w:t>a morske brodove, koji nisu obuhvaćeni Međunarodnim kodeksom za gradnju i opremanje brodova za prijevoz ukapljenog plina u razlivenom stanju (kodeks IGC), mjesta za opskrbu UPP-om moraju biti u skladu s normom HRN EN ISO 20519</w:t>
      </w:r>
    </w:p>
    <w:p w14:paraId="2F91F895" w14:textId="77777777" w:rsidR="00BC796D" w:rsidRPr="002109C8" w:rsidRDefault="00BC796D" w:rsidP="00BC796D">
      <w:pPr>
        <w:autoSpaceDE w:val="0"/>
        <w:autoSpaceDN w:val="0"/>
        <w:adjustRightInd w:val="0"/>
        <w:jc w:val="both"/>
        <w:rPr>
          <w:rFonts w:eastAsia="Calibri"/>
        </w:rPr>
      </w:pPr>
      <w:r>
        <w:rPr>
          <w:rFonts w:eastAsia="Calibri"/>
        </w:rPr>
        <w:t>- z</w:t>
      </w:r>
      <w:r w:rsidRPr="002109C8">
        <w:rPr>
          <w:rFonts w:eastAsia="Calibri"/>
        </w:rPr>
        <w:t>a plovila na unutarnjim plovnim putovima mjesta za opskrbu UPP-om moraju biti u skladu s normom HRN EN ISO 20519 (dijelovi od 5.3. do 5.7.)</w:t>
      </w:r>
      <w:r>
        <w:rPr>
          <w:rFonts w:eastAsia="Calibri"/>
        </w:rPr>
        <w:t xml:space="preserve"> samo radi interoperabilnosti.“</w:t>
      </w:r>
      <w:r w:rsidR="00CB36FC">
        <w:rPr>
          <w:rFonts w:eastAsia="Calibri"/>
        </w:rPr>
        <w:t>.</w:t>
      </w:r>
    </w:p>
    <w:p w14:paraId="0DFA3D94" w14:textId="77777777" w:rsidR="00BC796D" w:rsidRPr="002109C8" w:rsidRDefault="00BC796D" w:rsidP="00F83B97">
      <w:pPr>
        <w:autoSpaceDE w:val="0"/>
        <w:autoSpaceDN w:val="0"/>
        <w:adjustRightInd w:val="0"/>
        <w:rPr>
          <w:rFonts w:eastAsia="Calibri"/>
          <w:b/>
        </w:rPr>
      </w:pPr>
    </w:p>
    <w:p w14:paraId="54191B40" w14:textId="77777777" w:rsidR="00BC796D" w:rsidRPr="002109C8" w:rsidRDefault="00BC796D" w:rsidP="00BC796D">
      <w:pPr>
        <w:autoSpaceDE w:val="0"/>
        <w:autoSpaceDN w:val="0"/>
        <w:adjustRightInd w:val="0"/>
        <w:jc w:val="center"/>
        <w:rPr>
          <w:rFonts w:eastAsia="Calibri"/>
          <w:b/>
        </w:rPr>
      </w:pPr>
      <w:r w:rsidRPr="002109C8">
        <w:rPr>
          <w:rFonts w:eastAsia="Calibri"/>
          <w:b/>
        </w:rPr>
        <w:t>Članak 7.</w:t>
      </w:r>
    </w:p>
    <w:p w14:paraId="623740D6" w14:textId="77777777" w:rsidR="00BC796D" w:rsidRPr="002109C8" w:rsidRDefault="00BC796D" w:rsidP="00BC796D">
      <w:pPr>
        <w:autoSpaceDE w:val="0"/>
        <w:autoSpaceDN w:val="0"/>
        <w:adjustRightInd w:val="0"/>
        <w:rPr>
          <w:rFonts w:eastAsia="Calibri"/>
          <w:b/>
        </w:rPr>
      </w:pPr>
    </w:p>
    <w:p w14:paraId="7CBF42BB" w14:textId="344C4046" w:rsidR="00BC796D" w:rsidRPr="002109C8" w:rsidRDefault="00BC796D" w:rsidP="00F83B97">
      <w:pPr>
        <w:autoSpaceDE w:val="0"/>
        <w:autoSpaceDN w:val="0"/>
        <w:adjustRightInd w:val="0"/>
        <w:ind w:firstLine="708"/>
        <w:rPr>
          <w:rFonts w:eastAsia="Calibri"/>
        </w:rPr>
      </w:pPr>
      <w:r w:rsidRPr="002109C8">
        <w:rPr>
          <w:rFonts w:eastAsia="Calibri"/>
        </w:rPr>
        <w:t>Iza članka 9. dodaju se članci 9.a i 9.b koji glase:</w:t>
      </w:r>
    </w:p>
    <w:p w14:paraId="506FFCD7" w14:textId="77777777" w:rsidR="00BC796D" w:rsidRPr="002109C8" w:rsidRDefault="00BC796D" w:rsidP="00BC796D">
      <w:pPr>
        <w:autoSpaceDE w:val="0"/>
        <w:autoSpaceDN w:val="0"/>
        <w:adjustRightInd w:val="0"/>
        <w:rPr>
          <w:rFonts w:eastAsia="Calibri"/>
        </w:rPr>
      </w:pPr>
    </w:p>
    <w:p w14:paraId="73439626" w14:textId="6C4A8762" w:rsidR="00BC796D" w:rsidRPr="002109C8" w:rsidRDefault="00BC796D" w:rsidP="00BC796D">
      <w:pPr>
        <w:autoSpaceDE w:val="0"/>
        <w:autoSpaceDN w:val="0"/>
        <w:adjustRightInd w:val="0"/>
        <w:jc w:val="center"/>
        <w:rPr>
          <w:rFonts w:eastAsia="Calibri"/>
        </w:rPr>
      </w:pPr>
      <w:r>
        <w:rPr>
          <w:rFonts w:eastAsia="Calibri"/>
        </w:rPr>
        <w:t>„</w:t>
      </w:r>
      <w:r w:rsidRPr="002109C8">
        <w:rPr>
          <w:rFonts w:eastAsia="Calibri"/>
        </w:rPr>
        <w:t>Članak 9.a</w:t>
      </w:r>
    </w:p>
    <w:p w14:paraId="02E42C0A" w14:textId="77777777" w:rsidR="00F83B97" w:rsidRDefault="00F83B97" w:rsidP="00BC796D">
      <w:pPr>
        <w:autoSpaceDE w:val="0"/>
        <w:autoSpaceDN w:val="0"/>
        <w:adjustRightInd w:val="0"/>
        <w:jc w:val="both"/>
        <w:rPr>
          <w:rFonts w:eastAsia="Calibri"/>
        </w:rPr>
      </w:pPr>
    </w:p>
    <w:p w14:paraId="067A3568" w14:textId="77777777" w:rsidR="00BC796D" w:rsidRPr="00724135" w:rsidRDefault="00BC796D" w:rsidP="00BC796D">
      <w:pPr>
        <w:autoSpaceDE w:val="0"/>
        <w:autoSpaceDN w:val="0"/>
        <w:adjustRightInd w:val="0"/>
        <w:jc w:val="both"/>
        <w:rPr>
          <w:rFonts w:eastAsia="Calibri"/>
        </w:rPr>
      </w:pPr>
      <w:r w:rsidRPr="00724135">
        <w:rPr>
          <w:rFonts w:eastAsia="Calibri"/>
        </w:rPr>
        <w:t xml:space="preserve">(1) Za potrebe praćenja razvoja infrastrukture za alternativna goriva i informiranje korisnika uspostavit će se registar. </w:t>
      </w:r>
      <w:r>
        <w:rPr>
          <w:rFonts w:eastAsia="Calibri"/>
        </w:rPr>
        <w:t>Iz regist</w:t>
      </w:r>
      <w:r w:rsidRPr="00724135">
        <w:rPr>
          <w:rFonts w:eastAsia="Calibri"/>
        </w:rPr>
        <w:t>r</w:t>
      </w:r>
      <w:r>
        <w:rPr>
          <w:rFonts w:eastAsia="Calibri"/>
        </w:rPr>
        <w:t>a</w:t>
      </w:r>
      <w:r w:rsidRPr="00724135">
        <w:rPr>
          <w:rFonts w:eastAsia="Calibri"/>
        </w:rPr>
        <w:t xml:space="preserve"> </w:t>
      </w:r>
      <w:r>
        <w:rPr>
          <w:rFonts w:eastAsia="Calibri"/>
        </w:rPr>
        <w:t>se izdaju identifikacijski kodovi</w:t>
      </w:r>
      <w:r w:rsidRPr="00724135">
        <w:rPr>
          <w:rFonts w:eastAsia="Calibri"/>
        </w:rPr>
        <w:t xml:space="preserve"> za upravitelje infrastrukture punjenja i pružatelje usluga punjenja, </w:t>
      </w:r>
      <w:r>
        <w:rPr>
          <w:rFonts w:eastAsia="Calibri"/>
        </w:rPr>
        <w:t>u registru se vodi baza</w:t>
      </w:r>
      <w:r w:rsidRPr="00724135">
        <w:rPr>
          <w:rFonts w:eastAsia="Calibri"/>
        </w:rPr>
        <w:t xml:space="preserve"> podataka i</w:t>
      </w:r>
      <w:r>
        <w:rPr>
          <w:rFonts w:eastAsia="Calibri"/>
        </w:rPr>
        <w:t>zdanih identifikacijskih kodova te se iz registra</w:t>
      </w:r>
      <w:r w:rsidRPr="00724135">
        <w:rPr>
          <w:rFonts w:eastAsia="Calibri"/>
        </w:rPr>
        <w:t xml:space="preserve"> razmjenj</w:t>
      </w:r>
      <w:r>
        <w:rPr>
          <w:rFonts w:eastAsia="Calibri"/>
        </w:rPr>
        <w:t>uju podaci</w:t>
      </w:r>
      <w:r w:rsidRPr="00724135">
        <w:rPr>
          <w:rFonts w:eastAsia="Calibri"/>
        </w:rPr>
        <w:t xml:space="preserve"> s registrom identifikacijskih kodova na razini Europske unije.</w:t>
      </w:r>
    </w:p>
    <w:p w14:paraId="195F8BFC" w14:textId="77777777" w:rsidR="00F83B97" w:rsidRDefault="00F83B97" w:rsidP="00BC796D">
      <w:pPr>
        <w:autoSpaceDE w:val="0"/>
        <w:autoSpaceDN w:val="0"/>
        <w:adjustRightInd w:val="0"/>
        <w:jc w:val="both"/>
        <w:rPr>
          <w:rFonts w:eastAsia="Calibri"/>
        </w:rPr>
      </w:pPr>
    </w:p>
    <w:p w14:paraId="018A0BAC" w14:textId="77777777" w:rsidR="00BC796D" w:rsidRPr="00724135" w:rsidRDefault="00BC796D" w:rsidP="00BC796D">
      <w:pPr>
        <w:autoSpaceDE w:val="0"/>
        <w:autoSpaceDN w:val="0"/>
        <w:adjustRightInd w:val="0"/>
        <w:jc w:val="both"/>
        <w:rPr>
          <w:rFonts w:eastAsia="Calibri"/>
        </w:rPr>
      </w:pPr>
      <w:r w:rsidRPr="00724135">
        <w:rPr>
          <w:rFonts w:eastAsia="Calibri"/>
        </w:rPr>
        <w:t>(2) Registar sadrži statičke i dinamičke informacije o vrsti lokaciji, načinu i uvjetima korištenja punionica alternativnih goriva te identifikacijske kodove koji će izdavati za svaku punionicu.</w:t>
      </w:r>
    </w:p>
    <w:p w14:paraId="27EE7481" w14:textId="77777777" w:rsidR="00F83B97" w:rsidRDefault="00F83B97" w:rsidP="00BC796D">
      <w:pPr>
        <w:autoSpaceDE w:val="0"/>
        <w:autoSpaceDN w:val="0"/>
        <w:adjustRightInd w:val="0"/>
        <w:jc w:val="both"/>
        <w:rPr>
          <w:rFonts w:eastAsia="Calibri"/>
        </w:rPr>
      </w:pPr>
    </w:p>
    <w:p w14:paraId="01F83EBD" w14:textId="77777777" w:rsidR="00BC796D" w:rsidRPr="00724135" w:rsidRDefault="00BC796D" w:rsidP="00BC796D">
      <w:pPr>
        <w:autoSpaceDE w:val="0"/>
        <w:autoSpaceDN w:val="0"/>
        <w:adjustRightInd w:val="0"/>
        <w:jc w:val="both"/>
        <w:rPr>
          <w:rFonts w:eastAsia="Calibri"/>
        </w:rPr>
      </w:pPr>
      <w:r w:rsidRPr="00724135">
        <w:rPr>
          <w:rFonts w:eastAsia="Calibri"/>
        </w:rPr>
        <w:t>(3) Registar se vodi u elektroničkom obliku u skladu s normama za pružanje informacija u prometu u realnom vremenu.</w:t>
      </w:r>
    </w:p>
    <w:p w14:paraId="2B8B9308" w14:textId="77777777" w:rsidR="00F83B97" w:rsidRDefault="00F83B97" w:rsidP="00BC796D">
      <w:pPr>
        <w:autoSpaceDE w:val="0"/>
        <w:autoSpaceDN w:val="0"/>
        <w:adjustRightInd w:val="0"/>
        <w:jc w:val="both"/>
        <w:rPr>
          <w:rFonts w:eastAsia="Calibri"/>
        </w:rPr>
      </w:pPr>
    </w:p>
    <w:p w14:paraId="2494607E" w14:textId="77777777" w:rsidR="00BC796D" w:rsidRPr="00724135" w:rsidRDefault="00BC796D" w:rsidP="00BC796D">
      <w:pPr>
        <w:autoSpaceDE w:val="0"/>
        <w:autoSpaceDN w:val="0"/>
        <w:adjustRightInd w:val="0"/>
        <w:jc w:val="both"/>
        <w:rPr>
          <w:rFonts w:eastAsia="Calibri"/>
        </w:rPr>
      </w:pPr>
      <w:r w:rsidRPr="00724135">
        <w:rPr>
          <w:rFonts w:eastAsia="Calibri"/>
        </w:rPr>
        <w:t>(4) Tijelo nadležno za vođenje registra je ministarstvo nadležno za promet</w:t>
      </w:r>
      <w:r>
        <w:rPr>
          <w:rFonts w:eastAsia="Calibri"/>
        </w:rPr>
        <w:t>nu infrastrukturu</w:t>
      </w:r>
      <w:r w:rsidRPr="00724135">
        <w:rPr>
          <w:rFonts w:eastAsia="Calibri"/>
        </w:rPr>
        <w:t>.</w:t>
      </w:r>
    </w:p>
    <w:p w14:paraId="56A946CB" w14:textId="77777777" w:rsidR="008F08E1" w:rsidRDefault="008F08E1" w:rsidP="008F08E1">
      <w:pPr>
        <w:autoSpaceDE w:val="0"/>
        <w:autoSpaceDN w:val="0"/>
        <w:adjustRightInd w:val="0"/>
        <w:jc w:val="both"/>
        <w:rPr>
          <w:rFonts w:eastAsia="Calibri"/>
        </w:rPr>
      </w:pPr>
    </w:p>
    <w:p w14:paraId="29DBBCB9" w14:textId="044342C1" w:rsidR="008F08E1" w:rsidRDefault="008F08E1" w:rsidP="008F08E1">
      <w:pPr>
        <w:autoSpaceDE w:val="0"/>
        <w:autoSpaceDN w:val="0"/>
        <w:adjustRightInd w:val="0"/>
        <w:jc w:val="both"/>
        <w:rPr>
          <w:rFonts w:eastAsia="Calibri"/>
        </w:rPr>
      </w:pPr>
      <w:r>
        <w:rPr>
          <w:rFonts w:eastAsia="Calibri"/>
        </w:rPr>
        <w:t>(5) Upravitelji</w:t>
      </w:r>
      <w:r w:rsidRPr="00382D3F">
        <w:rPr>
          <w:rFonts w:eastAsia="Calibri"/>
        </w:rPr>
        <w:t xml:space="preserve"> infr</w:t>
      </w:r>
      <w:r>
        <w:rPr>
          <w:rFonts w:eastAsia="Calibri"/>
        </w:rPr>
        <w:t>astrukture punjenja i pružatelji</w:t>
      </w:r>
      <w:r w:rsidRPr="00382D3F">
        <w:rPr>
          <w:rFonts w:eastAsia="Calibri"/>
        </w:rPr>
        <w:t xml:space="preserve"> usluga punjenja</w:t>
      </w:r>
      <w:r>
        <w:rPr>
          <w:rFonts w:eastAsia="Calibri"/>
        </w:rPr>
        <w:t xml:space="preserve"> dužni su </w:t>
      </w:r>
      <w:r w:rsidRPr="005249C4">
        <w:rPr>
          <w:rFonts w:eastAsia="Calibri"/>
        </w:rPr>
        <w:t>u roku od tri mjeseca od uspostave registra pu</w:t>
      </w:r>
      <w:r w:rsidRPr="00382D3F">
        <w:rPr>
          <w:rFonts w:eastAsia="Calibri"/>
        </w:rPr>
        <w:t xml:space="preserve">nionica alternativnih goriva </w:t>
      </w:r>
      <w:r w:rsidRPr="005249C4">
        <w:rPr>
          <w:rFonts w:eastAsia="Calibri"/>
        </w:rPr>
        <w:t>ishodi</w:t>
      </w:r>
      <w:r>
        <w:rPr>
          <w:rFonts w:eastAsia="Calibri"/>
        </w:rPr>
        <w:t>ti</w:t>
      </w:r>
      <w:r w:rsidRPr="005249C4">
        <w:rPr>
          <w:rFonts w:eastAsia="Calibri"/>
        </w:rPr>
        <w:t xml:space="preserve"> jedinstveni kod</w:t>
      </w:r>
      <w:r w:rsidRPr="004D353A">
        <w:rPr>
          <w:rFonts w:eastAsia="Calibri"/>
        </w:rPr>
        <w:t>.</w:t>
      </w:r>
    </w:p>
    <w:p w14:paraId="6B46904C" w14:textId="77777777" w:rsidR="00F83B97" w:rsidRDefault="00F83B97" w:rsidP="00BC796D">
      <w:pPr>
        <w:autoSpaceDE w:val="0"/>
        <w:autoSpaceDN w:val="0"/>
        <w:adjustRightInd w:val="0"/>
        <w:jc w:val="both"/>
        <w:rPr>
          <w:rFonts w:eastAsia="Calibri"/>
        </w:rPr>
      </w:pPr>
    </w:p>
    <w:p w14:paraId="4F01A155" w14:textId="1167BFFA" w:rsidR="008F08E1" w:rsidRPr="00FD45B8" w:rsidRDefault="00BC796D" w:rsidP="00BC796D">
      <w:pPr>
        <w:autoSpaceDE w:val="0"/>
        <w:autoSpaceDN w:val="0"/>
        <w:adjustRightInd w:val="0"/>
        <w:jc w:val="both"/>
        <w:rPr>
          <w:rFonts w:eastAsia="Calibri"/>
        </w:rPr>
      </w:pPr>
      <w:r w:rsidRPr="00724135">
        <w:rPr>
          <w:rFonts w:eastAsia="Calibri"/>
        </w:rPr>
        <w:t>(</w:t>
      </w:r>
      <w:r w:rsidR="008F08E1">
        <w:rPr>
          <w:rFonts w:eastAsia="Calibri"/>
        </w:rPr>
        <w:t>6</w:t>
      </w:r>
      <w:r w:rsidRPr="00724135">
        <w:rPr>
          <w:rFonts w:eastAsia="Calibri"/>
        </w:rPr>
        <w:t>) Sadržaj, oblik i način vođenja registra te način informiranja korisnika propisuje ministar nadl</w:t>
      </w:r>
      <w:r>
        <w:rPr>
          <w:rFonts w:eastAsia="Calibri"/>
        </w:rPr>
        <w:t xml:space="preserve">ežan za prometnu </w:t>
      </w:r>
      <w:r w:rsidR="003420E3">
        <w:rPr>
          <w:rFonts w:eastAsia="Calibri"/>
        </w:rPr>
        <w:t>infrastrukturu</w:t>
      </w:r>
      <w:r>
        <w:rPr>
          <w:rFonts w:eastAsia="Calibri"/>
        </w:rPr>
        <w:t xml:space="preserve"> </w:t>
      </w:r>
      <w:r w:rsidRPr="00724135">
        <w:rPr>
          <w:rFonts w:eastAsia="Calibri"/>
        </w:rPr>
        <w:t>pravilnikom.</w:t>
      </w:r>
    </w:p>
    <w:p w14:paraId="50C22EBA" w14:textId="77777777" w:rsidR="00BC796D" w:rsidRDefault="00BC796D" w:rsidP="00BC796D">
      <w:pPr>
        <w:autoSpaceDE w:val="0"/>
        <w:autoSpaceDN w:val="0"/>
        <w:adjustRightInd w:val="0"/>
        <w:jc w:val="center"/>
        <w:rPr>
          <w:rFonts w:eastAsia="Calibri"/>
        </w:rPr>
      </w:pPr>
    </w:p>
    <w:p w14:paraId="44877EEB" w14:textId="68826CB4" w:rsidR="00BC796D" w:rsidRPr="002109C8" w:rsidRDefault="00BC796D" w:rsidP="00BC796D">
      <w:pPr>
        <w:autoSpaceDE w:val="0"/>
        <w:autoSpaceDN w:val="0"/>
        <w:adjustRightInd w:val="0"/>
        <w:jc w:val="center"/>
        <w:rPr>
          <w:rFonts w:eastAsia="Calibri"/>
        </w:rPr>
      </w:pPr>
      <w:r w:rsidRPr="002109C8">
        <w:rPr>
          <w:rFonts w:eastAsia="Calibri"/>
        </w:rPr>
        <w:t>Članak 9.b</w:t>
      </w:r>
    </w:p>
    <w:p w14:paraId="1D1CE60C" w14:textId="77777777" w:rsidR="00D256DB" w:rsidRDefault="00D256DB" w:rsidP="00BC796D">
      <w:pPr>
        <w:autoSpaceDE w:val="0"/>
        <w:autoSpaceDN w:val="0"/>
        <w:adjustRightInd w:val="0"/>
        <w:jc w:val="both"/>
        <w:rPr>
          <w:rFonts w:eastAsia="Calibri"/>
        </w:rPr>
      </w:pPr>
    </w:p>
    <w:p w14:paraId="78B22AAE" w14:textId="77777777" w:rsidR="00BC796D" w:rsidRPr="002109C8" w:rsidRDefault="00BC796D" w:rsidP="00BC796D">
      <w:pPr>
        <w:autoSpaceDE w:val="0"/>
        <w:autoSpaceDN w:val="0"/>
        <w:adjustRightInd w:val="0"/>
        <w:jc w:val="both"/>
        <w:rPr>
          <w:rFonts w:eastAsia="Calibri"/>
        </w:rPr>
      </w:pPr>
      <w:r>
        <w:rPr>
          <w:rFonts w:eastAsia="Calibri"/>
        </w:rPr>
        <w:lastRenderedPageBreak/>
        <w:t xml:space="preserve">(1) </w:t>
      </w:r>
      <w:r w:rsidRPr="002109C8">
        <w:rPr>
          <w:rFonts w:eastAsia="Calibri"/>
        </w:rPr>
        <w:t>Postaje za opskrbu gorivom obavezne su prikazivati usporedbu jediničnih cijena alternativnih i konvencionalnih goriva.</w:t>
      </w:r>
    </w:p>
    <w:p w14:paraId="661C4A9F" w14:textId="77777777" w:rsidR="00D256DB" w:rsidRDefault="00D256DB" w:rsidP="00BC796D">
      <w:pPr>
        <w:autoSpaceDE w:val="0"/>
        <w:autoSpaceDN w:val="0"/>
        <w:adjustRightInd w:val="0"/>
        <w:jc w:val="both"/>
        <w:rPr>
          <w:rFonts w:eastAsia="Calibri"/>
        </w:rPr>
      </w:pPr>
    </w:p>
    <w:p w14:paraId="6667A7E0" w14:textId="77777777" w:rsidR="00BC796D" w:rsidRPr="002109C8" w:rsidRDefault="00BC796D" w:rsidP="00BC796D">
      <w:pPr>
        <w:autoSpaceDE w:val="0"/>
        <w:autoSpaceDN w:val="0"/>
        <w:adjustRightInd w:val="0"/>
        <w:jc w:val="both"/>
        <w:rPr>
          <w:rFonts w:eastAsia="Calibri"/>
        </w:rPr>
      </w:pPr>
      <w:r w:rsidRPr="002109C8">
        <w:rPr>
          <w:rFonts w:eastAsia="Calibri"/>
        </w:rPr>
        <w:t>(2) Metodologija za usporedbu uključuje cijene benzinskih, dizelskih i alternativnih goriva, izraženih u nacionalnoj valuti po prijeđenih 100 km.</w:t>
      </w:r>
    </w:p>
    <w:p w14:paraId="31A02EB7" w14:textId="77777777" w:rsidR="00D256DB" w:rsidRDefault="00D256DB" w:rsidP="00BC796D">
      <w:pPr>
        <w:autoSpaceDE w:val="0"/>
        <w:autoSpaceDN w:val="0"/>
        <w:adjustRightInd w:val="0"/>
        <w:jc w:val="both"/>
        <w:rPr>
          <w:rFonts w:eastAsia="Calibri"/>
        </w:rPr>
      </w:pPr>
    </w:p>
    <w:p w14:paraId="692D035C" w14:textId="6D122FE8" w:rsidR="00BC796D" w:rsidRPr="002109C8" w:rsidRDefault="00BC796D" w:rsidP="00BC796D">
      <w:pPr>
        <w:autoSpaceDE w:val="0"/>
        <w:autoSpaceDN w:val="0"/>
        <w:adjustRightInd w:val="0"/>
        <w:jc w:val="both"/>
        <w:rPr>
          <w:rFonts w:eastAsia="Calibri"/>
        </w:rPr>
      </w:pPr>
      <w:r w:rsidRPr="002109C8">
        <w:rPr>
          <w:rFonts w:eastAsia="Calibri"/>
        </w:rPr>
        <w:t xml:space="preserve">(3) Format, sadržaj i lokacije za pružanje informacija na postajama za opskrbu gorivima (temeljem metodologije usvojene od strane Europske komisije) </w:t>
      </w:r>
      <w:r>
        <w:rPr>
          <w:rFonts w:eastAsia="Calibri"/>
        </w:rPr>
        <w:t>propisuje ministar nadležan za prometnu infr</w:t>
      </w:r>
      <w:r w:rsidR="003420E3">
        <w:rPr>
          <w:rFonts w:eastAsia="Calibri"/>
        </w:rPr>
        <w:t>astrukturu</w:t>
      </w:r>
      <w:r>
        <w:rPr>
          <w:rFonts w:eastAsia="Calibri"/>
        </w:rPr>
        <w:t xml:space="preserve"> pravilnikom.“</w:t>
      </w:r>
      <w:r w:rsidR="00D256DB">
        <w:rPr>
          <w:rFonts w:eastAsia="Calibri"/>
        </w:rPr>
        <w:t>.</w:t>
      </w:r>
    </w:p>
    <w:p w14:paraId="7EE6DB4D" w14:textId="77777777" w:rsidR="00BC796D" w:rsidRPr="002109C8" w:rsidRDefault="00BC796D" w:rsidP="009E3D9C">
      <w:pPr>
        <w:autoSpaceDE w:val="0"/>
        <w:autoSpaceDN w:val="0"/>
        <w:adjustRightInd w:val="0"/>
        <w:rPr>
          <w:rFonts w:eastAsia="Calibri"/>
          <w:b/>
        </w:rPr>
      </w:pPr>
    </w:p>
    <w:p w14:paraId="797814FA" w14:textId="77777777" w:rsidR="00BC796D" w:rsidRPr="002109C8" w:rsidRDefault="00BC796D" w:rsidP="00BC796D">
      <w:pPr>
        <w:autoSpaceDE w:val="0"/>
        <w:autoSpaceDN w:val="0"/>
        <w:adjustRightInd w:val="0"/>
        <w:jc w:val="center"/>
        <w:rPr>
          <w:rFonts w:eastAsia="Calibri"/>
          <w:b/>
        </w:rPr>
      </w:pPr>
      <w:r w:rsidRPr="002109C8">
        <w:rPr>
          <w:rFonts w:eastAsia="Calibri"/>
          <w:b/>
        </w:rPr>
        <w:t>Članak 8.</w:t>
      </w:r>
    </w:p>
    <w:p w14:paraId="0EC9AC57" w14:textId="77777777" w:rsidR="00BC796D" w:rsidRPr="002109C8" w:rsidRDefault="00BC796D" w:rsidP="009E3D9C">
      <w:pPr>
        <w:autoSpaceDE w:val="0"/>
        <w:autoSpaceDN w:val="0"/>
        <w:adjustRightInd w:val="0"/>
        <w:rPr>
          <w:rFonts w:eastAsia="Calibri"/>
        </w:rPr>
      </w:pPr>
    </w:p>
    <w:p w14:paraId="69E54046" w14:textId="77777777" w:rsidR="00BC796D" w:rsidRPr="002109C8" w:rsidRDefault="00BC796D" w:rsidP="009E3D9C">
      <w:pPr>
        <w:autoSpaceDE w:val="0"/>
        <w:autoSpaceDN w:val="0"/>
        <w:adjustRightInd w:val="0"/>
        <w:ind w:firstLine="708"/>
        <w:rPr>
          <w:rFonts w:eastAsia="Calibri"/>
        </w:rPr>
      </w:pPr>
      <w:r w:rsidRPr="002109C8">
        <w:rPr>
          <w:rFonts w:eastAsia="Calibri"/>
        </w:rPr>
        <w:t>U članku 10. stavak 2. mijenja se i glasi:</w:t>
      </w:r>
    </w:p>
    <w:p w14:paraId="1ADF9FE3" w14:textId="77777777" w:rsidR="00BC796D" w:rsidRPr="002109C8" w:rsidRDefault="00BC796D" w:rsidP="00BC796D">
      <w:pPr>
        <w:autoSpaceDE w:val="0"/>
        <w:autoSpaceDN w:val="0"/>
        <w:adjustRightInd w:val="0"/>
        <w:rPr>
          <w:rFonts w:eastAsia="Calibri"/>
        </w:rPr>
      </w:pPr>
    </w:p>
    <w:p w14:paraId="100594DE" w14:textId="77777777" w:rsidR="00BC796D" w:rsidRPr="002109C8" w:rsidRDefault="00BC796D" w:rsidP="00BC796D">
      <w:pPr>
        <w:autoSpaceDE w:val="0"/>
        <w:autoSpaceDN w:val="0"/>
        <w:adjustRightInd w:val="0"/>
        <w:jc w:val="both"/>
        <w:rPr>
          <w:rFonts w:eastAsia="Calibri"/>
        </w:rPr>
      </w:pPr>
      <w:r w:rsidRPr="002109C8">
        <w:rPr>
          <w:rFonts w:eastAsia="Calibri"/>
        </w:rPr>
        <w:t>„(2)</w:t>
      </w:r>
      <w:r>
        <w:rPr>
          <w:rFonts w:eastAsia="Calibri"/>
        </w:rPr>
        <w:t xml:space="preserve"> </w:t>
      </w:r>
      <w:r w:rsidRPr="002109C8">
        <w:rPr>
          <w:rFonts w:eastAsia="Calibri"/>
        </w:rPr>
        <w:t>Za nacionalno koordinacijsko tijelo određuje se ministarstvo nadležno za energetiku da:</w:t>
      </w:r>
    </w:p>
    <w:p w14:paraId="412CD47A" w14:textId="77777777" w:rsidR="009E3D9C" w:rsidRDefault="009E3D9C" w:rsidP="00BC796D">
      <w:pPr>
        <w:autoSpaceDE w:val="0"/>
        <w:autoSpaceDN w:val="0"/>
        <w:adjustRightInd w:val="0"/>
        <w:jc w:val="both"/>
        <w:rPr>
          <w:rFonts w:eastAsia="Calibri"/>
        </w:rPr>
      </w:pPr>
    </w:p>
    <w:p w14:paraId="6FE01F43" w14:textId="6E912196" w:rsidR="00BC796D" w:rsidRPr="002109C8" w:rsidRDefault="00BC796D" w:rsidP="00BC796D">
      <w:pPr>
        <w:autoSpaceDE w:val="0"/>
        <w:autoSpaceDN w:val="0"/>
        <w:adjustRightInd w:val="0"/>
        <w:jc w:val="both"/>
        <w:rPr>
          <w:rFonts w:eastAsia="Calibri"/>
        </w:rPr>
      </w:pPr>
      <w:r>
        <w:rPr>
          <w:rFonts w:eastAsia="Calibri"/>
        </w:rPr>
        <w:t xml:space="preserve">1. </w:t>
      </w:r>
      <w:r w:rsidRPr="002109C8">
        <w:rPr>
          <w:rFonts w:eastAsia="Calibri"/>
        </w:rPr>
        <w:t>pruža potporu provedbi politike alternativnih goriva utvrđenu odredbama ovoga Zakona</w:t>
      </w:r>
    </w:p>
    <w:p w14:paraId="041C5078" w14:textId="50C25C6B" w:rsidR="00BC796D" w:rsidRPr="002109C8" w:rsidRDefault="00BC796D" w:rsidP="00BC796D">
      <w:pPr>
        <w:autoSpaceDE w:val="0"/>
        <w:autoSpaceDN w:val="0"/>
        <w:adjustRightInd w:val="0"/>
        <w:jc w:val="both"/>
        <w:rPr>
          <w:rFonts w:eastAsia="Calibri"/>
        </w:rPr>
      </w:pPr>
      <w:r>
        <w:rPr>
          <w:rFonts w:eastAsia="Calibri"/>
        </w:rPr>
        <w:t xml:space="preserve">2. </w:t>
      </w:r>
      <w:r w:rsidRPr="002109C8">
        <w:rPr>
          <w:rFonts w:eastAsia="Calibri"/>
        </w:rPr>
        <w:t>izrađuje i provodi sustav praćenja mjera za unaprjeđenje infrastrukture alternativnih goriva</w:t>
      </w:r>
    </w:p>
    <w:p w14:paraId="4D47BA46" w14:textId="4B60687C" w:rsidR="00BC796D" w:rsidRPr="002109C8" w:rsidRDefault="00BC796D" w:rsidP="00BC796D">
      <w:pPr>
        <w:autoSpaceDE w:val="0"/>
        <w:autoSpaceDN w:val="0"/>
        <w:adjustRightInd w:val="0"/>
        <w:jc w:val="both"/>
        <w:rPr>
          <w:rFonts w:eastAsia="Calibri"/>
        </w:rPr>
      </w:pPr>
      <w:r>
        <w:rPr>
          <w:rFonts w:eastAsia="Calibri"/>
        </w:rPr>
        <w:t xml:space="preserve">3. </w:t>
      </w:r>
      <w:r w:rsidRPr="002109C8">
        <w:rPr>
          <w:rFonts w:eastAsia="Calibri"/>
        </w:rPr>
        <w:t xml:space="preserve">za </w:t>
      </w:r>
      <w:r>
        <w:rPr>
          <w:rFonts w:eastAsia="Calibri"/>
        </w:rPr>
        <w:t xml:space="preserve">ministarstvo nadležno za prometnu infrastrukturu </w:t>
      </w:r>
      <w:r w:rsidRPr="002109C8">
        <w:rPr>
          <w:rFonts w:eastAsia="Calibri"/>
        </w:rPr>
        <w:t xml:space="preserve">priprema i prilagođava provedbu okvira mjera za razvoj tržišta alternativnih goriva u prometu, u skladu s člankom 4. stavkom 1. </w:t>
      </w:r>
      <w:r w:rsidR="009E3D9C">
        <w:rPr>
          <w:rFonts w:eastAsia="Calibri"/>
        </w:rPr>
        <w:t>ovoga Zakona</w:t>
      </w:r>
      <w:r w:rsidRPr="002109C8">
        <w:rPr>
          <w:rFonts w:eastAsia="Calibri"/>
        </w:rPr>
        <w:t xml:space="preserve">, te njihovu provedbu prati u </w:t>
      </w:r>
      <w:r w:rsidRPr="00230A0B">
        <w:rPr>
          <w:rFonts w:eastAsia="Calibri"/>
        </w:rPr>
        <w:t>sklopu Nacionalnog akcijskog plana za energetsku učinkovitost, te osigurava sustavno planiranje za provedbu politike infrastrukture alternativnih</w:t>
      </w:r>
      <w:r w:rsidRPr="002109C8">
        <w:rPr>
          <w:rFonts w:eastAsia="Calibri"/>
        </w:rPr>
        <w:t xml:space="preserve"> goriva u Republici Hrvatskoj.</w:t>
      </w:r>
    </w:p>
    <w:p w14:paraId="53C1EF7D" w14:textId="4C95414D" w:rsidR="00BC796D" w:rsidRPr="002109C8" w:rsidRDefault="00BC796D" w:rsidP="00BC796D">
      <w:pPr>
        <w:autoSpaceDE w:val="0"/>
        <w:autoSpaceDN w:val="0"/>
        <w:adjustRightInd w:val="0"/>
        <w:jc w:val="both"/>
        <w:rPr>
          <w:rFonts w:eastAsia="Calibri"/>
        </w:rPr>
      </w:pPr>
      <w:r>
        <w:rPr>
          <w:rFonts w:eastAsia="Calibri"/>
        </w:rPr>
        <w:t xml:space="preserve">4. </w:t>
      </w:r>
      <w:r w:rsidRPr="002109C8">
        <w:rPr>
          <w:rFonts w:eastAsia="Calibri"/>
        </w:rPr>
        <w:t xml:space="preserve">priprema Izvješće o </w:t>
      </w:r>
      <w:r w:rsidRPr="00F43B78">
        <w:rPr>
          <w:rFonts w:eastAsia="Calibri"/>
        </w:rPr>
        <w:t>provedbi NOP-a koje sadrži</w:t>
      </w:r>
      <w:r w:rsidRPr="002109C8">
        <w:rPr>
          <w:rFonts w:eastAsia="Calibri"/>
        </w:rPr>
        <w:t xml:space="preserve"> opis mjera poduzetih kao potpora izgradnji infrastrukture za alternativna goriva u skladu s člankom 5. </w:t>
      </w:r>
      <w:r w:rsidR="009E3D9C">
        <w:rPr>
          <w:rFonts w:eastAsia="Calibri"/>
        </w:rPr>
        <w:t>ovoga Zakona</w:t>
      </w:r>
    </w:p>
    <w:p w14:paraId="520D6301" w14:textId="631ABAE8" w:rsidR="00BC796D" w:rsidRPr="002109C8" w:rsidRDefault="00BC796D" w:rsidP="00BC796D">
      <w:pPr>
        <w:autoSpaceDE w:val="0"/>
        <w:autoSpaceDN w:val="0"/>
        <w:adjustRightInd w:val="0"/>
        <w:jc w:val="both"/>
        <w:rPr>
          <w:rFonts w:eastAsia="Calibri"/>
        </w:rPr>
      </w:pPr>
      <w:r w:rsidRPr="002109C8">
        <w:rPr>
          <w:rFonts w:eastAsia="Calibri"/>
        </w:rPr>
        <w:t>5.</w:t>
      </w:r>
      <w:r>
        <w:rPr>
          <w:rFonts w:eastAsia="Calibri"/>
        </w:rPr>
        <w:t xml:space="preserve"> </w:t>
      </w:r>
      <w:r w:rsidRPr="002109C8">
        <w:rPr>
          <w:rFonts w:eastAsia="Calibri"/>
        </w:rPr>
        <w:t xml:space="preserve">na svojim mrežnim stranicama objavljuje i redovito ažurira informacije definirane člankom 5. i člankom 9. stavcima 6. i 7. </w:t>
      </w:r>
      <w:r w:rsidR="009E3D9C">
        <w:rPr>
          <w:rFonts w:eastAsia="Calibri"/>
        </w:rPr>
        <w:t>ovoga Zakona</w:t>
      </w:r>
      <w:r w:rsidRPr="002109C8">
        <w:rPr>
          <w:rFonts w:eastAsia="Calibri"/>
        </w:rPr>
        <w:t>.“</w:t>
      </w:r>
      <w:r w:rsidR="009E3D9C">
        <w:rPr>
          <w:rFonts w:eastAsia="Calibri"/>
        </w:rPr>
        <w:t>.</w:t>
      </w:r>
    </w:p>
    <w:p w14:paraId="669BF9F9" w14:textId="77777777" w:rsidR="00BC796D" w:rsidRPr="002109C8" w:rsidRDefault="00BC796D" w:rsidP="00BC796D">
      <w:pPr>
        <w:autoSpaceDE w:val="0"/>
        <w:autoSpaceDN w:val="0"/>
        <w:adjustRightInd w:val="0"/>
        <w:jc w:val="center"/>
        <w:rPr>
          <w:rFonts w:eastAsia="Calibri"/>
          <w:b/>
        </w:rPr>
      </w:pPr>
    </w:p>
    <w:p w14:paraId="08D1B2C8" w14:textId="77777777" w:rsidR="00BC796D" w:rsidRPr="002109C8" w:rsidRDefault="00BC796D" w:rsidP="00BC796D">
      <w:pPr>
        <w:keepNext/>
        <w:widowControl w:val="0"/>
        <w:jc w:val="center"/>
        <w:rPr>
          <w:b/>
        </w:rPr>
      </w:pPr>
      <w:r w:rsidRPr="002109C8">
        <w:rPr>
          <w:b/>
        </w:rPr>
        <w:t>Članak 9.</w:t>
      </w:r>
    </w:p>
    <w:p w14:paraId="6FC456A7" w14:textId="77777777" w:rsidR="00BC796D" w:rsidRPr="002109C8" w:rsidRDefault="00BC796D" w:rsidP="00AD23CA">
      <w:pPr>
        <w:keepNext/>
        <w:widowControl w:val="0"/>
        <w:rPr>
          <w:b/>
        </w:rPr>
      </w:pPr>
    </w:p>
    <w:p w14:paraId="5A3D471E" w14:textId="77777777" w:rsidR="00BC796D" w:rsidRPr="002109C8" w:rsidRDefault="00BC796D" w:rsidP="00716F06">
      <w:pPr>
        <w:autoSpaceDE w:val="0"/>
        <w:autoSpaceDN w:val="0"/>
        <w:adjustRightInd w:val="0"/>
        <w:ind w:firstLine="708"/>
        <w:jc w:val="both"/>
      </w:pPr>
      <w:r>
        <w:rPr>
          <w:rFonts w:eastAsia="Calibri"/>
        </w:rPr>
        <w:t>Članak 11</w:t>
      </w:r>
      <w:r w:rsidRPr="002109C8">
        <w:rPr>
          <w:rFonts w:eastAsia="Calibri"/>
        </w:rPr>
        <w:t>. mijenja se i glasi:</w:t>
      </w:r>
      <w:r w:rsidRPr="002109C8">
        <w:t xml:space="preserve"> </w:t>
      </w:r>
    </w:p>
    <w:p w14:paraId="7BDE2CE0" w14:textId="77777777" w:rsidR="00BC796D" w:rsidRPr="007D3875" w:rsidRDefault="00BC796D" w:rsidP="00BC796D">
      <w:pPr>
        <w:autoSpaceDE w:val="0"/>
        <w:autoSpaceDN w:val="0"/>
        <w:adjustRightInd w:val="0"/>
        <w:jc w:val="center"/>
        <w:rPr>
          <w:rFonts w:eastAsia="Calibri"/>
        </w:rPr>
      </w:pPr>
    </w:p>
    <w:p w14:paraId="156C8B8F" w14:textId="77777777" w:rsidR="00BC796D" w:rsidRDefault="00BC796D" w:rsidP="00BC796D">
      <w:pPr>
        <w:autoSpaceDE w:val="0"/>
        <w:autoSpaceDN w:val="0"/>
        <w:adjustRightInd w:val="0"/>
        <w:jc w:val="both"/>
        <w:rPr>
          <w:rFonts w:eastAsia="Calibri"/>
        </w:rPr>
      </w:pPr>
      <w:r>
        <w:rPr>
          <w:rFonts w:eastAsia="Calibri"/>
        </w:rPr>
        <w:t>„(1)</w:t>
      </w:r>
      <w:r w:rsidR="00AD23CA">
        <w:rPr>
          <w:rFonts w:eastAsia="Calibri"/>
        </w:rPr>
        <w:t xml:space="preserve"> </w:t>
      </w:r>
      <w:r w:rsidRPr="007D3875">
        <w:rPr>
          <w:rFonts w:eastAsia="Calibri"/>
        </w:rPr>
        <w:t xml:space="preserve">Ministarstvo nadležno za energetiku provodi </w:t>
      </w:r>
      <w:r>
        <w:rPr>
          <w:rFonts w:eastAsia="Calibri"/>
        </w:rPr>
        <w:t>upravni nadzor nad provedbom ovog</w:t>
      </w:r>
      <w:r w:rsidR="00716F06">
        <w:rPr>
          <w:rFonts w:eastAsia="Calibri"/>
        </w:rPr>
        <w:t>a</w:t>
      </w:r>
      <w:r>
        <w:rPr>
          <w:rFonts w:eastAsia="Calibri"/>
        </w:rPr>
        <w:t xml:space="preserve"> Zakona.</w:t>
      </w:r>
    </w:p>
    <w:p w14:paraId="00329BEF" w14:textId="77777777" w:rsidR="00716F06" w:rsidRDefault="00716F06" w:rsidP="00BC796D">
      <w:pPr>
        <w:pStyle w:val="ListParagraph"/>
        <w:autoSpaceDE w:val="0"/>
        <w:autoSpaceDN w:val="0"/>
        <w:adjustRightInd w:val="0"/>
        <w:ind w:left="0"/>
        <w:jc w:val="both"/>
        <w:rPr>
          <w:rFonts w:eastAsia="Calibri"/>
        </w:rPr>
      </w:pPr>
    </w:p>
    <w:p w14:paraId="3094CF08" w14:textId="13813239" w:rsidR="00BC796D" w:rsidRPr="002109C8" w:rsidRDefault="00BC796D" w:rsidP="00BC796D">
      <w:pPr>
        <w:pStyle w:val="ListParagraph"/>
        <w:autoSpaceDE w:val="0"/>
        <w:autoSpaceDN w:val="0"/>
        <w:adjustRightInd w:val="0"/>
        <w:ind w:left="0"/>
        <w:jc w:val="both"/>
        <w:rPr>
          <w:rFonts w:eastAsia="Calibri"/>
        </w:rPr>
      </w:pPr>
      <w:r>
        <w:rPr>
          <w:rFonts w:eastAsia="Calibri"/>
        </w:rPr>
        <w:t xml:space="preserve">(2) </w:t>
      </w:r>
      <w:r w:rsidRPr="002109C8">
        <w:rPr>
          <w:rFonts w:eastAsia="Calibri"/>
        </w:rPr>
        <w:t xml:space="preserve">Ministarstvo nadležno za prometnu infrastrukturu provodi inspekcijski nadzor u primjeni </w:t>
      </w:r>
      <w:r w:rsidR="00716F06">
        <w:rPr>
          <w:rFonts w:eastAsia="Calibri"/>
        </w:rPr>
        <w:t xml:space="preserve">ovoga </w:t>
      </w:r>
      <w:r w:rsidRPr="002109C8">
        <w:t>Zakonu</w:t>
      </w:r>
      <w:r w:rsidR="00716F06">
        <w:t>.</w:t>
      </w:r>
      <w:r>
        <w:t>“</w:t>
      </w:r>
      <w:r w:rsidRPr="002109C8">
        <w:rPr>
          <w:rFonts w:eastAsia="Calibri"/>
        </w:rPr>
        <w:t>.</w:t>
      </w:r>
    </w:p>
    <w:p w14:paraId="57D72A04" w14:textId="77777777" w:rsidR="00BC796D" w:rsidRPr="002109C8" w:rsidRDefault="00BC796D" w:rsidP="006C13F1">
      <w:pPr>
        <w:autoSpaceDE w:val="0"/>
        <w:autoSpaceDN w:val="0"/>
        <w:adjustRightInd w:val="0"/>
        <w:rPr>
          <w:rFonts w:eastAsia="Calibri"/>
          <w:b/>
        </w:rPr>
      </w:pPr>
    </w:p>
    <w:p w14:paraId="7473C7F2" w14:textId="77777777" w:rsidR="00BC796D" w:rsidRPr="002109C8" w:rsidRDefault="00BC796D" w:rsidP="006C13F1">
      <w:pPr>
        <w:keepNext/>
        <w:widowControl w:val="0"/>
        <w:jc w:val="center"/>
        <w:rPr>
          <w:b/>
        </w:rPr>
      </w:pPr>
      <w:bookmarkStart w:id="0" w:name="_Toc394468826"/>
      <w:r>
        <w:rPr>
          <w:b/>
        </w:rPr>
        <w:t>Članak 10</w:t>
      </w:r>
      <w:r w:rsidRPr="002109C8">
        <w:rPr>
          <w:b/>
        </w:rPr>
        <w:t>.</w:t>
      </w:r>
    </w:p>
    <w:p w14:paraId="18CA8FB8" w14:textId="77777777" w:rsidR="00BC796D" w:rsidRPr="002109C8" w:rsidRDefault="00BC796D" w:rsidP="006C13F1">
      <w:pPr>
        <w:keepNext/>
        <w:widowControl w:val="0"/>
        <w:rPr>
          <w:b/>
        </w:rPr>
      </w:pPr>
    </w:p>
    <w:p w14:paraId="2DF8429D" w14:textId="59A4E6E9" w:rsidR="00BC796D" w:rsidRPr="002109C8" w:rsidRDefault="00BC796D" w:rsidP="006C13F1">
      <w:pPr>
        <w:keepNext/>
        <w:widowControl w:val="0"/>
        <w:ind w:firstLine="708"/>
        <w:jc w:val="both"/>
      </w:pPr>
      <w:r w:rsidRPr="002109C8">
        <w:t>Iza poglav</w:t>
      </w:r>
      <w:r w:rsidR="003420E3">
        <w:t>lja VIII. dodaje se poglavlje</w:t>
      </w:r>
      <w:r w:rsidRPr="002109C8">
        <w:t>VIII.a s nazivom i člankom 11.</w:t>
      </w:r>
      <w:r>
        <w:t>a</w:t>
      </w:r>
      <w:r w:rsidRPr="002109C8">
        <w:t xml:space="preserve">  koji glas</w:t>
      </w:r>
      <w:r w:rsidR="00CA7C66">
        <w:t>e</w:t>
      </w:r>
      <w:r w:rsidRPr="002109C8">
        <w:t>:</w:t>
      </w:r>
    </w:p>
    <w:p w14:paraId="2820406D" w14:textId="77777777" w:rsidR="006C13F1" w:rsidRDefault="006C13F1" w:rsidP="006C13F1">
      <w:pPr>
        <w:keepNext/>
        <w:jc w:val="center"/>
        <w:outlineLvl w:val="2"/>
        <w:rPr>
          <w:bCs/>
        </w:rPr>
      </w:pPr>
    </w:p>
    <w:p w14:paraId="785462B2" w14:textId="4FE60D8B" w:rsidR="00BC796D" w:rsidRPr="006C13F1" w:rsidRDefault="003420E3" w:rsidP="006C13F1">
      <w:pPr>
        <w:keepNext/>
        <w:jc w:val="center"/>
        <w:outlineLvl w:val="2"/>
        <w:rPr>
          <w:bCs/>
        </w:rPr>
      </w:pPr>
      <w:r>
        <w:rPr>
          <w:bCs/>
        </w:rPr>
        <w:t>„VIII.</w:t>
      </w:r>
      <w:r w:rsidR="00BC796D" w:rsidRPr="006C13F1">
        <w:rPr>
          <w:bCs/>
        </w:rPr>
        <w:t>a PREKRŠAJNE ODREDBE</w:t>
      </w:r>
      <w:bookmarkEnd w:id="0"/>
    </w:p>
    <w:p w14:paraId="585B4358" w14:textId="77777777" w:rsidR="006C13F1" w:rsidRDefault="006C13F1" w:rsidP="006C13F1">
      <w:pPr>
        <w:jc w:val="center"/>
      </w:pPr>
    </w:p>
    <w:p w14:paraId="40336A66" w14:textId="025330BA" w:rsidR="00BC796D" w:rsidRPr="006C13F1" w:rsidRDefault="00BC796D" w:rsidP="006C13F1">
      <w:pPr>
        <w:jc w:val="center"/>
      </w:pPr>
      <w:r w:rsidRPr="006C13F1">
        <w:t>Članak 11.a</w:t>
      </w:r>
    </w:p>
    <w:p w14:paraId="0F85A652" w14:textId="77777777" w:rsidR="00BC796D" w:rsidRPr="006C13F1" w:rsidRDefault="00BC796D" w:rsidP="006C13F1">
      <w:pPr>
        <w:spacing w:beforeLines="30" w:before="72" w:afterLines="30" w:after="72"/>
        <w:jc w:val="both"/>
      </w:pPr>
    </w:p>
    <w:p w14:paraId="154A5469" w14:textId="77777777" w:rsidR="00BC796D" w:rsidRPr="002109C8" w:rsidRDefault="00BC796D" w:rsidP="006C13F1">
      <w:pPr>
        <w:spacing w:beforeLines="30" w:before="72" w:afterLines="30" w:after="72"/>
        <w:jc w:val="both"/>
      </w:pPr>
      <w:r w:rsidRPr="002109C8">
        <w:t>(1) Novčanom kaznom od 10.000,00 do 75.000,00 kuna kaznit će se za prekršaj pravna osoba:</w:t>
      </w:r>
    </w:p>
    <w:p w14:paraId="5F94F198" w14:textId="54C8D9C8" w:rsidR="00BC796D" w:rsidRPr="002109C8" w:rsidRDefault="00BC796D" w:rsidP="006C13F1">
      <w:pPr>
        <w:spacing w:beforeLines="30" w:before="72" w:afterLines="30" w:after="72"/>
        <w:jc w:val="both"/>
      </w:pPr>
      <w:r>
        <w:t xml:space="preserve">- ako ne objavi podatke </w:t>
      </w:r>
      <w:r w:rsidR="005101CC">
        <w:t xml:space="preserve">propisane </w:t>
      </w:r>
      <w:r w:rsidR="001926FD">
        <w:t>člankom 6</w:t>
      </w:r>
      <w:r w:rsidR="005101CC">
        <w:t>. stav</w:t>
      </w:r>
      <w:r w:rsidR="003420E3">
        <w:t>kom</w:t>
      </w:r>
      <w:r w:rsidR="005101CC">
        <w:t xml:space="preserve"> </w:t>
      </w:r>
      <w:r w:rsidR="001926FD">
        <w:t>16.</w:t>
      </w:r>
      <w:r w:rsidR="003420E3">
        <w:t xml:space="preserve"> </w:t>
      </w:r>
      <w:r w:rsidR="003420E3" w:rsidRPr="00382B32">
        <w:t>ovoga Zakona,</w:t>
      </w:r>
      <w:r w:rsidR="005101CC" w:rsidRPr="00382B32">
        <w:t xml:space="preserve"> </w:t>
      </w:r>
      <w:r w:rsidRPr="00382B32">
        <w:t>a duž</w:t>
      </w:r>
      <w:r w:rsidR="003420E3" w:rsidRPr="00382B32">
        <w:t>na</w:t>
      </w:r>
      <w:r w:rsidRPr="00382B32">
        <w:t xml:space="preserve"> je objaviti </w:t>
      </w:r>
      <w:r w:rsidR="003420E3" w:rsidRPr="00382B32">
        <w:t xml:space="preserve">podatke </w:t>
      </w:r>
      <w:r w:rsidRPr="00382B32">
        <w:t>o svim javno dostupnim mjestima za punjenje korisnicima električnih vozila koja</w:t>
      </w:r>
      <w:r w:rsidRPr="002109C8">
        <w:t xml:space="preserve"> pružaju mogućnost punjenja na ad hoc osnovi, bez sklapanja ugovora s dotičnim </w:t>
      </w:r>
      <w:r w:rsidRPr="002109C8">
        <w:lastRenderedPageBreak/>
        <w:t>opskrbljivačem električnom energijom ili operatorom</w:t>
      </w:r>
      <w:r>
        <w:t xml:space="preserve">, a kako je to propisano člankom 6. stavkom 9. </w:t>
      </w:r>
      <w:r w:rsidR="006C13F1">
        <w:t>ovoga Zakona</w:t>
      </w:r>
    </w:p>
    <w:p w14:paraId="70054FEC" w14:textId="3F25DD68" w:rsidR="00BC796D" w:rsidRPr="002109C8" w:rsidRDefault="00BC796D">
      <w:pPr>
        <w:spacing w:beforeLines="30" w:before="72" w:afterLines="30" w:after="72"/>
        <w:jc w:val="both"/>
      </w:pPr>
      <w:r>
        <w:t xml:space="preserve">- </w:t>
      </w:r>
      <w:r w:rsidRPr="002109C8">
        <w:t>ako cijene koje se naplaćuju na javno dostupnim mjestima, nisu opravdane, lako i jasno usporediv</w:t>
      </w:r>
      <w:r>
        <w:t xml:space="preserve">e, pregledne i nediskriminirajuće, a kako je to propisano člankom 6. stavkom 10. </w:t>
      </w:r>
      <w:r w:rsidR="006C13F1">
        <w:t xml:space="preserve">ovoga </w:t>
      </w:r>
      <w:r>
        <w:t xml:space="preserve">Zakona </w:t>
      </w:r>
    </w:p>
    <w:p w14:paraId="16D80CAB" w14:textId="725C0F75" w:rsidR="00BC796D" w:rsidRPr="002109C8" w:rsidRDefault="00BC796D">
      <w:pPr>
        <w:spacing w:beforeLines="30" w:before="72" w:afterLines="30" w:after="72"/>
        <w:jc w:val="both"/>
      </w:pPr>
      <w:r>
        <w:t>-</w:t>
      </w:r>
      <w:r w:rsidRPr="002109C8">
        <w:t xml:space="preserve"> ako ne surađuje na nediskriminirajućoj osnovi sa svakom osobom koja postavlja ili upravlja javno</w:t>
      </w:r>
      <w:r>
        <w:t xml:space="preserve"> dostupnim mjestima za punjenje, a kako je to propisano člankom 6. stavkom 11. </w:t>
      </w:r>
      <w:r w:rsidR="005D73C2">
        <w:t xml:space="preserve">ovoga </w:t>
      </w:r>
      <w:r>
        <w:t xml:space="preserve">Zakona </w:t>
      </w:r>
    </w:p>
    <w:p w14:paraId="796AC061" w14:textId="29C7D44C" w:rsidR="00BC796D" w:rsidRPr="002109C8" w:rsidRDefault="00BC796D">
      <w:pPr>
        <w:spacing w:beforeLines="30" w:before="72" w:afterLines="30" w:after="72"/>
        <w:jc w:val="both"/>
      </w:pPr>
      <w:r>
        <w:t>-</w:t>
      </w:r>
      <w:r w:rsidRPr="002109C8">
        <w:t xml:space="preserve"> ako korisnicima motornih vozila na alternativna goriva ne omogući pristup odgovarajućim, dosljednim i jasnim informacijama o onim motornim vozilima koja je moguće redovito puniti individualnimm vrstama goriva uvedenim na tržište ili ih napuniti na mjestima za punjenje, a koje informacije se stavljaju na raspolaganje korisnicima u sklopu uputa za uporabu motornih vozila, na mjestima za punjenje i opskrbu, na motornim vozilima i u zastupstvima za motorna vozila</w:t>
      </w:r>
      <w:r>
        <w:t xml:space="preserve"> na području Republike Hrvatske, a kako je to propisano člankom</w:t>
      </w:r>
      <w:r w:rsidRPr="00C0111F">
        <w:t xml:space="preserve"> 9. </w:t>
      </w:r>
      <w:r w:rsidR="005D73C2">
        <w:t xml:space="preserve">stavcima </w:t>
      </w:r>
      <w:r>
        <w:t xml:space="preserve">1. i 2. </w:t>
      </w:r>
      <w:r w:rsidR="005D73C2">
        <w:t xml:space="preserve">ovoga </w:t>
      </w:r>
      <w:r w:rsidRPr="005C7895">
        <w:t xml:space="preserve">Zakona </w:t>
      </w:r>
    </w:p>
    <w:p w14:paraId="0F63354A" w14:textId="6713887D" w:rsidR="00BC796D" w:rsidRPr="002109C8" w:rsidRDefault="00BC796D">
      <w:pPr>
        <w:spacing w:beforeLines="30" w:before="72" w:afterLines="30" w:after="72"/>
        <w:jc w:val="both"/>
      </w:pPr>
      <w:r>
        <w:t xml:space="preserve">- </w:t>
      </w:r>
      <w:r w:rsidRPr="00FD45B8">
        <w:t>ako ne pruži informacije iz podstavka</w:t>
      </w:r>
      <w:r w:rsidR="001000DB" w:rsidRPr="00FD45B8">
        <w:t xml:space="preserve"> 4.</w:t>
      </w:r>
      <w:r w:rsidRPr="00FD45B8">
        <w:t xml:space="preserve"> ovog</w:t>
      </w:r>
      <w:r w:rsidR="004F7E1A" w:rsidRPr="00FD45B8">
        <w:t>a</w:t>
      </w:r>
      <w:r w:rsidRPr="00FD45B8">
        <w:t xml:space="preserve"> </w:t>
      </w:r>
      <w:r w:rsidR="001000DB" w:rsidRPr="00FD45B8">
        <w:t>stavka</w:t>
      </w:r>
      <w:r w:rsidR="004F7E1A">
        <w:t>,</w:t>
      </w:r>
      <w:r w:rsidR="003420E3">
        <w:t xml:space="preserve"> koje </w:t>
      </w:r>
      <w:r>
        <w:t>se temelj</w:t>
      </w:r>
      <w:r w:rsidR="00BD66EF">
        <w:t>e</w:t>
      </w:r>
      <w:r w:rsidRPr="002109C8">
        <w:t xml:space="preserve"> </w:t>
      </w:r>
      <w:r>
        <w:t xml:space="preserve">na </w:t>
      </w:r>
      <w:r w:rsidRPr="002109C8">
        <w:t xml:space="preserve">odredbama o označivanju usklađenosti goriva s hrvatskim normama koje </w:t>
      </w:r>
      <w:r w:rsidR="00BD66EF">
        <w:t xml:space="preserve">se </w:t>
      </w:r>
      <w:r w:rsidRPr="002109C8">
        <w:t>utvrđuju t</w:t>
      </w:r>
      <w:r>
        <w:t>ehničke specifikacije za goriva kako je to propisano člankom 9. stavkom 3</w:t>
      </w:r>
      <w:r w:rsidRPr="0051199B">
        <w:t xml:space="preserve">. </w:t>
      </w:r>
      <w:r w:rsidR="001000DB">
        <w:t xml:space="preserve">ovoga </w:t>
      </w:r>
      <w:r w:rsidRPr="0051199B">
        <w:t xml:space="preserve">Zakona </w:t>
      </w:r>
    </w:p>
    <w:p w14:paraId="6C0008A9" w14:textId="27858087" w:rsidR="00BC796D" w:rsidRPr="002109C8" w:rsidRDefault="00BC796D">
      <w:pPr>
        <w:spacing w:beforeLines="30" w:before="72" w:afterLines="30" w:after="72"/>
        <w:jc w:val="both"/>
      </w:pPr>
      <w:r>
        <w:t>-</w:t>
      </w:r>
      <w:r w:rsidRPr="002109C8">
        <w:t xml:space="preserve"> ako se </w:t>
      </w:r>
      <w:r w:rsidR="00A275C0" w:rsidRPr="00A275C0">
        <w:t xml:space="preserve">od datuma uvođenja goriva na tržište </w:t>
      </w:r>
      <w:r w:rsidRPr="002109C8">
        <w:t xml:space="preserve">ne istaknu </w:t>
      </w:r>
      <w:r>
        <w:t xml:space="preserve">informacije </w:t>
      </w:r>
      <w:r w:rsidR="00A275C0" w:rsidRPr="00A275C0">
        <w:t xml:space="preserve">na jednostavan, lako razumljiv i jasno vidljiv način </w:t>
      </w:r>
      <w:r>
        <w:t>na odgovarajućim crpkama i njihovim mlaznicama na svim mjestima za opskbu</w:t>
      </w:r>
      <w:r w:rsidRPr="002109C8">
        <w:t>na poklopcima spremnika za gorivo motornih vozila za koja je određeno gorivo preporučeno i prikladno ili se ne istaknu informacije o preporučenom ili prikladnom gorivu u neposrednoj blizini poklopca spremnika za goriva te u uputama za uporabu motornih vozila</w:t>
      </w:r>
      <w:r>
        <w:t>, a kako je to propisano člankom</w:t>
      </w:r>
      <w:r w:rsidRPr="00C0111F">
        <w:t xml:space="preserve"> 9. </w:t>
      </w:r>
      <w:r>
        <w:t xml:space="preserve">stavkom 4. </w:t>
      </w:r>
      <w:r w:rsidR="00D43F8E">
        <w:t xml:space="preserve">podstavcima </w:t>
      </w:r>
      <w:r>
        <w:t xml:space="preserve">1. i 2. </w:t>
      </w:r>
      <w:r w:rsidR="00D43F8E">
        <w:t>ovoga</w:t>
      </w:r>
      <w:r w:rsidR="00FC68F4">
        <w:t xml:space="preserve"> Zakona</w:t>
      </w:r>
      <w:r w:rsidR="00D43F8E">
        <w:t xml:space="preserve"> </w:t>
      </w:r>
    </w:p>
    <w:p w14:paraId="58591EC0" w14:textId="7368166C" w:rsidR="00BC796D" w:rsidRPr="002109C8" w:rsidRDefault="00BC796D">
      <w:pPr>
        <w:spacing w:beforeLines="30" w:before="72" w:afterLines="30" w:after="72"/>
        <w:jc w:val="both"/>
      </w:pPr>
      <w:r>
        <w:t>-</w:t>
      </w:r>
      <w:r w:rsidRPr="002109C8">
        <w:t xml:space="preserve"> ako postaje za opskrbu gorivom ne prikazuju usporedbu jediničnih cijena alternativnih i konvencionalnih goriva i to ako ne koriste</w:t>
      </w:r>
      <w:r w:rsidRPr="002109C8">
        <w:rPr>
          <w:rFonts w:eastAsia="Calibri"/>
        </w:rPr>
        <w:t xml:space="preserve"> metodologiju za usporedbu koja uključuje cijene benzinskih, dizelskih i alternativnih goriva, izraženih u nacionalnoj valuti po prijeđenih 100 km</w:t>
      </w:r>
      <w:r>
        <w:t xml:space="preserve"> iz članka</w:t>
      </w:r>
      <w:r w:rsidRPr="00C0111F">
        <w:t xml:space="preserve"> 9.</w:t>
      </w:r>
      <w:r>
        <w:t>b stav</w:t>
      </w:r>
      <w:r w:rsidR="003420E3">
        <w:t>a</w:t>
      </w:r>
      <w:r>
        <w:t xml:space="preserve">ka </w:t>
      </w:r>
      <w:r w:rsidR="00A275C0">
        <w:t xml:space="preserve">1. i </w:t>
      </w:r>
      <w:r>
        <w:t>2. ovog</w:t>
      </w:r>
      <w:r w:rsidR="00230A0B">
        <w:t>a</w:t>
      </w:r>
      <w:r>
        <w:t xml:space="preserve"> </w:t>
      </w:r>
      <w:r w:rsidRPr="005C7895">
        <w:t>Zakona</w:t>
      </w:r>
    </w:p>
    <w:p w14:paraId="6DFD8031" w14:textId="43DC68F6" w:rsidR="00BC796D" w:rsidRPr="002109C8" w:rsidRDefault="00BC796D" w:rsidP="00FD45B8">
      <w:pPr>
        <w:spacing w:beforeLines="30" w:before="72"/>
        <w:jc w:val="both"/>
      </w:pPr>
      <w:r>
        <w:t>-</w:t>
      </w:r>
      <w:r w:rsidRPr="002109C8">
        <w:t xml:space="preserve"> ako u roku od tri mjeseca od uspostave registra punionica alternativnih goriva ne ishodi jedinstveni kod </w:t>
      </w:r>
      <w:r w:rsidR="009A32B5">
        <w:t xml:space="preserve">iz </w:t>
      </w:r>
      <w:r>
        <w:t>članka 9.a</w:t>
      </w:r>
      <w:r w:rsidR="008F08E1">
        <w:t xml:space="preserve"> stav</w:t>
      </w:r>
      <w:r w:rsidR="003420E3">
        <w:t>ka</w:t>
      </w:r>
      <w:r w:rsidR="008F08E1">
        <w:t xml:space="preserve"> 5</w:t>
      </w:r>
      <w:r w:rsidR="00382D3F">
        <w:t>.</w:t>
      </w:r>
      <w:r>
        <w:t xml:space="preserve"> ovog</w:t>
      </w:r>
      <w:r w:rsidR="00230A0B">
        <w:t>a</w:t>
      </w:r>
      <w:r>
        <w:t xml:space="preserve"> Zakona</w:t>
      </w:r>
      <w:r w:rsidR="00A275C0">
        <w:t>.</w:t>
      </w:r>
    </w:p>
    <w:p w14:paraId="312BCCD7" w14:textId="77777777" w:rsidR="002E4D20" w:rsidRDefault="002E4D20" w:rsidP="00230A0B">
      <w:pPr>
        <w:jc w:val="both"/>
      </w:pPr>
    </w:p>
    <w:p w14:paraId="785E2374" w14:textId="77777777" w:rsidR="00BC796D" w:rsidRPr="002109C8" w:rsidRDefault="00BC796D" w:rsidP="00230A0B">
      <w:pPr>
        <w:jc w:val="both"/>
      </w:pPr>
      <w:r w:rsidRPr="002109C8">
        <w:t>(2) Za prekršaj iz stavka 1. ovoga članka kaznit će se i odgovorna osoba u pravnoj osobi novčanom kaznom od 2.000,00 do 8.000,00 kuna.</w:t>
      </w:r>
    </w:p>
    <w:p w14:paraId="4E8300B1" w14:textId="77777777" w:rsidR="002E4D20" w:rsidRDefault="002E4D20" w:rsidP="00230A0B">
      <w:pPr>
        <w:jc w:val="both"/>
        <w:rPr>
          <w:rFonts w:eastAsia="Calibri"/>
          <w:lang w:eastAsia="en-US"/>
        </w:rPr>
      </w:pPr>
    </w:p>
    <w:p w14:paraId="12BE6157" w14:textId="77777777" w:rsidR="00BC796D" w:rsidRPr="002109C8" w:rsidRDefault="00BC796D" w:rsidP="00230A0B">
      <w:pPr>
        <w:jc w:val="both"/>
      </w:pPr>
      <w:r w:rsidRPr="002109C8">
        <w:rPr>
          <w:rFonts w:eastAsia="Calibri"/>
          <w:lang w:eastAsia="en-US"/>
        </w:rPr>
        <w:t>(3) Za prekršaj iz stavka 1. ovoga članka kaznit će se i fizička osoba novčanom kaznom od 10.000,00 do 75.000,00 kuna.“</w:t>
      </w:r>
      <w:r w:rsidR="002E4D20">
        <w:rPr>
          <w:rFonts w:eastAsia="Calibri"/>
          <w:lang w:eastAsia="en-US"/>
        </w:rPr>
        <w:t>.</w:t>
      </w:r>
    </w:p>
    <w:p w14:paraId="2CA914AF" w14:textId="77777777" w:rsidR="00BC796D" w:rsidRDefault="00BC796D" w:rsidP="00AA1407">
      <w:pPr>
        <w:jc w:val="center"/>
      </w:pPr>
    </w:p>
    <w:p w14:paraId="6D8B3B63" w14:textId="77777777" w:rsidR="00BC796D" w:rsidRPr="002109C8" w:rsidRDefault="00BC796D" w:rsidP="00AA1407">
      <w:pPr>
        <w:jc w:val="center"/>
      </w:pPr>
    </w:p>
    <w:p w14:paraId="11723F8D" w14:textId="77777777" w:rsidR="00BC796D" w:rsidRPr="002109C8" w:rsidRDefault="00BC796D" w:rsidP="00AA1407">
      <w:pPr>
        <w:autoSpaceDE w:val="0"/>
        <w:autoSpaceDN w:val="0"/>
        <w:adjustRightInd w:val="0"/>
        <w:jc w:val="center"/>
        <w:rPr>
          <w:rFonts w:eastAsia="Calibri"/>
          <w:b/>
        </w:rPr>
      </w:pPr>
      <w:r w:rsidRPr="002109C8">
        <w:rPr>
          <w:rFonts w:eastAsia="Calibri"/>
          <w:b/>
        </w:rPr>
        <w:t>PRIJELAZNE I ZAVRŠNE ODREDBE</w:t>
      </w:r>
    </w:p>
    <w:p w14:paraId="66FCBDFE" w14:textId="77777777" w:rsidR="00BC796D" w:rsidRPr="002109C8" w:rsidRDefault="00BC796D" w:rsidP="00AA1407">
      <w:pPr>
        <w:autoSpaceDE w:val="0"/>
        <w:autoSpaceDN w:val="0"/>
        <w:adjustRightInd w:val="0"/>
        <w:jc w:val="center"/>
        <w:rPr>
          <w:rFonts w:eastAsia="Calibri"/>
          <w:b/>
        </w:rPr>
      </w:pPr>
    </w:p>
    <w:p w14:paraId="091194D7" w14:textId="77777777" w:rsidR="00BC796D" w:rsidRPr="002109C8" w:rsidRDefault="00BC796D" w:rsidP="00AA1407">
      <w:pPr>
        <w:autoSpaceDE w:val="0"/>
        <w:autoSpaceDN w:val="0"/>
        <w:adjustRightInd w:val="0"/>
        <w:jc w:val="center"/>
        <w:rPr>
          <w:rFonts w:eastAsia="Calibri"/>
          <w:b/>
        </w:rPr>
      </w:pPr>
      <w:r>
        <w:rPr>
          <w:rFonts w:eastAsia="Calibri"/>
          <w:b/>
        </w:rPr>
        <w:t>Članak 11</w:t>
      </w:r>
      <w:r w:rsidRPr="002109C8">
        <w:rPr>
          <w:rFonts w:eastAsia="Calibri"/>
          <w:b/>
        </w:rPr>
        <w:t>.</w:t>
      </w:r>
    </w:p>
    <w:p w14:paraId="0287AE3D" w14:textId="77777777" w:rsidR="00BC796D" w:rsidRPr="002109C8" w:rsidRDefault="00BC796D" w:rsidP="00AA1407">
      <w:pPr>
        <w:autoSpaceDE w:val="0"/>
        <w:autoSpaceDN w:val="0"/>
        <w:adjustRightInd w:val="0"/>
        <w:jc w:val="center"/>
        <w:rPr>
          <w:rFonts w:eastAsia="Calibri"/>
        </w:rPr>
      </w:pPr>
    </w:p>
    <w:p w14:paraId="2A33FB21" w14:textId="15226235" w:rsidR="00BC796D" w:rsidRPr="002109C8" w:rsidRDefault="00BC796D" w:rsidP="00AA1407">
      <w:pPr>
        <w:autoSpaceDE w:val="0"/>
        <w:autoSpaceDN w:val="0"/>
        <w:adjustRightInd w:val="0"/>
        <w:jc w:val="both"/>
        <w:rPr>
          <w:rFonts w:eastAsia="Calibri"/>
        </w:rPr>
      </w:pPr>
      <w:r w:rsidRPr="002109C8">
        <w:rPr>
          <w:rFonts w:eastAsia="Calibri"/>
        </w:rPr>
        <w:t>Ministar nadležan za prometnu infrastrukturu će donijeti pravilnik</w:t>
      </w:r>
      <w:r w:rsidR="00AA1407">
        <w:rPr>
          <w:rFonts w:eastAsia="Calibri"/>
        </w:rPr>
        <w:t>e</w:t>
      </w:r>
      <w:r w:rsidRPr="002109C8">
        <w:rPr>
          <w:rFonts w:eastAsia="Calibri"/>
        </w:rPr>
        <w:t xml:space="preserve"> iz članka 9.a </w:t>
      </w:r>
      <w:r w:rsidR="00AA1407">
        <w:rPr>
          <w:rFonts w:eastAsia="Calibri"/>
        </w:rPr>
        <w:t xml:space="preserve">stavka 5. koji je dodan člankom 7. </w:t>
      </w:r>
      <w:r w:rsidRPr="002109C8">
        <w:rPr>
          <w:rFonts w:eastAsia="Calibri"/>
        </w:rPr>
        <w:t xml:space="preserve">ovoga Zakona </w:t>
      </w:r>
      <w:r w:rsidR="00AA1407">
        <w:rPr>
          <w:rFonts w:eastAsia="Calibri"/>
        </w:rPr>
        <w:t xml:space="preserve">i članka 9.b koji je dodan člankom 7. ovoga Zakona </w:t>
      </w:r>
      <w:r w:rsidRPr="002109C8">
        <w:rPr>
          <w:rFonts w:eastAsia="Calibri"/>
        </w:rPr>
        <w:t xml:space="preserve">u roku </w:t>
      </w:r>
      <w:r w:rsidR="00AA1407">
        <w:rPr>
          <w:rFonts w:eastAsia="Calibri"/>
        </w:rPr>
        <w:t xml:space="preserve">od </w:t>
      </w:r>
      <w:r w:rsidRPr="002109C8">
        <w:rPr>
          <w:rFonts w:eastAsia="Calibri"/>
        </w:rPr>
        <w:t>tri mjeseca od dana stupanja na snagu ovoga Zakona.</w:t>
      </w:r>
    </w:p>
    <w:p w14:paraId="5C7184DD" w14:textId="79B376A9" w:rsidR="00AA1407" w:rsidRPr="002109C8" w:rsidRDefault="00AA1407" w:rsidP="00AA1407">
      <w:pPr>
        <w:autoSpaceDE w:val="0"/>
        <w:autoSpaceDN w:val="0"/>
        <w:adjustRightInd w:val="0"/>
        <w:jc w:val="both"/>
        <w:rPr>
          <w:rFonts w:eastAsia="Calibri"/>
        </w:rPr>
      </w:pPr>
    </w:p>
    <w:p w14:paraId="2D713611" w14:textId="77777777" w:rsidR="00BC796D" w:rsidRPr="002109C8" w:rsidRDefault="00BC796D" w:rsidP="00AA1407">
      <w:pPr>
        <w:autoSpaceDE w:val="0"/>
        <w:autoSpaceDN w:val="0"/>
        <w:adjustRightInd w:val="0"/>
        <w:jc w:val="center"/>
        <w:rPr>
          <w:rFonts w:eastAsia="Calibri"/>
          <w:b/>
        </w:rPr>
      </w:pPr>
      <w:r>
        <w:rPr>
          <w:rFonts w:eastAsia="Calibri"/>
          <w:b/>
        </w:rPr>
        <w:t>Članak 12</w:t>
      </w:r>
      <w:r w:rsidRPr="002109C8">
        <w:rPr>
          <w:rFonts w:eastAsia="Calibri"/>
          <w:b/>
        </w:rPr>
        <w:t>.</w:t>
      </w:r>
    </w:p>
    <w:p w14:paraId="4188AD4B" w14:textId="77777777" w:rsidR="00BC796D" w:rsidRPr="002109C8" w:rsidRDefault="00BC796D" w:rsidP="00AA1407">
      <w:pPr>
        <w:autoSpaceDE w:val="0"/>
        <w:autoSpaceDN w:val="0"/>
        <w:adjustRightInd w:val="0"/>
        <w:jc w:val="both"/>
        <w:rPr>
          <w:rFonts w:eastAsia="Calibri"/>
        </w:rPr>
      </w:pPr>
    </w:p>
    <w:p w14:paraId="336CFD20" w14:textId="77777777" w:rsidR="00BC796D" w:rsidRDefault="00BC796D" w:rsidP="00AA1407">
      <w:pPr>
        <w:pStyle w:val="ListParagraph"/>
        <w:autoSpaceDE w:val="0"/>
        <w:autoSpaceDN w:val="0"/>
        <w:adjustRightInd w:val="0"/>
        <w:ind w:left="0"/>
        <w:jc w:val="both"/>
        <w:rPr>
          <w:rFonts w:eastAsia="Calibri"/>
        </w:rPr>
      </w:pPr>
      <w:r w:rsidRPr="002109C8">
        <w:rPr>
          <w:rFonts w:eastAsia="Calibri"/>
        </w:rPr>
        <w:lastRenderedPageBreak/>
        <w:t>Upravitelji punionica alternativnih goriva dužni su u roku od tri mjeseca od uspostave registra iz članka 9.a ovoga Zakona, ishoditi jedinstveni kod te pružati sve propisane informacije u svrhu informiranja korisnika.</w:t>
      </w:r>
    </w:p>
    <w:p w14:paraId="25E34520" w14:textId="77777777" w:rsidR="00BC796D" w:rsidRPr="002109C8" w:rsidRDefault="00BC796D" w:rsidP="00AA1407">
      <w:pPr>
        <w:autoSpaceDE w:val="0"/>
        <w:autoSpaceDN w:val="0"/>
        <w:adjustRightInd w:val="0"/>
        <w:jc w:val="both"/>
        <w:rPr>
          <w:rFonts w:eastAsia="Calibri"/>
        </w:rPr>
      </w:pPr>
    </w:p>
    <w:p w14:paraId="1ADF9F64" w14:textId="77777777" w:rsidR="00BC796D" w:rsidRPr="002109C8" w:rsidRDefault="00BC796D" w:rsidP="00AA1407">
      <w:pPr>
        <w:autoSpaceDE w:val="0"/>
        <w:autoSpaceDN w:val="0"/>
        <w:adjustRightInd w:val="0"/>
        <w:jc w:val="center"/>
        <w:rPr>
          <w:rFonts w:eastAsia="Calibri"/>
          <w:b/>
        </w:rPr>
      </w:pPr>
      <w:r>
        <w:rPr>
          <w:rFonts w:eastAsia="Calibri"/>
          <w:b/>
        </w:rPr>
        <w:t>Članak 13</w:t>
      </w:r>
      <w:r w:rsidRPr="002109C8">
        <w:rPr>
          <w:rFonts w:eastAsia="Calibri"/>
          <w:b/>
        </w:rPr>
        <w:t>.</w:t>
      </w:r>
    </w:p>
    <w:p w14:paraId="0FF26CBD" w14:textId="77777777" w:rsidR="00BC796D" w:rsidRPr="002109C8" w:rsidRDefault="00BC796D" w:rsidP="00AA1407">
      <w:pPr>
        <w:autoSpaceDE w:val="0"/>
        <w:autoSpaceDN w:val="0"/>
        <w:adjustRightInd w:val="0"/>
        <w:jc w:val="both"/>
        <w:rPr>
          <w:rFonts w:eastAsia="Calibri"/>
        </w:rPr>
      </w:pPr>
    </w:p>
    <w:p w14:paraId="624244FB" w14:textId="77777777" w:rsidR="00BC796D" w:rsidRPr="002109C8" w:rsidRDefault="00BC796D" w:rsidP="00AA1407">
      <w:pPr>
        <w:autoSpaceDE w:val="0"/>
        <w:autoSpaceDN w:val="0"/>
        <w:adjustRightInd w:val="0"/>
        <w:jc w:val="both"/>
        <w:rPr>
          <w:rFonts w:eastAsia="Calibri"/>
        </w:rPr>
      </w:pPr>
      <w:r w:rsidRPr="002109C8">
        <w:rPr>
          <w:rFonts w:eastAsia="Calibri"/>
        </w:rPr>
        <w:t>Ovaj Zakon stupa na snagu osmog</w:t>
      </w:r>
      <w:r w:rsidR="00AA1407">
        <w:rPr>
          <w:rFonts w:eastAsia="Calibri"/>
        </w:rPr>
        <w:t>a</w:t>
      </w:r>
      <w:r w:rsidRPr="002109C8">
        <w:rPr>
          <w:rFonts w:eastAsia="Calibri"/>
        </w:rPr>
        <w:t xml:space="preserve"> dana od dana objave u „Narodnim novinama“.</w:t>
      </w:r>
    </w:p>
    <w:p w14:paraId="235D4579" w14:textId="77777777" w:rsidR="00BC796D" w:rsidRPr="002109C8" w:rsidRDefault="00BC796D" w:rsidP="00AA1407">
      <w:pPr>
        <w:autoSpaceDE w:val="0"/>
        <w:autoSpaceDN w:val="0"/>
        <w:adjustRightInd w:val="0"/>
        <w:jc w:val="both"/>
        <w:rPr>
          <w:rFonts w:eastAsia="Calibri"/>
        </w:rPr>
      </w:pPr>
      <w:r w:rsidRPr="002109C8">
        <w:rPr>
          <w:rFonts w:eastAsia="Calibri"/>
        </w:rPr>
        <w:br w:type="page"/>
      </w:r>
    </w:p>
    <w:p w14:paraId="4C3F0933" w14:textId="77777777" w:rsidR="00BC796D" w:rsidRPr="00AA1407" w:rsidRDefault="00BC796D" w:rsidP="00AA1407">
      <w:pPr>
        <w:autoSpaceDE w:val="0"/>
        <w:autoSpaceDN w:val="0"/>
        <w:adjustRightInd w:val="0"/>
        <w:jc w:val="center"/>
        <w:rPr>
          <w:b/>
        </w:rPr>
      </w:pPr>
      <w:r w:rsidRPr="00AA1407">
        <w:rPr>
          <w:b/>
        </w:rPr>
        <w:lastRenderedPageBreak/>
        <w:t>O B R A Z L O Ž E N J E</w:t>
      </w:r>
    </w:p>
    <w:p w14:paraId="2950C5FE" w14:textId="77777777" w:rsidR="00BC796D" w:rsidRPr="00AA1407" w:rsidRDefault="00BC796D" w:rsidP="00AA1407">
      <w:pPr>
        <w:autoSpaceDE w:val="0"/>
        <w:autoSpaceDN w:val="0"/>
        <w:adjustRightInd w:val="0"/>
        <w:jc w:val="center"/>
        <w:rPr>
          <w:b/>
        </w:rPr>
      </w:pPr>
    </w:p>
    <w:p w14:paraId="1AC85A4C" w14:textId="77777777" w:rsidR="00BC796D" w:rsidRPr="00AA1407" w:rsidRDefault="00BC796D" w:rsidP="00AA1407">
      <w:pPr>
        <w:jc w:val="center"/>
      </w:pPr>
    </w:p>
    <w:p w14:paraId="133CD1DB" w14:textId="77777777" w:rsidR="00BC796D" w:rsidRPr="00AA1407" w:rsidRDefault="00BC796D" w:rsidP="00AA1407">
      <w:pPr>
        <w:jc w:val="both"/>
        <w:rPr>
          <w:rFonts w:eastAsia="Calibri"/>
          <w:b/>
          <w:lang w:eastAsia="en-US"/>
        </w:rPr>
      </w:pPr>
      <w:r w:rsidRPr="00AA1407">
        <w:rPr>
          <w:rFonts w:eastAsia="Calibri"/>
          <w:b/>
          <w:lang w:eastAsia="en-US"/>
        </w:rPr>
        <w:t>Uz članak 1.</w:t>
      </w:r>
    </w:p>
    <w:p w14:paraId="1F4B7389" w14:textId="77777777" w:rsidR="00AA1407" w:rsidRDefault="00AA1407" w:rsidP="00AA1407">
      <w:pPr>
        <w:jc w:val="both"/>
        <w:rPr>
          <w:rFonts w:eastAsia="Calibri"/>
          <w:lang w:eastAsia="en-US"/>
        </w:rPr>
      </w:pPr>
    </w:p>
    <w:p w14:paraId="2C9C125B" w14:textId="1090F838" w:rsidR="00BC796D" w:rsidRPr="00AA1407" w:rsidRDefault="00BC796D" w:rsidP="00AA1407">
      <w:pPr>
        <w:jc w:val="both"/>
        <w:rPr>
          <w:rFonts w:eastAsia="Calibri"/>
          <w:lang w:eastAsia="en-US"/>
        </w:rPr>
      </w:pPr>
      <w:r w:rsidRPr="00AA1407">
        <w:rPr>
          <w:rFonts w:eastAsia="Calibri"/>
          <w:lang w:eastAsia="en-US"/>
        </w:rPr>
        <w:t>Ovim se člankom mijenja članak 1. stavak 2. Zakonu o uspostavi infrastrukture za alternativna goriva („Narodne novine“, br</w:t>
      </w:r>
      <w:r w:rsidR="00AA1407">
        <w:rPr>
          <w:rFonts w:eastAsia="Calibri"/>
          <w:lang w:eastAsia="en-US"/>
        </w:rPr>
        <w:t>oj</w:t>
      </w:r>
      <w:r w:rsidRPr="00AA1407">
        <w:rPr>
          <w:rFonts w:eastAsia="Calibri"/>
          <w:lang w:eastAsia="en-US"/>
        </w:rPr>
        <w:t xml:space="preserve"> 120/16</w:t>
      </w:r>
      <w:r w:rsidR="00AA1407">
        <w:rPr>
          <w:rFonts w:eastAsia="Calibri"/>
          <w:lang w:eastAsia="en-US"/>
        </w:rPr>
        <w:t>.</w:t>
      </w:r>
      <w:r w:rsidRPr="00AA1407">
        <w:rPr>
          <w:rFonts w:eastAsia="Calibri"/>
          <w:lang w:eastAsia="en-US"/>
        </w:rPr>
        <w:t>)</w:t>
      </w:r>
      <w:r w:rsidR="00AA1407">
        <w:rPr>
          <w:rFonts w:eastAsia="Calibri"/>
          <w:lang w:eastAsia="en-US"/>
        </w:rPr>
        <w:t>.</w:t>
      </w:r>
      <w:r w:rsidRPr="00AA1407">
        <w:rPr>
          <w:rFonts w:eastAsia="Calibri"/>
          <w:lang w:eastAsia="en-US"/>
        </w:rPr>
        <w:t xml:space="preserve"> </w:t>
      </w:r>
      <w:r w:rsidR="00AA1407">
        <w:rPr>
          <w:rFonts w:eastAsia="Calibri"/>
          <w:lang w:eastAsia="en-US"/>
        </w:rPr>
        <w:t>N</w:t>
      </w:r>
      <w:r w:rsidR="00AA1407" w:rsidRPr="00AA1407">
        <w:rPr>
          <w:rFonts w:eastAsia="Calibri"/>
          <w:lang w:eastAsia="en-US"/>
        </w:rPr>
        <w:t>aime</w:t>
      </w:r>
      <w:r w:rsidR="00AA1407">
        <w:rPr>
          <w:rFonts w:eastAsia="Calibri"/>
          <w:lang w:eastAsia="en-US"/>
        </w:rPr>
        <w:t>,</w:t>
      </w:r>
      <w:r w:rsidR="00AA1407" w:rsidRPr="00AA1407">
        <w:rPr>
          <w:rFonts w:eastAsia="Calibri"/>
          <w:lang w:eastAsia="en-US"/>
        </w:rPr>
        <w:t xml:space="preserve"> </w:t>
      </w:r>
      <w:r w:rsidRPr="00AA1407">
        <w:rPr>
          <w:rFonts w:eastAsia="Calibri"/>
          <w:lang w:eastAsia="en-US"/>
        </w:rPr>
        <w:t>Centar za praćenje poslovanja energetskog sektora i investicija je prestao sa svojim djelatnostima te će u predmetnom Zakonu njegovu ulogu nacionalnog koordinacijskog tijela preuzeti Ministarstvo gospodarstva i održivog razvoja. Naime, člankom 3. Zakona o prestanku važenja Zakona o Centru za praćenje poslovanja energetskog sektora i investicija („Narodne novine“, br</w:t>
      </w:r>
      <w:r w:rsidR="00AA1407">
        <w:rPr>
          <w:rFonts w:eastAsia="Calibri"/>
          <w:lang w:eastAsia="en-US"/>
        </w:rPr>
        <w:t>oj</w:t>
      </w:r>
      <w:r w:rsidRPr="00AA1407">
        <w:rPr>
          <w:rFonts w:eastAsia="Calibri"/>
          <w:lang w:eastAsia="en-US"/>
        </w:rPr>
        <w:t xml:space="preserve"> 46/18</w:t>
      </w:r>
      <w:r w:rsidR="00AA1407">
        <w:rPr>
          <w:rFonts w:eastAsia="Calibri"/>
          <w:lang w:eastAsia="en-US"/>
        </w:rPr>
        <w:t>.</w:t>
      </w:r>
      <w:r w:rsidRPr="00AA1407">
        <w:rPr>
          <w:rFonts w:eastAsia="Calibri"/>
          <w:lang w:eastAsia="en-US"/>
        </w:rPr>
        <w:t xml:space="preserve">) je propisano da će ministarstvo nadležno za poslove energetike preuzeti njihovu ulogu. </w:t>
      </w:r>
    </w:p>
    <w:p w14:paraId="7A7900C0" w14:textId="77777777" w:rsidR="00BC796D" w:rsidRPr="00AA1407" w:rsidRDefault="00BC796D" w:rsidP="00AA1407">
      <w:pPr>
        <w:jc w:val="both"/>
        <w:rPr>
          <w:rFonts w:eastAsia="Calibri"/>
          <w:lang w:eastAsia="en-US"/>
        </w:rPr>
      </w:pPr>
    </w:p>
    <w:p w14:paraId="0F1EC1D6" w14:textId="77777777" w:rsidR="00BC796D" w:rsidRPr="00AA1407" w:rsidRDefault="00BC796D" w:rsidP="00AA1407">
      <w:pPr>
        <w:jc w:val="both"/>
        <w:rPr>
          <w:rFonts w:eastAsia="Calibri"/>
          <w:b/>
          <w:lang w:eastAsia="en-US"/>
        </w:rPr>
      </w:pPr>
      <w:r w:rsidRPr="00AA1407">
        <w:rPr>
          <w:rFonts w:eastAsia="Calibri"/>
          <w:b/>
          <w:lang w:eastAsia="en-US"/>
        </w:rPr>
        <w:t>Uz članak 2.</w:t>
      </w:r>
    </w:p>
    <w:p w14:paraId="29FEDA6D" w14:textId="77777777" w:rsidR="00AA1407" w:rsidRDefault="00AA1407" w:rsidP="00AA1407">
      <w:pPr>
        <w:jc w:val="both"/>
        <w:rPr>
          <w:rFonts w:eastAsia="Calibri"/>
          <w:lang w:eastAsia="en-US"/>
        </w:rPr>
      </w:pPr>
    </w:p>
    <w:p w14:paraId="310E5D77" w14:textId="3DFE02DE" w:rsidR="00BC796D" w:rsidRPr="00AA1407" w:rsidRDefault="00BC796D" w:rsidP="00AA1407">
      <w:pPr>
        <w:jc w:val="both"/>
      </w:pPr>
      <w:r w:rsidRPr="00AA1407">
        <w:rPr>
          <w:rFonts w:eastAsia="Calibri"/>
          <w:lang w:eastAsia="en-US"/>
        </w:rPr>
        <w:t xml:space="preserve">Ovim se člankom mijenja članak 2. Zakonu o uspostavi infrastrukture za alternativna goriva („Narodne novine“, </w:t>
      </w:r>
      <w:r w:rsidR="00AA1407" w:rsidRPr="00AA1407">
        <w:rPr>
          <w:rFonts w:eastAsia="Calibri"/>
          <w:lang w:eastAsia="en-US"/>
        </w:rPr>
        <w:t>br</w:t>
      </w:r>
      <w:r w:rsidR="00AA1407">
        <w:rPr>
          <w:rFonts w:eastAsia="Calibri"/>
          <w:lang w:eastAsia="en-US"/>
        </w:rPr>
        <w:t>oj</w:t>
      </w:r>
      <w:r w:rsidR="00AA1407" w:rsidRPr="00AA1407">
        <w:rPr>
          <w:rFonts w:eastAsia="Calibri"/>
          <w:lang w:eastAsia="en-US"/>
        </w:rPr>
        <w:t xml:space="preserve"> 120/16</w:t>
      </w:r>
      <w:r w:rsidR="00AA1407">
        <w:rPr>
          <w:rFonts w:eastAsia="Calibri"/>
          <w:lang w:eastAsia="en-US"/>
        </w:rPr>
        <w:t>.</w:t>
      </w:r>
      <w:r w:rsidRPr="00AA1407">
        <w:rPr>
          <w:rFonts w:eastAsia="Calibri"/>
          <w:lang w:eastAsia="en-US"/>
        </w:rPr>
        <w:t>) te se proširuje opseg Zakona s prenošenjem odredbi Delegirane uredbe Komisije (EU) 2019/1745 оd 13. kolovoza 2019. o dopuni i izmjeni Direktive 2014/94/EU Europskog parlamenta i Vijeća u pogledu mjesta za punjenje motornih vozila kategorije L, opskrbe električnom energijom s kopna za plovila na unutarnjim vodnim putovima, opskrbe vodikom za cestovni promet, opskrbe prirodnim plinom za cestovni i vodni promet te o stavljanju izvan snage Delegirane uredbe Komisije (EU) 2018/674.</w:t>
      </w:r>
    </w:p>
    <w:p w14:paraId="0F247E38" w14:textId="77777777" w:rsidR="00BC796D" w:rsidRPr="00AA1407" w:rsidRDefault="00BC796D" w:rsidP="00AA1407">
      <w:pPr>
        <w:jc w:val="both"/>
      </w:pPr>
    </w:p>
    <w:p w14:paraId="060AD19C" w14:textId="77777777" w:rsidR="00BC796D" w:rsidRPr="00AA1407" w:rsidRDefault="00BC796D" w:rsidP="00AA1407">
      <w:pPr>
        <w:jc w:val="both"/>
        <w:rPr>
          <w:rFonts w:eastAsia="Calibri"/>
          <w:b/>
          <w:lang w:eastAsia="en-US"/>
        </w:rPr>
      </w:pPr>
      <w:r w:rsidRPr="00AA1407">
        <w:rPr>
          <w:rFonts w:eastAsia="Calibri"/>
          <w:b/>
          <w:lang w:eastAsia="en-US"/>
        </w:rPr>
        <w:t>Uz članak 3.</w:t>
      </w:r>
    </w:p>
    <w:p w14:paraId="6818080A" w14:textId="77777777" w:rsidR="00950C10" w:rsidRDefault="00950C10" w:rsidP="00AA1407">
      <w:pPr>
        <w:jc w:val="both"/>
        <w:rPr>
          <w:rFonts w:eastAsia="Calibri"/>
          <w:lang w:eastAsia="en-US"/>
        </w:rPr>
      </w:pPr>
    </w:p>
    <w:p w14:paraId="7CF95493" w14:textId="5D2C7B2D" w:rsidR="00BC796D" w:rsidRPr="00AA1407" w:rsidRDefault="00BC796D" w:rsidP="00AA1407">
      <w:pPr>
        <w:jc w:val="both"/>
        <w:rPr>
          <w:rFonts w:eastAsia="Calibri"/>
          <w:lang w:eastAsia="en-US"/>
        </w:rPr>
      </w:pPr>
      <w:r w:rsidRPr="00AA1407">
        <w:rPr>
          <w:rFonts w:eastAsia="Calibri"/>
          <w:lang w:eastAsia="en-US"/>
        </w:rPr>
        <w:t xml:space="preserve">Ovim se člankom mijenja članak 3. stavak 2. Zakonu o uspostavi infrastrukture za alternativna goriva („Narodne novine“, </w:t>
      </w:r>
      <w:r w:rsidR="00AA1407" w:rsidRPr="00AA1407">
        <w:rPr>
          <w:rFonts w:eastAsia="Calibri"/>
          <w:lang w:eastAsia="en-US"/>
        </w:rPr>
        <w:t>br</w:t>
      </w:r>
      <w:r w:rsidR="00AA1407">
        <w:rPr>
          <w:rFonts w:eastAsia="Calibri"/>
          <w:lang w:eastAsia="en-US"/>
        </w:rPr>
        <w:t>oj</w:t>
      </w:r>
      <w:r w:rsidR="00AA1407" w:rsidRPr="00AA1407">
        <w:rPr>
          <w:rFonts w:eastAsia="Calibri"/>
          <w:lang w:eastAsia="en-US"/>
        </w:rPr>
        <w:t xml:space="preserve"> 120/16</w:t>
      </w:r>
      <w:r w:rsidR="00AA1407">
        <w:rPr>
          <w:rFonts w:eastAsia="Calibri"/>
          <w:lang w:eastAsia="en-US"/>
        </w:rPr>
        <w:t>.</w:t>
      </w:r>
      <w:r w:rsidRPr="00AA1407">
        <w:rPr>
          <w:rFonts w:eastAsia="Calibri"/>
          <w:lang w:eastAsia="en-US"/>
        </w:rPr>
        <w:t>)</w:t>
      </w:r>
      <w:r w:rsidR="00AA1407">
        <w:rPr>
          <w:rFonts w:eastAsia="Calibri"/>
          <w:lang w:eastAsia="en-US"/>
        </w:rPr>
        <w:t>.</w:t>
      </w:r>
      <w:r w:rsidRPr="00AA1407">
        <w:rPr>
          <w:rFonts w:eastAsia="Calibri"/>
          <w:lang w:eastAsia="en-US"/>
        </w:rPr>
        <w:t xml:space="preserve"> </w:t>
      </w:r>
      <w:r w:rsidR="00AA1407">
        <w:rPr>
          <w:rFonts w:eastAsia="Calibri"/>
          <w:lang w:eastAsia="en-US"/>
        </w:rPr>
        <w:t>N</w:t>
      </w:r>
      <w:r w:rsidR="00AA1407" w:rsidRPr="00AA1407">
        <w:rPr>
          <w:rFonts w:eastAsia="Calibri"/>
          <w:lang w:eastAsia="en-US"/>
        </w:rPr>
        <w:t>aime</w:t>
      </w:r>
      <w:r w:rsidR="00AA1407">
        <w:rPr>
          <w:rFonts w:eastAsia="Calibri"/>
          <w:lang w:eastAsia="en-US"/>
        </w:rPr>
        <w:t>,</w:t>
      </w:r>
      <w:r w:rsidR="00AA1407" w:rsidRPr="00AA1407">
        <w:rPr>
          <w:rFonts w:eastAsia="Calibri"/>
          <w:lang w:eastAsia="en-US"/>
        </w:rPr>
        <w:t xml:space="preserve"> </w:t>
      </w:r>
      <w:r w:rsidRPr="00AA1407">
        <w:rPr>
          <w:rFonts w:eastAsia="Calibri"/>
          <w:lang w:eastAsia="en-US"/>
        </w:rPr>
        <w:t xml:space="preserve">Centar za praćenje poslovanja energetskog sektora i investicija je prestao sa svojim djelatnostima te će u predmetnom Zakonu njegovu ulogu nacionalnog koordinacijskog tijela preuzeti Ministarstvo gospodarstva i održivog razvoja. </w:t>
      </w:r>
      <w:r w:rsidR="00AA1407">
        <w:rPr>
          <w:rFonts w:eastAsia="Calibri"/>
          <w:lang w:eastAsia="en-US"/>
        </w:rPr>
        <w:t>Č</w:t>
      </w:r>
      <w:r w:rsidRPr="00AA1407">
        <w:rPr>
          <w:rFonts w:eastAsia="Calibri"/>
          <w:lang w:eastAsia="en-US"/>
        </w:rPr>
        <w:t>lankom 3. Zakona o prestanku važenja Zakona o Centru za praćenje poslovanja energetskog sektora i investicija („Narodne novine“, br</w:t>
      </w:r>
      <w:r w:rsidR="00950C10">
        <w:rPr>
          <w:rFonts w:eastAsia="Calibri"/>
          <w:lang w:eastAsia="en-US"/>
        </w:rPr>
        <w:t>oj</w:t>
      </w:r>
      <w:r w:rsidRPr="00AA1407">
        <w:rPr>
          <w:rFonts w:eastAsia="Calibri"/>
          <w:lang w:eastAsia="en-US"/>
        </w:rPr>
        <w:t xml:space="preserve"> 46/18</w:t>
      </w:r>
      <w:r w:rsidR="00950C10">
        <w:rPr>
          <w:rFonts w:eastAsia="Calibri"/>
          <w:lang w:eastAsia="en-US"/>
        </w:rPr>
        <w:t>.</w:t>
      </w:r>
      <w:r w:rsidRPr="00AA1407">
        <w:rPr>
          <w:rFonts w:eastAsia="Calibri"/>
          <w:lang w:eastAsia="en-US"/>
        </w:rPr>
        <w:t xml:space="preserve">) je propisano da će ministarstvo nadležno za poslove energetike preuzeti njihovu ulogu.  </w:t>
      </w:r>
    </w:p>
    <w:p w14:paraId="042E8FA8" w14:textId="77777777" w:rsidR="00BC796D" w:rsidRPr="00AA1407" w:rsidRDefault="00BC796D" w:rsidP="00AA1407">
      <w:pPr>
        <w:jc w:val="both"/>
        <w:rPr>
          <w:rFonts w:eastAsia="Calibri"/>
          <w:lang w:eastAsia="en-US"/>
        </w:rPr>
      </w:pPr>
    </w:p>
    <w:p w14:paraId="0949C413" w14:textId="77777777" w:rsidR="00BC796D" w:rsidRPr="00AA1407" w:rsidRDefault="00BC796D" w:rsidP="00AA1407">
      <w:pPr>
        <w:jc w:val="both"/>
        <w:rPr>
          <w:rFonts w:eastAsia="Calibri"/>
          <w:b/>
          <w:lang w:eastAsia="en-US"/>
        </w:rPr>
      </w:pPr>
      <w:r w:rsidRPr="00AA1407">
        <w:rPr>
          <w:rFonts w:eastAsia="Calibri"/>
          <w:b/>
          <w:lang w:eastAsia="en-US"/>
        </w:rPr>
        <w:t>Uz članak 4.</w:t>
      </w:r>
    </w:p>
    <w:p w14:paraId="6DF3CE89" w14:textId="77777777" w:rsidR="00950C10" w:rsidRDefault="00950C10" w:rsidP="00AA1407">
      <w:pPr>
        <w:jc w:val="both"/>
        <w:rPr>
          <w:rFonts w:eastAsia="Calibri"/>
          <w:lang w:eastAsia="en-US"/>
        </w:rPr>
      </w:pPr>
    </w:p>
    <w:p w14:paraId="3D476278" w14:textId="773D00DE" w:rsidR="00BC796D" w:rsidRPr="00AA1407" w:rsidRDefault="00BC796D" w:rsidP="00AA1407">
      <w:pPr>
        <w:jc w:val="both"/>
        <w:rPr>
          <w:rFonts w:eastAsia="Calibri"/>
          <w:lang w:eastAsia="en-US"/>
        </w:rPr>
      </w:pPr>
      <w:r w:rsidRPr="00AA1407">
        <w:rPr>
          <w:rFonts w:eastAsia="Calibri"/>
          <w:lang w:eastAsia="en-US"/>
        </w:rPr>
        <w:t xml:space="preserve">Ovim se člankom mijenja članak 6. Zakona o uspostavi infrastrukture za alternativna goriva („Narodne novine“, </w:t>
      </w:r>
      <w:r w:rsidR="00950C10" w:rsidRPr="00AA1407">
        <w:rPr>
          <w:rFonts w:eastAsia="Calibri"/>
          <w:lang w:eastAsia="en-US"/>
        </w:rPr>
        <w:t>br</w:t>
      </w:r>
      <w:r w:rsidR="00950C10">
        <w:rPr>
          <w:rFonts w:eastAsia="Calibri"/>
          <w:lang w:eastAsia="en-US"/>
        </w:rPr>
        <w:t>oj</w:t>
      </w:r>
      <w:r w:rsidR="00950C10" w:rsidRPr="00AA1407">
        <w:rPr>
          <w:rFonts w:eastAsia="Calibri"/>
          <w:lang w:eastAsia="en-US"/>
        </w:rPr>
        <w:t xml:space="preserve"> 120/16</w:t>
      </w:r>
      <w:r w:rsidR="00950C10">
        <w:rPr>
          <w:rFonts w:eastAsia="Calibri"/>
          <w:lang w:eastAsia="en-US"/>
        </w:rPr>
        <w:t>.</w:t>
      </w:r>
      <w:r w:rsidRPr="00AA1407">
        <w:rPr>
          <w:rFonts w:eastAsia="Calibri"/>
          <w:lang w:eastAsia="en-US"/>
        </w:rPr>
        <w:t xml:space="preserve">), tako da se dodaju se stavci 14. i 15. kojima se uređuje pitanje tehničkih specifikacija na mjestima za punjenje motornih vozila kategorije </w:t>
      </w:r>
      <w:r w:rsidRPr="00382B32">
        <w:rPr>
          <w:rFonts w:eastAsia="Calibri"/>
          <w:lang w:eastAsia="en-US"/>
        </w:rPr>
        <w:t>L</w:t>
      </w:r>
      <w:r w:rsidR="003420E3" w:rsidRPr="00382B32">
        <w:rPr>
          <w:rFonts w:eastAsia="Calibri"/>
          <w:lang w:eastAsia="en-US"/>
        </w:rPr>
        <w:t xml:space="preserve"> te stavak 16.</w:t>
      </w:r>
      <w:bookmarkStart w:id="1" w:name="_GoBack"/>
      <w:bookmarkEnd w:id="1"/>
      <w:r w:rsidRPr="00AA1407">
        <w:rPr>
          <w:rFonts w:eastAsia="Calibri"/>
          <w:lang w:eastAsia="en-US"/>
        </w:rPr>
        <w:t xml:space="preserve"> </w:t>
      </w:r>
    </w:p>
    <w:p w14:paraId="76996371" w14:textId="77777777" w:rsidR="00BC796D" w:rsidRPr="00AA1407" w:rsidRDefault="00BC796D" w:rsidP="00AA1407">
      <w:pPr>
        <w:jc w:val="both"/>
        <w:rPr>
          <w:rFonts w:eastAsia="Calibri"/>
          <w:b/>
          <w:lang w:eastAsia="en-US"/>
        </w:rPr>
      </w:pPr>
    </w:p>
    <w:p w14:paraId="7588DBAF" w14:textId="77777777" w:rsidR="00BC796D" w:rsidRPr="00AA1407" w:rsidRDefault="00BC796D" w:rsidP="00AA1407">
      <w:pPr>
        <w:jc w:val="both"/>
        <w:rPr>
          <w:rFonts w:eastAsia="Calibri"/>
          <w:b/>
          <w:lang w:eastAsia="en-US"/>
        </w:rPr>
      </w:pPr>
      <w:r w:rsidRPr="00AA1407">
        <w:rPr>
          <w:rFonts w:eastAsia="Calibri"/>
          <w:b/>
          <w:lang w:eastAsia="en-US"/>
        </w:rPr>
        <w:t>Uz članak 5.</w:t>
      </w:r>
    </w:p>
    <w:p w14:paraId="1E60CFAC" w14:textId="77777777" w:rsidR="00950C10" w:rsidRDefault="00950C10" w:rsidP="00AA1407">
      <w:pPr>
        <w:jc w:val="both"/>
        <w:rPr>
          <w:rFonts w:eastAsia="Calibri"/>
          <w:lang w:eastAsia="en-US"/>
        </w:rPr>
      </w:pPr>
    </w:p>
    <w:p w14:paraId="030BC025" w14:textId="50F8814B" w:rsidR="00BC796D" w:rsidRPr="00AA1407" w:rsidRDefault="00BC796D" w:rsidP="00AA1407">
      <w:pPr>
        <w:jc w:val="both"/>
        <w:rPr>
          <w:rFonts w:eastAsia="Calibri"/>
          <w:lang w:eastAsia="en-US"/>
        </w:rPr>
      </w:pPr>
      <w:r w:rsidRPr="00AA1407">
        <w:rPr>
          <w:rFonts w:eastAsia="Calibri"/>
          <w:lang w:eastAsia="en-US"/>
        </w:rPr>
        <w:t xml:space="preserve">Ovim se člankom mijenja 7. stavak 2. Zakona o uspostavi infrastrukture za alternativna goriva („Narodne novine“, </w:t>
      </w:r>
      <w:r w:rsidR="00950C10" w:rsidRPr="00AA1407">
        <w:rPr>
          <w:rFonts w:eastAsia="Calibri"/>
          <w:lang w:eastAsia="en-US"/>
        </w:rPr>
        <w:t>br</w:t>
      </w:r>
      <w:r w:rsidR="00950C10">
        <w:rPr>
          <w:rFonts w:eastAsia="Calibri"/>
          <w:lang w:eastAsia="en-US"/>
        </w:rPr>
        <w:t>oj</w:t>
      </w:r>
      <w:r w:rsidR="00950C10" w:rsidRPr="00AA1407">
        <w:rPr>
          <w:rFonts w:eastAsia="Calibri"/>
          <w:lang w:eastAsia="en-US"/>
        </w:rPr>
        <w:t xml:space="preserve"> 120/16</w:t>
      </w:r>
      <w:r w:rsidR="00950C10">
        <w:rPr>
          <w:rFonts w:eastAsia="Calibri"/>
          <w:lang w:eastAsia="en-US"/>
        </w:rPr>
        <w:t>.</w:t>
      </w:r>
      <w:r w:rsidRPr="00AA1407">
        <w:rPr>
          <w:rFonts w:eastAsia="Calibri"/>
          <w:lang w:eastAsia="en-US"/>
        </w:rPr>
        <w:t>), tako da se uređuje pitanje tehničkih specifikacija na mjestima za opskrbu motornih vozila vodikom.</w:t>
      </w:r>
    </w:p>
    <w:p w14:paraId="74D709EE" w14:textId="77777777" w:rsidR="00BC796D" w:rsidRPr="00AA1407" w:rsidRDefault="00BC796D" w:rsidP="00AA1407">
      <w:pPr>
        <w:jc w:val="both"/>
        <w:rPr>
          <w:rFonts w:eastAsia="Calibri"/>
          <w:b/>
          <w:lang w:eastAsia="en-US"/>
        </w:rPr>
      </w:pPr>
    </w:p>
    <w:p w14:paraId="78A4DC08" w14:textId="77777777" w:rsidR="00BC796D" w:rsidRPr="00AA1407" w:rsidRDefault="00BC796D" w:rsidP="00AA1407">
      <w:pPr>
        <w:jc w:val="both"/>
        <w:rPr>
          <w:rFonts w:eastAsia="Calibri"/>
          <w:b/>
          <w:lang w:eastAsia="en-US"/>
        </w:rPr>
      </w:pPr>
      <w:r w:rsidRPr="00AA1407">
        <w:rPr>
          <w:rFonts w:eastAsia="Calibri"/>
          <w:b/>
          <w:lang w:eastAsia="en-US"/>
        </w:rPr>
        <w:t>Uz članak 6.</w:t>
      </w:r>
    </w:p>
    <w:p w14:paraId="679A1750" w14:textId="77777777" w:rsidR="00950C10" w:rsidRDefault="00950C10" w:rsidP="00AA1407">
      <w:pPr>
        <w:jc w:val="both"/>
        <w:rPr>
          <w:rFonts w:eastAsia="Calibri"/>
          <w:lang w:eastAsia="en-US"/>
        </w:rPr>
      </w:pPr>
    </w:p>
    <w:p w14:paraId="1D7D545F" w14:textId="63A9ADD1" w:rsidR="00BC796D" w:rsidRPr="00AA1407" w:rsidRDefault="00BC796D" w:rsidP="00AA1407">
      <w:pPr>
        <w:jc w:val="both"/>
        <w:rPr>
          <w:rFonts w:eastAsia="Calibri"/>
          <w:lang w:eastAsia="en-US"/>
        </w:rPr>
      </w:pPr>
      <w:r w:rsidRPr="00AA1407">
        <w:rPr>
          <w:rFonts w:eastAsia="Calibri"/>
          <w:lang w:eastAsia="en-US"/>
        </w:rPr>
        <w:t xml:space="preserve">Ovim se člankom mijenja članak 8. stavak 11. Zakona o uspostavi infrastrukture za alternativna goriva („Narodne novine“, </w:t>
      </w:r>
      <w:r w:rsidR="00950C10" w:rsidRPr="00AA1407">
        <w:rPr>
          <w:rFonts w:eastAsia="Calibri"/>
          <w:lang w:eastAsia="en-US"/>
        </w:rPr>
        <w:t>br</w:t>
      </w:r>
      <w:r w:rsidR="00950C10">
        <w:rPr>
          <w:rFonts w:eastAsia="Calibri"/>
          <w:lang w:eastAsia="en-US"/>
        </w:rPr>
        <w:t>oj</w:t>
      </w:r>
      <w:r w:rsidR="00950C10" w:rsidRPr="00AA1407">
        <w:rPr>
          <w:rFonts w:eastAsia="Calibri"/>
          <w:lang w:eastAsia="en-US"/>
        </w:rPr>
        <w:t xml:space="preserve"> 120/16</w:t>
      </w:r>
      <w:r w:rsidR="00950C10">
        <w:rPr>
          <w:rFonts w:eastAsia="Calibri"/>
          <w:lang w:eastAsia="en-US"/>
        </w:rPr>
        <w:t>.</w:t>
      </w:r>
      <w:r w:rsidRPr="00AA1407">
        <w:rPr>
          <w:rFonts w:eastAsia="Calibri"/>
          <w:lang w:eastAsia="en-US"/>
        </w:rPr>
        <w:t>), tako da se uređuje pitanje tehničkih specifikacija profila priključka tako da mora ispunjavati zahtjeve norme EN ISO 14469 „Cestovna vozila – Priključak za punjenje stlačenim prirodnim plinom (SPP)</w:t>
      </w:r>
      <w:r w:rsidR="00950C10">
        <w:rPr>
          <w:rFonts w:eastAsia="Calibri"/>
          <w:lang w:eastAsia="en-US"/>
        </w:rPr>
        <w:t>“</w:t>
      </w:r>
      <w:r w:rsidRPr="00AA1407">
        <w:rPr>
          <w:rFonts w:eastAsia="Calibri"/>
          <w:lang w:eastAsia="en-US"/>
        </w:rPr>
        <w:t>.</w:t>
      </w:r>
    </w:p>
    <w:p w14:paraId="6C1A8119" w14:textId="77777777" w:rsidR="00BC796D" w:rsidRPr="00AA1407" w:rsidRDefault="00BC796D" w:rsidP="00AA1407">
      <w:pPr>
        <w:jc w:val="both"/>
        <w:rPr>
          <w:rFonts w:eastAsia="Calibri"/>
          <w:lang w:eastAsia="en-US"/>
        </w:rPr>
      </w:pPr>
      <w:r w:rsidRPr="00AA1407">
        <w:rPr>
          <w:rFonts w:eastAsia="Calibri"/>
          <w:lang w:eastAsia="en-US"/>
        </w:rPr>
        <w:lastRenderedPageBreak/>
        <w:t xml:space="preserve">Nadalje, članku 8. dodaju se stavci 12., 13. i 14. kojima se dodatno definiraju tehničke specifikacije za mjesta za opskrbu stlačenim prirodnim plinom (SPP), mjesta za opskrbu ukapljenim prirodnim plinom i mjesta za opskrbu plovila na unutarnjim plovnim putovima ili morskih brodova. </w:t>
      </w:r>
    </w:p>
    <w:p w14:paraId="4FD78BF3" w14:textId="77777777" w:rsidR="00BC796D" w:rsidRPr="00AA1407" w:rsidRDefault="00BC796D" w:rsidP="00AA1407">
      <w:pPr>
        <w:jc w:val="both"/>
        <w:rPr>
          <w:rFonts w:eastAsia="Calibri"/>
          <w:lang w:eastAsia="en-US"/>
        </w:rPr>
      </w:pPr>
    </w:p>
    <w:p w14:paraId="1B20CA76" w14:textId="77777777" w:rsidR="00BC796D" w:rsidRPr="00AA1407" w:rsidRDefault="00BC796D" w:rsidP="00AA1407">
      <w:pPr>
        <w:jc w:val="both"/>
        <w:rPr>
          <w:rFonts w:eastAsia="Calibri"/>
          <w:b/>
          <w:lang w:eastAsia="en-US"/>
        </w:rPr>
      </w:pPr>
      <w:r w:rsidRPr="00AA1407">
        <w:rPr>
          <w:rFonts w:eastAsia="Calibri"/>
          <w:b/>
          <w:lang w:eastAsia="en-US"/>
        </w:rPr>
        <w:t>Uz članak 7.</w:t>
      </w:r>
    </w:p>
    <w:p w14:paraId="5403DAE5" w14:textId="77777777" w:rsidR="00950C10" w:rsidRDefault="00950C10" w:rsidP="00AA1407">
      <w:pPr>
        <w:jc w:val="both"/>
        <w:rPr>
          <w:rFonts w:eastAsia="Calibri"/>
          <w:lang w:eastAsia="en-US"/>
        </w:rPr>
      </w:pPr>
    </w:p>
    <w:p w14:paraId="32F16EB7" w14:textId="19D8DE3E" w:rsidR="00BC796D" w:rsidRPr="00AA1407" w:rsidRDefault="00BC796D" w:rsidP="00AA1407">
      <w:pPr>
        <w:jc w:val="both"/>
        <w:rPr>
          <w:rFonts w:eastAsia="Calibri"/>
        </w:rPr>
      </w:pPr>
      <w:r w:rsidRPr="00AA1407">
        <w:rPr>
          <w:rFonts w:eastAsia="Calibri"/>
          <w:lang w:eastAsia="en-US"/>
        </w:rPr>
        <w:t>Ovim se člankom dodaje članak 9.a, kojim se z</w:t>
      </w:r>
      <w:r w:rsidRPr="00AA1407">
        <w:rPr>
          <w:rFonts w:eastAsia="Calibri"/>
        </w:rPr>
        <w:t>a potrebe praćenja razvoja infrastrukture za alternativna goriva i informiranje korisnika, uspostavlja registar koji izdaje identifikacijske kodove za upravitelje infrastrukture punjenja i pružatelje usluga punjenja, vodi bazu podataka izdanih identifikacijskih kodova, razmjenjuje podatke s registrom identifikacijskih kodova na razini Europske unije te se</w:t>
      </w:r>
      <w:r w:rsidRPr="00AA1407">
        <w:rPr>
          <w:rFonts w:eastAsia="Calibri"/>
          <w:lang w:eastAsia="en-US"/>
        </w:rPr>
        <w:t xml:space="preserve"> dodaje i članak 9.b, kojim se regulira obveza postaja za opskrbu gorivom vezano za prikazivanje usporedbe jediničnih cijena alternativnih i konvencionalnih goriva.</w:t>
      </w:r>
    </w:p>
    <w:p w14:paraId="73312F0E" w14:textId="77777777" w:rsidR="00BC796D" w:rsidRPr="00AA1407" w:rsidRDefault="00BC796D" w:rsidP="00AA1407">
      <w:pPr>
        <w:jc w:val="both"/>
        <w:rPr>
          <w:rFonts w:eastAsia="Calibri"/>
          <w:b/>
          <w:lang w:eastAsia="en-US"/>
        </w:rPr>
      </w:pPr>
    </w:p>
    <w:p w14:paraId="40E71E5A" w14:textId="77777777" w:rsidR="00BC796D" w:rsidRPr="00AA1407" w:rsidRDefault="00BC796D" w:rsidP="00AA1407">
      <w:pPr>
        <w:jc w:val="both"/>
        <w:rPr>
          <w:rFonts w:eastAsia="Calibri"/>
          <w:b/>
          <w:lang w:eastAsia="en-US"/>
        </w:rPr>
      </w:pPr>
      <w:r w:rsidRPr="00AA1407">
        <w:rPr>
          <w:rFonts w:eastAsia="Calibri"/>
          <w:b/>
          <w:lang w:eastAsia="en-US"/>
        </w:rPr>
        <w:t>Uz članak 8.</w:t>
      </w:r>
    </w:p>
    <w:p w14:paraId="7D843CAE" w14:textId="77777777" w:rsidR="00950C10" w:rsidRDefault="00950C10" w:rsidP="00AA1407">
      <w:pPr>
        <w:jc w:val="both"/>
        <w:rPr>
          <w:rFonts w:eastAsia="Calibri"/>
          <w:lang w:eastAsia="en-US"/>
        </w:rPr>
      </w:pPr>
    </w:p>
    <w:p w14:paraId="5518E52F" w14:textId="5E6B8314" w:rsidR="00BC796D" w:rsidRPr="00AA1407" w:rsidRDefault="00BC796D" w:rsidP="00AA1407">
      <w:pPr>
        <w:jc w:val="both"/>
        <w:rPr>
          <w:rFonts w:eastAsia="Calibri"/>
          <w:lang w:eastAsia="en-US"/>
        </w:rPr>
      </w:pPr>
      <w:r w:rsidRPr="00AA1407">
        <w:rPr>
          <w:rFonts w:eastAsia="Calibri"/>
          <w:lang w:eastAsia="en-US"/>
        </w:rPr>
        <w:t xml:space="preserve">Ovim se člankom mijenja članak 10. stavak 2. u Zakonu o uspostavi infrastrukture za alternativna goriva („Narodne novine“, </w:t>
      </w:r>
      <w:r w:rsidR="00950C10" w:rsidRPr="00AA1407">
        <w:rPr>
          <w:rFonts w:eastAsia="Calibri"/>
          <w:lang w:eastAsia="en-US"/>
        </w:rPr>
        <w:t>br</w:t>
      </w:r>
      <w:r w:rsidR="00950C10">
        <w:rPr>
          <w:rFonts w:eastAsia="Calibri"/>
          <w:lang w:eastAsia="en-US"/>
        </w:rPr>
        <w:t>oj</w:t>
      </w:r>
      <w:r w:rsidR="00950C10" w:rsidRPr="00AA1407">
        <w:rPr>
          <w:rFonts w:eastAsia="Calibri"/>
          <w:lang w:eastAsia="en-US"/>
        </w:rPr>
        <w:t xml:space="preserve"> 120/16</w:t>
      </w:r>
      <w:r w:rsidR="00950C10">
        <w:rPr>
          <w:rFonts w:eastAsia="Calibri"/>
          <w:lang w:eastAsia="en-US"/>
        </w:rPr>
        <w:t>.</w:t>
      </w:r>
      <w:r w:rsidRPr="00AA1407">
        <w:rPr>
          <w:rFonts w:eastAsia="Calibri"/>
          <w:lang w:eastAsia="en-US"/>
        </w:rPr>
        <w:t xml:space="preserve">), naime Centar za praćenje poslovanja energetskog sektora i investicija je prestao sa svojim djelatnostima te će u predmetnom Zakonu njegovu ulogu nacionalnog koordinacijskog tijela preuzeti Ministarstvo gospodarstva i održivog razvoja. </w:t>
      </w:r>
      <w:r w:rsidR="00950C10">
        <w:rPr>
          <w:rFonts w:eastAsia="Calibri"/>
          <w:lang w:eastAsia="en-US"/>
        </w:rPr>
        <w:t>Č</w:t>
      </w:r>
      <w:r w:rsidRPr="00AA1407">
        <w:rPr>
          <w:rFonts w:eastAsia="Calibri"/>
          <w:lang w:eastAsia="en-US"/>
        </w:rPr>
        <w:t>lankom 3. Zakona o prestanku važenja Zakona o Centru za praćenje poslovanja energetskog sektora i investicija („Narodne novine“, br</w:t>
      </w:r>
      <w:r w:rsidR="00950C10">
        <w:rPr>
          <w:rFonts w:eastAsia="Calibri"/>
          <w:lang w:eastAsia="en-US"/>
        </w:rPr>
        <w:t>oj</w:t>
      </w:r>
      <w:r w:rsidRPr="00AA1407">
        <w:rPr>
          <w:rFonts w:eastAsia="Calibri"/>
          <w:lang w:eastAsia="en-US"/>
        </w:rPr>
        <w:t xml:space="preserve"> 46/18</w:t>
      </w:r>
      <w:r w:rsidR="00950C10">
        <w:rPr>
          <w:rFonts w:eastAsia="Calibri"/>
          <w:lang w:eastAsia="en-US"/>
        </w:rPr>
        <w:t>.</w:t>
      </w:r>
      <w:r w:rsidRPr="00AA1407">
        <w:rPr>
          <w:rFonts w:eastAsia="Calibri"/>
          <w:lang w:eastAsia="en-US"/>
        </w:rPr>
        <w:t>) je propisano da će ministarstvo nadležno za poslove energetike preuzeti njihovu ulogu.</w:t>
      </w:r>
    </w:p>
    <w:p w14:paraId="371D0D39" w14:textId="77777777" w:rsidR="00BC796D" w:rsidRPr="00AA1407" w:rsidRDefault="00BC796D" w:rsidP="00AA1407">
      <w:pPr>
        <w:jc w:val="both"/>
        <w:rPr>
          <w:rFonts w:eastAsia="Calibri"/>
          <w:lang w:eastAsia="en-US"/>
        </w:rPr>
      </w:pPr>
    </w:p>
    <w:p w14:paraId="709112AE" w14:textId="77777777" w:rsidR="00BC796D" w:rsidRPr="00AA1407" w:rsidRDefault="00BC796D" w:rsidP="00AA1407">
      <w:pPr>
        <w:jc w:val="both"/>
        <w:rPr>
          <w:rFonts w:eastAsia="Calibri"/>
          <w:b/>
          <w:lang w:eastAsia="en-US"/>
        </w:rPr>
      </w:pPr>
      <w:r w:rsidRPr="00AA1407">
        <w:rPr>
          <w:rFonts w:eastAsia="Calibri"/>
          <w:b/>
          <w:lang w:eastAsia="en-US"/>
        </w:rPr>
        <w:t>Uz članak 9.</w:t>
      </w:r>
    </w:p>
    <w:p w14:paraId="0886884A" w14:textId="77777777" w:rsidR="00950C10" w:rsidRDefault="00950C10" w:rsidP="00AA1407">
      <w:pPr>
        <w:jc w:val="both"/>
        <w:rPr>
          <w:rFonts w:eastAsia="Calibri"/>
          <w:lang w:eastAsia="en-US"/>
        </w:rPr>
      </w:pPr>
    </w:p>
    <w:p w14:paraId="2C2721BA" w14:textId="27E8FC05" w:rsidR="00BC796D" w:rsidRPr="00AA1407" w:rsidRDefault="00BC796D" w:rsidP="00AA1407">
      <w:pPr>
        <w:jc w:val="both"/>
        <w:rPr>
          <w:rFonts w:eastAsia="Calibri"/>
          <w:lang w:eastAsia="en-US"/>
        </w:rPr>
      </w:pPr>
      <w:r w:rsidRPr="00AA1407">
        <w:rPr>
          <w:rFonts w:eastAsia="Calibri"/>
          <w:lang w:eastAsia="en-US"/>
        </w:rPr>
        <w:t xml:space="preserve">Ovim se člankom dopunjuje Zakon o uspostavi infrastrukture za alternativna goriva („Narodne novine“, </w:t>
      </w:r>
      <w:r w:rsidR="00950C10" w:rsidRPr="00AA1407">
        <w:rPr>
          <w:rFonts w:eastAsia="Calibri"/>
          <w:lang w:eastAsia="en-US"/>
        </w:rPr>
        <w:t>br</w:t>
      </w:r>
      <w:r w:rsidR="00950C10">
        <w:rPr>
          <w:rFonts w:eastAsia="Calibri"/>
          <w:lang w:eastAsia="en-US"/>
        </w:rPr>
        <w:t>oj</w:t>
      </w:r>
      <w:r w:rsidR="00950C10" w:rsidRPr="00AA1407">
        <w:rPr>
          <w:rFonts w:eastAsia="Calibri"/>
          <w:lang w:eastAsia="en-US"/>
        </w:rPr>
        <w:t xml:space="preserve"> 120/16</w:t>
      </w:r>
      <w:r w:rsidR="00950C10">
        <w:rPr>
          <w:rFonts w:eastAsia="Calibri"/>
          <w:lang w:eastAsia="en-US"/>
        </w:rPr>
        <w:t>.</w:t>
      </w:r>
      <w:r w:rsidRPr="00AA1407">
        <w:rPr>
          <w:rFonts w:eastAsia="Calibri"/>
          <w:lang w:eastAsia="en-US"/>
        </w:rPr>
        <w:t xml:space="preserve">), na način da se ustanovljava institut prekršajne odgovornosti zbog povrede prava i obveza propisanih Zakonom </w:t>
      </w:r>
      <w:r w:rsidRPr="00AA1407">
        <w:t xml:space="preserve">te se </w:t>
      </w:r>
      <w:r w:rsidRPr="00AA1407">
        <w:rPr>
          <w:rFonts w:eastAsia="Calibri"/>
          <w:lang w:eastAsia="en-US"/>
        </w:rPr>
        <w:t>propisuju prekršajne kazne (članak 11.a).</w:t>
      </w:r>
    </w:p>
    <w:p w14:paraId="7445A1CD" w14:textId="77777777" w:rsidR="00950C10" w:rsidRDefault="00950C10" w:rsidP="00AA1407">
      <w:pPr>
        <w:jc w:val="both"/>
        <w:rPr>
          <w:rFonts w:eastAsia="Calibri"/>
          <w:b/>
          <w:lang w:eastAsia="en-US"/>
        </w:rPr>
      </w:pPr>
    </w:p>
    <w:p w14:paraId="2E5D2F62" w14:textId="77777777" w:rsidR="00BC796D" w:rsidRPr="00AA1407" w:rsidRDefault="00BC796D" w:rsidP="00AA1407">
      <w:pPr>
        <w:jc w:val="both"/>
        <w:rPr>
          <w:rFonts w:eastAsia="Calibri"/>
          <w:b/>
          <w:lang w:eastAsia="en-US"/>
        </w:rPr>
      </w:pPr>
      <w:r w:rsidRPr="00AA1407">
        <w:rPr>
          <w:rFonts w:eastAsia="Calibri"/>
          <w:b/>
          <w:lang w:eastAsia="en-US"/>
        </w:rPr>
        <w:t>Uz članak 10.</w:t>
      </w:r>
    </w:p>
    <w:p w14:paraId="47EF8A75" w14:textId="77777777" w:rsidR="00950C10" w:rsidRDefault="00950C10" w:rsidP="00AA1407">
      <w:pPr>
        <w:jc w:val="both"/>
        <w:rPr>
          <w:rFonts w:eastAsia="Calibri"/>
          <w:lang w:eastAsia="en-US"/>
        </w:rPr>
      </w:pPr>
    </w:p>
    <w:p w14:paraId="4B9F8BC3" w14:textId="77777777" w:rsidR="00BC796D" w:rsidRPr="00AA1407" w:rsidRDefault="00BC796D" w:rsidP="00AA1407">
      <w:pPr>
        <w:jc w:val="both"/>
        <w:rPr>
          <w:rFonts w:eastAsia="Calibri"/>
          <w:b/>
          <w:lang w:eastAsia="en-US"/>
        </w:rPr>
      </w:pPr>
      <w:r w:rsidRPr="00AA1407">
        <w:rPr>
          <w:rFonts w:eastAsia="Calibri"/>
          <w:lang w:eastAsia="en-US"/>
        </w:rPr>
        <w:t>Ovim se člankom propisuje nadležnost za provedbu inspekcijskog nadzora.</w:t>
      </w:r>
    </w:p>
    <w:p w14:paraId="42C188D6" w14:textId="77777777" w:rsidR="00950C10" w:rsidRDefault="00950C10" w:rsidP="00AA1407">
      <w:pPr>
        <w:jc w:val="both"/>
        <w:rPr>
          <w:rFonts w:eastAsia="Calibri"/>
          <w:b/>
          <w:lang w:eastAsia="en-US"/>
        </w:rPr>
      </w:pPr>
    </w:p>
    <w:p w14:paraId="15AB6125" w14:textId="77777777" w:rsidR="00BC796D" w:rsidRPr="00AA1407" w:rsidRDefault="00BC796D" w:rsidP="00AA1407">
      <w:pPr>
        <w:jc w:val="both"/>
        <w:rPr>
          <w:rFonts w:eastAsia="Calibri"/>
          <w:b/>
          <w:lang w:eastAsia="en-US"/>
        </w:rPr>
      </w:pPr>
      <w:r w:rsidRPr="00AA1407">
        <w:rPr>
          <w:rFonts w:eastAsia="Calibri"/>
          <w:b/>
          <w:lang w:eastAsia="en-US"/>
        </w:rPr>
        <w:t>Uz članak 11.</w:t>
      </w:r>
    </w:p>
    <w:p w14:paraId="6ABA9564" w14:textId="77777777" w:rsidR="00950C10" w:rsidRDefault="00950C10" w:rsidP="00AA1407">
      <w:pPr>
        <w:jc w:val="both"/>
        <w:rPr>
          <w:rFonts w:eastAsia="Calibri"/>
          <w:lang w:eastAsia="en-US"/>
        </w:rPr>
      </w:pPr>
    </w:p>
    <w:p w14:paraId="13020C13" w14:textId="23EED2E0" w:rsidR="00BC796D" w:rsidRPr="00AA1407" w:rsidRDefault="00BC796D" w:rsidP="00AA1407">
      <w:pPr>
        <w:jc w:val="both"/>
        <w:rPr>
          <w:rFonts w:eastAsia="Calibri"/>
          <w:lang w:eastAsia="en-US"/>
        </w:rPr>
      </w:pPr>
      <w:r w:rsidRPr="00AA1407">
        <w:rPr>
          <w:rFonts w:eastAsia="Calibri"/>
          <w:lang w:eastAsia="en-US"/>
        </w:rPr>
        <w:t xml:space="preserve">Ovim se člankomdopunjuje Zakon o uspostavi infrastrukture za alternativna goriva („Narodne novine“, </w:t>
      </w:r>
      <w:r w:rsidR="00950C10" w:rsidRPr="00AA1407">
        <w:rPr>
          <w:rFonts w:eastAsia="Calibri"/>
          <w:lang w:eastAsia="en-US"/>
        </w:rPr>
        <w:t>br</w:t>
      </w:r>
      <w:r w:rsidR="00950C10">
        <w:rPr>
          <w:rFonts w:eastAsia="Calibri"/>
          <w:lang w:eastAsia="en-US"/>
        </w:rPr>
        <w:t>oj</w:t>
      </w:r>
      <w:r w:rsidR="00950C10" w:rsidRPr="00AA1407">
        <w:rPr>
          <w:rFonts w:eastAsia="Calibri"/>
          <w:lang w:eastAsia="en-US"/>
        </w:rPr>
        <w:t xml:space="preserve"> 120/16</w:t>
      </w:r>
      <w:r w:rsidR="00950C10">
        <w:rPr>
          <w:rFonts w:eastAsia="Calibri"/>
          <w:lang w:eastAsia="en-US"/>
        </w:rPr>
        <w:t>.</w:t>
      </w:r>
      <w:r w:rsidRPr="00AA1407">
        <w:rPr>
          <w:rFonts w:eastAsia="Calibri"/>
          <w:lang w:eastAsia="en-US"/>
        </w:rPr>
        <w:t xml:space="preserve">), tako da se </w:t>
      </w:r>
      <w:r w:rsidR="00950C10">
        <w:rPr>
          <w:rFonts w:eastAsia="Calibri"/>
          <w:lang w:eastAsia="en-US"/>
        </w:rPr>
        <w:t>propisuje</w:t>
      </w:r>
      <w:r w:rsidR="00950C10" w:rsidRPr="00AA1407">
        <w:rPr>
          <w:rFonts w:eastAsia="Calibri"/>
          <w:lang w:eastAsia="en-US"/>
        </w:rPr>
        <w:t xml:space="preserve"> </w:t>
      </w:r>
      <w:r w:rsidRPr="00AA1407">
        <w:rPr>
          <w:rFonts w:eastAsia="Calibri"/>
          <w:lang w:eastAsia="en-US"/>
        </w:rPr>
        <w:t>način donošenja pravilnika iz članka 9.a vezano za uspostavu i vođenje registra punionica alternativnih goriva, kao i o načinu informiranja korisnika te pravilnika o</w:t>
      </w:r>
      <w:r w:rsidRPr="00AA1407">
        <w:t xml:space="preserve"> s</w:t>
      </w:r>
      <w:r w:rsidRPr="00AA1407">
        <w:rPr>
          <w:rFonts w:eastAsia="Calibri"/>
          <w:lang w:eastAsia="en-US"/>
        </w:rPr>
        <w:t xml:space="preserve">adržaju i obliku identifikacijskog koda </w:t>
      </w:r>
      <w:r w:rsidR="00950C10">
        <w:rPr>
          <w:rFonts w:eastAsia="Calibri"/>
          <w:lang w:eastAsia="en-US"/>
        </w:rPr>
        <w:t>te</w:t>
      </w:r>
      <w:r w:rsidRPr="00AA1407">
        <w:rPr>
          <w:rFonts w:eastAsia="Calibri"/>
          <w:lang w:eastAsia="en-US"/>
        </w:rPr>
        <w:t xml:space="preserve"> </w:t>
      </w:r>
      <w:r w:rsidR="00950C10">
        <w:rPr>
          <w:rFonts w:eastAsia="Calibri"/>
          <w:lang w:eastAsia="en-US"/>
        </w:rPr>
        <w:t>iz članka 9.b</w:t>
      </w:r>
      <w:r w:rsidR="00950C10" w:rsidRPr="00AA1407">
        <w:rPr>
          <w:rFonts w:eastAsia="Calibri"/>
          <w:lang w:eastAsia="en-US"/>
        </w:rPr>
        <w:t xml:space="preserve"> </w:t>
      </w:r>
      <w:r w:rsidR="00950C10">
        <w:rPr>
          <w:rFonts w:eastAsia="Calibri"/>
          <w:lang w:eastAsia="en-US"/>
        </w:rPr>
        <w:t xml:space="preserve">vezano za </w:t>
      </w:r>
      <w:r w:rsidRPr="00AA1407">
        <w:rPr>
          <w:rFonts w:eastAsia="Calibri"/>
          <w:lang w:eastAsia="en-US"/>
        </w:rPr>
        <w:t xml:space="preserve">način donošenja pravilnika za pružanje informacija na postajama za opskrbu gorivima </w:t>
      </w:r>
    </w:p>
    <w:p w14:paraId="5095FA36" w14:textId="77777777" w:rsidR="00BC796D" w:rsidRPr="00AA1407" w:rsidRDefault="00BC796D" w:rsidP="00AA1407">
      <w:pPr>
        <w:jc w:val="both"/>
        <w:rPr>
          <w:rFonts w:eastAsia="Calibri"/>
          <w:b/>
          <w:lang w:eastAsia="en-US"/>
        </w:rPr>
      </w:pPr>
    </w:p>
    <w:p w14:paraId="24ACC422" w14:textId="77777777" w:rsidR="00BC796D" w:rsidRPr="00AA1407" w:rsidRDefault="00BC796D" w:rsidP="00AA1407">
      <w:pPr>
        <w:jc w:val="both"/>
        <w:rPr>
          <w:rFonts w:eastAsia="Calibri"/>
          <w:b/>
          <w:lang w:eastAsia="en-US"/>
        </w:rPr>
      </w:pPr>
      <w:r w:rsidRPr="00AA1407">
        <w:rPr>
          <w:rFonts w:eastAsia="Calibri"/>
          <w:b/>
          <w:lang w:eastAsia="en-US"/>
        </w:rPr>
        <w:t>Uz članak 12.</w:t>
      </w:r>
    </w:p>
    <w:p w14:paraId="12ED1004" w14:textId="77777777" w:rsidR="00950C10" w:rsidRDefault="00950C10" w:rsidP="00AA1407">
      <w:pPr>
        <w:jc w:val="both"/>
        <w:rPr>
          <w:rFonts w:eastAsia="Calibri"/>
          <w:lang w:eastAsia="en-US"/>
        </w:rPr>
      </w:pPr>
    </w:p>
    <w:p w14:paraId="2B8C1DC1" w14:textId="77777777" w:rsidR="00BC796D" w:rsidRPr="00AA1407" w:rsidRDefault="00BC796D" w:rsidP="00AA1407">
      <w:pPr>
        <w:jc w:val="both"/>
        <w:rPr>
          <w:rFonts w:eastAsia="Calibri"/>
          <w:lang w:eastAsia="en-US"/>
        </w:rPr>
      </w:pPr>
      <w:r w:rsidRPr="00AA1407">
        <w:rPr>
          <w:rFonts w:eastAsia="Calibri"/>
          <w:lang w:eastAsia="en-US"/>
        </w:rPr>
        <w:t xml:space="preserve">Ovim se člankom propisuje obveza upraviteljima punionica alternativnih goriva da u roku od tri mjeseca od uspostave registra iz članka 9.a ishode jedinstveni kod, kao i da omoguće pristup svim potrebnim informacijama u svrhu informiranja korisnika. </w:t>
      </w:r>
    </w:p>
    <w:p w14:paraId="395E46B6" w14:textId="77777777" w:rsidR="00BC796D" w:rsidRPr="00AA1407" w:rsidRDefault="00BC796D" w:rsidP="00AA1407">
      <w:pPr>
        <w:jc w:val="both"/>
        <w:rPr>
          <w:rFonts w:eastAsia="Calibri"/>
          <w:lang w:eastAsia="en-US"/>
        </w:rPr>
      </w:pPr>
    </w:p>
    <w:p w14:paraId="70CB8689" w14:textId="77777777" w:rsidR="00BC796D" w:rsidRPr="00AA1407" w:rsidRDefault="00BC796D" w:rsidP="00AA1407">
      <w:pPr>
        <w:jc w:val="both"/>
        <w:rPr>
          <w:rFonts w:eastAsia="Calibri"/>
          <w:b/>
          <w:lang w:eastAsia="en-US"/>
        </w:rPr>
      </w:pPr>
      <w:r w:rsidRPr="00AA1407">
        <w:rPr>
          <w:rFonts w:eastAsia="Calibri"/>
          <w:b/>
          <w:lang w:eastAsia="en-US"/>
        </w:rPr>
        <w:t>Uz članak 13.</w:t>
      </w:r>
    </w:p>
    <w:p w14:paraId="4AF52E7B" w14:textId="77777777" w:rsidR="00950C10" w:rsidRDefault="00950C10" w:rsidP="00AA1407">
      <w:pPr>
        <w:jc w:val="both"/>
        <w:rPr>
          <w:rFonts w:eastAsia="Calibri"/>
          <w:lang w:eastAsia="en-US"/>
        </w:rPr>
      </w:pPr>
    </w:p>
    <w:p w14:paraId="477D452F" w14:textId="24EA9D32" w:rsidR="00BC796D" w:rsidRPr="00AA1407" w:rsidRDefault="00BC796D" w:rsidP="00AA1407">
      <w:pPr>
        <w:jc w:val="both"/>
        <w:rPr>
          <w:rFonts w:eastAsia="Calibri"/>
          <w:lang w:eastAsia="en-US"/>
        </w:rPr>
      </w:pPr>
      <w:r w:rsidRPr="00AA1407">
        <w:rPr>
          <w:rFonts w:eastAsia="Calibri"/>
          <w:lang w:eastAsia="en-US"/>
        </w:rPr>
        <w:t xml:space="preserve">Ovim </w:t>
      </w:r>
      <w:r w:rsidR="00950C10">
        <w:rPr>
          <w:rFonts w:eastAsia="Calibri"/>
          <w:lang w:eastAsia="en-US"/>
        </w:rPr>
        <w:t xml:space="preserve">se </w:t>
      </w:r>
      <w:r w:rsidRPr="00AA1407">
        <w:rPr>
          <w:rFonts w:eastAsia="Calibri"/>
          <w:lang w:eastAsia="en-US"/>
        </w:rPr>
        <w:t xml:space="preserve">člankom </w:t>
      </w:r>
      <w:r w:rsidR="00950C10">
        <w:rPr>
          <w:rFonts w:eastAsia="Calibri"/>
          <w:lang w:eastAsia="en-US"/>
        </w:rPr>
        <w:t>određuje</w:t>
      </w:r>
      <w:r w:rsidRPr="00AA1407">
        <w:rPr>
          <w:rFonts w:eastAsia="Calibri"/>
          <w:lang w:eastAsia="en-US"/>
        </w:rPr>
        <w:t xml:space="preserve"> </w:t>
      </w:r>
      <w:r w:rsidR="00950C10" w:rsidRPr="00AA1407">
        <w:rPr>
          <w:rFonts w:eastAsia="Calibri"/>
          <w:lang w:eastAsia="en-US"/>
        </w:rPr>
        <w:t>stupanj</w:t>
      </w:r>
      <w:r w:rsidR="00950C10">
        <w:rPr>
          <w:rFonts w:eastAsia="Calibri"/>
          <w:lang w:eastAsia="en-US"/>
        </w:rPr>
        <w:t>e</w:t>
      </w:r>
      <w:r w:rsidR="00950C10" w:rsidRPr="00AA1407">
        <w:rPr>
          <w:rFonts w:eastAsia="Calibri"/>
          <w:lang w:eastAsia="en-US"/>
        </w:rPr>
        <w:t xml:space="preserve"> </w:t>
      </w:r>
      <w:r w:rsidRPr="00AA1407">
        <w:rPr>
          <w:rFonts w:eastAsia="Calibri"/>
          <w:lang w:eastAsia="en-US"/>
        </w:rPr>
        <w:t>na snagu Zakona.</w:t>
      </w:r>
    </w:p>
    <w:p w14:paraId="7B54BD48" w14:textId="77777777" w:rsidR="00950C10" w:rsidRDefault="00BC796D" w:rsidP="00950C10">
      <w:pPr>
        <w:shd w:val="clear" w:color="auto" w:fill="FFFFFF"/>
        <w:jc w:val="center"/>
        <w:rPr>
          <w:rFonts w:eastAsia="Calibri"/>
          <w:b/>
        </w:rPr>
      </w:pPr>
      <w:r w:rsidRPr="002109C8">
        <w:rPr>
          <w:rFonts w:eastAsia="Calibri"/>
          <w:b/>
        </w:rPr>
        <w:lastRenderedPageBreak/>
        <w:t>TEKST ODREDBI VAŽEĆEG ZAKONA</w:t>
      </w:r>
      <w:r w:rsidR="00950C10">
        <w:rPr>
          <w:rFonts w:eastAsia="Calibri"/>
          <w:b/>
        </w:rPr>
        <w:t xml:space="preserve"> </w:t>
      </w:r>
      <w:r w:rsidRPr="002109C8">
        <w:rPr>
          <w:rFonts w:eastAsia="Calibri"/>
          <w:b/>
        </w:rPr>
        <w:t xml:space="preserve">KOJE SE MIJENJAJU, </w:t>
      </w:r>
    </w:p>
    <w:p w14:paraId="7CEE7D3F" w14:textId="77777777" w:rsidR="00541FE6" w:rsidRPr="00541FE6" w:rsidRDefault="00BC796D" w:rsidP="00541FE6">
      <w:pPr>
        <w:shd w:val="clear" w:color="auto" w:fill="FFFFFF"/>
        <w:jc w:val="center"/>
        <w:rPr>
          <w:rFonts w:eastAsia="Calibri"/>
          <w:b/>
        </w:rPr>
      </w:pPr>
      <w:r w:rsidRPr="002109C8">
        <w:rPr>
          <w:rFonts w:eastAsia="Calibri"/>
          <w:b/>
        </w:rPr>
        <w:t>ODNOSNO DOPUNJUJU</w:t>
      </w:r>
    </w:p>
    <w:p w14:paraId="4ACA7E9B" w14:textId="77777777" w:rsidR="003420E3" w:rsidRDefault="003420E3" w:rsidP="003420E3">
      <w:pPr>
        <w:widowControl w:val="0"/>
        <w:autoSpaceDE w:val="0"/>
        <w:autoSpaceDN w:val="0"/>
        <w:jc w:val="center"/>
        <w:rPr>
          <w:b/>
          <w:szCs w:val="22"/>
          <w:lang w:val="en-US" w:eastAsia="en-US"/>
        </w:rPr>
      </w:pPr>
    </w:p>
    <w:p w14:paraId="322D859F" w14:textId="579D5B75" w:rsidR="00BC796D" w:rsidRPr="003420E3" w:rsidRDefault="00BC796D" w:rsidP="003420E3">
      <w:pPr>
        <w:widowControl w:val="0"/>
        <w:autoSpaceDE w:val="0"/>
        <w:autoSpaceDN w:val="0"/>
        <w:jc w:val="center"/>
        <w:rPr>
          <w:szCs w:val="22"/>
          <w:lang w:val="en-US" w:eastAsia="en-US"/>
        </w:rPr>
      </w:pPr>
      <w:r w:rsidRPr="003420E3">
        <w:rPr>
          <w:szCs w:val="22"/>
          <w:lang w:val="en-US" w:eastAsia="en-US"/>
        </w:rPr>
        <w:t>Predmet</w:t>
      </w:r>
      <w:r w:rsidRPr="003420E3">
        <w:rPr>
          <w:spacing w:val="-2"/>
          <w:szCs w:val="22"/>
          <w:lang w:val="en-US" w:eastAsia="en-US"/>
        </w:rPr>
        <w:t xml:space="preserve"> </w:t>
      </w:r>
      <w:r w:rsidRPr="003420E3">
        <w:rPr>
          <w:szCs w:val="22"/>
          <w:lang w:val="en-US" w:eastAsia="en-US"/>
        </w:rPr>
        <w:t>Zakona</w:t>
      </w:r>
    </w:p>
    <w:p w14:paraId="11C0752E" w14:textId="77777777" w:rsidR="003420E3" w:rsidRDefault="003420E3" w:rsidP="00950C10">
      <w:pPr>
        <w:widowControl w:val="0"/>
        <w:autoSpaceDE w:val="0"/>
        <w:autoSpaceDN w:val="0"/>
        <w:spacing w:before="2"/>
        <w:ind w:left="1774" w:right="1771"/>
        <w:jc w:val="center"/>
        <w:rPr>
          <w:rFonts w:eastAsia="Arial"/>
          <w:szCs w:val="22"/>
          <w:lang w:val="en-US" w:eastAsia="en-US"/>
        </w:rPr>
      </w:pPr>
    </w:p>
    <w:p w14:paraId="176C00ED" w14:textId="3687C5EA" w:rsidR="00950C10" w:rsidRPr="003420E3" w:rsidRDefault="00BC796D" w:rsidP="00950C10">
      <w:pPr>
        <w:widowControl w:val="0"/>
        <w:autoSpaceDE w:val="0"/>
        <w:autoSpaceDN w:val="0"/>
        <w:spacing w:before="2"/>
        <w:ind w:left="1774" w:right="1771"/>
        <w:jc w:val="center"/>
        <w:rPr>
          <w:rFonts w:eastAsia="Arial"/>
          <w:szCs w:val="22"/>
          <w:lang w:val="en-US" w:eastAsia="en-US"/>
        </w:rPr>
      </w:pPr>
      <w:r w:rsidRPr="003420E3">
        <w:rPr>
          <w:rFonts w:eastAsia="Arial"/>
          <w:szCs w:val="22"/>
          <w:lang w:val="en-US" w:eastAsia="en-US"/>
        </w:rPr>
        <w:t>Članak 1.</w:t>
      </w:r>
    </w:p>
    <w:p w14:paraId="256C479C" w14:textId="77777777" w:rsidR="00950C10" w:rsidRDefault="00950C10" w:rsidP="00950C10">
      <w:pPr>
        <w:widowControl w:val="0"/>
        <w:autoSpaceDE w:val="0"/>
        <w:autoSpaceDN w:val="0"/>
        <w:spacing w:before="2"/>
        <w:ind w:right="-2"/>
        <w:jc w:val="both"/>
        <w:rPr>
          <w:szCs w:val="22"/>
          <w:lang w:val="en-US" w:eastAsia="en-US"/>
        </w:rPr>
      </w:pPr>
    </w:p>
    <w:p w14:paraId="4603F866" w14:textId="77777777" w:rsidR="00BC796D" w:rsidRPr="00D90B77" w:rsidRDefault="00950C10" w:rsidP="00950C10">
      <w:pPr>
        <w:widowControl w:val="0"/>
        <w:autoSpaceDE w:val="0"/>
        <w:autoSpaceDN w:val="0"/>
        <w:spacing w:before="2"/>
        <w:ind w:right="-2"/>
        <w:jc w:val="both"/>
        <w:rPr>
          <w:rFonts w:eastAsia="Arial"/>
          <w:b/>
          <w:szCs w:val="22"/>
          <w:lang w:eastAsia="en-US"/>
        </w:rPr>
      </w:pPr>
      <w:r w:rsidRPr="00D90B77">
        <w:rPr>
          <w:szCs w:val="22"/>
          <w:lang w:eastAsia="en-US"/>
        </w:rPr>
        <w:t xml:space="preserve">(1) </w:t>
      </w:r>
      <w:r w:rsidR="00BC796D" w:rsidRPr="00D90B77">
        <w:rPr>
          <w:szCs w:val="22"/>
          <w:lang w:eastAsia="en-US"/>
        </w:rPr>
        <w:t>Ovim Zakonom se utvrđuje zajednički okvir mjera za uspostavljanje infrastrukture za alternativna goriva, kako bi se na najmanju moguću mjeru smanjila ovisnost o nafti te ublažio negativni utjecaj prometa na</w:t>
      </w:r>
      <w:r w:rsidR="00BC796D" w:rsidRPr="00D90B77">
        <w:rPr>
          <w:spacing w:val="1"/>
          <w:szCs w:val="22"/>
          <w:lang w:eastAsia="en-US"/>
        </w:rPr>
        <w:t xml:space="preserve"> </w:t>
      </w:r>
      <w:r w:rsidR="00BC796D" w:rsidRPr="00D90B77">
        <w:rPr>
          <w:szCs w:val="22"/>
          <w:lang w:eastAsia="en-US"/>
        </w:rPr>
        <w:t>okoliš.</w:t>
      </w:r>
    </w:p>
    <w:p w14:paraId="215D3AE5" w14:textId="77777777" w:rsidR="00BC796D" w:rsidRPr="002109C8" w:rsidRDefault="00BC796D" w:rsidP="00BC796D">
      <w:pPr>
        <w:widowControl w:val="0"/>
        <w:autoSpaceDE w:val="0"/>
        <w:autoSpaceDN w:val="0"/>
        <w:spacing w:before="5"/>
        <w:rPr>
          <w:rFonts w:eastAsia="Arial"/>
          <w:szCs w:val="18"/>
          <w:lang w:val="en-US" w:eastAsia="en-US"/>
        </w:rPr>
      </w:pPr>
    </w:p>
    <w:p w14:paraId="10A934DE" w14:textId="77777777" w:rsidR="00BC796D" w:rsidRPr="002109C8" w:rsidRDefault="00950C10" w:rsidP="00950C10">
      <w:pPr>
        <w:widowControl w:val="0"/>
        <w:autoSpaceDE w:val="0"/>
        <w:autoSpaceDN w:val="0"/>
        <w:spacing w:before="2"/>
        <w:ind w:right="-2"/>
        <w:jc w:val="both"/>
        <w:rPr>
          <w:szCs w:val="22"/>
          <w:lang w:val="en-US" w:eastAsia="en-US"/>
        </w:rPr>
      </w:pPr>
      <w:r>
        <w:rPr>
          <w:szCs w:val="22"/>
          <w:lang w:val="en-US" w:eastAsia="en-US"/>
        </w:rPr>
        <w:t xml:space="preserve">(2) </w:t>
      </w:r>
      <w:r w:rsidR="00BC796D" w:rsidRPr="002109C8">
        <w:rPr>
          <w:szCs w:val="22"/>
          <w:lang w:val="en-US" w:eastAsia="en-US"/>
        </w:rPr>
        <w:t>Zakonom se utvrđuju minimalni zahtjevi za izgradnju infrastrukture za alternativna goriva, uključujući mjesta za punjenje, utvrđuju se zajedničke tehničke specifikacije za mjesta za punjenje i opskrbu, zahtjevi za informiranje korisnika, kao i način izvršavanja obveza izvješćivanja o provedbi mjera uspostavljanja infrastrukture za alternativna</w:t>
      </w:r>
      <w:r w:rsidR="00BC796D" w:rsidRPr="00950C10">
        <w:rPr>
          <w:szCs w:val="22"/>
          <w:lang w:val="en-US" w:eastAsia="en-US"/>
        </w:rPr>
        <w:t xml:space="preserve"> </w:t>
      </w:r>
      <w:r w:rsidR="00BC796D" w:rsidRPr="002109C8">
        <w:rPr>
          <w:szCs w:val="22"/>
          <w:lang w:val="en-US" w:eastAsia="en-US"/>
        </w:rPr>
        <w:t>goriva.</w:t>
      </w:r>
    </w:p>
    <w:p w14:paraId="465DDBAD" w14:textId="77777777" w:rsidR="00BC796D" w:rsidRPr="002109C8" w:rsidRDefault="00BC796D" w:rsidP="00BC796D">
      <w:pPr>
        <w:widowControl w:val="0"/>
        <w:autoSpaceDE w:val="0"/>
        <w:autoSpaceDN w:val="0"/>
        <w:spacing w:before="5"/>
        <w:rPr>
          <w:rFonts w:eastAsia="Arial"/>
          <w:szCs w:val="18"/>
          <w:lang w:val="en-US" w:eastAsia="en-US"/>
        </w:rPr>
      </w:pPr>
    </w:p>
    <w:p w14:paraId="19C14A13" w14:textId="77777777" w:rsidR="00BC796D" w:rsidRPr="00950C10" w:rsidRDefault="00950C10" w:rsidP="00950C10">
      <w:pPr>
        <w:widowControl w:val="0"/>
        <w:autoSpaceDE w:val="0"/>
        <w:autoSpaceDN w:val="0"/>
        <w:spacing w:before="2"/>
        <w:ind w:right="-2"/>
        <w:jc w:val="both"/>
        <w:rPr>
          <w:szCs w:val="22"/>
          <w:lang w:eastAsia="en-US"/>
        </w:rPr>
      </w:pPr>
      <w:r w:rsidRPr="00950C10">
        <w:rPr>
          <w:szCs w:val="22"/>
          <w:lang w:eastAsia="en-US"/>
        </w:rPr>
        <w:t xml:space="preserve">(3) </w:t>
      </w:r>
      <w:r w:rsidR="00BC796D" w:rsidRPr="00950C10">
        <w:rPr>
          <w:szCs w:val="22"/>
          <w:lang w:eastAsia="en-US"/>
        </w:rPr>
        <w:t>Na sva ostala pitanja uspostave infrastrukture za alternativna goriva koja nisu uređena ovim Zakonom primjenjuju se propisi kojima se uređuje područje prometne infrastrukture, područje prostornog uređenja, područje infrastrukture prostornih podataka, područje gradnje, područje energetike, područje energetske učinkovitosti, područje zaštite okoliša, te zakoni kojima su osnovani i koji određuju djelokrug Fonda za zaštitu okoliša i energetsku učinkovitost, kao i Centra za praćenje poslovanja energetskog sektora i investicija i državne potpore.</w:t>
      </w:r>
    </w:p>
    <w:p w14:paraId="274386A8" w14:textId="77777777" w:rsidR="00BC796D" w:rsidRPr="002109C8" w:rsidRDefault="00BC796D" w:rsidP="00BC796D">
      <w:pPr>
        <w:widowControl w:val="0"/>
        <w:autoSpaceDE w:val="0"/>
        <w:autoSpaceDN w:val="0"/>
        <w:spacing w:before="7"/>
        <w:rPr>
          <w:rFonts w:eastAsia="Arial"/>
          <w:szCs w:val="18"/>
          <w:lang w:val="en-US" w:eastAsia="en-US"/>
        </w:rPr>
      </w:pPr>
    </w:p>
    <w:p w14:paraId="6491A702" w14:textId="77777777" w:rsidR="00541FE6" w:rsidRDefault="00BC796D" w:rsidP="00BC796D">
      <w:pPr>
        <w:widowControl w:val="0"/>
        <w:autoSpaceDE w:val="0"/>
        <w:autoSpaceDN w:val="0"/>
        <w:spacing w:line="484" w:lineRule="auto"/>
        <w:ind w:left="1772" w:right="1771"/>
        <w:jc w:val="center"/>
        <w:rPr>
          <w:rFonts w:eastAsia="Arial"/>
          <w:szCs w:val="22"/>
          <w:lang w:val="en-US" w:eastAsia="en-US"/>
        </w:rPr>
      </w:pPr>
      <w:r w:rsidRPr="00950C10">
        <w:rPr>
          <w:rFonts w:eastAsia="Arial"/>
          <w:szCs w:val="22"/>
          <w:lang w:val="en-US" w:eastAsia="en-US"/>
        </w:rPr>
        <w:t xml:space="preserve">Usklađivanje s pravnim poretkom Europske </w:t>
      </w:r>
      <w:r w:rsidRPr="00541FE6">
        <w:rPr>
          <w:rFonts w:eastAsia="Arial"/>
          <w:szCs w:val="22"/>
          <w:lang w:val="en-US" w:eastAsia="en-US"/>
        </w:rPr>
        <w:t xml:space="preserve">unije </w:t>
      </w:r>
    </w:p>
    <w:p w14:paraId="42C0D89C" w14:textId="77777777" w:rsidR="00BC796D" w:rsidRPr="00541FE6" w:rsidRDefault="00BC796D" w:rsidP="00BC796D">
      <w:pPr>
        <w:widowControl w:val="0"/>
        <w:autoSpaceDE w:val="0"/>
        <w:autoSpaceDN w:val="0"/>
        <w:spacing w:line="484" w:lineRule="auto"/>
        <w:ind w:left="1772" w:right="1771"/>
        <w:jc w:val="center"/>
        <w:rPr>
          <w:rFonts w:eastAsia="Arial"/>
          <w:szCs w:val="22"/>
          <w:lang w:val="en-US" w:eastAsia="en-US"/>
        </w:rPr>
      </w:pPr>
      <w:r w:rsidRPr="00541FE6">
        <w:rPr>
          <w:rFonts w:eastAsia="Arial"/>
          <w:szCs w:val="22"/>
          <w:lang w:val="en-US" w:eastAsia="en-US"/>
        </w:rPr>
        <w:t>Članak 2.</w:t>
      </w:r>
    </w:p>
    <w:p w14:paraId="7B42AD30" w14:textId="77777777" w:rsidR="00BC796D" w:rsidRPr="00D90B77" w:rsidRDefault="00BC796D" w:rsidP="00BC796D">
      <w:pPr>
        <w:widowControl w:val="0"/>
        <w:autoSpaceDE w:val="0"/>
        <w:autoSpaceDN w:val="0"/>
        <w:ind w:left="118" w:right="113"/>
        <w:jc w:val="both"/>
        <w:rPr>
          <w:rFonts w:eastAsia="Arial"/>
          <w:szCs w:val="22"/>
          <w:lang w:eastAsia="en-US"/>
        </w:rPr>
      </w:pPr>
      <w:r w:rsidRPr="00D90B77">
        <w:rPr>
          <w:rFonts w:eastAsia="Arial"/>
          <w:szCs w:val="22"/>
          <w:lang w:eastAsia="en-US"/>
        </w:rPr>
        <w:t>Ovim se Zakonom u pravni poredak Republike Hrvatske prenose odredbe Direktive 2014/94/EU Europskog parlamenta i Vijeća od 22. listopada 2014. godine o uspostavi infrastrukture za alternativna goriva (SL L 307, 28.10.2014.) u onom dijelu koji se odnosi na državu članicu.</w:t>
      </w:r>
    </w:p>
    <w:p w14:paraId="47FB0672" w14:textId="77777777" w:rsidR="00BC796D" w:rsidRPr="002109C8" w:rsidRDefault="00BC796D" w:rsidP="00BC796D">
      <w:pPr>
        <w:widowControl w:val="0"/>
        <w:autoSpaceDE w:val="0"/>
        <w:autoSpaceDN w:val="0"/>
        <w:spacing w:before="1"/>
        <w:rPr>
          <w:rFonts w:eastAsia="Arial"/>
          <w:szCs w:val="18"/>
          <w:lang w:val="en-US" w:eastAsia="en-US"/>
        </w:rPr>
      </w:pPr>
    </w:p>
    <w:p w14:paraId="04330E92" w14:textId="77777777" w:rsidR="00BC796D" w:rsidRPr="00541FE6" w:rsidRDefault="00BC796D" w:rsidP="00BC796D">
      <w:pPr>
        <w:widowControl w:val="0"/>
        <w:autoSpaceDE w:val="0"/>
        <w:autoSpaceDN w:val="0"/>
        <w:spacing w:line="484" w:lineRule="auto"/>
        <w:ind w:left="3373" w:right="3375"/>
        <w:jc w:val="center"/>
        <w:rPr>
          <w:rFonts w:eastAsia="Arial"/>
          <w:szCs w:val="22"/>
          <w:lang w:val="en-US" w:eastAsia="en-US"/>
        </w:rPr>
      </w:pPr>
      <w:r w:rsidRPr="00541FE6">
        <w:rPr>
          <w:rFonts w:eastAsia="Arial"/>
          <w:szCs w:val="22"/>
          <w:lang w:val="en-US" w:eastAsia="en-US"/>
        </w:rPr>
        <w:t>Značenje pojmova Članak 3.</w:t>
      </w:r>
    </w:p>
    <w:p w14:paraId="35C2B1A2" w14:textId="77777777" w:rsidR="00BC796D" w:rsidRPr="00D90B77" w:rsidRDefault="00541FE6" w:rsidP="00541FE6">
      <w:pPr>
        <w:widowControl w:val="0"/>
        <w:autoSpaceDE w:val="0"/>
        <w:autoSpaceDN w:val="0"/>
        <w:spacing w:before="2"/>
        <w:ind w:right="-2"/>
        <w:jc w:val="both"/>
        <w:rPr>
          <w:szCs w:val="22"/>
          <w:lang w:eastAsia="en-US"/>
        </w:rPr>
      </w:pPr>
      <w:r w:rsidRPr="00D90B77">
        <w:rPr>
          <w:szCs w:val="22"/>
          <w:lang w:eastAsia="en-US"/>
        </w:rPr>
        <w:t xml:space="preserve">(1) </w:t>
      </w:r>
      <w:r w:rsidR="00BC796D" w:rsidRPr="00D90B77">
        <w:rPr>
          <w:szCs w:val="22"/>
          <w:lang w:eastAsia="en-US"/>
        </w:rPr>
        <w:t>U smislu ovoga Zakona pojedini pojmovi imaju sljedeće značenje:</w:t>
      </w:r>
    </w:p>
    <w:p w14:paraId="09256F58" w14:textId="77777777" w:rsidR="00BC796D" w:rsidRPr="00D90B77" w:rsidRDefault="00BC796D" w:rsidP="00BC796D">
      <w:pPr>
        <w:widowControl w:val="0"/>
        <w:autoSpaceDE w:val="0"/>
        <w:autoSpaceDN w:val="0"/>
        <w:spacing w:before="3"/>
        <w:rPr>
          <w:rFonts w:eastAsia="Arial"/>
          <w:szCs w:val="18"/>
          <w:lang w:eastAsia="en-US"/>
        </w:rPr>
      </w:pPr>
    </w:p>
    <w:p w14:paraId="7C2D2E20" w14:textId="77777777" w:rsidR="00BC796D" w:rsidRPr="00D90B77" w:rsidRDefault="00541FE6" w:rsidP="00541FE6">
      <w:pPr>
        <w:widowControl w:val="0"/>
        <w:tabs>
          <w:tab w:val="left" w:pos="1081"/>
        </w:tabs>
        <w:autoSpaceDE w:val="0"/>
        <w:autoSpaceDN w:val="0"/>
        <w:ind w:left="684" w:right="113"/>
        <w:jc w:val="both"/>
        <w:rPr>
          <w:szCs w:val="22"/>
          <w:lang w:eastAsia="en-US"/>
        </w:rPr>
      </w:pPr>
      <w:r w:rsidRPr="00D90B77">
        <w:rPr>
          <w:szCs w:val="22"/>
          <w:lang w:eastAsia="en-US"/>
        </w:rPr>
        <w:t>1.</w:t>
      </w:r>
      <w:r w:rsidRPr="00D90B77">
        <w:rPr>
          <w:szCs w:val="22"/>
          <w:lang w:eastAsia="en-US"/>
        </w:rPr>
        <w:tab/>
      </w:r>
      <w:r w:rsidR="00BC796D" w:rsidRPr="00D90B77">
        <w:rPr>
          <w:szCs w:val="22"/>
          <w:lang w:eastAsia="en-US"/>
        </w:rPr>
        <w:t>alternativna goriva: goriva ili izvori energije koji služe, barem djelomično, kao nadomjestak za izvore fosilnih goriva u opskrbi prometa energijom i koji imaju potencijal doprinijeti dekarbonizaciji prometnog sustava te poboljšati okolišnu učinkovitost prometnog sektora, koji između ostalog uključuju: električnu energiju, vodik, biogoriva (tekuća ili plinovita biogoriva namijenjena prometu proizvedena iz biomase), sintetička i parafinska goriva, prirodni plin, uključujući bioplin, u plinovitom (stlačeni prirodni plin – SPP) i ukapljenom obliku (ukapljeni prirodni plin – UPP) te ukapljeni naftni plin (UNP)</w:t>
      </w:r>
    </w:p>
    <w:p w14:paraId="6C4F7370" w14:textId="77777777" w:rsidR="00541FE6" w:rsidRPr="00D90B77" w:rsidRDefault="00541FE6" w:rsidP="00BC796D">
      <w:pPr>
        <w:widowControl w:val="0"/>
        <w:tabs>
          <w:tab w:val="left" w:pos="1081"/>
        </w:tabs>
        <w:autoSpaceDE w:val="0"/>
        <w:autoSpaceDN w:val="0"/>
        <w:ind w:left="684" w:right="113"/>
        <w:jc w:val="both"/>
        <w:rPr>
          <w:szCs w:val="22"/>
          <w:lang w:eastAsia="en-US"/>
        </w:rPr>
      </w:pPr>
    </w:p>
    <w:p w14:paraId="3F0C8C98"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2.</w:t>
      </w:r>
      <w:r w:rsidRPr="00D90B77">
        <w:rPr>
          <w:szCs w:val="22"/>
          <w:lang w:eastAsia="en-US"/>
        </w:rPr>
        <w:tab/>
        <w:t>električno vozilo: motorno vozilo opremljeno sustavom za prijenos snage koje sadrži barem jedan neperiferni električni uređaj kao pretvornik energije s električnim sustavom za pohranu energije s mogućnošću ponovnog punjenja, koji je moguće puniti eksterno</w:t>
      </w:r>
    </w:p>
    <w:p w14:paraId="5F7A7543"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77F18791"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lastRenderedPageBreak/>
        <w:t>3.</w:t>
      </w:r>
      <w:r w:rsidRPr="00D90B77">
        <w:rPr>
          <w:szCs w:val="22"/>
          <w:lang w:eastAsia="en-US"/>
        </w:rPr>
        <w:tab/>
        <w:t>javno dostupno mjesto za punjenje ili opskrbu: mjesto za punjenje ili opskrbu na kojem se pruža opskrba alternativnim gorivom i koje korisnicima omogućuje nediskriminirajući pristup. Nediskriminirajući pristup može uključivati različite mogućnosti autentifikacije, uporabe i plaćanja</w:t>
      </w:r>
    </w:p>
    <w:p w14:paraId="07EACC07"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55A1CFE1"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4.</w:t>
      </w:r>
      <w:r w:rsidRPr="00D90B77">
        <w:rPr>
          <w:szCs w:val="22"/>
          <w:lang w:eastAsia="en-US"/>
        </w:rPr>
        <w:tab/>
        <w:t>mjesto za opskrbu: objekt za opskrbu bilo kojim gorivom, uz iznimku UPP-a, putem fiksne ili mobilne instalacije</w:t>
      </w:r>
    </w:p>
    <w:p w14:paraId="3BB0D271"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0985FB84"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5.</w:t>
      </w:r>
      <w:r w:rsidRPr="00D90B77">
        <w:rPr>
          <w:szCs w:val="22"/>
          <w:lang w:eastAsia="en-US"/>
        </w:rPr>
        <w:tab/>
        <w:t>mjesto za opskrbu UPP-om: objekt za opskrbu UPP-om koji se sastoji bilo od fiksnog ili mobilnog objekta, objekta na moru ili drugih sustava</w:t>
      </w:r>
    </w:p>
    <w:p w14:paraId="740EAED9"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7256A800"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6.</w:t>
      </w:r>
      <w:r w:rsidRPr="00D90B77">
        <w:rPr>
          <w:szCs w:val="22"/>
          <w:lang w:eastAsia="en-US"/>
        </w:rPr>
        <w:tab/>
        <w:t>mjesto za punjenje: sučelje putem kojeg je u danom trenutku moguće puniti jedno električno vozilo ili zamijeniti bateriju jednog električnog vozila</w:t>
      </w:r>
    </w:p>
    <w:p w14:paraId="0177FADF"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72DFDBA8"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7.</w:t>
      </w:r>
      <w:r w:rsidRPr="00D90B77">
        <w:rPr>
          <w:szCs w:val="22"/>
          <w:lang w:eastAsia="en-US"/>
        </w:rPr>
        <w:tab/>
        <w:t>mjesto za punjenje male snage: mjesto za punjenje koja omogućuje transfer električne energije na električno vozilo snage jednake ili manje od 22 kW, osim uređaja snage manje ili jednake 3,7 kW koji su instalirani u privatnim kućanstvima ili čija primarna namjena nije punjenje električnih vozila te koji nisu dostupni javnosti</w:t>
      </w:r>
    </w:p>
    <w:p w14:paraId="10FAA10A"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7A00B5F3"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8.</w:t>
      </w:r>
      <w:r w:rsidRPr="00D90B77">
        <w:rPr>
          <w:szCs w:val="22"/>
          <w:lang w:eastAsia="en-US"/>
        </w:rPr>
        <w:tab/>
        <w:t>mjesto za punjenje visoke snage: mjesto za punjenje koje omogućuje transfer električne energije na električno vozilo snage veće od 22 kW</w:t>
      </w:r>
    </w:p>
    <w:p w14:paraId="085129C3"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2CBBC255"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9.</w:t>
      </w:r>
      <w:r w:rsidRPr="00D90B77">
        <w:rPr>
          <w:szCs w:val="22"/>
          <w:lang w:eastAsia="en-US"/>
        </w:rPr>
        <w:tab/>
        <w:t>opskrba električnom energijom s kopna: opskrba električnom energijom s kopna, putem standardiziranog sučelja, morskog plovila ili plovila unutarnje plovidbe koje se nalazi na privezu</w:t>
      </w:r>
    </w:p>
    <w:p w14:paraId="3A1AFBF7"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3840F857"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10.</w:t>
      </w:r>
      <w:r w:rsidRPr="00D90B77">
        <w:rPr>
          <w:szCs w:val="22"/>
          <w:lang w:eastAsia="en-US"/>
        </w:rPr>
        <w:tab/>
        <w:t>osnovna mreža TEN-T: transeuropska prometna mreža cesta, željeznica, morskih luka, zračnih luka i luka unutarnje plovidbe određena kao osnovna TEN-T mreža u skladu s Uredbom (EU) br. 1315/2013 Europskog parlamenta i Vijeća od 11. prosinca 2013. o smjernicama Unije za razvoj transeuropske prometne mreže</w:t>
      </w:r>
    </w:p>
    <w:p w14:paraId="2F83F1A1" w14:textId="77777777" w:rsidR="00BC796D" w:rsidRPr="00D90B77" w:rsidRDefault="00BC796D" w:rsidP="00BC796D">
      <w:pPr>
        <w:widowControl w:val="0"/>
        <w:tabs>
          <w:tab w:val="left" w:pos="1081"/>
        </w:tabs>
        <w:autoSpaceDE w:val="0"/>
        <w:autoSpaceDN w:val="0"/>
        <w:ind w:left="684" w:right="113"/>
        <w:jc w:val="both"/>
        <w:rPr>
          <w:szCs w:val="22"/>
          <w:lang w:eastAsia="en-US"/>
        </w:rPr>
      </w:pPr>
    </w:p>
    <w:p w14:paraId="73D98706" w14:textId="77777777" w:rsidR="00BC796D" w:rsidRPr="00D90B77" w:rsidRDefault="00BC796D" w:rsidP="00BC796D">
      <w:pPr>
        <w:widowControl w:val="0"/>
        <w:tabs>
          <w:tab w:val="left" w:pos="1081"/>
        </w:tabs>
        <w:autoSpaceDE w:val="0"/>
        <w:autoSpaceDN w:val="0"/>
        <w:ind w:left="684" w:right="113"/>
        <w:jc w:val="both"/>
        <w:rPr>
          <w:szCs w:val="22"/>
          <w:lang w:eastAsia="en-US"/>
        </w:rPr>
      </w:pPr>
      <w:r w:rsidRPr="00D90B77">
        <w:rPr>
          <w:szCs w:val="22"/>
          <w:lang w:eastAsia="en-US"/>
        </w:rPr>
        <w:t>11.</w:t>
      </w:r>
      <w:r w:rsidRPr="00D90B77">
        <w:rPr>
          <w:szCs w:val="22"/>
          <w:lang w:eastAsia="en-US"/>
        </w:rPr>
        <w:tab/>
        <w:t>tijela javnog sektora: tijela koja obuhvaćaju tijela državne uprave i druga državna tijela, tijela jedinice lokalne ili područne (regionalne) samouprave te pravne osobe koje su osnovane za određene svrhe, radi zadovoljavanja potreba od općeg interesa, koje nemaju industrijski ili trgovački značaj i u cijelosti se ili većim dijelom financiraju iz državnog proračuna ili iz proračuna jedinice lokalne ili područne (regionalne) samouprave, ili iz sredstava drugih takvih pravnih osoba, ili nadzor nad poslovanjem tih pravnih osoba obavljaju državna tijela, jedinice lokalne ili područne (regionalne) samouprave ili druge takve pravne osobe, a više od polovice članova nadzornog odbora, uprave ili odgovarajućeg tijela upravljanja i vođenja poslova imenuju državna tijela, jedinice lokalne ili područne (regionalne) samouprave ili druge takve pravne osobe.</w:t>
      </w:r>
    </w:p>
    <w:p w14:paraId="7B1DF3B4" w14:textId="77777777" w:rsidR="00541FE6" w:rsidRPr="00D90B77" w:rsidRDefault="00541FE6" w:rsidP="00541FE6">
      <w:pPr>
        <w:widowControl w:val="0"/>
        <w:tabs>
          <w:tab w:val="left" w:pos="1081"/>
        </w:tabs>
        <w:autoSpaceDE w:val="0"/>
        <w:autoSpaceDN w:val="0"/>
        <w:ind w:right="113"/>
        <w:jc w:val="both"/>
        <w:rPr>
          <w:szCs w:val="22"/>
          <w:lang w:eastAsia="en-US"/>
        </w:rPr>
      </w:pPr>
    </w:p>
    <w:p w14:paraId="471B2A6A" w14:textId="77777777" w:rsidR="00BC796D" w:rsidRPr="009A4E16" w:rsidRDefault="00541FE6" w:rsidP="00541FE6">
      <w:pPr>
        <w:widowControl w:val="0"/>
        <w:tabs>
          <w:tab w:val="left" w:pos="1081"/>
        </w:tabs>
        <w:autoSpaceDE w:val="0"/>
        <w:autoSpaceDN w:val="0"/>
        <w:ind w:right="113"/>
        <w:jc w:val="both"/>
        <w:rPr>
          <w:szCs w:val="22"/>
          <w:lang w:eastAsia="en-US"/>
        </w:rPr>
      </w:pPr>
      <w:r w:rsidRPr="009A4E16">
        <w:rPr>
          <w:szCs w:val="22"/>
          <w:lang w:eastAsia="en-US"/>
        </w:rPr>
        <w:t xml:space="preserve">(2) </w:t>
      </w:r>
      <w:r w:rsidR="00BC796D" w:rsidRPr="009A4E16">
        <w:rPr>
          <w:szCs w:val="22"/>
          <w:lang w:eastAsia="en-US"/>
        </w:rPr>
        <w:t>U smislu ovoga Zakona pojedini pojmovi, koji nisu utvrđeni ovim Zakonom, imaju značenje propisano posebnim zakonima kojima je uređeno područje prostornog uređenja, područje energetike, područje prometne infrastrukture, područje gradnje, područje zaštite okoliša, područje poreza, područje državnih potpora, te zakonima kojima su osnovani i koji određuju djelokrug Fonda za zaštitu okoliša i energetsku učinkovitost i Centra za praćenje poslovanja energetskog sektora i investicija.</w:t>
      </w:r>
    </w:p>
    <w:p w14:paraId="7836FF3E" w14:textId="77777777" w:rsidR="00BC796D" w:rsidRPr="009A4E16" w:rsidRDefault="00BC796D" w:rsidP="00BC796D">
      <w:pPr>
        <w:widowControl w:val="0"/>
        <w:tabs>
          <w:tab w:val="left" w:pos="1081"/>
        </w:tabs>
        <w:autoSpaceDE w:val="0"/>
        <w:autoSpaceDN w:val="0"/>
        <w:ind w:left="684" w:right="113"/>
        <w:jc w:val="both"/>
        <w:rPr>
          <w:szCs w:val="22"/>
          <w:lang w:eastAsia="en-US"/>
        </w:rPr>
      </w:pPr>
    </w:p>
    <w:p w14:paraId="70EAEC73" w14:textId="77777777" w:rsidR="00BC796D" w:rsidRPr="002109C8" w:rsidRDefault="00541FE6" w:rsidP="00541FE6">
      <w:pPr>
        <w:widowControl w:val="0"/>
        <w:tabs>
          <w:tab w:val="left" w:pos="1081"/>
        </w:tabs>
        <w:autoSpaceDE w:val="0"/>
        <w:autoSpaceDN w:val="0"/>
        <w:ind w:right="113"/>
        <w:jc w:val="both"/>
        <w:rPr>
          <w:szCs w:val="22"/>
          <w:lang w:val="en-US" w:eastAsia="en-US"/>
        </w:rPr>
      </w:pPr>
      <w:r>
        <w:rPr>
          <w:szCs w:val="22"/>
          <w:lang w:val="en-US" w:eastAsia="en-US"/>
        </w:rPr>
        <w:t xml:space="preserve">(3) </w:t>
      </w:r>
      <w:r w:rsidR="00BC796D" w:rsidRPr="002109C8">
        <w:rPr>
          <w:szCs w:val="22"/>
          <w:lang w:val="en-US" w:eastAsia="en-US"/>
        </w:rPr>
        <w:t>Izrazi koji se koriste u ovom Zakonu, a imaju rodno značenje, odnose se jednako na muški i ženski rod.</w:t>
      </w:r>
    </w:p>
    <w:p w14:paraId="7F7DEC96" w14:textId="77777777" w:rsidR="00BC796D" w:rsidRPr="009A4E16" w:rsidRDefault="00BC796D" w:rsidP="009A4E16"/>
    <w:p w14:paraId="1CEA3D97" w14:textId="21E7051E" w:rsidR="00BC796D" w:rsidRPr="009A4E16" w:rsidRDefault="00D90B77" w:rsidP="00D90B77">
      <w:pPr>
        <w:widowControl w:val="0"/>
        <w:autoSpaceDE w:val="0"/>
        <w:autoSpaceDN w:val="0"/>
        <w:spacing w:line="484" w:lineRule="auto"/>
        <w:ind w:right="-2"/>
        <w:jc w:val="center"/>
        <w:rPr>
          <w:szCs w:val="22"/>
          <w:lang w:val="en-US" w:eastAsia="en-US"/>
        </w:rPr>
      </w:pPr>
      <w:r>
        <w:rPr>
          <w:szCs w:val="22"/>
          <w:lang w:val="en-US" w:eastAsia="en-US"/>
        </w:rPr>
        <w:t xml:space="preserve">IV. </w:t>
      </w:r>
      <w:r w:rsidR="00BC796D" w:rsidRPr="009A4E16">
        <w:rPr>
          <w:szCs w:val="22"/>
          <w:lang w:val="en-US" w:eastAsia="en-US"/>
        </w:rPr>
        <w:t>OPSKRBA PROMETA ELEKTRIČNOM ENERGIJOM</w:t>
      </w:r>
    </w:p>
    <w:p w14:paraId="61499083" w14:textId="77777777" w:rsidR="00BC796D" w:rsidRPr="009A4E16" w:rsidRDefault="00BC796D" w:rsidP="00BC796D">
      <w:pPr>
        <w:widowControl w:val="0"/>
        <w:tabs>
          <w:tab w:val="left" w:pos="1895"/>
        </w:tabs>
        <w:autoSpaceDE w:val="0"/>
        <w:autoSpaceDN w:val="0"/>
        <w:spacing w:line="484" w:lineRule="auto"/>
        <w:ind w:left="1080" w:right="1510"/>
        <w:jc w:val="center"/>
        <w:rPr>
          <w:szCs w:val="22"/>
          <w:lang w:val="en-US" w:eastAsia="en-US"/>
        </w:rPr>
      </w:pPr>
      <w:r w:rsidRPr="009A4E16">
        <w:rPr>
          <w:szCs w:val="22"/>
          <w:lang w:val="en-US" w:eastAsia="en-US"/>
        </w:rPr>
        <w:t>Članak</w:t>
      </w:r>
      <w:r w:rsidRPr="009A4E16">
        <w:rPr>
          <w:spacing w:val="1"/>
          <w:szCs w:val="22"/>
          <w:lang w:val="en-US" w:eastAsia="en-US"/>
        </w:rPr>
        <w:t xml:space="preserve"> </w:t>
      </w:r>
      <w:r w:rsidRPr="009A4E16">
        <w:rPr>
          <w:szCs w:val="22"/>
          <w:lang w:val="en-US" w:eastAsia="en-US"/>
        </w:rPr>
        <w:t>6.</w:t>
      </w:r>
    </w:p>
    <w:p w14:paraId="5E39D671"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(1) </w:t>
      </w:r>
      <w:r w:rsidR="00BC796D" w:rsidRPr="002109C8">
        <w:rPr>
          <w:szCs w:val="22"/>
          <w:lang w:val="en-US" w:eastAsia="en-US"/>
        </w:rPr>
        <w:t>U skladu s procjenom tržišta određenom NOP-om, a u skladu s tehničkim specifikacijama</w:t>
      </w:r>
      <w:r w:rsidR="00BC796D" w:rsidRPr="002109C8">
        <w:rPr>
          <w:sz w:val="22"/>
          <w:szCs w:val="22"/>
          <w:lang w:val="en-US" w:eastAsia="en-US"/>
        </w:rPr>
        <w:t xml:space="preserve">, </w:t>
      </w:r>
      <w:r w:rsidR="00BC796D" w:rsidRPr="002109C8">
        <w:rPr>
          <w:szCs w:val="22"/>
          <w:lang w:val="en-US" w:eastAsia="en-US"/>
        </w:rPr>
        <w:t>uspostavit će se primjereni broj javno dostupnih mjesta za punjenje električnom energijom</w:t>
      </w:r>
      <w:r w:rsidR="00BC796D" w:rsidRPr="002109C8">
        <w:rPr>
          <w:sz w:val="22"/>
          <w:szCs w:val="22"/>
          <w:lang w:val="en-US" w:eastAsia="en-US"/>
        </w:rPr>
        <w:t xml:space="preserve">, </w:t>
      </w:r>
      <w:r w:rsidR="00BC796D" w:rsidRPr="002109C8">
        <w:rPr>
          <w:szCs w:val="22"/>
          <w:lang w:val="en-US" w:eastAsia="en-US"/>
        </w:rPr>
        <w:t>kako bi se osiguralo da električna vozila mogu prometovati barem u gradskim/prigradskim aglomeracijama i drugim gusto naseljenim područjima te u okviru osnovne TEN-T mreže. Broj takvih mjesta za punjenje utvrđuje se uzimajući u obzir, između ostalog, procjenu broja do kraja 2020. registriranih električnih vozila, kako je naznačeno NOP-om te najboljom praksom i preporukama koje izdaje Europska komisija. U obzir se, prema potrebi, uzimaju posebne potrebe u vezi s instaliranjem javno dostupnih mjesta za punjenje na postajama javnog</w:t>
      </w:r>
      <w:r w:rsidR="00BC796D" w:rsidRPr="002109C8">
        <w:rPr>
          <w:spacing w:val="-5"/>
          <w:szCs w:val="22"/>
          <w:lang w:val="en-US" w:eastAsia="en-US"/>
        </w:rPr>
        <w:t xml:space="preserve"> </w:t>
      </w:r>
      <w:r w:rsidR="00BC796D" w:rsidRPr="002109C8">
        <w:rPr>
          <w:szCs w:val="22"/>
          <w:lang w:val="en-US" w:eastAsia="en-US"/>
        </w:rPr>
        <w:t>prijevoza.</w:t>
      </w:r>
    </w:p>
    <w:p w14:paraId="6BE4999F" w14:textId="77777777" w:rsidR="00BC796D" w:rsidRPr="002109C8" w:rsidRDefault="00BC796D" w:rsidP="00BC796D">
      <w:pPr>
        <w:widowControl w:val="0"/>
        <w:autoSpaceDE w:val="0"/>
        <w:autoSpaceDN w:val="0"/>
        <w:spacing w:before="10"/>
        <w:rPr>
          <w:rFonts w:eastAsia="Arial"/>
          <w:sz w:val="23"/>
          <w:szCs w:val="18"/>
          <w:lang w:val="en-US" w:eastAsia="en-US"/>
        </w:rPr>
      </w:pPr>
    </w:p>
    <w:p w14:paraId="3BE64A2B" w14:textId="77777777" w:rsidR="00BC796D" w:rsidRPr="003420E3" w:rsidRDefault="009A4E16" w:rsidP="009A4E16">
      <w:pPr>
        <w:widowControl w:val="0"/>
        <w:tabs>
          <w:tab w:val="left" w:pos="642"/>
        </w:tabs>
        <w:autoSpaceDE w:val="0"/>
        <w:autoSpaceDN w:val="0"/>
        <w:ind w:left="168" w:right="111"/>
        <w:jc w:val="both"/>
        <w:rPr>
          <w:szCs w:val="22"/>
          <w:lang w:eastAsia="en-US"/>
        </w:rPr>
      </w:pPr>
      <w:r>
        <w:rPr>
          <w:szCs w:val="22"/>
          <w:lang w:val="en-US" w:eastAsia="en-US"/>
        </w:rPr>
        <w:t xml:space="preserve">(2) </w:t>
      </w:r>
      <w:r w:rsidR="00BC796D" w:rsidRPr="002109C8">
        <w:rPr>
          <w:szCs w:val="22"/>
          <w:lang w:val="en-US" w:eastAsia="en-US"/>
        </w:rPr>
        <w:t xml:space="preserve">Mjesta za punjenje male snage za električna vozila, s iznimkom bežičnih ili indukcijskih jedinica, postavljena ili obnovljena od 18. </w:t>
      </w:r>
      <w:r w:rsidR="00BC796D" w:rsidRPr="003420E3">
        <w:rPr>
          <w:szCs w:val="22"/>
          <w:lang w:eastAsia="en-US"/>
        </w:rPr>
        <w:t>studenog 2017. ispunjavaju barem slijedeće tehničke specifikacije: mjesta za punjenje motornih vozila izmjeničnom strujom (AC) male snage su zbog interoperabilnosti opremljene najmanje utičnicama ili priključcima za vozila tipa 2 sukladno normi HRN EN 62196-2, a te utičnice moguće je opremiti dodatnim elementima kao što su mehanički zatvarači pri čemu se zadržava kompatibilnost s tipom 2., kao i posebne sigurnosne zahtjeve koji su na snazi u Republici Hrvatskoj.</w:t>
      </w:r>
    </w:p>
    <w:p w14:paraId="0CB8328F" w14:textId="77777777" w:rsidR="00BC796D" w:rsidRPr="003420E3" w:rsidRDefault="00BC796D" w:rsidP="009A4E16">
      <w:pPr>
        <w:widowControl w:val="0"/>
        <w:tabs>
          <w:tab w:val="left" w:pos="642"/>
        </w:tabs>
        <w:autoSpaceDE w:val="0"/>
        <w:autoSpaceDN w:val="0"/>
        <w:ind w:left="168" w:right="111"/>
        <w:jc w:val="both"/>
        <w:rPr>
          <w:szCs w:val="22"/>
          <w:lang w:eastAsia="en-US"/>
        </w:rPr>
      </w:pPr>
    </w:p>
    <w:p w14:paraId="117850BF" w14:textId="77777777" w:rsidR="00BC796D" w:rsidRPr="003420E3" w:rsidRDefault="009A4E16" w:rsidP="009A4E16">
      <w:pPr>
        <w:widowControl w:val="0"/>
        <w:tabs>
          <w:tab w:val="left" w:pos="642"/>
        </w:tabs>
        <w:autoSpaceDE w:val="0"/>
        <w:autoSpaceDN w:val="0"/>
        <w:ind w:left="168" w:right="111"/>
        <w:jc w:val="both"/>
        <w:rPr>
          <w:szCs w:val="22"/>
          <w:lang w:eastAsia="en-US"/>
        </w:rPr>
      </w:pPr>
      <w:r w:rsidRPr="003420E3">
        <w:rPr>
          <w:szCs w:val="22"/>
          <w:lang w:eastAsia="en-US"/>
        </w:rPr>
        <w:t xml:space="preserve">(3) </w:t>
      </w:r>
      <w:r w:rsidR="00BC796D" w:rsidRPr="003420E3">
        <w:rPr>
          <w:szCs w:val="22"/>
          <w:lang w:eastAsia="en-US"/>
        </w:rPr>
        <w:t>Mjesta za punjenje visoke snage za električna vozila, s iznimkom bežičnih ili indukcijskih jedinica, postavljena ili obnovljena od 18. studenog 2017. ispunjavaju barem slijedeće tehničke specifikacije:</w:t>
      </w:r>
    </w:p>
    <w:p w14:paraId="4FBE7D16" w14:textId="77777777" w:rsidR="00BC796D" w:rsidRPr="002109C8" w:rsidRDefault="00BC796D" w:rsidP="00BC796D">
      <w:pPr>
        <w:widowControl w:val="0"/>
        <w:autoSpaceDE w:val="0"/>
        <w:autoSpaceDN w:val="0"/>
        <w:spacing w:before="2"/>
        <w:rPr>
          <w:rFonts w:eastAsia="Arial"/>
          <w:szCs w:val="18"/>
          <w:lang w:val="en-US" w:eastAsia="en-US"/>
        </w:rPr>
      </w:pPr>
    </w:p>
    <w:p w14:paraId="59D19CB1" w14:textId="77777777" w:rsidR="00BC796D" w:rsidRPr="002109C8" w:rsidRDefault="00BC796D" w:rsidP="00BC796D">
      <w:pPr>
        <w:widowControl w:val="0"/>
        <w:numPr>
          <w:ilvl w:val="1"/>
          <w:numId w:val="11"/>
        </w:numPr>
        <w:tabs>
          <w:tab w:val="left" w:pos="937"/>
        </w:tabs>
        <w:autoSpaceDE w:val="0"/>
        <w:autoSpaceDN w:val="0"/>
        <w:ind w:right="115"/>
        <w:jc w:val="both"/>
        <w:rPr>
          <w:szCs w:val="22"/>
          <w:lang w:val="en-US" w:eastAsia="en-US"/>
        </w:rPr>
      </w:pPr>
      <w:r w:rsidRPr="002109C8">
        <w:rPr>
          <w:szCs w:val="22"/>
          <w:lang w:val="en-US" w:eastAsia="en-US"/>
        </w:rPr>
        <w:t>mjesta za punjenje motornih vozila izmjeničnom strujom (AC) visoke snage su zbog interoperabilnosti opremljene barem utičnicama ili priključcima za vozila tipa 2 sukladno normi HRN EN</w:t>
      </w:r>
      <w:r w:rsidRPr="002109C8">
        <w:rPr>
          <w:spacing w:val="-3"/>
          <w:szCs w:val="22"/>
          <w:lang w:val="en-US" w:eastAsia="en-US"/>
        </w:rPr>
        <w:t xml:space="preserve"> </w:t>
      </w:r>
      <w:r w:rsidRPr="002109C8">
        <w:rPr>
          <w:szCs w:val="22"/>
          <w:lang w:val="en-US" w:eastAsia="en-US"/>
        </w:rPr>
        <w:t>62196-2</w:t>
      </w:r>
    </w:p>
    <w:p w14:paraId="59751B20" w14:textId="77777777" w:rsidR="00BC796D" w:rsidRPr="002109C8" w:rsidRDefault="00BC796D" w:rsidP="00BC796D">
      <w:pPr>
        <w:widowControl w:val="0"/>
        <w:autoSpaceDE w:val="0"/>
        <w:autoSpaceDN w:val="0"/>
        <w:spacing w:before="5"/>
        <w:rPr>
          <w:rFonts w:eastAsia="Arial"/>
          <w:szCs w:val="18"/>
          <w:lang w:val="en-US" w:eastAsia="en-US"/>
        </w:rPr>
      </w:pPr>
    </w:p>
    <w:p w14:paraId="7C9E78E2" w14:textId="77777777" w:rsidR="00BC796D" w:rsidRPr="002109C8" w:rsidRDefault="00BC796D" w:rsidP="00BC796D">
      <w:pPr>
        <w:widowControl w:val="0"/>
        <w:numPr>
          <w:ilvl w:val="1"/>
          <w:numId w:val="11"/>
        </w:numPr>
        <w:tabs>
          <w:tab w:val="left" w:pos="932"/>
        </w:tabs>
        <w:autoSpaceDE w:val="0"/>
        <w:autoSpaceDN w:val="0"/>
        <w:ind w:right="112"/>
        <w:jc w:val="both"/>
        <w:rPr>
          <w:szCs w:val="22"/>
          <w:lang w:val="en-US" w:eastAsia="en-US"/>
        </w:rPr>
      </w:pPr>
      <w:r w:rsidRPr="002109C8">
        <w:rPr>
          <w:szCs w:val="22"/>
          <w:lang w:val="en-US" w:eastAsia="en-US"/>
        </w:rPr>
        <w:t>mjesta za punjenje motornih vozila istosmjernom strujom (DC) visoke snage su zbog interoperabilnosti opremljene najmanje priključcima kombiniranog sustava za punjenje sukladno normi HRN EN</w:t>
      </w:r>
      <w:r w:rsidRPr="002109C8">
        <w:rPr>
          <w:spacing w:val="-3"/>
          <w:szCs w:val="22"/>
          <w:lang w:val="en-US" w:eastAsia="en-US"/>
        </w:rPr>
        <w:t xml:space="preserve"> </w:t>
      </w:r>
      <w:r w:rsidRPr="002109C8">
        <w:rPr>
          <w:szCs w:val="22"/>
          <w:lang w:val="en-US" w:eastAsia="en-US"/>
        </w:rPr>
        <w:t>62196-3.</w:t>
      </w:r>
    </w:p>
    <w:p w14:paraId="66906345" w14:textId="77777777" w:rsidR="00BC796D" w:rsidRPr="002109C8" w:rsidRDefault="00BC796D" w:rsidP="00BC796D">
      <w:pPr>
        <w:widowControl w:val="0"/>
        <w:autoSpaceDE w:val="0"/>
        <w:autoSpaceDN w:val="0"/>
        <w:spacing w:before="5"/>
        <w:rPr>
          <w:rFonts w:eastAsia="Arial"/>
          <w:szCs w:val="18"/>
          <w:lang w:val="en-US" w:eastAsia="en-US"/>
        </w:rPr>
      </w:pPr>
    </w:p>
    <w:p w14:paraId="4C3D40EE"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(4) </w:t>
      </w:r>
      <w:r w:rsidR="00BC796D" w:rsidRPr="002109C8">
        <w:rPr>
          <w:szCs w:val="22"/>
          <w:lang w:val="en-US" w:eastAsia="en-US"/>
        </w:rPr>
        <w:t>U skladu s procjenom NOP-a uspostavlja se potreban broj punionica za opskrbu električnom energijom s kopna za plovila unutarnje plovidbe i morske brodove u morskim lukama, kao i lukama unutarnjih voda. Uspostava takve opskrbe električnom energijom s kopna u lukama osnovne mreže TEN-T i drugim lukama do 31. prosinca 2025. predstavlja prioritet, osim ako nema potražnje i ako su troškovi nerazmjerni u odnosu na koristi, uključujući koristi za</w:t>
      </w:r>
      <w:r w:rsidR="00BC796D" w:rsidRPr="009A4E16">
        <w:rPr>
          <w:szCs w:val="22"/>
          <w:lang w:val="en-US" w:eastAsia="en-US"/>
        </w:rPr>
        <w:t xml:space="preserve"> </w:t>
      </w:r>
      <w:r w:rsidR="00BC796D" w:rsidRPr="002109C8">
        <w:rPr>
          <w:szCs w:val="22"/>
          <w:lang w:val="en-US" w:eastAsia="en-US"/>
        </w:rPr>
        <w:t>okoliš.</w:t>
      </w:r>
    </w:p>
    <w:p w14:paraId="64F0D5C2" w14:textId="77777777" w:rsidR="00BC796D" w:rsidRPr="002109C8" w:rsidRDefault="00BC796D" w:rsidP="00BC796D">
      <w:pPr>
        <w:widowControl w:val="0"/>
        <w:autoSpaceDE w:val="0"/>
        <w:autoSpaceDN w:val="0"/>
        <w:spacing w:before="3"/>
        <w:rPr>
          <w:rFonts w:eastAsia="Arial"/>
          <w:szCs w:val="18"/>
          <w:lang w:val="en-US" w:eastAsia="en-US"/>
        </w:rPr>
      </w:pPr>
    </w:p>
    <w:p w14:paraId="06455184"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(5) </w:t>
      </w:r>
      <w:r w:rsidR="00BC796D" w:rsidRPr="002109C8">
        <w:rPr>
          <w:szCs w:val="22"/>
          <w:lang w:val="en-US" w:eastAsia="en-US"/>
        </w:rPr>
        <w:t>Instalacije za opskrbu električnom energijom s kopna za pomorski promet, postavljene ili obnovljene od 18. studenog 2017. ispunjavaju slijedeće tehničke specifikacije: opskrba električnom energijom s kopna za morske brodove, uključujući dizajn, instaliranje i testiranje sustava, mora biti u skladu s tehničkim specifikacijama norme IEC/ISO/IEEE</w:t>
      </w:r>
      <w:r w:rsidR="00BC796D" w:rsidRPr="009A4E16">
        <w:rPr>
          <w:szCs w:val="22"/>
          <w:lang w:val="en-US" w:eastAsia="en-US"/>
        </w:rPr>
        <w:t xml:space="preserve"> </w:t>
      </w:r>
      <w:r w:rsidR="00BC796D" w:rsidRPr="002109C8">
        <w:rPr>
          <w:szCs w:val="22"/>
          <w:lang w:val="en-US" w:eastAsia="en-US"/>
        </w:rPr>
        <w:t>80005-1.</w:t>
      </w:r>
    </w:p>
    <w:p w14:paraId="2C54E6DB" w14:textId="77777777" w:rsidR="00BC796D" w:rsidRPr="009A4E16" w:rsidRDefault="00BC796D" w:rsidP="009A4E16">
      <w:pPr>
        <w:widowControl w:val="0"/>
        <w:tabs>
          <w:tab w:val="left" w:pos="642"/>
        </w:tabs>
        <w:autoSpaceDE w:val="0"/>
        <w:autoSpaceDN w:val="0"/>
        <w:ind w:left="168" w:right="111"/>
        <w:jc w:val="both"/>
        <w:rPr>
          <w:szCs w:val="22"/>
          <w:lang w:val="en-US" w:eastAsia="en-US"/>
        </w:rPr>
      </w:pPr>
    </w:p>
    <w:p w14:paraId="50293859"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(6) </w:t>
      </w:r>
      <w:r w:rsidR="00BC796D" w:rsidRPr="002109C8">
        <w:rPr>
          <w:szCs w:val="22"/>
          <w:lang w:val="en-US" w:eastAsia="en-US"/>
        </w:rPr>
        <w:t>Pri punjenju električnih vozila na javno dostupnim mjestima za punjenje koriste se, ako je to tehnički izvedivo i gospodarski opravdano, pametni sustavi</w:t>
      </w:r>
      <w:r w:rsidR="00BC796D" w:rsidRPr="009A4E16">
        <w:rPr>
          <w:szCs w:val="22"/>
          <w:lang w:val="en-US" w:eastAsia="en-US"/>
        </w:rPr>
        <w:t xml:space="preserve"> </w:t>
      </w:r>
      <w:r w:rsidR="00BC796D" w:rsidRPr="002109C8">
        <w:rPr>
          <w:szCs w:val="22"/>
          <w:lang w:val="en-US" w:eastAsia="en-US"/>
        </w:rPr>
        <w:t>mjerenja.</w:t>
      </w:r>
    </w:p>
    <w:p w14:paraId="58639189" w14:textId="77777777" w:rsidR="00BC796D" w:rsidRPr="009A4E16" w:rsidRDefault="00BC796D" w:rsidP="009A4E16">
      <w:pPr>
        <w:widowControl w:val="0"/>
        <w:tabs>
          <w:tab w:val="left" w:pos="642"/>
        </w:tabs>
        <w:autoSpaceDE w:val="0"/>
        <w:autoSpaceDN w:val="0"/>
        <w:ind w:left="168" w:right="111"/>
        <w:jc w:val="both"/>
        <w:rPr>
          <w:szCs w:val="22"/>
          <w:lang w:val="en-US" w:eastAsia="en-US"/>
        </w:rPr>
      </w:pPr>
    </w:p>
    <w:p w14:paraId="7ED3217D"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(7) </w:t>
      </w:r>
      <w:r w:rsidR="00BC796D" w:rsidRPr="002109C8">
        <w:rPr>
          <w:szCs w:val="22"/>
          <w:lang w:val="en-US" w:eastAsia="en-US"/>
        </w:rPr>
        <w:t xml:space="preserve">Operatori javno dostupnih mjesta za punjenje, koji su krajnji kupci električne energije, </w:t>
      </w:r>
      <w:r w:rsidR="00BC796D" w:rsidRPr="002109C8">
        <w:rPr>
          <w:szCs w:val="22"/>
          <w:lang w:val="en-US" w:eastAsia="en-US"/>
        </w:rPr>
        <w:lastRenderedPageBreak/>
        <w:t>slobodno odabiru svog opskrbljivača električne</w:t>
      </w:r>
      <w:r w:rsidR="00BC796D" w:rsidRPr="002109C8">
        <w:rPr>
          <w:spacing w:val="-9"/>
          <w:szCs w:val="22"/>
          <w:lang w:val="en-US" w:eastAsia="en-US"/>
        </w:rPr>
        <w:t xml:space="preserve"> </w:t>
      </w:r>
      <w:r w:rsidR="00BC796D" w:rsidRPr="002109C8">
        <w:rPr>
          <w:szCs w:val="22"/>
          <w:lang w:val="en-US" w:eastAsia="en-US"/>
        </w:rPr>
        <w:t>energije.</w:t>
      </w:r>
    </w:p>
    <w:p w14:paraId="04B8A7C2" w14:textId="77777777" w:rsidR="00BC796D" w:rsidRPr="002109C8" w:rsidRDefault="00BC796D" w:rsidP="00BC796D">
      <w:pPr>
        <w:widowControl w:val="0"/>
        <w:autoSpaceDE w:val="0"/>
        <w:autoSpaceDN w:val="0"/>
        <w:spacing w:before="2"/>
        <w:rPr>
          <w:rFonts w:eastAsia="Arial"/>
          <w:szCs w:val="18"/>
          <w:lang w:val="en-US" w:eastAsia="en-US"/>
        </w:rPr>
      </w:pPr>
    </w:p>
    <w:p w14:paraId="3B086DF5"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(8) </w:t>
      </w:r>
      <w:r w:rsidR="00BC796D" w:rsidRPr="002109C8">
        <w:rPr>
          <w:szCs w:val="22"/>
          <w:lang w:val="en-US" w:eastAsia="en-US"/>
        </w:rPr>
        <w:t>Operatori iz stavka 7. ovoga članka mogu kupcima pružati usluge punjenja električnih vozila na ugovornoj osnovi, uključujući u ime i za račun drugih pružatelja</w:t>
      </w:r>
      <w:r w:rsidR="00BC796D" w:rsidRPr="009A4E16">
        <w:rPr>
          <w:szCs w:val="22"/>
          <w:lang w:val="en-US" w:eastAsia="en-US"/>
        </w:rPr>
        <w:t xml:space="preserve"> </w:t>
      </w:r>
      <w:r w:rsidR="00BC796D" w:rsidRPr="002109C8">
        <w:rPr>
          <w:szCs w:val="22"/>
          <w:lang w:val="en-US" w:eastAsia="en-US"/>
        </w:rPr>
        <w:t>usluga.</w:t>
      </w:r>
    </w:p>
    <w:p w14:paraId="4D6F177C" w14:textId="77777777" w:rsidR="00BC796D" w:rsidRPr="009A4E16" w:rsidRDefault="00BC796D" w:rsidP="009A4E16">
      <w:pPr>
        <w:widowControl w:val="0"/>
        <w:tabs>
          <w:tab w:val="left" w:pos="642"/>
        </w:tabs>
        <w:autoSpaceDE w:val="0"/>
        <w:autoSpaceDN w:val="0"/>
        <w:ind w:left="168" w:right="111"/>
        <w:jc w:val="both"/>
        <w:rPr>
          <w:szCs w:val="22"/>
          <w:lang w:val="en-US" w:eastAsia="en-US"/>
        </w:rPr>
      </w:pPr>
    </w:p>
    <w:p w14:paraId="39E4D4D3"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(9) </w:t>
      </w:r>
      <w:r w:rsidR="00BC796D" w:rsidRPr="002109C8">
        <w:rPr>
          <w:szCs w:val="22"/>
          <w:lang w:val="en-US" w:eastAsia="en-US"/>
        </w:rPr>
        <w:t>Sva javno dostupna mjesta za punjenje korisnicima električnih vozila također pružaju mogućnost punjenja na ad hoc osnovi bez sklapanja ugovora s dotičnim opskrbljivačem električnom energijom ili operatorom.</w:t>
      </w:r>
    </w:p>
    <w:p w14:paraId="1AC58842" w14:textId="77777777" w:rsidR="00BC796D" w:rsidRPr="009A4E16" w:rsidRDefault="00BC796D" w:rsidP="009A4E16">
      <w:pPr>
        <w:widowControl w:val="0"/>
        <w:tabs>
          <w:tab w:val="left" w:pos="642"/>
        </w:tabs>
        <w:autoSpaceDE w:val="0"/>
        <w:autoSpaceDN w:val="0"/>
        <w:ind w:left="168" w:right="111"/>
        <w:jc w:val="both"/>
        <w:rPr>
          <w:szCs w:val="22"/>
          <w:lang w:val="en-US" w:eastAsia="en-US"/>
        </w:rPr>
      </w:pPr>
    </w:p>
    <w:p w14:paraId="27090B25"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(10) </w:t>
      </w:r>
      <w:r w:rsidR="00BC796D" w:rsidRPr="002109C8">
        <w:rPr>
          <w:szCs w:val="22"/>
          <w:lang w:val="en-US" w:eastAsia="en-US"/>
        </w:rPr>
        <w:t>Cijene koje naplaćuju operatori iz stavka 7. ovoga članka moraju biti opravdane, lako i jasno usporedive, pregledne i</w:t>
      </w:r>
      <w:r w:rsidR="00BC796D" w:rsidRPr="009A4E16">
        <w:rPr>
          <w:szCs w:val="22"/>
          <w:lang w:val="en-US" w:eastAsia="en-US"/>
        </w:rPr>
        <w:t xml:space="preserve"> </w:t>
      </w:r>
      <w:r w:rsidR="00BC796D" w:rsidRPr="002109C8">
        <w:rPr>
          <w:szCs w:val="22"/>
          <w:lang w:val="en-US" w:eastAsia="en-US"/>
        </w:rPr>
        <w:t>nediskriminirajuće.</w:t>
      </w:r>
    </w:p>
    <w:p w14:paraId="20FD42A4" w14:textId="77777777" w:rsidR="00BC796D" w:rsidRPr="009A4E16" w:rsidRDefault="00BC796D" w:rsidP="009A4E16">
      <w:pPr>
        <w:widowControl w:val="0"/>
        <w:tabs>
          <w:tab w:val="left" w:pos="642"/>
        </w:tabs>
        <w:autoSpaceDE w:val="0"/>
        <w:autoSpaceDN w:val="0"/>
        <w:ind w:left="168" w:right="111"/>
        <w:jc w:val="both"/>
        <w:rPr>
          <w:szCs w:val="22"/>
          <w:lang w:val="en-US" w:eastAsia="en-US"/>
        </w:rPr>
      </w:pPr>
    </w:p>
    <w:p w14:paraId="2EF249E6"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(11) </w:t>
      </w:r>
      <w:r w:rsidR="00BC796D" w:rsidRPr="002109C8">
        <w:rPr>
          <w:szCs w:val="22"/>
          <w:lang w:val="en-US" w:eastAsia="en-US"/>
        </w:rPr>
        <w:t>Operatori distribucijskog sustava na nediskriminirajućoj osnovi moraju surađivati sa svakom osobom koja postavlja ili upravlja javno dostupnim mjestima za</w:t>
      </w:r>
      <w:r w:rsidR="00BC796D" w:rsidRPr="009A4E16">
        <w:rPr>
          <w:szCs w:val="22"/>
          <w:lang w:val="en-US" w:eastAsia="en-US"/>
        </w:rPr>
        <w:t xml:space="preserve"> </w:t>
      </w:r>
      <w:r w:rsidR="00BC796D" w:rsidRPr="002109C8">
        <w:rPr>
          <w:szCs w:val="22"/>
          <w:lang w:val="en-US" w:eastAsia="en-US"/>
        </w:rPr>
        <w:t>punjenje.</w:t>
      </w:r>
    </w:p>
    <w:p w14:paraId="2009B880" w14:textId="77777777" w:rsidR="00BC796D" w:rsidRPr="009A4E16" w:rsidRDefault="00BC796D" w:rsidP="009A4E16">
      <w:pPr>
        <w:widowControl w:val="0"/>
        <w:tabs>
          <w:tab w:val="left" w:pos="642"/>
        </w:tabs>
        <w:autoSpaceDE w:val="0"/>
        <w:autoSpaceDN w:val="0"/>
        <w:ind w:left="168" w:right="111"/>
        <w:jc w:val="both"/>
        <w:rPr>
          <w:szCs w:val="22"/>
          <w:lang w:val="en-US" w:eastAsia="en-US"/>
        </w:rPr>
      </w:pPr>
    </w:p>
    <w:p w14:paraId="2FF7C5F7" w14:textId="77777777" w:rsidR="00BC796D" w:rsidRPr="002109C8" w:rsidRDefault="009A4E16" w:rsidP="009A4E16">
      <w:pPr>
        <w:widowControl w:val="0"/>
        <w:tabs>
          <w:tab w:val="left" w:pos="642"/>
        </w:tabs>
        <w:autoSpaceDE w:val="0"/>
        <w:autoSpaceDN w:val="0"/>
        <w:ind w:left="168" w:right="111"/>
        <w:jc w:val="both"/>
        <w:rPr>
          <w:szCs w:val="22"/>
          <w:lang w:val="en-US" w:eastAsia="en-US"/>
        </w:rPr>
      </w:pPr>
      <w:r>
        <w:rPr>
          <w:szCs w:val="22"/>
          <w:lang w:val="en-US" w:eastAsia="en-US"/>
        </w:rPr>
        <w:t xml:space="preserve">(12) </w:t>
      </w:r>
      <w:r w:rsidR="00BC796D" w:rsidRPr="002109C8">
        <w:rPr>
          <w:szCs w:val="22"/>
          <w:lang w:val="en-US" w:eastAsia="en-US"/>
        </w:rPr>
        <w:t>Operator javno dostupnog mjesta za punjenje koji se priključuje na energetsku infrastrukturu krajnjeg kupca električne energije, a osigurao je svoje obračunsko mjerno mjesto u skladu s općim uvjetima za korištenje mreže i opskrbu električnom energijom, slobodno odabire svog opskrbljivača električne</w:t>
      </w:r>
      <w:r w:rsidR="00BC796D" w:rsidRPr="009A4E16">
        <w:rPr>
          <w:szCs w:val="22"/>
          <w:lang w:val="en-US" w:eastAsia="en-US"/>
        </w:rPr>
        <w:t xml:space="preserve"> </w:t>
      </w:r>
      <w:r w:rsidR="00BC796D" w:rsidRPr="002109C8">
        <w:rPr>
          <w:szCs w:val="22"/>
          <w:lang w:val="en-US" w:eastAsia="en-US"/>
        </w:rPr>
        <w:t>energije.</w:t>
      </w:r>
    </w:p>
    <w:p w14:paraId="4F7268CD" w14:textId="77777777" w:rsidR="00BC796D" w:rsidRPr="009A4E16" w:rsidRDefault="00BC796D" w:rsidP="009A4E16">
      <w:pPr>
        <w:widowControl w:val="0"/>
        <w:tabs>
          <w:tab w:val="left" w:pos="642"/>
        </w:tabs>
        <w:autoSpaceDE w:val="0"/>
        <w:autoSpaceDN w:val="0"/>
        <w:ind w:left="168" w:right="111"/>
        <w:jc w:val="both"/>
        <w:rPr>
          <w:szCs w:val="22"/>
          <w:lang w:val="en-US" w:eastAsia="en-US"/>
        </w:rPr>
      </w:pPr>
    </w:p>
    <w:p w14:paraId="732B52AB" w14:textId="77777777" w:rsidR="00BC796D" w:rsidRPr="002109C8" w:rsidRDefault="009A4E16" w:rsidP="009A4E16">
      <w:pPr>
        <w:widowControl w:val="0"/>
        <w:tabs>
          <w:tab w:val="left" w:pos="635"/>
        </w:tabs>
        <w:autoSpaceDE w:val="0"/>
        <w:autoSpaceDN w:val="0"/>
        <w:ind w:left="168" w:right="111"/>
        <w:jc w:val="both"/>
        <w:rPr>
          <w:szCs w:val="22"/>
          <w:lang w:val="en-US" w:eastAsia="en-US"/>
        </w:rPr>
      </w:pPr>
      <w:r>
        <w:rPr>
          <w:szCs w:val="22"/>
          <w:lang w:val="en-US" w:eastAsia="en-US"/>
        </w:rPr>
        <w:t xml:space="preserve">(13) </w:t>
      </w:r>
      <w:r w:rsidR="00BC796D" w:rsidRPr="002109C8">
        <w:rPr>
          <w:szCs w:val="22"/>
          <w:lang w:val="en-US" w:eastAsia="en-US"/>
        </w:rPr>
        <w:t>NOP također može predvidjeti mjere poticanja i olakšavanja postavljanja mjesta za punjenje koja nisu dostupna</w:t>
      </w:r>
      <w:r w:rsidR="00BC796D" w:rsidRPr="009A4E16">
        <w:rPr>
          <w:szCs w:val="22"/>
          <w:lang w:val="en-US" w:eastAsia="en-US"/>
        </w:rPr>
        <w:t xml:space="preserve"> </w:t>
      </w:r>
      <w:r w:rsidR="00BC796D" w:rsidRPr="002109C8">
        <w:rPr>
          <w:szCs w:val="22"/>
          <w:lang w:val="en-US" w:eastAsia="en-US"/>
        </w:rPr>
        <w:t>javnosti.</w:t>
      </w:r>
    </w:p>
    <w:p w14:paraId="600F4DED" w14:textId="77777777" w:rsidR="00BC796D" w:rsidRPr="002109C8" w:rsidRDefault="00BC796D" w:rsidP="00BC796D">
      <w:pPr>
        <w:widowControl w:val="0"/>
        <w:autoSpaceDE w:val="0"/>
        <w:autoSpaceDN w:val="0"/>
        <w:spacing w:before="62"/>
        <w:ind w:left="1770" w:right="1771"/>
        <w:jc w:val="center"/>
        <w:rPr>
          <w:rFonts w:eastAsia="Arial"/>
          <w:szCs w:val="22"/>
          <w:lang w:val="en-US" w:eastAsia="en-US"/>
        </w:rPr>
      </w:pPr>
    </w:p>
    <w:p w14:paraId="462D54D7" w14:textId="4708BD01" w:rsidR="00BC796D" w:rsidRPr="00D90B77" w:rsidRDefault="00D90B77" w:rsidP="00D90B77">
      <w:pPr>
        <w:widowControl w:val="0"/>
        <w:tabs>
          <w:tab w:val="left" w:pos="2932"/>
        </w:tabs>
        <w:autoSpaceDE w:val="0"/>
        <w:autoSpaceDN w:val="0"/>
        <w:spacing w:line="482" w:lineRule="auto"/>
        <w:ind w:right="-2"/>
        <w:jc w:val="center"/>
        <w:rPr>
          <w:szCs w:val="22"/>
          <w:lang w:val="en-US" w:eastAsia="en-US"/>
        </w:rPr>
      </w:pPr>
      <w:r>
        <w:rPr>
          <w:szCs w:val="22"/>
          <w:lang w:val="en-US" w:eastAsia="en-US"/>
        </w:rPr>
        <w:t xml:space="preserve">V. </w:t>
      </w:r>
      <w:r w:rsidR="00BC796D" w:rsidRPr="00D90B77">
        <w:rPr>
          <w:szCs w:val="22"/>
          <w:lang w:val="en-US" w:eastAsia="en-US"/>
        </w:rPr>
        <w:t>OPSKRBA PROMETA VODIKOM</w:t>
      </w:r>
    </w:p>
    <w:p w14:paraId="541C8A7B" w14:textId="77777777" w:rsidR="00BC796D" w:rsidRPr="004C3ED3" w:rsidRDefault="00BC796D" w:rsidP="004C3ED3">
      <w:pPr>
        <w:widowControl w:val="0"/>
        <w:tabs>
          <w:tab w:val="left" w:pos="2932"/>
        </w:tabs>
        <w:autoSpaceDE w:val="0"/>
        <w:autoSpaceDN w:val="0"/>
        <w:spacing w:line="482" w:lineRule="auto"/>
        <w:ind w:right="-2"/>
        <w:jc w:val="center"/>
        <w:rPr>
          <w:szCs w:val="22"/>
          <w:lang w:val="en-US" w:eastAsia="en-US"/>
        </w:rPr>
      </w:pPr>
      <w:r w:rsidRPr="004C3ED3">
        <w:rPr>
          <w:szCs w:val="22"/>
          <w:lang w:val="en-US" w:eastAsia="en-US"/>
        </w:rPr>
        <w:t>Članak</w:t>
      </w:r>
      <w:r w:rsidRPr="004C3ED3">
        <w:rPr>
          <w:spacing w:val="1"/>
          <w:szCs w:val="22"/>
          <w:lang w:val="en-US" w:eastAsia="en-US"/>
        </w:rPr>
        <w:t xml:space="preserve"> </w:t>
      </w:r>
      <w:r w:rsidRPr="004C3ED3">
        <w:rPr>
          <w:szCs w:val="22"/>
          <w:lang w:val="en-US" w:eastAsia="en-US"/>
        </w:rPr>
        <w:t>7.</w:t>
      </w:r>
    </w:p>
    <w:p w14:paraId="65F96A5F" w14:textId="77777777" w:rsidR="00BC796D" w:rsidRPr="002109C8" w:rsidRDefault="004C3ED3" w:rsidP="004C3ED3">
      <w:pPr>
        <w:widowControl w:val="0"/>
        <w:tabs>
          <w:tab w:val="left" w:pos="635"/>
        </w:tabs>
        <w:autoSpaceDE w:val="0"/>
        <w:autoSpaceDN w:val="0"/>
        <w:ind w:left="168" w:right="111"/>
        <w:jc w:val="both"/>
        <w:rPr>
          <w:szCs w:val="22"/>
          <w:lang w:val="en-US" w:eastAsia="en-US"/>
        </w:rPr>
      </w:pPr>
      <w:r>
        <w:rPr>
          <w:szCs w:val="22"/>
          <w:lang w:val="en-US" w:eastAsia="en-US"/>
        </w:rPr>
        <w:t xml:space="preserve">(1) </w:t>
      </w:r>
      <w:r w:rsidR="00BC796D" w:rsidRPr="002109C8">
        <w:rPr>
          <w:szCs w:val="22"/>
          <w:lang w:val="en-US" w:eastAsia="en-US"/>
        </w:rPr>
        <w:t>U skladu s procjenom tržišta određenom NOP-om, uspostavit će se primjereni broj javno dostupnih mjesta za punjenje</w:t>
      </w:r>
      <w:r w:rsidR="00BC796D" w:rsidRPr="004C3ED3">
        <w:rPr>
          <w:szCs w:val="22"/>
          <w:lang w:val="en-US" w:eastAsia="en-US"/>
        </w:rPr>
        <w:t xml:space="preserve"> </w:t>
      </w:r>
      <w:r w:rsidR="00BC796D" w:rsidRPr="002109C8">
        <w:rPr>
          <w:szCs w:val="22"/>
          <w:lang w:val="en-US" w:eastAsia="en-US"/>
        </w:rPr>
        <w:t>vodikom.</w:t>
      </w:r>
    </w:p>
    <w:p w14:paraId="2C72A89D" w14:textId="77777777" w:rsidR="00BC796D" w:rsidRPr="002109C8" w:rsidRDefault="00BC796D" w:rsidP="00BC796D">
      <w:pPr>
        <w:widowControl w:val="0"/>
        <w:autoSpaceDE w:val="0"/>
        <w:autoSpaceDN w:val="0"/>
        <w:spacing w:before="2"/>
        <w:rPr>
          <w:rFonts w:eastAsia="Arial"/>
          <w:szCs w:val="18"/>
          <w:lang w:val="en-US" w:eastAsia="en-US"/>
        </w:rPr>
      </w:pPr>
    </w:p>
    <w:p w14:paraId="45BB4A4E" w14:textId="77777777" w:rsidR="00BC796D" w:rsidRPr="002109C8" w:rsidRDefault="004C3ED3" w:rsidP="004C3ED3">
      <w:pPr>
        <w:widowControl w:val="0"/>
        <w:tabs>
          <w:tab w:val="left" w:pos="635"/>
        </w:tabs>
        <w:autoSpaceDE w:val="0"/>
        <w:autoSpaceDN w:val="0"/>
        <w:ind w:left="168" w:right="111"/>
        <w:jc w:val="both"/>
        <w:rPr>
          <w:szCs w:val="22"/>
          <w:lang w:val="en-US" w:eastAsia="en-US"/>
        </w:rPr>
      </w:pPr>
      <w:r>
        <w:rPr>
          <w:szCs w:val="22"/>
          <w:lang w:val="en-US" w:eastAsia="en-US"/>
        </w:rPr>
        <w:t xml:space="preserve">(2) </w:t>
      </w:r>
      <w:r w:rsidR="00BC796D" w:rsidRPr="002109C8">
        <w:rPr>
          <w:szCs w:val="22"/>
          <w:lang w:val="en-US" w:eastAsia="en-US"/>
        </w:rPr>
        <w:t>Tehničke specifikacije za mjesta za opskrbu motornih vozila vodikom su</w:t>
      </w:r>
      <w:r w:rsidR="00BC796D" w:rsidRPr="004C3ED3">
        <w:rPr>
          <w:szCs w:val="22"/>
          <w:lang w:val="en-US" w:eastAsia="en-US"/>
        </w:rPr>
        <w:t xml:space="preserve"> </w:t>
      </w:r>
      <w:r w:rsidR="00BC796D" w:rsidRPr="002109C8">
        <w:rPr>
          <w:szCs w:val="22"/>
          <w:lang w:val="en-US" w:eastAsia="en-US"/>
        </w:rPr>
        <w:t>slijedeće:</w:t>
      </w:r>
    </w:p>
    <w:p w14:paraId="3D1E5FD0" w14:textId="77777777" w:rsidR="00BC796D" w:rsidRPr="002109C8" w:rsidRDefault="00BC796D" w:rsidP="00BC796D">
      <w:pPr>
        <w:widowControl w:val="0"/>
        <w:autoSpaceDE w:val="0"/>
        <w:autoSpaceDN w:val="0"/>
        <w:spacing w:before="2"/>
        <w:rPr>
          <w:rFonts w:eastAsia="Arial"/>
          <w:szCs w:val="18"/>
          <w:lang w:val="en-US" w:eastAsia="en-US"/>
        </w:rPr>
      </w:pPr>
    </w:p>
    <w:p w14:paraId="514E815C" w14:textId="77777777" w:rsidR="00BC796D" w:rsidRPr="002109C8" w:rsidRDefault="00BC796D" w:rsidP="00BC796D">
      <w:pPr>
        <w:widowControl w:val="0"/>
        <w:numPr>
          <w:ilvl w:val="1"/>
          <w:numId w:val="10"/>
        </w:numPr>
        <w:tabs>
          <w:tab w:val="left" w:pos="935"/>
        </w:tabs>
        <w:autoSpaceDE w:val="0"/>
        <w:autoSpaceDN w:val="0"/>
        <w:spacing w:before="1"/>
        <w:ind w:right="112"/>
        <w:jc w:val="both"/>
        <w:rPr>
          <w:szCs w:val="22"/>
          <w:lang w:val="en-US" w:eastAsia="en-US"/>
        </w:rPr>
      </w:pPr>
      <w:r w:rsidRPr="002109C8">
        <w:rPr>
          <w:szCs w:val="22"/>
          <w:lang w:val="en-US" w:eastAsia="en-US"/>
        </w:rPr>
        <w:t>Vanjska mjesta za opskrbu plinovitim vodikom koji se koristi kao gorivo za motorna vozila moraju biti u skladu s tehničkim specifikacijama ISO/TS 20100 za opskrbu plinovitim</w:t>
      </w:r>
      <w:r w:rsidRPr="002109C8">
        <w:rPr>
          <w:spacing w:val="1"/>
          <w:szCs w:val="22"/>
          <w:lang w:val="en-US" w:eastAsia="en-US"/>
        </w:rPr>
        <w:t xml:space="preserve"> </w:t>
      </w:r>
      <w:r w:rsidRPr="002109C8">
        <w:rPr>
          <w:szCs w:val="22"/>
          <w:lang w:val="en-US" w:eastAsia="en-US"/>
        </w:rPr>
        <w:t>vodikom.</w:t>
      </w:r>
    </w:p>
    <w:p w14:paraId="4BC5753F" w14:textId="77777777" w:rsidR="00BC796D" w:rsidRPr="002109C8" w:rsidRDefault="00BC796D" w:rsidP="00BC796D">
      <w:pPr>
        <w:widowControl w:val="0"/>
        <w:autoSpaceDE w:val="0"/>
        <w:autoSpaceDN w:val="0"/>
        <w:spacing w:before="4"/>
        <w:rPr>
          <w:rFonts w:eastAsia="Arial"/>
          <w:szCs w:val="18"/>
          <w:lang w:val="en-US" w:eastAsia="en-US"/>
        </w:rPr>
      </w:pPr>
    </w:p>
    <w:p w14:paraId="712FCF05" w14:textId="77777777" w:rsidR="00BC796D" w:rsidRPr="002109C8" w:rsidRDefault="00BC796D" w:rsidP="00BC796D">
      <w:pPr>
        <w:widowControl w:val="0"/>
        <w:numPr>
          <w:ilvl w:val="1"/>
          <w:numId w:val="10"/>
        </w:numPr>
        <w:tabs>
          <w:tab w:val="left" w:pos="968"/>
        </w:tabs>
        <w:autoSpaceDE w:val="0"/>
        <w:autoSpaceDN w:val="0"/>
        <w:ind w:right="116"/>
        <w:jc w:val="both"/>
        <w:rPr>
          <w:szCs w:val="22"/>
          <w:lang w:val="en-US" w:eastAsia="en-US"/>
        </w:rPr>
      </w:pPr>
      <w:r w:rsidRPr="002109C8">
        <w:rPr>
          <w:szCs w:val="22"/>
          <w:lang w:val="en-US" w:eastAsia="en-US"/>
        </w:rPr>
        <w:t>Čistoća vodika dostupnog na mjestima za opskrbu vodikom mora biti u skladu s tehničkim specifikacijama iz norme HRN EN ISO</w:t>
      </w:r>
      <w:r w:rsidRPr="002109C8">
        <w:rPr>
          <w:spacing w:val="-1"/>
          <w:szCs w:val="22"/>
          <w:lang w:val="en-US" w:eastAsia="en-US"/>
        </w:rPr>
        <w:t xml:space="preserve"> </w:t>
      </w:r>
      <w:r w:rsidRPr="002109C8">
        <w:rPr>
          <w:szCs w:val="22"/>
          <w:lang w:val="en-US" w:eastAsia="en-US"/>
        </w:rPr>
        <w:t>14687-2.</w:t>
      </w:r>
    </w:p>
    <w:p w14:paraId="5225EA8D" w14:textId="77777777" w:rsidR="00BC796D" w:rsidRPr="002109C8" w:rsidRDefault="00BC796D" w:rsidP="00BC796D">
      <w:pPr>
        <w:widowControl w:val="0"/>
        <w:autoSpaceDE w:val="0"/>
        <w:autoSpaceDN w:val="0"/>
        <w:spacing w:before="5"/>
        <w:rPr>
          <w:rFonts w:eastAsia="Arial"/>
          <w:szCs w:val="18"/>
          <w:lang w:val="en-US" w:eastAsia="en-US"/>
        </w:rPr>
      </w:pPr>
    </w:p>
    <w:p w14:paraId="13A40741" w14:textId="77777777" w:rsidR="00BC796D" w:rsidRPr="002109C8" w:rsidRDefault="00BC796D" w:rsidP="00BC796D">
      <w:pPr>
        <w:widowControl w:val="0"/>
        <w:numPr>
          <w:ilvl w:val="1"/>
          <w:numId w:val="10"/>
        </w:numPr>
        <w:tabs>
          <w:tab w:val="left" w:pos="932"/>
        </w:tabs>
        <w:autoSpaceDE w:val="0"/>
        <w:autoSpaceDN w:val="0"/>
        <w:ind w:right="113"/>
        <w:jc w:val="both"/>
        <w:rPr>
          <w:szCs w:val="22"/>
          <w:lang w:val="en-US" w:eastAsia="en-US"/>
        </w:rPr>
      </w:pPr>
      <w:r w:rsidRPr="002109C8">
        <w:rPr>
          <w:szCs w:val="22"/>
          <w:lang w:val="en-US" w:eastAsia="en-US"/>
        </w:rPr>
        <w:t>Mjesta za opskrbu vodikom koriste algoritme i opremu za punjenje koji moraju biti u skladu sa specifikacijom ISO/TS 20100 za opskrbu plinovitim</w:t>
      </w:r>
      <w:r w:rsidRPr="002109C8">
        <w:rPr>
          <w:spacing w:val="-4"/>
          <w:szCs w:val="22"/>
          <w:lang w:val="en-US" w:eastAsia="en-US"/>
        </w:rPr>
        <w:t xml:space="preserve"> </w:t>
      </w:r>
      <w:r w:rsidRPr="002109C8">
        <w:rPr>
          <w:szCs w:val="22"/>
          <w:lang w:val="en-US" w:eastAsia="en-US"/>
        </w:rPr>
        <w:t>vodikom.</w:t>
      </w:r>
    </w:p>
    <w:p w14:paraId="16B70EE6" w14:textId="77777777" w:rsidR="00BC796D" w:rsidRPr="002109C8" w:rsidRDefault="00BC796D" w:rsidP="00BC796D">
      <w:pPr>
        <w:widowControl w:val="0"/>
        <w:autoSpaceDE w:val="0"/>
        <w:autoSpaceDN w:val="0"/>
        <w:spacing w:before="3"/>
        <w:rPr>
          <w:rFonts w:eastAsia="Arial"/>
          <w:szCs w:val="18"/>
          <w:lang w:val="en-US" w:eastAsia="en-US"/>
        </w:rPr>
      </w:pPr>
    </w:p>
    <w:p w14:paraId="07C34F92" w14:textId="77777777" w:rsidR="00BC796D" w:rsidRPr="002109C8" w:rsidRDefault="00BC796D" w:rsidP="00BC796D">
      <w:pPr>
        <w:widowControl w:val="0"/>
        <w:numPr>
          <w:ilvl w:val="1"/>
          <w:numId w:val="10"/>
        </w:numPr>
        <w:tabs>
          <w:tab w:val="left" w:pos="968"/>
        </w:tabs>
        <w:autoSpaceDE w:val="0"/>
        <w:autoSpaceDN w:val="0"/>
        <w:ind w:right="113"/>
        <w:jc w:val="both"/>
        <w:rPr>
          <w:szCs w:val="22"/>
          <w:lang w:val="en-US" w:eastAsia="en-US"/>
        </w:rPr>
      </w:pPr>
      <w:r w:rsidRPr="002109C8">
        <w:rPr>
          <w:szCs w:val="22"/>
          <w:lang w:val="en-US" w:eastAsia="en-US"/>
        </w:rPr>
        <w:t>Priključci za opskrbu motornih vozila plinovitim vodikom moraju biti u skladu s normom HRN EN ISO 17268 za priključke za opskrbu motornih vozila plinovitim vodikom.</w:t>
      </w:r>
    </w:p>
    <w:p w14:paraId="6AD0487D" w14:textId="77777777" w:rsidR="00BC796D" w:rsidRPr="002109C8" w:rsidRDefault="00BC796D" w:rsidP="00BC796D">
      <w:pPr>
        <w:widowControl w:val="0"/>
        <w:autoSpaceDE w:val="0"/>
        <w:autoSpaceDN w:val="0"/>
        <w:spacing w:before="9"/>
        <w:rPr>
          <w:rFonts w:eastAsia="Arial"/>
          <w:szCs w:val="18"/>
          <w:lang w:val="en-US" w:eastAsia="en-US"/>
        </w:rPr>
      </w:pPr>
    </w:p>
    <w:p w14:paraId="5379C2F1" w14:textId="7945D495" w:rsidR="00BC796D" w:rsidRPr="004C3ED3" w:rsidRDefault="00D90B77" w:rsidP="00D90B77">
      <w:pPr>
        <w:widowControl w:val="0"/>
        <w:autoSpaceDE w:val="0"/>
        <w:autoSpaceDN w:val="0"/>
        <w:spacing w:line="484" w:lineRule="auto"/>
        <w:ind w:right="-2"/>
        <w:jc w:val="center"/>
        <w:rPr>
          <w:szCs w:val="22"/>
          <w:lang w:val="en-US" w:eastAsia="en-US"/>
        </w:rPr>
      </w:pPr>
      <w:r>
        <w:rPr>
          <w:szCs w:val="22"/>
          <w:lang w:val="en-US" w:eastAsia="en-US"/>
        </w:rPr>
        <w:t xml:space="preserve">VI. </w:t>
      </w:r>
      <w:r w:rsidR="00BC796D" w:rsidRPr="004C3ED3">
        <w:rPr>
          <w:szCs w:val="22"/>
          <w:lang w:val="en-US" w:eastAsia="en-US"/>
        </w:rPr>
        <w:t>OPSKRBA PROMETA PRIRODNIM PLINOM</w:t>
      </w:r>
    </w:p>
    <w:p w14:paraId="0138882C" w14:textId="77777777" w:rsidR="00BC796D" w:rsidRPr="004C3ED3" w:rsidRDefault="00BC796D" w:rsidP="00BC796D">
      <w:pPr>
        <w:widowControl w:val="0"/>
        <w:tabs>
          <w:tab w:val="left" w:pos="2351"/>
        </w:tabs>
        <w:autoSpaceDE w:val="0"/>
        <w:autoSpaceDN w:val="0"/>
        <w:spacing w:line="484" w:lineRule="auto"/>
        <w:ind w:left="4160" w:right="1961"/>
        <w:rPr>
          <w:szCs w:val="22"/>
          <w:lang w:val="en-US" w:eastAsia="en-US"/>
        </w:rPr>
      </w:pPr>
      <w:r w:rsidRPr="004C3ED3">
        <w:rPr>
          <w:szCs w:val="22"/>
          <w:lang w:val="en-US" w:eastAsia="en-US"/>
        </w:rPr>
        <w:t>Članak</w:t>
      </w:r>
      <w:r w:rsidRPr="004C3ED3">
        <w:rPr>
          <w:spacing w:val="1"/>
          <w:szCs w:val="22"/>
          <w:lang w:val="en-US" w:eastAsia="en-US"/>
        </w:rPr>
        <w:t xml:space="preserve"> </w:t>
      </w:r>
      <w:r w:rsidRPr="004C3ED3">
        <w:rPr>
          <w:szCs w:val="22"/>
          <w:lang w:val="en-US" w:eastAsia="en-US"/>
        </w:rPr>
        <w:t>8.</w:t>
      </w:r>
    </w:p>
    <w:p w14:paraId="70CCB3AF"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(1) </w:t>
      </w:r>
      <w:r w:rsidR="00BC796D" w:rsidRPr="002109C8">
        <w:rPr>
          <w:szCs w:val="22"/>
          <w:lang w:val="en-US" w:eastAsia="en-US"/>
        </w:rPr>
        <w:t xml:space="preserve">U skladu s procjenom tržišta NOP-a, uspostavit će se u morskim lukama i lukama unutarnjih voda, odgovarajući broj mjesta za opskrbu UPP-om kako bi se morskim brodovima </w:t>
      </w:r>
      <w:r w:rsidR="00BC796D" w:rsidRPr="002109C8">
        <w:rPr>
          <w:szCs w:val="22"/>
          <w:lang w:val="en-US" w:eastAsia="en-US"/>
        </w:rPr>
        <w:lastRenderedPageBreak/>
        <w:t>i plovilima unutarnje plovidbe omogućilo prometovanje u cijeloj osnovnoj mreži</w:t>
      </w:r>
      <w:r w:rsidR="00BC796D" w:rsidRPr="002109C8">
        <w:rPr>
          <w:spacing w:val="-5"/>
          <w:szCs w:val="22"/>
          <w:lang w:val="en-US" w:eastAsia="en-US"/>
        </w:rPr>
        <w:t xml:space="preserve"> </w:t>
      </w:r>
      <w:r w:rsidR="00BC796D" w:rsidRPr="002109C8">
        <w:rPr>
          <w:szCs w:val="22"/>
          <w:lang w:val="en-US" w:eastAsia="en-US"/>
        </w:rPr>
        <w:t>TEN-T.</w:t>
      </w:r>
    </w:p>
    <w:p w14:paraId="78162726" w14:textId="77777777" w:rsidR="00BC796D" w:rsidRPr="002109C8" w:rsidRDefault="00BC796D" w:rsidP="00BC796D">
      <w:pPr>
        <w:widowControl w:val="0"/>
        <w:autoSpaceDE w:val="0"/>
        <w:autoSpaceDN w:val="0"/>
        <w:spacing w:before="8"/>
        <w:rPr>
          <w:rFonts w:eastAsia="Arial"/>
          <w:sz w:val="23"/>
          <w:szCs w:val="18"/>
          <w:lang w:val="en-US" w:eastAsia="en-US"/>
        </w:rPr>
      </w:pPr>
    </w:p>
    <w:p w14:paraId="04E8DBD0"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(2) </w:t>
      </w:r>
      <w:r w:rsidR="00BC796D" w:rsidRPr="002109C8">
        <w:rPr>
          <w:szCs w:val="22"/>
          <w:lang w:val="en-US" w:eastAsia="en-US"/>
        </w:rPr>
        <w:t>Prema potrebi, nadležna tijela za morske luke i nadležna tijela za unutarnje plovne putove surađuju sa susjednim državama kako bi se osigurala odgovarajuća pokrivenost osnovne mreže</w:t>
      </w:r>
      <w:r w:rsidR="00BC796D" w:rsidRPr="004C3ED3">
        <w:rPr>
          <w:szCs w:val="22"/>
          <w:lang w:val="en-US" w:eastAsia="en-US"/>
        </w:rPr>
        <w:t xml:space="preserve"> </w:t>
      </w:r>
      <w:r w:rsidR="00BC796D" w:rsidRPr="002109C8">
        <w:rPr>
          <w:szCs w:val="22"/>
          <w:lang w:val="en-US" w:eastAsia="en-US"/>
        </w:rPr>
        <w:t>TEN-T.</w:t>
      </w:r>
    </w:p>
    <w:p w14:paraId="7445698A" w14:textId="77777777" w:rsidR="00BC796D" w:rsidRPr="002109C8" w:rsidRDefault="00BC796D" w:rsidP="00BC796D">
      <w:pPr>
        <w:widowControl w:val="0"/>
        <w:autoSpaceDE w:val="0"/>
        <w:autoSpaceDN w:val="0"/>
        <w:spacing w:before="5"/>
        <w:rPr>
          <w:rFonts w:eastAsia="Arial"/>
          <w:szCs w:val="18"/>
          <w:lang w:val="en-US" w:eastAsia="en-US"/>
        </w:rPr>
      </w:pPr>
    </w:p>
    <w:p w14:paraId="25EECF11"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(3) </w:t>
      </w:r>
      <w:r w:rsidR="00BC796D" w:rsidRPr="002109C8">
        <w:rPr>
          <w:szCs w:val="22"/>
          <w:lang w:val="en-US" w:eastAsia="en-US"/>
        </w:rPr>
        <w:t>U skladu s procjenom tržišta, NOP određuje morske luke i luke unutarnjih voda koje trebaju osigurati pristup mjestima za opskrbu UPP-om iz stavka 1. ovoga članka pri čemu se također uzimaju u obzir stvarne potrebe</w:t>
      </w:r>
      <w:r w:rsidR="00BC796D" w:rsidRPr="004C3ED3">
        <w:rPr>
          <w:szCs w:val="22"/>
          <w:lang w:val="en-US" w:eastAsia="en-US"/>
        </w:rPr>
        <w:t xml:space="preserve"> </w:t>
      </w:r>
      <w:r w:rsidR="00BC796D" w:rsidRPr="002109C8">
        <w:rPr>
          <w:szCs w:val="22"/>
          <w:lang w:val="en-US" w:eastAsia="en-US"/>
        </w:rPr>
        <w:t>tržišta.</w:t>
      </w:r>
    </w:p>
    <w:p w14:paraId="558A836F" w14:textId="77777777" w:rsidR="00BC796D" w:rsidRPr="004C3ED3" w:rsidRDefault="00BC796D" w:rsidP="004C3ED3">
      <w:pPr>
        <w:widowControl w:val="0"/>
        <w:autoSpaceDE w:val="0"/>
        <w:autoSpaceDN w:val="0"/>
        <w:ind w:right="114"/>
        <w:jc w:val="both"/>
        <w:rPr>
          <w:szCs w:val="22"/>
          <w:lang w:val="en-US" w:eastAsia="en-US"/>
        </w:rPr>
      </w:pPr>
    </w:p>
    <w:p w14:paraId="3DE1255F"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(4) </w:t>
      </w:r>
      <w:r w:rsidR="00BC796D" w:rsidRPr="002109C8">
        <w:rPr>
          <w:szCs w:val="22"/>
          <w:lang w:val="en-US" w:eastAsia="en-US"/>
        </w:rPr>
        <w:t>U skladu s procjenom tržišta NOP-a uspostavit će se odgovarajući broj mjesta za opskrbu UPP-om dostupnih javnosti, barem uzduž postojeće osnovne mreže TEN-T, kako bi se osiguralo da teška motorna vozila na UPP mogu nesmetano prometovati ako postoji potražnja i osim ako troškovi nisu nerazmjerni u odnosu na koristi, uključujući koristi za</w:t>
      </w:r>
      <w:r w:rsidR="00BC796D" w:rsidRPr="004C3ED3">
        <w:rPr>
          <w:szCs w:val="22"/>
          <w:lang w:val="en-US" w:eastAsia="en-US"/>
        </w:rPr>
        <w:t xml:space="preserve"> </w:t>
      </w:r>
      <w:r w:rsidR="00BC796D" w:rsidRPr="002109C8">
        <w:rPr>
          <w:szCs w:val="22"/>
          <w:lang w:val="en-US" w:eastAsia="en-US"/>
        </w:rPr>
        <w:t>okoliš.</w:t>
      </w:r>
    </w:p>
    <w:p w14:paraId="01638482" w14:textId="77777777" w:rsidR="00BC796D" w:rsidRPr="004C3ED3" w:rsidRDefault="00BC796D" w:rsidP="004C3ED3">
      <w:pPr>
        <w:widowControl w:val="0"/>
        <w:autoSpaceDE w:val="0"/>
        <w:autoSpaceDN w:val="0"/>
        <w:ind w:right="114"/>
        <w:jc w:val="both"/>
        <w:rPr>
          <w:szCs w:val="22"/>
          <w:lang w:val="en-US" w:eastAsia="en-US"/>
        </w:rPr>
      </w:pPr>
    </w:p>
    <w:p w14:paraId="61DF1E48"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(5) </w:t>
      </w:r>
      <w:r w:rsidR="00BC796D" w:rsidRPr="002109C8">
        <w:rPr>
          <w:szCs w:val="22"/>
          <w:lang w:val="en-US" w:eastAsia="en-US"/>
        </w:rPr>
        <w:t>Na prometnoj mreži Republike Hrvatske biti će raspoloživ primjeren distribucijski sustav za UPP, uključujući objekte za pretovar tereta iz cisterni s UPP-om, kako bi se opskrbljivala mjesta za opskrbu iz stavaka 1., 3. i 4. ovoga</w:t>
      </w:r>
      <w:r w:rsidR="00BC796D" w:rsidRPr="004C3ED3">
        <w:rPr>
          <w:szCs w:val="22"/>
          <w:lang w:val="en-US" w:eastAsia="en-US"/>
        </w:rPr>
        <w:t xml:space="preserve"> </w:t>
      </w:r>
      <w:r w:rsidR="00BC796D" w:rsidRPr="002109C8">
        <w:rPr>
          <w:szCs w:val="22"/>
          <w:lang w:val="en-US" w:eastAsia="en-US"/>
        </w:rPr>
        <w:t>članka.</w:t>
      </w:r>
    </w:p>
    <w:p w14:paraId="47998CB2" w14:textId="77777777" w:rsidR="00BC796D" w:rsidRPr="004C3ED3" w:rsidRDefault="00BC796D" w:rsidP="004C3ED3">
      <w:pPr>
        <w:widowControl w:val="0"/>
        <w:autoSpaceDE w:val="0"/>
        <w:autoSpaceDN w:val="0"/>
        <w:ind w:right="114"/>
        <w:jc w:val="both"/>
        <w:rPr>
          <w:szCs w:val="22"/>
          <w:lang w:val="en-US" w:eastAsia="en-US"/>
        </w:rPr>
      </w:pPr>
    </w:p>
    <w:p w14:paraId="68B7541D" w14:textId="77777777" w:rsidR="00BC796D" w:rsidRPr="004C3ED3" w:rsidRDefault="004C3ED3" w:rsidP="004C3ED3">
      <w:pPr>
        <w:widowControl w:val="0"/>
        <w:autoSpaceDE w:val="0"/>
        <w:autoSpaceDN w:val="0"/>
        <w:ind w:right="114"/>
        <w:jc w:val="both"/>
        <w:rPr>
          <w:szCs w:val="22"/>
          <w:lang w:val="en-US" w:eastAsia="en-US"/>
        </w:rPr>
      </w:pPr>
      <w:r>
        <w:rPr>
          <w:szCs w:val="22"/>
          <w:lang w:val="en-US" w:eastAsia="en-US"/>
        </w:rPr>
        <w:t xml:space="preserve">(6) </w:t>
      </w:r>
      <w:r w:rsidR="00BC796D" w:rsidRPr="002109C8">
        <w:rPr>
          <w:szCs w:val="22"/>
          <w:lang w:val="en-US" w:eastAsia="en-US"/>
        </w:rPr>
        <w:t>Iznimno od stavka 5. ovoga članka, moguće je udružiti kapacitete sa susjednim zemljama u svrhu ispunjavanja zahtjeva odgovarajuće pokrivenosti prometne</w:t>
      </w:r>
      <w:r w:rsidR="00BC796D" w:rsidRPr="004C3ED3">
        <w:rPr>
          <w:szCs w:val="22"/>
          <w:lang w:val="en-US" w:eastAsia="en-US"/>
        </w:rPr>
        <w:t xml:space="preserve"> </w:t>
      </w:r>
      <w:r w:rsidR="00BC796D" w:rsidRPr="002109C8">
        <w:rPr>
          <w:szCs w:val="22"/>
          <w:lang w:val="en-US" w:eastAsia="en-US"/>
        </w:rPr>
        <w:t>mreže.</w:t>
      </w:r>
    </w:p>
    <w:p w14:paraId="5C22D95D" w14:textId="77777777" w:rsidR="00BC796D" w:rsidRPr="004C3ED3" w:rsidRDefault="00BC796D" w:rsidP="004C3ED3">
      <w:pPr>
        <w:widowControl w:val="0"/>
        <w:autoSpaceDE w:val="0"/>
        <w:autoSpaceDN w:val="0"/>
        <w:ind w:right="114"/>
        <w:jc w:val="both"/>
        <w:rPr>
          <w:szCs w:val="22"/>
          <w:lang w:val="en-US" w:eastAsia="en-US"/>
        </w:rPr>
      </w:pPr>
    </w:p>
    <w:p w14:paraId="3FF9B627"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(7) </w:t>
      </w:r>
      <w:r w:rsidR="00BC796D" w:rsidRPr="002109C8">
        <w:rPr>
          <w:szCs w:val="22"/>
          <w:lang w:val="en-US" w:eastAsia="en-US"/>
        </w:rPr>
        <w:t>Sporazumi o udruživanju kapaciteta podliježu obvezama izvješćivanja od strane ministarstva nadležnog za</w:t>
      </w:r>
      <w:r w:rsidR="00BC796D" w:rsidRPr="004C3ED3">
        <w:rPr>
          <w:szCs w:val="22"/>
          <w:lang w:val="en-US" w:eastAsia="en-US"/>
        </w:rPr>
        <w:t xml:space="preserve"> </w:t>
      </w:r>
      <w:r w:rsidR="00BC796D" w:rsidRPr="002109C8">
        <w:rPr>
          <w:szCs w:val="22"/>
          <w:lang w:val="en-US" w:eastAsia="en-US"/>
        </w:rPr>
        <w:t>promet.</w:t>
      </w:r>
    </w:p>
    <w:p w14:paraId="69CDC930" w14:textId="77777777" w:rsidR="00BC796D" w:rsidRPr="004C3ED3" w:rsidRDefault="00BC796D" w:rsidP="004C3ED3">
      <w:pPr>
        <w:widowControl w:val="0"/>
        <w:autoSpaceDE w:val="0"/>
        <w:autoSpaceDN w:val="0"/>
        <w:ind w:right="114"/>
        <w:jc w:val="both"/>
        <w:rPr>
          <w:szCs w:val="22"/>
          <w:lang w:val="en-US" w:eastAsia="en-US"/>
        </w:rPr>
      </w:pPr>
    </w:p>
    <w:p w14:paraId="16AC1A2B"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(8) </w:t>
      </w:r>
      <w:r w:rsidR="00BC796D" w:rsidRPr="002109C8">
        <w:rPr>
          <w:szCs w:val="22"/>
          <w:lang w:val="en-US" w:eastAsia="en-US"/>
        </w:rPr>
        <w:t>U okviru mreža koje će biti određene NOP-om uspostavit će se primjeren broj javno dostupnih mjesta za punjenje SPP-om kako bi se osiguralo da motorna vozila na SPP mogu prometovati barem u naseljima, građevinskim područjima, odnosno gradskim/prigradskim aglomeracijama i drugim gusto naseljenim</w:t>
      </w:r>
      <w:r w:rsidR="00BC796D" w:rsidRPr="004C3ED3">
        <w:rPr>
          <w:szCs w:val="22"/>
          <w:lang w:val="en-US" w:eastAsia="en-US"/>
        </w:rPr>
        <w:t xml:space="preserve"> </w:t>
      </w:r>
      <w:r w:rsidR="00BC796D" w:rsidRPr="002109C8">
        <w:rPr>
          <w:szCs w:val="22"/>
          <w:lang w:val="en-US" w:eastAsia="en-US"/>
        </w:rPr>
        <w:t>područjima.</w:t>
      </w:r>
    </w:p>
    <w:p w14:paraId="6374B464" w14:textId="77777777" w:rsidR="00BC796D" w:rsidRPr="004C3ED3" w:rsidRDefault="00BC796D" w:rsidP="004C3ED3">
      <w:pPr>
        <w:widowControl w:val="0"/>
        <w:autoSpaceDE w:val="0"/>
        <w:autoSpaceDN w:val="0"/>
        <w:ind w:right="114"/>
        <w:jc w:val="both"/>
        <w:rPr>
          <w:szCs w:val="22"/>
          <w:lang w:val="en-US" w:eastAsia="en-US"/>
        </w:rPr>
      </w:pPr>
    </w:p>
    <w:p w14:paraId="0F395931"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(9) </w:t>
      </w:r>
      <w:r w:rsidR="00BC796D" w:rsidRPr="002109C8">
        <w:rPr>
          <w:szCs w:val="22"/>
          <w:lang w:val="en-US" w:eastAsia="en-US"/>
        </w:rPr>
        <w:t>U okviru mreža koje će biti određene NOP-om uspostavit će se primjeren broj javno dostupnih mjesta za opskrbu SPP-om, barem uzduž postojeće osnovne mreže TEN-T, kako bi se osiguralo da motorna vozila na SPP mogu nesmetano</w:t>
      </w:r>
      <w:r w:rsidR="00BC796D" w:rsidRPr="004C3ED3">
        <w:rPr>
          <w:szCs w:val="22"/>
          <w:lang w:val="en-US" w:eastAsia="en-US"/>
        </w:rPr>
        <w:t xml:space="preserve"> </w:t>
      </w:r>
      <w:r w:rsidR="00BC796D" w:rsidRPr="002109C8">
        <w:rPr>
          <w:szCs w:val="22"/>
          <w:lang w:val="en-US" w:eastAsia="en-US"/>
        </w:rPr>
        <w:t>prometovati.</w:t>
      </w:r>
    </w:p>
    <w:p w14:paraId="261F5FC1" w14:textId="77777777" w:rsidR="00BC796D" w:rsidRPr="004C3ED3" w:rsidRDefault="00BC796D" w:rsidP="004C3ED3">
      <w:pPr>
        <w:widowControl w:val="0"/>
        <w:autoSpaceDE w:val="0"/>
        <w:autoSpaceDN w:val="0"/>
        <w:ind w:right="114"/>
        <w:jc w:val="both"/>
        <w:rPr>
          <w:szCs w:val="22"/>
          <w:lang w:val="en-US" w:eastAsia="en-US"/>
        </w:rPr>
      </w:pPr>
    </w:p>
    <w:p w14:paraId="1CA9365F"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(10) </w:t>
      </w:r>
      <w:r w:rsidR="00BC796D" w:rsidRPr="002109C8">
        <w:rPr>
          <w:szCs w:val="22"/>
          <w:lang w:val="en-US" w:eastAsia="en-US"/>
        </w:rPr>
        <w:t>Mjesta za opskrbu motornih vozila SPP-om, koja su postavljena ili obnovljena od 18. studenoga 2017., ispunjavaju tehničke specifikacije Pravilnika iz članka 6. stavka 1. ovoga Zakona.</w:t>
      </w:r>
    </w:p>
    <w:p w14:paraId="2297AA63" w14:textId="77777777" w:rsidR="004C3ED3" w:rsidRDefault="004C3ED3" w:rsidP="004C3ED3">
      <w:pPr>
        <w:widowControl w:val="0"/>
        <w:autoSpaceDE w:val="0"/>
        <w:autoSpaceDN w:val="0"/>
        <w:ind w:right="114"/>
        <w:jc w:val="both"/>
        <w:rPr>
          <w:szCs w:val="22"/>
          <w:lang w:val="en-US" w:eastAsia="en-US"/>
        </w:rPr>
      </w:pPr>
    </w:p>
    <w:p w14:paraId="2F706392" w14:textId="77777777" w:rsidR="00BC796D" w:rsidRPr="002109C8" w:rsidRDefault="004C3ED3" w:rsidP="004C3ED3">
      <w:pPr>
        <w:widowControl w:val="0"/>
        <w:autoSpaceDE w:val="0"/>
        <w:autoSpaceDN w:val="0"/>
        <w:ind w:right="114"/>
        <w:jc w:val="both"/>
        <w:rPr>
          <w:szCs w:val="22"/>
          <w:lang w:val="en-US" w:eastAsia="en-US"/>
        </w:rPr>
      </w:pPr>
      <w:r>
        <w:rPr>
          <w:szCs w:val="22"/>
          <w:lang w:val="en-US" w:eastAsia="en-US"/>
        </w:rPr>
        <w:t xml:space="preserve">(11) </w:t>
      </w:r>
      <w:r w:rsidR="00BC796D" w:rsidRPr="002109C8">
        <w:rPr>
          <w:szCs w:val="22"/>
          <w:lang w:val="en-US" w:eastAsia="en-US"/>
        </w:rPr>
        <w:t>Priključci i posude za SPP moraju biti u skladu s UN ECE Uredbom br. 110 (u vezi s ISO 14469, dio I. i dio</w:t>
      </w:r>
      <w:r w:rsidR="00BC796D" w:rsidRPr="004C3ED3">
        <w:rPr>
          <w:szCs w:val="22"/>
          <w:lang w:val="en-US" w:eastAsia="en-US"/>
        </w:rPr>
        <w:t xml:space="preserve"> </w:t>
      </w:r>
      <w:r w:rsidR="00BC796D" w:rsidRPr="002109C8">
        <w:rPr>
          <w:szCs w:val="22"/>
          <w:lang w:val="en-US" w:eastAsia="en-US"/>
        </w:rPr>
        <w:t>II.).</w:t>
      </w:r>
    </w:p>
    <w:p w14:paraId="05A89615" w14:textId="77777777" w:rsidR="00BC796D" w:rsidRPr="002109C8" w:rsidRDefault="00BC796D" w:rsidP="00BC796D">
      <w:pPr>
        <w:widowControl w:val="0"/>
        <w:autoSpaceDE w:val="0"/>
        <w:autoSpaceDN w:val="0"/>
        <w:spacing w:before="10"/>
        <w:rPr>
          <w:rFonts w:eastAsia="Arial"/>
          <w:szCs w:val="18"/>
          <w:lang w:val="en-US" w:eastAsia="en-US"/>
        </w:rPr>
      </w:pPr>
    </w:p>
    <w:p w14:paraId="2F926664" w14:textId="60246E30" w:rsidR="00BC796D" w:rsidRPr="00696563" w:rsidRDefault="00D90B77" w:rsidP="00D90B77">
      <w:pPr>
        <w:widowControl w:val="0"/>
        <w:autoSpaceDE w:val="0"/>
        <w:autoSpaceDN w:val="0"/>
        <w:spacing w:before="1" w:line="484" w:lineRule="auto"/>
        <w:ind w:right="-2"/>
        <w:jc w:val="center"/>
        <w:rPr>
          <w:szCs w:val="22"/>
          <w:lang w:val="en-US" w:eastAsia="en-US"/>
        </w:rPr>
      </w:pPr>
      <w:r>
        <w:rPr>
          <w:szCs w:val="22"/>
          <w:lang w:val="en-US" w:eastAsia="en-US"/>
        </w:rPr>
        <w:t xml:space="preserve">VII. </w:t>
      </w:r>
      <w:r w:rsidR="00BC796D" w:rsidRPr="00696563">
        <w:rPr>
          <w:szCs w:val="22"/>
          <w:lang w:val="en-US" w:eastAsia="en-US"/>
        </w:rPr>
        <w:t>INFORMACIJE ZA KORISNIKE</w:t>
      </w:r>
    </w:p>
    <w:p w14:paraId="1E6EDE1A" w14:textId="77777777" w:rsidR="00BC796D" w:rsidRPr="00696563" w:rsidRDefault="00BC796D" w:rsidP="00BC796D">
      <w:pPr>
        <w:widowControl w:val="0"/>
        <w:tabs>
          <w:tab w:val="left" w:pos="3114"/>
        </w:tabs>
        <w:autoSpaceDE w:val="0"/>
        <w:autoSpaceDN w:val="0"/>
        <w:spacing w:before="1" w:line="484" w:lineRule="auto"/>
        <w:ind w:left="4160" w:right="2634"/>
        <w:rPr>
          <w:szCs w:val="22"/>
          <w:lang w:val="en-US" w:eastAsia="en-US"/>
        </w:rPr>
      </w:pPr>
      <w:r w:rsidRPr="00696563">
        <w:rPr>
          <w:szCs w:val="22"/>
          <w:lang w:val="en-US" w:eastAsia="en-US"/>
        </w:rPr>
        <w:t>Članak</w:t>
      </w:r>
      <w:r w:rsidRPr="00696563">
        <w:rPr>
          <w:spacing w:val="1"/>
          <w:szCs w:val="22"/>
          <w:lang w:val="en-US" w:eastAsia="en-US"/>
        </w:rPr>
        <w:t xml:space="preserve"> </w:t>
      </w:r>
      <w:r w:rsidRPr="00696563">
        <w:rPr>
          <w:szCs w:val="22"/>
          <w:lang w:val="en-US" w:eastAsia="en-US"/>
        </w:rPr>
        <w:t>9.</w:t>
      </w:r>
    </w:p>
    <w:p w14:paraId="1E4B41C5" w14:textId="77777777" w:rsidR="00BC796D" w:rsidRPr="002109C8" w:rsidRDefault="00F271BB" w:rsidP="00696563">
      <w:pPr>
        <w:widowControl w:val="0"/>
        <w:autoSpaceDE w:val="0"/>
        <w:autoSpaceDN w:val="0"/>
        <w:ind w:right="114"/>
        <w:jc w:val="both"/>
        <w:rPr>
          <w:szCs w:val="22"/>
          <w:lang w:val="en-US" w:eastAsia="en-US"/>
        </w:rPr>
      </w:pPr>
      <w:r>
        <w:rPr>
          <w:szCs w:val="22"/>
          <w:lang w:val="en-US" w:eastAsia="en-US"/>
        </w:rPr>
        <w:t xml:space="preserve">(1) </w:t>
      </w:r>
      <w:r w:rsidR="00BC796D" w:rsidRPr="002109C8">
        <w:rPr>
          <w:szCs w:val="22"/>
          <w:lang w:val="en-US" w:eastAsia="en-US"/>
        </w:rPr>
        <w:t>Korisnicima motornih vozila na alternativna goriva omogućuje se pristup odgovarajućim, dosljednim i jasnim informacijama o onim motornim vozilima koja je moguće redovito puniti individualnim vrstama goriva uvedenima na tržište ili ih napuniti na mjestima za</w:t>
      </w:r>
      <w:r w:rsidR="00BC796D" w:rsidRPr="00696563">
        <w:rPr>
          <w:szCs w:val="22"/>
          <w:lang w:val="en-US" w:eastAsia="en-US"/>
        </w:rPr>
        <w:t xml:space="preserve"> </w:t>
      </w:r>
      <w:r w:rsidR="00BC796D" w:rsidRPr="002109C8">
        <w:rPr>
          <w:szCs w:val="22"/>
          <w:lang w:val="en-US" w:eastAsia="en-US"/>
        </w:rPr>
        <w:t>punjenje.</w:t>
      </w:r>
    </w:p>
    <w:p w14:paraId="4826F07E" w14:textId="77777777" w:rsidR="00BC796D" w:rsidRPr="00696563" w:rsidRDefault="00BC796D" w:rsidP="00696563">
      <w:pPr>
        <w:widowControl w:val="0"/>
        <w:autoSpaceDE w:val="0"/>
        <w:autoSpaceDN w:val="0"/>
        <w:ind w:right="114"/>
        <w:jc w:val="both"/>
        <w:rPr>
          <w:szCs w:val="22"/>
          <w:lang w:val="en-US" w:eastAsia="en-US"/>
        </w:rPr>
      </w:pPr>
    </w:p>
    <w:p w14:paraId="18E4E805" w14:textId="77777777" w:rsidR="00BC796D" w:rsidRPr="002109C8" w:rsidRDefault="00F271BB" w:rsidP="00696563">
      <w:pPr>
        <w:widowControl w:val="0"/>
        <w:autoSpaceDE w:val="0"/>
        <w:autoSpaceDN w:val="0"/>
        <w:ind w:right="114"/>
        <w:jc w:val="both"/>
        <w:rPr>
          <w:szCs w:val="22"/>
          <w:lang w:val="en-US" w:eastAsia="en-US"/>
        </w:rPr>
      </w:pPr>
      <w:r>
        <w:rPr>
          <w:szCs w:val="22"/>
          <w:lang w:val="en-US" w:eastAsia="en-US"/>
        </w:rPr>
        <w:t xml:space="preserve">(2) </w:t>
      </w:r>
      <w:r w:rsidR="00BC796D" w:rsidRPr="002109C8">
        <w:rPr>
          <w:szCs w:val="22"/>
          <w:lang w:val="en-US" w:eastAsia="en-US"/>
        </w:rPr>
        <w:t>Informacije iz stavka 1. ovoga članka stavljaju se na raspolaganje u sklopu uputa za uporabu motornih vozila, na mjestima za punjenje i opskrbu, na motornim vozilima i u zastupstvima za motorna vozila na području Republike</w:t>
      </w:r>
      <w:r w:rsidR="00BC796D" w:rsidRPr="002109C8">
        <w:rPr>
          <w:spacing w:val="-5"/>
          <w:szCs w:val="22"/>
          <w:lang w:val="en-US" w:eastAsia="en-US"/>
        </w:rPr>
        <w:t xml:space="preserve"> </w:t>
      </w:r>
      <w:r w:rsidR="00BC796D" w:rsidRPr="002109C8">
        <w:rPr>
          <w:szCs w:val="22"/>
          <w:lang w:val="en-US" w:eastAsia="en-US"/>
        </w:rPr>
        <w:t>Hrvatske.</w:t>
      </w:r>
    </w:p>
    <w:p w14:paraId="20A5BDEB" w14:textId="77777777" w:rsidR="00BC796D" w:rsidRPr="002109C8" w:rsidRDefault="00BC796D" w:rsidP="00BC796D">
      <w:pPr>
        <w:widowControl w:val="0"/>
        <w:autoSpaceDE w:val="0"/>
        <w:autoSpaceDN w:val="0"/>
        <w:spacing w:before="5"/>
        <w:rPr>
          <w:rFonts w:eastAsia="Arial"/>
          <w:szCs w:val="18"/>
          <w:lang w:val="en-US" w:eastAsia="en-US"/>
        </w:rPr>
      </w:pPr>
    </w:p>
    <w:p w14:paraId="11739965" w14:textId="77777777" w:rsidR="00BC796D" w:rsidRPr="002109C8" w:rsidRDefault="00F271BB" w:rsidP="00696563">
      <w:pPr>
        <w:widowControl w:val="0"/>
        <w:autoSpaceDE w:val="0"/>
        <w:autoSpaceDN w:val="0"/>
        <w:ind w:right="114"/>
        <w:jc w:val="both"/>
        <w:rPr>
          <w:szCs w:val="22"/>
          <w:lang w:val="en-US" w:eastAsia="en-US"/>
        </w:rPr>
      </w:pPr>
      <w:r>
        <w:rPr>
          <w:szCs w:val="22"/>
          <w:lang w:val="en-US" w:eastAsia="en-US"/>
        </w:rPr>
        <w:t xml:space="preserve">(3) </w:t>
      </w:r>
      <w:r w:rsidR="00BC796D" w:rsidRPr="002109C8">
        <w:rPr>
          <w:szCs w:val="22"/>
          <w:lang w:val="en-US" w:eastAsia="en-US"/>
        </w:rPr>
        <w:t>Pružanje informacija iz stavka 1. ovoga članka temelji se na odredbama o označivanju usklađenosti goriva s usklađenim hrvatskim normama koje utvrđuju tehničke specifikacije za goriva.</w:t>
      </w:r>
    </w:p>
    <w:p w14:paraId="1AD073F0" w14:textId="77777777" w:rsidR="00BC796D" w:rsidRPr="00696563" w:rsidRDefault="00BC796D" w:rsidP="00696563">
      <w:pPr>
        <w:widowControl w:val="0"/>
        <w:autoSpaceDE w:val="0"/>
        <w:autoSpaceDN w:val="0"/>
        <w:ind w:right="114"/>
        <w:jc w:val="both"/>
        <w:rPr>
          <w:szCs w:val="22"/>
          <w:lang w:val="en-US" w:eastAsia="en-US"/>
        </w:rPr>
      </w:pPr>
    </w:p>
    <w:p w14:paraId="49FC7329" w14:textId="77777777" w:rsidR="00BC796D" w:rsidRPr="002109C8" w:rsidRDefault="00F271BB" w:rsidP="00696563">
      <w:pPr>
        <w:widowControl w:val="0"/>
        <w:autoSpaceDE w:val="0"/>
        <w:autoSpaceDN w:val="0"/>
        <w:ind w:right="114"/>
        <w:jc w:val="both"/>
        <w:rPr>
          <w:szCs w:val="22"/>
          <w:lang w:val="en-US" w:eastAsia="en-US"/>
        </w:rPr>
      </w:pPr>
      <w:r>
        <w:rPr>
          <w:szCs w:val="22"/>
          <w:lang w:val="en-US" w:eastAsia="en-US"/>
        </w:rPr>
        <w:t xml:space="preserve">(4) </w:t>
      </w:r>
      <w:r w:rsidR="00BC796D" w:rsidRPr="002109C8">
        <w:rPr>
          <w:szCs w:val="22"/>
          <w:lang w:val="en-US" w:eastAsia="en-US"/>
        </w:rPr>
        <w:t>Kada se norme iz stavka 3. ovoga članka odnose na grafički prikaz, uključujući shemu kodiranja bojom, grafički prikaz je jednostavan, lako razumljiv i postavljen na jasno vidljiv način:</w:t>
      </w:r>
    </w:p>
    <w:p w14:paraId="74DAD5D7" w14:textId="77777777" w:rsidR="00BC796D" w:rsidRPr="002109C8" w:rsidRDefault="00BC796D" w:rsidP="00BC796D">
      <w:pPr>
        <w:widowControl w:val="0"/>
        <w:autoSpaceDE w:val="0"/>
        <w:autoSpaceDN w:val="0"/>
        <w:spacing w:before="3"/>
        <w:rPr>
          <w:rFonts w:eastAsia="Arial"/>
          <w:szCs w:val="18"/>
          <w:lang w:val="en-US" w:eastAsia="en-US"/>
        </w:rPr>
      </w:pPr>
    </w:p>
    <w:p w14:paraId="0A4A932B" w14:textId="77777777" w:rsidR="00BC796D" w:rsidRPr="002109C8" w:rsidRDefault="00BC796D" w:rsidP="00BC796D">
      <w:pPr>
        <w:widowControl w:val="0"/>
        <w:numPr>
          <w:ilvl w:val="1"/>
          <w:numId w:val="13"/>
        </w:numPr>
        <w:tabs>
          <w:tab w:val="left" w:pos="940"/>
        </w:tabs>
        <w:autoSpaceDE w:val="0"/>
        <w:autoSpaceDN w:val="0"/>
        <w:ind w:right="113"/>
        <w:jc w:val="both"/>
        <w:rPr>
          <w:szCs w:val="22"/>
          <w:lang w:val="en-US" w:eastAsia="en-US"/>
        </w:rPr>
      </w:pPr>
      <w:r w:rsidRPr="002109C8">
        <w:rPr>
          <w:szCs w:val="22"/>
          <w:lang w:val="en-US" w:eastAsia="en-US"/>
        </w:rPr>
        <w:t>na odgovarajućim crpkama i njihovim mlaznicama na svim mjestima za opskrbu, od datuma uvođenja goriva na</w:t>
      </w:r>
      <w:r w:rsidRPr="002109C8">
        <w:rPr>
          <w:spacing w:val="1"/>
          <w:szCs w:val="22"/>
          <w:lang w:val="en-US" w:eastAsia="en-US"/>
        </w:rPr>
        <w:t xml:space="preserve"> </w:t>
      </w:r>
      <w:r w:rsidRPr="002109C8">
        <w:rPr>
          <w:szCs w:val="22"/>
          <w:lang w:val="en-US" w:eastAsia="en-US"/>
        </w:rPr>
        <w:t>tržište</w:t>
      </w:r>
    </w:p>
    <w:p w14:paraId="69FC880C" w14:textId="77777777" w:rsidR="00BC796D" w:rsidRPr="002109C8" w:rsidRDefault="00BC796D" w:rsidP="00BC796D">
      <w:pPr>
        <w:widowControl w:val="0"/>
        <w:autoSpaceDE w:val="0"/>
        <w:autoSpaceDN w:val="0"/>
        <w:spacing w:before="4"/>
        <w:rPr>
          <w:rFonts w:eastAsia="Arial"/>
          <w:szCs w:val="18"/>
          <w:lang w:val="en-US" w:eastAsia="en-US"/>
        </w:rPr>
      </w:pPr>
    </w:p>
    <w:p w14:paraId="17FC33BE" w14:textId="77777777" w:rsidR="00BC796D" w:rsidRPr="002109C8" w:rsidRDefault="00BC796D" w:rsidP="00BC796D">
      <w:pPr>
        <w:widowControl w:val="0"/>
        <w:numPr>
          <w:ilvl w:val="1"/>
          <w:numId w:val="13"/>
        </w:numPr>
        <w:tabs>
          <w:tab w:val="left" w:pos="976"/>
        </w:tabs>
        <w:autoSpaceDE w:val="0"/>
        <w:autoSpaceDN w:val="0"/>
        <w:spacing w:before="1"/>
        <w:ind w:right="113"/>
        <w:jc w:val="both"/>
        <w:rPr>
          <w:szCs w:val="22"/>
          <w:lang w:val="en-US" w:eastAsia="en-US"/>
        </w:rPr>
      </w:pPr>
      <w:r w:rsidRPr="002109C8">
        <w:rPr>
          <w:szCs w:val="22"/>
          <w:lang w:val="en-US" w:eastAsia="en-US"/>
        </w:rPr>
        <w:t>na poklopcima spremnika za gorivo motornih vozila za koja je određeno gorivo preporučeno i prikladno ili u neposrednoj blizini poklopaca spremnika za goriva te u uputama za uporabu motornih vozila, kada se takva motorna vozila uvode na tržište nakon 18. studenog</w:t>
      </w:r>
      <w:r w:rsidRPr="002109C8">
        <w:rPr>
          <w:spacing w:val="-4"/>
          <w:szCs w:val="22"/>
          <w:lang w:val="en-US" w:eastAsia="en-US"/>
        </w:rPr>
        <w:t xml:space="preserve"> </w:t>
      </w:r>
      <w:r w:rsidRPr="002109C8">
        <w:rPr>
          <w:szCs w:val="22"/>
          <w:lang w:val="en-US" w:eastAsia="en-US"/>
        </w:rPr>
        <w:t>2016.</w:t>
      </w:r>
    </w:p>
    <w:p w14:paraId="4159AB68" w14:textId="77777777" w:rsidR="00BC796D" w:rsidRPr="002109C8" w:rsidRDefault="00BC796D" w:rsidP="00BC796D">
      <w:pPr>
        <w:widowControl w:val="0"/>
        <w:autoSpaceDE w:val="0"/>
        <w:autoSpaceDN w:val="0"/>
        <w:spacing w:before="4"/>
        <w:rPr>
          <w:rFonts w:eastAsia="Arial"/>
          <w:szCs w:val="18"/>
          <w:lang w:val="en-US" w:eastAsia="en-US"/>
        </w:rPr>
      </w:pPr>
    </w:p>
    <w:p w14:paraId="28119524" w14:textId="77777777" w:rsidR="00BC796D" w:rsidRPr="002109C8" w:rsidRDefault="00F271BB" w:rsidP="00F271BB">
      <w:pPr>
        <w:widowControl w:val="0"/>
        <w:autoSpaceDE w:val="0"/>
        <w:autoSpaceDN w:val="0"/>
        <w:ind w:right="114"/>
        <w:jc w:val="both"/>
        <w:rPr>
          <w:szCs w:val="22"/>
          <w:lang w:val="en-US" w:eastAsia="en-US"/>
        </w:rPr>
      </w:pPr>
      <w:r>
        <w:rPr>
          <w:szCs w:val="22"/>
          <w:lang w:val="en-US" w:eastAsia="en-US"/>
        </w:rPr>
        <w:t xml:space="preserve">(5) </w:t>
      </w:r>
      <w:r w:rsidR="00BC796D" w:rsidRPr="002109C8">
        <w:rPr>
          <w:szCs w:val="22"/>
          <w:lang w:val="en-US" w:eastAsia="en-US"/>
        </w:rPr>
        <w:t>Pri iskazivanju cijena goriva na postaji za opskrbu gorivom, a posebno kada se radi o prirodnom</w:t>
      </w:r>
      <w:r w:rsidR="00BC796D" w:rsidRPr="00F271BB">
        <w:rPr>
          <w:szCs w:val="22"/>
          <w:lang w:val="en-US" w:eastAsia="en-US"/>
        </w:rPr>
        <w:t xml:space="preserve"> </w:t>
      </w:r>
      <w:r w:rsidR="00BC796D" w:rsidRPr="002109C8">
        <w:rPr>
          <w:szCs w:val="22"/>
          <w:lang w:val="en-US" w:eastAsia="en-US"/>
        </w:rPr>
        <w:t>plinu</w:t>
      </w:r>
      <w:r w:rsidR="00BC796D" w:rsidRPr="00F271BB">
        <w:rPr>
          <w:szCs w:val="22"/>
          <w:lang w:val="en-US" w:eastAsia="en-US"/>
        </w:rPr>
        <w:t xml:space="preserve"> </w:t>
      </w:r>
      <w:r w:rsidR="00BC796D" w:rsidRPr="002109C8">
        <w:rPr>
          <w:szCs w:val="22"/>
          <w:lang w:val="en-US" w:eastAsia="en-US"/>
        </w:rPr>
        <w:t>i</w:t>
      </w:r>
      <w:r w:rsidR="00BC796D" w:rsidRPr="00F271BB">
        <w:rPr>
          <w:szCs w:val="22"/>
          <w:lang w:val="en-US" w:eastAsia="en-US"/>
        </w:rPr>
        <w:t xml:space="preserve"> </w:t>
      </w:r>
      <w:r w:rsidR="00BC796D" w:rsidRPr="002109C8">
        <w:rPr>
          <w:szCs w:val="22"/>
          <w:lang w:val="en-US" w:eastAsia="en-US"/>
        </w:rPr>
        <w:t>vodiku,</w:t>
      </w:r>
      <w:r w:rsidR="00BC796D" w:rsidRPr="00F271BB">
        <w:rPr>
          <w:szCs w:val="22"/>
          <w:lang w:val="en-US" w:eastAsia="en-US"/>
        </w:rPr>
        <w:t xml:space="preserve"> </w:t>
      </w:r>
      <w:r w:rsidR="00BC796D" w:rsidRPr="002109C8">
        <w:rPr>
          <w:szCs w:val="22"/>
          <w:lang w:val="en-US" w:eastAsia="en-US"/>
        </w:rPr>
        <w:t>prema</w:t>
      </w:r>
      <w:r w:rsidR="00BC796D" w:rsidRPr="00F271BB">
        <w:rPr>
          <w:szCs w:val="22"/>
          <w:lang w:val="en-US" w:eastAsia="en-US"/>
        </w:rPr>
        <w:t xml:space="preserve"> </w:t>
      </w:r>
      <w:r w:rsidR="00BC796D" w:rsidRPr="002109C8">
        <w:rPr>
          <w:szCs w:val="22"/>
          <w:lang w:val="en-US" w:eastAsia="en-US"/>
        </w:rPr>
        <w:t>potrebi</w:t>
      </w:r>
      <w:r w:rsidR="00BC796D" w:rsidRPr="00F271BB">
        <w:rPr>
          <w:szCs w:val="22"/>
          <w:lang w:val="en-US" w:eastAsia="en-US"/>
        </w:rPr>
        <w:t xml:space="preserve"> </w:t>
      </w:r>
      <w:r w:rsidR="00BC796D" w:rsidRPr="002109C8">
        <w:rPr>
          <w:szCs w:val="22"/>
          <w:lang w:val="en-US" w:eastAsia="en-US"/>
        </w:rPr>
        <w:t>se</w:t>
      </w:r>
      <w:r w:rsidR="00BC796D" w:rsidRPr="00F271BB">
        <w:rPr>
          <w:szCs w:val="22"/>
          <w:lang w:val="en-US" w:eastAsia="en-US"/>
        </w:rPr>
        <w:t xml:space="preserve"> </w:t>
      </w:r>
      <w:r w:rsidR="00BC796D" w:rsidRPr="002109C8">
        <w:rPr>
          <w:szCs w:val="22"/>
          <w:lang w:val="en-US" w:eastAsia="en-US"/>
        </w:rPr>
        <w:t>u</w:t>
      </w:r>
      <w:r w:rsidR="00BC796D" w:rsidRPr="00F271BB">
        <w:rPr>
          <w:szCs w:val="22"/>
          <w:lang w:val="en-US" w:eastAsia="en-US"/>
        </w:rPr>
        <w:t xml:space="preserve"> </w:t>
      </w:r>
      <w:r w:rsidR="00BC796D" w:rsidRPr="002109C8">
        <w:rPr>
          <w:szCs w:val="22"/>
          <w:lang w:val="en-US" w:eastAsia="en-US"/>
        </w:rPr>
        <w:t>informativne</w:t>
      </w:r>
      <w:r w:rsidR="00BC796D" w:rsidRPr="00F271BB">
        <w:rPr>
          <w:szCs w:val="22"/>
          <w:lang w:val="en-US" w:eastAsia="en-US"/>
        </w:rPr>
        <w:t xml:space="preserve"> </w:t>
      </w:r>
      <w:r w:rsidR="00BC796D" w:rsidRPr="002109C8">
        <w:rPr>
          <w:szCs w:val="22"/>
          <w:lang w:val="en-US" w:eastAsia="en-US"/>
        </w:rPr>
        <w:t>svrhe</w:t>
      </w:r>
      <w:r w:rsidR="00BC796D" w:rsidRPr="00F271BB">
        <w:rPr>
          <w:szCs w:val="22"/>
          <w:lang w:val="en-US" w:eastAsia="en-US"/>
        </w:rPr>
        <w:t xml:space="preserve"> </w:t>
      </w:r>
      <w:r w:rsidR="00BC796D" w:rsidRPr="002109C8">
        <w:rPr>
          <w:szCs w:val="22"/>
          <w:lang w:val="en-US" w:eastAsia="en-US"/>
        </w:rPr>
        <w:t>iskazuje</w:t>
      </w:r>
      <w:r w:rsidR="00BC796D" w:rsidRPr="00F271BB">
        <w:rPr>
          <w:szCs w:val="22"/>
          <w:lang w:val="en-US" w:eastAsia="en-US"/>
        </w:rPr>
        <w:t xml:space="preserve"> </w:t>
      </w:r>
      <w:r w:rsidR="00BC796D" w:rsidRPr="002109C8">
        <w:rPr>
          <w:szCs w:val="22"/>
          <w:lang w:val="en-US" w:eastAsia="en-US"/>
        </w:rPr>
        <w:t>usporedba</w:t>
      </w:r>
      <w:r w:rsidR="00BC796D" w:rsidRPr="00F271BB">
        <w:rPr>
          <w:szCs w:val="22"/>
          <w:lang w:val="en-US" w:eastAsia="en-US"/>
        </w:rPr>
        <w:t xml:space="preserve"> </w:t>
      </w:r>
      <w:r w:rsidR="00BC796D" w:rsidRPr="002109C8">
        <w:rPr>
          <w:szCs w:val="22"/>
          <w:lang w:val="en-US" w:eastAsia="en-US"/>
        </w:rPr>
        <w:t>između odgovarajućih jediničnih cijena, vodeći računa da takva informacija ne smije zavarati ili zbuniti korisnika.</w:t>
      </w:r>
    </w:p>
    <w:p w14:paraId="4593502F" w14:textId="77777777" w:rsidR="00F271BB" w:rsidRDefault="00F271BB" w:rsidP="00F271BB">
      <w:pPr>
        <w:widowControl w:val="0"/>
        <w:autoSpaceDE w:val="0"/>
        <w:autoSpaceDN w:val="0"/>
        <w:ind w:right="114"/>
        <w:jc w:val="both"/>
        <w:rPr>
          <w:szCs w:val="22"/>
          <w:lang w:val="en-US" w:eastAsia="en-US"/>
        </w:rPr>
      </w:pPr>
    </w:p>
    <w:p w14:paraId="3F77E734" w14:textId="77777777" w:rsidR="00BC796D" w:rsidRPr="002109C8" w:rsidRDefault="00F271BB" w:rsidP="00F271BB">
      <w:pPr>
        <w:widowControl w:val="0"/>
        <w:autoSpaceDE w:val="0"/>
        <w:autoSpaceDN w:val="0"/>
        <w:ind w:right="114"/>
        <w:jc w:val="both"/>
        <w:rPr>
          <w:szCs w:val="22"/>
          <w:lang w:val="en-US" w:eastAsia="en-US"/>
        </w:rPr>
      </w:pPr>
      <w:r>
        <w:rPr>
          <w:szCs w:val="22"/>
          <w:lang w:val="en-US" w:eastAsia="en-US"/>
        </w:rPr>
        <w:t xml:space="preserve">(6) </w:t>
      </w:r>
      <w:r w:rsidR="00BC796D" w:rsidRPr="002109C8">
        <w:rPr>
          <w:szCs w:val="22"/>
          <w:lang w:val="en-US" w:eastAsia="en-US"/>
        </w:rPr>
        <w:t>Ako su raspoloživi podaci u kojima je naznačena lokacija javno dostupnih mjesta za opskrbu i punjenje alternativnim gorivima obuhvaćenim odredbama ovoga Zakona, osigurava se svim korisnicima pristup tim podacima na otvorenoj i nediskriminirajućoj osnovi.</w:t>
      </w:r>
    </w:p>
    <w:p w14:paraId="75ED7E58" w14:textId="77777777" w:rsidR="00F271BB" w:rsidRDefault="00F271BB" w:rsidP="00F271BB">
      <w:pPr>
        <w:widowControl w:val="0"/>
        <w:autoSpaceDE w:val="0"/>
        <w:autoSpaceDN w:val="0"/>
        <w:ind w:right="114"/>
        <w:jc w:val="both"/>
        <w:rPr>
          <w:szCs w:val="22"/>
          <w:lang w:val="en-US" w:eastAsia="en-US"/>
        </w:rPr>
      </w:pPr>
    </w:p>
    <w:p w14:paraId="3314E89C" w14:textId="77777777" w:rsidR="00BC796D" w:rsidRPr="002109C8" w:rsidRDefault="00F271BB" w:rsidP="00F271BB">
      <w:pPr>
        <w:widowControl w:val="0"/>
        <w:autoSpaceDE w:val="0"/>
        <w:autoSpaceDN w:val="0"/>
        <w:ind w:right="114"/>
        <w:jc w:val="both"/>
        <w:rPr>
          <w:szCs w:val="22"/>
          <w:lang w:val="en-US" w:eastAsia="en-US"/>
        </w:rPr>
      </w:pPr>
      <w:r>
        <w:rPr>
          <w:szCs w:val="22"/>
          <w:lang w:val="en-US" w:eastAsia="en-US"/>
        </w:rPr>
        <w:t xml:space="preserve">(7) </w:t>
      </w:r>
      <w:r w:rsidR="00BC796D" w:rsidRPr="002109C8">
        <w:rPr>
          <w:szCs w:val="22"/>
          <w:lang w:val="en-US" w:eastAsia="en-US"/>
        </w:rPr>
        <w:t>Takvi podaci o mjestima za punjenje mogu, ako su raspoloživi, uključivati informacije o raspoloživosti u stvarnom vremenu, kao i informacije o prethodno obavljenim punjenjima, te informacije o punjenju u stvarnom vremenu.</w:t>
      </w:r>
    </w:p>
    <w:p w14:paraId="442C7F37" w14:textId="77777777" w:rsidR="00BC796D" w:rsidRPr="002109C8" w:rsidRDefault="00BC796D" w:rsidP="00BC796D">
      <w:pPr>
        <w:widowControl w:val="0"/>
        <w:autoSpaceDE w:val="0"/>
        <w:autoSpaceDN w:val="0"/>
        <w:spacing w:before="10"/>
        <w:rPr>
          <w:rFonts w:eastAsia="Arial"/>
          <w:szCs w:val="18"/>
          <w:lang w:val="en-US" w:eastAsia="en-US"/>
        </w:rPr>
      </w:pPr>
    </w:p>
    <w:p w14:paraId="7A1932F3" w14:textId="77777777" w:rsidR="00BC796D" w:rsidRPr="00F271BB" w:rsidRDefault="00BC796D" w:rsidP="00F271BB">
      <w:pPr>
        <w:widowControl w:val="0"/>
        <w:tabs>
          <w:tab w:val="left" w:pos="3123"/>
        </w:tabs>
        <w:autoSpaceDE w:val="0"/>
        <w:autoSpaceDN w:val="0"/>
        <w:spacing w:line="482" w:lineRule="auto"/>
        <w:ind w:right="-2"/>
        <w:jc w:val="center"/>
        <w:rPr>
          <w:szCs w:val="22"/>
          <w:lang w:val="en-US" w:eastAsia="en-US"/>
        </w:rPr>
      </w:pPr>
      <w:r w:rsidRPr="00F271BB">
        <w:rPr>
          <w:szCs w:val="22"/>
          <w:lang w:val="en-US" w:eastAsia="en-US"/>
        </w:rPr>
        <w:t>VIII. OVLAŠTENJA I NADLEŽNOSTI</w:t>
      </w:r>
    </w:p>
    <w:p w14:paraId="33C4898B" w14:textId="77777777" w:rsidR="00BC796D" w:rsidRPr="00F271BB" w:rsidRDefault="00BC796D" w:rsidP="00F271BB">
      <w:pPr>
        <w:widowControl w:val="0"/>
        <w:autoSpaceDE w:val="0"/>
        <w:autoSpaceDN w:val="0"/>
        <w:spacing w:line="482" w:lineRule="auto"/>
        <w:ind w:right="-2"/>
        <w:jc w:val="center"/>
        <w:rPr>
          <w:szCs w:val="22"/>
          <w:lang w:val="en-US" w:eastAsia="en-US"/>
        </w:rPr>
      </w:pPr>
      <w:r w:rsidRPr="00F271BB">
        <w:rPr>
          <w:szCs w:val="22"/>
          <w:lang w:val="en-US" w:eastAsia="en-US"/>
        </w:rPr>
        <w:t>Članak 10.</w:t>
      </w:r>
    </w:p>
    <w:p w14:paraId="15DD5751" w14:textId="77777777" w:rsidR="00BC796D" w:rsidRPr="002109C8" w:rsidRDefault="00F271BB" w:rsidP="00F271BB">
      <w:pPr>
        <w:widowControl w:val="0"/>
        <w:autoSpaceDE w:val="0"/>
        <w:autoSpaceDN w:val="0"/>
        <w:ind w:right="114"/>
        <w:jc w:val="both"/>
        <w:rPr>
          <w:szCs w:val="22"/>
          <w:lang w:val="en-US" w:eastAsia="en-US"/>
        </w:rPr>
      </w:pPr>
      <w:r>
        <w:rPr>
          <w:szCs w:val="22"/>
          <w:lang w:val="en-US" w:eastAsia="en-US"/>
        </w:rPr>
        <w:t xml:space="preserve">(1) </w:t>
      </w:r>
      <w:r w:rsidR="00BC796D" w:rsidRPr="002109C8">
        <w:rPr>
          <w:szCs w:val="22"/>
          <w:lang w:val="en-US" w:eastAsia="en-US"/>
        </w:rPr>
        <w:t>Ministarstvo nadležno za</w:t>
      </w:r>
      <w:r w:rsidR="00BC796D" w:rsidRPr="00F271BB">
        <w:rPr>
          <w:szCs w:val="22"/>
          <w:lang w:val="en-US" w:eastAsia="en-US"/>
        </w:rPr>
        <w:t xml:space="preserve"> </w:t>
      </w:r>
      <w:r w:rsidR="00BC796D" w:rsidRPr="002109C8">
        <w:rPr>
          <w:szCs w:val="22"/>
          <w:lang w:val="en-US" w:eastAsia="en-US"/>
        </w:rPr>
        <w:t>promet:</w:t>
      </w:r>
    </w:p>
    <w:p w14:paraId="676B6C48" w14:textId="77777777" w:rsidR="00BC796D" w:rsidRPr="002109C8" w:rsidRDefault="00BC796D" w:rsidP="00BC796D">
      <w:pPr>
        <w:widowControl w:val="0"/>
        <w:autoSpaceDE w:val="0"/>
        <w:autoSpaceDN w:val="0"/>
        <w:spacing w:before="5"/>
        <w:rPr>
          <w:rFonts w:eastAsia="Arial"/>
          <w:szCs w:val="18"/>
          <w:lang w:val="en-US" w:eastAsia="en-US"/>
        </w:rPr>
      </w:pPr>
    </w:p>
    <w:p w14:paraId="1F25E64B" w14:textId="77777777" w:rsidR="00BC796D" w:rsidRPr="002109C8" w:rsidRDefault="00BC796D" w:rsidP="00BC796D">
      <w:pPr>
        <w:widowControl w:val="0"/>
        <w:numPr>
          <w:ilvl w:val="1"/>
          <w:numId w:val="12"/>
        </w:numPr>
        <w:tabs>
          <w:tab w:val="left" w:pos="961"/>
        </w:tabs>
        <w:autoSpaceDE w:val="0"/>
        <w:autoSpaceDN w:val="0"/>
        <w:ind w:right="116"/>
        <w:jc w:val="both"/>
        <w:rPr>
          <w:szCs w:val="22"/>
          <w:lang w:val="en-US" w:eastAsia="en-US"/>
        </w:rPr>
      </w:pPr>
      <w:r w:rsidRPr="002109C8">
        <w:rPr>
          <w:szCs w:val="22"/>
          <w:lang w:val="en-US" w:eastAsia="en-US"/>
        </w:rPr>
        <w:t>provodi politiku Vlade Republike Hrvatske u području uspostave infrastrukture za alternativna goriva</w:t>
      </w:r>
    </w:p>
    <w:p w14:paraId="0C008073" w14:textId="77777777" w:rsidR="00BC796D" w:rsidRPr="002109C8" w:rsidRDefault="00BC796D" w:rsidP="00BC796D">
      <w:pPr>
        <w:widowControl w:val="0"/>
        <w:numPr>
          <w:ilvl w:val="1"/>
          <w:numId w:val="12"/>
        </w:numPr>
        <w:tabs>
          <w:tab w:val="left" w:pos="1024"/>
        </w:tabs>
        <w:autoSpaceDE w:val="0"/>
        <w:autoSpaceDN w:val="0"/>
        <w:ind w:right="113"/>
        <w:jc w:val="both"/>
        <w:rPr>
          <w:szCs w:val="22"/>
          <w:lang w:val="en-US" w:eastAsia="en-US"/>
        </w:rPr>
      </w:pPr>
      <w:r w:rsidRPr="002109C8">
        <w:rPr>
          <w:szCs w:val="22"/>
          <w:lang w:val="en-US" w:eastAsia="en-US"/>
        </w:rPr>
        <w:t>izvješćuje Vladu Republike Hrvatske i Europsku komisiju o provedbi mjera uspostave infrastrukture za alternativna</w:t>
      </w:r>
      <w:r w:rsidRPr="002109C8">
        <w:rPr>
          <w:spacing w:val="2"/>
          <w:szCs w:val="22"/>
          <w:lang w:val="en-US" w:eastAsia="en-US"/>
        </w:rPr>
        <w:t xml:space="preserve"> </w:t>
      </w:r>
      <w:r w:rsidRPr="002109C8">
        <w:rPr>
          <w:szCs w:val="22"/>
          <w:lang w:val="en-US" w:eastAsia="en-US"/>
        </w:rPr>
        <w:t>goriva</w:t>
      </w:r>
    </w:p>
    <w:p w14:paraId="0A4C6DE8" w14:textId="77777777" w:rsidR="00BC796D" w:rsidRPr="002109C8" w:rsidRDefault="00BC796D" w:rsidP="00BC796D">
      <w:pPr>
        <w:widowControl w:val="0"/>
        <w:numPr>
          <w:ilvl w:val="1"/>
          <w:numId w:val="12"/>
        </w:numPr>
        <w:tabs>
          <w:tab w:val="left" w:pos="1055"/>
        </w:tabs>
        <w:autoSpaceDE w:val="0"/>
        <w:autoSpaceDN w:val="0"/>
        <w:ind w:right="116"/>
        <w:jc w:val="both"/>
        <w:rPr>
          <w:szCs w:val="22"/>
          <w:lang w:val="en-US" w:eastAsia="en-US"/>
        </w:rPr>
      </w:pPr>
      <w:r w:rsidRPr="002109C8">
        <w:rPr>
          <w:szCs w:val="22"/>
          <w:lang w:val="en-US" w:eastAsia="en-US"/>
        </w:rPr>
        <w:t>ostvaruje međunarodnu suradnju Republike Hrvatske u području uspostave infrastrukture za alternativna</w:t>
      </w:r>
      <w:r w:rsidRPr="002109C8">
        <w:rPr>
          <w:spacing w:val="-2"/>
          <w:szCs w:val="22"/>
          <w:lang w:val="en-US" w:eastAsia="en-US"/>
        </w:rPr>
        <w:t xml:space="preserve"> </w:t>
      </w:r>
      <w:r w:rsidRPr="002109C8">
        <w:rPr>
          <w:szCs w:val="22"/>
          <w:lang w:val="en-US" w:eastAsia="en-US"/>
        </w:rPr>
        <w:t>goriva</w:t>
      </w:r>
    </w:p>
    <w:p w14:paraId="3121249D" w14:textId="77777777" w:rsidR="00BC796D" w:rsidRPr="002109C8" w:rsidRDefault="00BC796D" w:rsidP="00BC796D">
      <w:pPr>
        <w:widowControl w:val="0"/>
        <w:numPr>
          <w:ilvl w:val="1"/>
          <w:numId w:val="12"/>
        </w:numPr>
        <w:tabs>
          <w:tab w:val="left" w:pos="980"/>
        </w:tabs>
        <w:autoSpaceDE w:val="0"/>
        <w:autoSpaceDN w:val="0"/>
        <w:ind w:right="114"/>
        <w:jc w:val="both"/>
        <w:rPr>
          <w:szCs w:val="22"/>
          <w:lang w:val="en-US" w:eastAsia="en-US"/>
        </w:rPr>
      </w:pPr>
      <w:r w:rsidRPr="002109C8">
        <w:rPr>
          <w:szCs w:val="22"/>
          <w:lang w:val="en-US" w:eastAsia="en-US"/>
        </w:rPr>
        <w:t>sudjeluje u radu tijela Europske komisije u području uspostave infrastrukture za alternativna goriva</w:t>
      </w:r>
    </w:p>
    <w:p w14:paraId="5F8671E0" w14:textId="77777777" w:rsidR="00BC796D" w:rsidRPr="002109C8" w:rsidRDefault="00BC796D" w:rsidP="00BC796D">
      <w:pPr>
        <w:widowControl w:val="0"/>
        <w:autoSpaceDE w:val="0"/>
        <w:autoSpaceDN w:val="0"/>
        <w:spacing w:before="2"/>
        <w:rPr>
          <w:rFonts w:eastAsia="Arial"/>
          <w:szCs w:val="18"/>
          <w:lang w:val="en-US" w:eastAsia="en-US"/>
        </w:rPr>
      </w:pPr>
    </w:p>
    <w:p w14:paraId="43CB8C38" w14:textId="77777777" w:rsidR="00BC796D" w:rsidRPr="002109C8" w:rsidRDefault="00F271BB" w:rsidP="00F271BB">
      <w:pPr>
        <w:widowControl w:val="0"/>
        <w:autoSpaceDE w:val="0"/>
        <w:autoSpaceDN w:val="0"/>
        <w:ind w:right="114"/>
        <w:jc w:val="both"/>
        <w:rPr>
          <w:szCs w:val="22"/>
          <w:lang w:val="en-US" w:eastAsia="en-US"/>
        </w:rPr>
      </w:pPr>
      <w:r>
        <w:rPr>
          <w:szCs w:val="22"/>
          <w:lang w:val="en-US" w:eastAsia="en-US"/>
        </w:rPr>
        <w:t xml:space="preserve">(2) </w:t>
      </w:r>
      <w:r w:rsidR="00BC796D" w:rsidRPr="002109C8">
        <w:rPr>
          <w:szCs w:val="22"/>
          <w:lang w:val="en-US" w:eastAsia="en-US"/>
        </w:rPr>
        <w:t>Za nacionalno koordinacijsko tijelo određuje se Centar za praćenje poslovanja energetskog sektora i investicija</w:t>
      </w:r>
      <w:r w:rsidR="00BC796D" w:rsidRPr="00F271BB">
        <w:rPr>
          <w:szCs w:val="22"/>
          <w:lang w:val="en-US" w:eastAsia="en-US"/>
        </w:rPr>
        <w:t xml:space="preserve"> </w:t>
      </w:r>
      <w:r w:rsidR="00BC796D" w:rsidRPr="002109C8">
        <w:rPr>
          <w:szCs w:val="22"/>
          <w:lang w:val="en-US" w:eastAsia="en-US"/>
        </w:rPr>
        <w:t>i:</w:t>
      </w:r>
    </w:p>
    <w:p w14:paraId="72CF251F" w14:textId="77777777" w:rsidR="00BC796D" w:rsidRPr="002109C8" w:rsidRDefault="00BC796D" w:rsidP="00BC796D">
      <w:pPr>
        <w:widowControl w:val="0"/>
        <w:autoSpaceDE w:val="0"/>
        <w:autoSpaceDN w:val="0"/>
        <w:spacing w:before="4"/>
        <w:rPr>
          <w:rFonts w:eastAsia="Arial"/>
          <w:szCs w:val="18"/>
          <w:lang w:val="en-US" w:eastAsia="en-US"/>
        </w:rPr>
      </w:pPr>
    </w:p>
    <w:p w14:paraId="0FCFFBDE" w14:textId="77777777" w:rsidR="00BC796D" w:rsidRPr="002109C8" w:rsidRDefault="00BC796D" w:rsidP="00BC796D">
      <w:pPr>
        <w:widowControl w:val="0"/>
        <w:numPr>
          <w:ilvl w:val="1"/>
          <w:numId w:val="12"/>
        </w:numPr>
        <w:tabs>
          <w:tab w:val="left" w:pos="990"/>
        </w:tabs>
        <w:autoSpaceDE w:val="0"/>
        <w:autoSpaceDN w:val="0"/>
        <w:ind w:right="117"/>
        <w:jc w:val="both"/>
        <w:rPr>
          <w:szCs w:val="22"/>
          <w:lang w:val="en-US" w:eastAsia="en-US"/>
        </w:rPr>
      </w:pPr>
      <w:r w:rsidRPr="002109C8">
        <w:rPr>
          <w:szCs w:val="22"/>
          <w:lang w:val="en-US" w:eastAsia="en-US"/>
        </w:rPr>
        <w:t>pruža potporu provedbi politike alternativnih goriva utvrđenu odredbama ovoga Zakona</w:t>
      </w:r>
    </w:p>
    <w:p w14:paraId="38FE32D0" w14:textId="77777777" w:rsidR="00BC796D" w:rsidRPr="002109C8" w:rsidRDefault="00BC796D" w:rsidP="00BC796D">
      <w:pPr>
        <w:widowControl w:val="0"/>
        <w:numPr>
          <w:ilvl w:val="1"/>
          <w:numId w:val="12"/>
        </w:numPr>
        <w:tabs>
          <w:tab w:val="left" w:pos="947"/>
        </w:tabs>
        <w:autoSpaceDE w:val="0"/>
        <w:autoSpaceDN w:val="0"/>
        <w:ind w:right="115"/>
        <w:jc w:val="both"/>
        <w:rPr>
          <w:szCs w:val="22"/>
          <w:lang w:val="en-US" w:eastAsia="en-US"/>
        </w:rPr>
      </w:pPr>
      <w:r w:rsidRPr="002109C8">
        <w:rPr>
          <w:szCs w:val="22"/>
          <w:lang w:val="en-US" w:eastAsia="en-US"/>
        </w:rPr>
        <w:t>izrađuje i provodi sustav praćenja mjera za unaprjeđenje infrastrukture alternativnih goriva</w:t>
      </w:r>
    </w:p>
    <w:p w14:paraId="0AF03420" w14:textId="77777777" w:rsidR="00BC796D" w:rsidRPr="002109C8" w:rsidRDefault="00BC796D" w:rsidP="00BC796D">
      <w:pPr>
        <w:widowControl w:val="0"/>
        <w:numPr>
          <w:ilvl w:val="1"/>
          <w:numId w:val="12"/>
        </w:numPr>
        <w:tabs>
          <w:tab w:val="left" w:pos="932"/>
        </w:tabs>
        <w:autoSpaceDE w:val="0"/>
        <w:autoSpaceDN w:val="0"/>
        <w:ind w:right="114"/>
        <w:jc w:val="both"/>
        <w:rPr>
          <w:szCs w:val="22"/>
          <w:lang w:val="en-US" w:eastAsia="en-US"/>
        </w:rPr>
      </w:pPr>
      <w:r w:rsidRPr="002109C8">
        <w:rPr>
          <w:szCs w:val="22"/>
          <w:lang w:val="en-US" w:eastAsia="en-US"/>
        </w:rPr>
        <w:lastRenderedPageBreak/>
        <w:t>za ministarstvo nadležno za promet priprema i prilagođava provedbu okvira mjera za razvoj tržišta alternativnih goriva u prometu, u skladu s člankom 4. stavkom 1. ovog Zakona, te njihovu provedbu prati u sklopu Nacionalnog akcijskog plana za energetsku učinkovitost, te osigurava sustavno planiranje za provedbu politike infrastrukture alternativnih goriva u Republici</w:t>
      </w:r>
      <w:r w:rsidRPr="002109C8">
        <w:rPr>
          <w:spacing w:val="-1"/>
          <w:szCs w:val="22"/>
          <w:lang w:val="en-US" w:eastAsia="en-US"/>
        </w:rPr>
        <w:t xml:space="preserve"> </w:t>
      </w:r>
      <w:r w:rsidRPr="002109C8">
        <w:rPr>
          <w:szCs w:val="22"/>
          <w:lang w:val="en-US" w:eastAsia="en-US"/>
        </w:rPr>
        <w:t>Hrvatskoj</w:t>
      </w:r>
    </w:p>
    <w:p w14:paraId="3C0C6BF1" w14:textId="77777777" w:rsidR="00BC796D" w:rsidRPr="002109C8" w:rsidRDefault="00BC796D" w:rsidP="00BC796D">
      <w:pPr>
        <w:widowControl w:val="0"/>
        <w:numPr>
          <w:ilvl w:val="1"/>
          <w:numId w:val="12"/>
        </w:numPr>
        <w:tabs>
          <w:tab w:val="left" w:pos="947"/>
        </w:tabs>
        <w:autoSpaceDE w:val="0"/>
        <w:autoSpaceDN w:val="0"/>
        <w:spacing w:before="1"/>
        <w:ind w:right="116"/>
        <w:jc w:val="both"/>
        <w:rPr>
          <w:szCs w:val="22"/>
          <w:lang w:val="en-US" w:eastAsia="en-US"/>
        </w:rPr>
      </w:pPr>
      <w:r w:rsidRPr="002109C8">
        <w:rPr>
          <w:szCs w:val="22"/>
          <w:lang w:val="en-US" w:eastAsia="en-US"/>
        </w:rPr>
        <w:t>priprema Izvješće o provedbi NOP-a koje sadrži opis mjera poduzetih kao potpora izgradnji infrastrukture za alternativna goriva u skladu s člankom 5. ovoga</w:t>
      </w:r>
      <w:r w:rsidRPr="002109C8">
        <w:rPr>
          <w:spacing w:val="-5"/>
          <w:szCs w:val="22"/>
          <w:lang w:val="en-US" w:eastAsia="en-US"/>
        </w:rPr>
        <w:t xml:space="preserve"> </w:t>
      </w:r>
      <w:r w:rsidRPr="002109C8">
        <w:rPr>
          <w:szCs w:val="22"/>
          <w:lang w:val="en-US" w:eastAsia="en-US"/>
        </w:rPr>
        <w:t>Zakona</w:t>
      </w:r>
    </w:p>
    <w:p w14:paraId="4395DEDB" w14:textId="77777777" w:rsidR="00BC796D" w:rsidRPr="002109C8" w:rsidRDefault="00BC796D" w:rsidP="00BC796D">
      <w:pPr>
        <w:widowControl w:val="0"/>
        <w:numPr>
          <w:ilvl w:val="1"/>
          <w:numId w:val="12"/>
        </w:numPr>
        <w:tabs>
          <w:tab w:val="left" w:pos="964"/>
        </w:tabs>
        <w:autoSpaceDE w:val="0"/>
        <w:autoSpaceDN w:val="0"/>
        <w:spacing w:before="1"/>
        <w:ind w:right="115"/>
        <w:jc w:val="both"/>
        <w:rPr>
          <w:szCs w:val="22"/>
          <w:lang w:val="en-US" w:eastAsia="en-US"/>
        </w:rPr>
      </w:pPr>
      <w:r w:rsidRPr="002109C8">
        <w:rPr>
          <w:szCs w:val="22"/>
          <w:lang w:val="en-US" w:eastAsia="en-US"/>
        </w:rPr>
        <w:t>na svojim mrežnim stranicama objavljuje i redovito ažurira informacije definirane člankom 5. i člankom 9. stavcima 6. i 7. ovoga</w:t>
      </w:r>
      <w:r w:rsidRPr="002109C8">
        <w:rPr>
          <w:spacing w:val="-1"/>
          <w:szCs w:val="22"/>
          <w:lang w:val="en-US" w:eastAsia="en-US"/>
        </w:rPr>
        <w:t xml:space="preserve"> </w:t>
      </w:r>
      <w:r w:rsidRPr="002109C8">
        <w:rPr>
          <w:szCs w:val="22"/>
          <w:lang w:val="en-US" w:eastAsia="en-US"/>
        </w:rPr>
        <w:t>Zakona.</w:t>
      </w:r>
    </w:p>
    <w:p w14:paraId="67935D62" w14:textId="77777777" w:rsidR="00BC796D" w:rsidRPr="002109C8" w:rsidRDefault="00BC796D" w:rsidP="00BC796D">
      <w:pPr>
        <w:widowControl w:val="0"/>
        <w:autoSpaceDE w:val="0"/>
        <w:autoSpaceDN w:val="0"/>
        <w:ind w:left="1774" w:right="1771"/>
        <w:jc w:val="center"/>
        <w:rPr>
          <w:rFonts w:eastAsia="Arial"/>
          <w:b/>
          <w:szCs w:val="22"/>
          <w:lang w:val="en-US" w:eastAsia="en-US"/>
        </w:rPr>
      </w:pPr>
    </w:p>
    <w:p w14:paraId="1B727309" w14:textId="77777777" w:rsidR="00BC796D" w:rsidRPr="00F271BB" w:rsidRDefault="00BC796D" w:rsidP="00BC796D">
      <w:pPr>
        <w:widowControl w:val="0"/>
        <w:autoSpaceDE w:val="0"/>
        <w:autoSpaceDN w:val="0"/>
        <w:ind w:left="1774" w:right="1771"/>
        <w:jc w:val="center"/>
        <w:rPr>
          <w:rFonts w:eastAsia="Arial"/>
          <w:szCs w:val="22"/>
          <w:lang w:val="en-US" w:eastAsia="en-US"/>
        </w:rPr>
      </w:pPr>
      <w:r w:rsidRPr="00F271BB">
        <w:rPr>
          <w:rFonts w:eastAsia="Arial"/>
          <w:szCs w:val="22"/>
          <w:lang w:val="en-US" w:eastAsia="en-US"/>
        </w:rPr>
        <w:t>Članak 11.</w:t>
      </w:r>
    </w:p>
    <w:p w14:paraId="10B3F278" w14:textId="77777777" w:rsidR="00BC796D" w:rsidRPr="002109C8" w:rsidRDefault="00BC796D" w:rsidP="00BC796D">
      <w:pPr>
        <w:widowControl w:val="0"/>
        <w:autoSpaceDE w:val="0"/>
        <w:autoSpaceDN w:val="0"/>
        <w:spacing w:before="9"/>
        <w:rPr>
          <w:rFonts w:eastAsia="Arial"/>
          <w:b/>
          <w:sz w:val="23"/>
          <w:szCs w:val="18"/>
          <w:lang w:val="en-US" w:eastAsia="en-US"/>
        </w:rPr>
      </w:pPr>
    </w:p>
    <w:p w14:paraId="6269A308" w14:textId="77777777" w:rsidR="00BC796D" w:rsidRPr="002109C8" w:rsidRDefault="00BC796D" w:rsidP="00BC796D">
      <w:pPr>
        <w:widowControl w:val="0"/>
        <w:autoSpaceDE w:val="0"/>
        <w:autoSpaceDN w:val="0"/>
        <w:ind w:left="118"/>
        <w:rPr>
          <w:rFonts w:eastAsia="Arial"/>
          <w:szCs w:val="22"/>
          <w:lang w:val="en-US" w:eastAsia="en-US"/>
        </w:rPr>
      </w:pPr>
      <w:r w:rsidRPr="002109C8">
        <w:rPr>
          <w:rFonts w:eastAsia="Arial"/>
          <w:szCs w:val="22"/>
          <w:lang w:val="en-US" w:eastAsia="en-US"/>
        </w:rPr>
        <w:t>Ministarstvo nadležno za energetiku provodi upravni nadzor nad provedbom ovoga Zakona.</w:t>
      </w:r>
    </w:p>
    <w:p w14:paraId="09A06804" w14:textId="77777777" w:rsidR="00BC796D" w:rsidRPr="002109C8" w:rsidRDefault="00BC796D" w:rsidP="00BC796D">
      <w:pPr>
        <w:widowControl w:val="0"/>
        <w:tabs>
          <w:tab w:val="left" w:pos="2783"/>
        </w:tabs>
        <w:autoSpaceDE w:val="0"/>
        <w:autoSpaceDN w:val="0"/>
        <w:spacing w:line="484" w:lineRule="auto"/>
        <w:ind w:right="2394"/>
        <w:rPr>
          <w:b/>
          <w:szCs w:val="22"/>
          <w:lang w:val="en-US" w:eastAsia="en-US"/>
        </w:rPr>
      </w:pPr>
    </w:p>
    <w:p w14:paraId="0E13763F" w14:textId="0D685C52" w:rsidR="009236F5" w:rsidRDefault="009236F5" w:rsidP="00512049">
      <w:pPr>
        <w:rPr>
          <w:color w:val="000000"/>
        </w:rPr>
      </w:pPr>
    </w:p>
    <w:p w14:paraId="30945F82" w14:textId="77777777" w:rsidR="009236F5" w:rsidRPr="00BC796D" w:rsidRDefault="009236F5" w:rsidP="00512049">
      <w:pPr>
        <w:rPr>
          <w:color w:val="000000"/>
        </w:rPr>
      </w:pPr>
    </w:p>
    <w:sectPr w:rsidR="009236F5" w:rsidRPr="00BC796D" w:rsidSect="00C45989">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473D1" w14:textId="77777777" w:rsidR="0095287A" w:rsidRDefault="0095287A">
      <w:r>
        <w:separator/>
      </w:r>
    </w:p>
  </w:endnote>
  <w:endnote w:type="continuationSeparator" w:id="0">
    <w:p w14:paraId="4B1F1CF2" w14:textId="77777777" w:rsidR="0095287A" w:rsidRDefault="0095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310B" w14:textId="77777777" w:rsidR="0095287A" w:rsidRDefault="0095287A">
      <w:r>
        <w:separator/>
      </w:r>
    </w:p>
  </w:footnote>
  <w:footnote w:type="continuationSeparator" w:id="0">
    <w:p w14:paraId="5B62231B" w14:textId="77777777" w:rsidR="0095287A" w:rsidRDefault="00952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32"/>
    <w:multiLevelType w:val="hybridMultilevel"/>
    <w:tmpl w:val="7E528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54282E"/>
    <w:multiLevelType w:val="hybridMultilevel"/>
    <w:tmpl w:val="6A78ED50"/>
    <w:lvl w:ilvl="0" w:tplc="9946AB50">
      <w:start w:val="1"/>
      <w:numFmt w:val="decimal"/>
      <w:lvlText w:val="(%1)"/>
      <w:lvlJc w:val="left"/>
      <w:pPr>
        <w:ind w:left="118" w:hanging="406"/>
      </w:pPr>
      <w:rPr>
        <w:rFonts w:hint="default"/>
        <w:spacing w:val="-3"/>
        <w:w w:val="100"/>
      </w:rPr>
    </w:lvl>
    <w:lvl w:ilvl="1" w:tplc="CA62C818">
      <w:numFmt w:val="bullet"/>
      <w:lvlText w:val="•"/>
      <w:lvlJc w:val="left"/>
      <w:pPr>
        <w:ind w:left="1038" w:hanging="406"/>
      </w:pPr>
      <w:rPr>
        <w:rFonts w:hint="default"/>
      </w:rPr>
    </w:lvl>
    <w:lvl w:ilvl="2" w:tplc="C248BFEE">
      <w:numFmt w:val="bullet"/>
      <w:lvlText w:val="•"/>
      <w:lvlJc w:val="left"/>
      <w:pPr>
        <w:ind w:left="1957" w:hanging="406"/>
      </w:pPr>
      <w:rPr>
        <w:rFonts w:hint="default"/>
      </w:rPr>
    </w:lvl>
    <w:lvl w:ilvl="3" w:tplc="A5E48984">
      <w:numFmt w:val="bullet"/>
      <w:lvlText w:val="•"/>
      <w:lvlJc w:val="left"/>
      <w:pPr>
        <w:ind w:left="2875" w:hanging="406"/>
      </w:pPr>
      <w:rPr>
        <w:rFonts w:hint="default"/>
      </w:rPr>
    </w:lvl>
    <w:lvl w:ilvl="4" w:tplc="2B6ACF46">
      <w:numFmt w:val="bullet"/>
      <w:lvlText w:val="•"/>
      <w:lvlJc w:val="left"/>
      <w:pPr>
        <w:ind w:left="3794" w:hanging="406"/>
      </w:pPr>
      <w:rPr>
        <w:rFonts w:hint="default"/>
      </w:rPr>
    </w:lvl>
    <w:lvl w:ilvl="5" w:tplc="4EDEF542">
      <w:numFmt w:val="bullet"/>
      <w:lvlText w:val="•"/>
      <w:lvlJc w:val="left"/>
      <w:pPr>
        <w:ind w:left="4712" w:hanging="406"/>
      </w:pPr>
      <w:rPr>
        <w:rFonts w:hint="default"/>
      </w:rPr>
    </w:lvl>
    <w:lvl w:ilvl="6" w:tplc="67B898A4">
      <w:numFmt w:val="bullet"/>
      <w:lvlText w:val="•"/>
      <w:lvlJc w:val="left"/>
      <w:pPr>
        <w:ind w:left="5631" w:hanging="406"/>
      </w:pPr>
      <w:rPr>
        <w:rFonts w:hint="default"/>
      </w:rPr>
    </w:lvl>
    <w:lvl w:ilvl="7" w:tplc="4B42ADC4">
      <w:numFmt w:val="bullet"/>
      <w:lvlText w:val="•"/>
      <w:lvlJc w:val="left"/>
      <w:pPr>
        <w:ind w:left="6549" w:hanging="406"/>
      </w:pPr>
      <w:rPr>
        <w:rFonts w:hint="default"/>
      </w:rPr>
    </w:lvl>
    <w:lvl w:ilvl="8" w:tplc="DA6048FA">
      <w:numFmt w:val="bullet"/>
      <w:lvlText w:val="•"/>
      <w:lvlJc w:val="left"/>
      <w:pPr>
        <w:ind w:left="7468" w:hanging="406"/>
      </w:pPr>
      <w:rPr>
        <w:rFonts w:hint="default"/>
      </w:rPr>
    </w:lvl>
  </w:abstractNum>
  <w:abstractNum w:abstractNumId="2" w15:restartNumberingAfterBreak="0">
    <w:nsid w:val="09467334"/>
    <w:multiLevelType w:val="hybridMultilevel"/>
    <w:tmpl w:val="21CA9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E86075"/>
    <w:multiLevelType w:val="hybridMultilevel"/>
    <w:tmpl w:val="6B10AF7E"/>
    <w:lvl w:ilvl="0" w:tplc="217884BA">
      <w:start w:val="1"/>
      <w:numFmt w:val="decimal"/>
      <w:lvlText w:val="(%1)"/>
      <w:lvlJc w:val="left"/>
      <w:pPr>
        <w:ind w:left="118" w:hanging="353"/>
      </w:pPr>
      <w:rPr>
        <w:rFonts w:ascii="Times New Roman" w:eastAsia="Times New Roman" w:hAnsi="Times New Roman" w:cs="Times New Roman" w:hint="default"/>
        <w:w w:val="100"/>
        <w:sz w:val="24"/>
        <w:szCs w:val="24"/>
      </w:rPr>
    </w:lvl>
    <w:lvl w:ilvl="1" w:tplc="6ED41B74">
      <w:start w:val="1"/>
      <w:numFmt w:val="decimal"/>
      <w:lvlText w:val="%2."/>
      <w:lvlJc w:val="left"/>
      <w:pPr>
        <w:ind w:left="684" w:hanging="250"/>
      </w:pPr>
      <w:rPr>
        <w:rFonts w:ascii="Times New Roman" w:eastAsia="Times New Roman" w:hAnsi="Times New Roman" w:cs="Times New Roman" w:hint="default"/>
        <w:w w:val="100"/>
        <w:sz w:val="24"/>
        <w:szCs w:val="24"/>
      </w:rPr>
    </w:lvl>
    <w:lvl w:ilvl="2" w:tplc="8B88769E">
      <w:numFmt w:val="bullet"/>
      <w:lvlText w:val="•"/>
      <w:lvlJc w:val="left"/>
      <w:pPr>
        <w:ind w:left="1638" w:hanging="250"/>
      </w:pPr>
      <w:rPr>
        <w:rFonts w:hint="default"/>
      </w:rPr>
    </w:lvl>
    <w:lvl w:ilvl="3" w:tplc="0A941156">
      <w:numFmt w:val="bullet"/>
      <w:lvlText w:val="•"/>
      <w:lvlJc w:val="left"/>
      <w:pPr>
        <w:ind w:left="2596" w:hanging="250"/>
      </w:pPr>
      <w:rPr>
        <w:rFonts w:hint="default"/>
      </w:rPr>
    </w:lvl>
    <w:lvl w:ilvl="4" w:tplc="8AF8F01E">
      <w:numFmt w:val="bullet"/>
      <w:lvlText w:val="•"/>
      <w:lvlJc w:val="left"/>
      <w:pPr>
        <w:ind w:left="3555" w:hanging="250"/>
      </w:pPr>
      <w:rPr>
        <w:rFonts w:hint="default"/>
      </w:rPr>
    </w:lvl>
    <w:lvl w:ilvl="5" w:tplc="44AE29EA">
      <w:numFmt w:val="bullet"/>
      <w:lvlText w:val="•"/>
      <w:lvlJc w:val="left"/>
      <w:pPr>
        <w:ind w:left="4513" w:hanging="250"/>
      </w:pPr>
      <w:rPr>
        <w:rFonts w:hint="default"/>
      </w:rPr>
    </w:lvl>
    <w:lvl w:ilvl="6" w:tplc="46965CBA">
      <w:numFmt w:val="bullet"/>
      <w:lvlText w:val="•"/>
      <w:lvlJc w:val="left"/>
      <w:pPr>
        <w:ind w:left="5471" w:hanging="250"/>
      </w:pPr>
      <w:rPr>
        <w:rFonts w:hint="default"/>
      </w:rPr>
    </w:lvl>
    <w:lvl w:ilvl="7" w:tplc="C9EE50B4">
      <w:numFmt w:val="bullet"/>
      <w:lvlText w:val="•"/>
      <w:lvlJc w:val="left"/>
      <w:pPr>
        <w:ind w:left="6430" w:hanging="250"/>
      </w:pPr>
      <w:rPr>
        <w:rFonts w:hint="default"/>
      </w:rPr>
    </w:lvl>
    <w:lvl w:ilvl="8" w:tplc="5A1C5112">
      <w:numFmt w:val="bullet"/>
      <w:lvlText w:val="•"/>
      <w:lvlJc w:val="left"/>
      <w:pPr>
        <w:ind w:left="7388" w:hanging="250"/>
      </w:pPr>
      <w:rPr>
        <w:rFonts w:hint="default"/>
      </w:rPr>
    </w:lvl>
  </w:abstractNum>
  <w:abstractNum w:abstractNumId="4" w15:restartNumberingAfterBreak="0">
    <w:nsid w:val="1B7E62A2"/>
    <w:multiLevelType w:val="hybridMultilevel"/>
    <w:tmpl w:val="3BC8D70E"/>
    <w:lvl w:ilvl="0" w:tplc="F550A9CC">
      <w:start w:val="1"/>
      <w:numFmt w:val="decimal"/>
      <w:lvlText w:val="(%1)"/>
      <w:lvlJc w:val="left"/>
      <w:pPr>
        <w:ind w:left="118" w:hanging="387"/>
      </w:pPr>
      <w:rPr>
        <w:rFonts w:ascii="Times New Roman" w:eastAsia="Times New Roman" w:hAnsi="Times New Roman" w:cs="Times New Roman" w:hint="default"/>
        <w:spacing w:val="-14"/>
        <w:w w:val="100"/>
        <w:sz w:val="24"/>
        <w:szCs w:val="24"/>
      </w:rPr>
    </w:lvl>
    <w:lvl w:ilvl="1" w:tplc="A5765072">
      <w:numFmt w:val="bullet"/>
      <w:lvlText w:val="•"/>
      <w:lvlJc w:val="left"/>
      <w:pPr>
        <w:ind w:left="1038" w:hanging="387"/>
      </w:pPr>
      <w:rPr>
        <w:rFonts w:hint="default"/>
      </w:rPr>
    </w:lvl>
    <w:lvl w:ilvl="2" w:tplc="9BC8C000">
      <w:numFmt w:val="bullet"/>
      <w:lvlText w:val="•"/>
      <w:lvlJc w:val="left"/>
      <w:pPr>
        <w:ind w:left="1957" w:hanging="387"/>
      </w:pPr>
      <w:rPr>
        <w:rFonts w:hint="default"/>
      </w:rPr>
    </w:lvl>
    <w:lvl w:ilvl="3" w:tplc="5C882784">
      <w:numFmt w:val="bullet"/>
      <w:lvlText w:val="•"/>
      <w:lvlJc w:val="left"/>
      <w:pPr>
        <w:ind w:left="2875" w:hanging="387"/>
      </w:pPr>
      <w:rPr>
        <w:rFonts w:hint="default"/>
      </w:rPr>
    </w:lvl>
    <w:lvl w:ilvl="4" w:tplc="3E6636A8">
      <w:numFmt w:val="bullet"/>
      <w:lvlText w:val="•"/>
      <w:lvlJc w:val="left"/>
      <w:pPr>
        <w:ind w:left="3794" w:hanging="387"/>
      </w:pPr>
      <w:rPr>
        <w:rFonts w:hint="default"/>
      </w:rPr>
    </w:lvl>
    <w:lvl w:ilvl="5" w:tplc="40D0D372">
      <w:numFmt w:val="bullet"/>
      <w:lvlText w:val="•"/>
      <w:lvlJc w:val="left"/>
      <w:pPr>
        <w:ind w:left="4712" w:hanging="387"/>
      </w:pPr>
      <w:rPr>
        <w:rFonts w:hint="default"/>
      </w:rPr>
    </w:lvl>
    <w:lvl w:ilvl="6" w:tplc="5E4E6DEE">
      <w:numFmt w:val="bullet"/>
      <w:lvlText w:val="•"/>
      <w:lvlJc w:val="left"/>
      <w:pPr>
        <w:ind w:left="5631" w:hanging="387"/>
      </w:pPr>
      <w:rPr>
        <w:rFonts w:hint="default"/>
      </w:rPr>
    </w:lvl>
    <w:lvl w:ilvl="7" w:tplc="CEE479E2">
      <w:numFmt w:val="bullet"/>
      <w:lvlText w:val="•"/>
      <w:lvlJc w:val="left"/>
      <w:pPr>
        <w:ind w:left="6549" w:hanging="387"/>
      </w:pPr>
      <w:rPr>
        <w:rFonts w:hint="default"/>
      </w:rPr>
    </w:lvl>
    <w:lvl w:ilvl="8" w:tplc="457C30AE">
      <w:numFmt w:val="bullet"/>
      <w:lvlText w:val="•"/>
      <w:lvlJc w:val="left"/>
      <w:pPr>
        <w:ind w:left="7468" w:hanging="387"/>
      </w:pPr>
      <w:rPr>
        <w:rFonts w:hint="default"/>
      </w:rPr>
    </w:lvl>
  </w:abstractNum>
  <w:abstractNum w:abstractNumId="5" w15:restartNumberingAfterBreak="0">
    <w:nsid w:val="2E7A387A"/>
    <w:multiLevelType w:val="hybridMultilevel"/>
    <w:tmpl w:val="4E7C4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5A3E21"/>
    <w:multiLevelType w:val="hybridMultilevel"/>
    <w:tmpl w:val="76A6324C"/>
    <w:lvl w:ilvl="0" w:tplc="09347CD0">
      <w:start w:val="1"/>
      <w:numFmt w:val="decimal"/>
      <w:lvlText w:val="(%1)"/>
      <w:lvlJc w:val="left"/>
      <w:pPr>
        <w:ind w:left="118" w:hanging="339"/>
      </w:pPr>
      <w:rPr>
        <w:rFonts w:ascii="Times New Roman" w:eastAsia="Times New Roman" w:hAnsi="Times New Roman" w:cs="Times New Roman" w:hint="default"/>
        <w:w w:val="100"/>
        <w:sz w:val="24"/>
        <w:szCs w:val="24"/>
      </w:rPr>
    </w:lvl>
    <w:lvl w:ilvl="1" w:tplc="CF928B70">
      <w:start w:val="1"/>
      <w:numFmt w:val="decimal"/>
      <w:lvlText w:val="%2."/>
      <w:lvlJc w:val="left"/>
      <w:pPr>
        <w:ind w:left="684" w:hanging="255"/>
      </w:pPr>
      <w:rPr>
        <w:rFonts w:ascii="Times New Roman" w:eastAsia="Times New Roman" w:hAnsi="Times New Roman" w:cs="Times New Roman" w:hint="default"/>
        <w:w w:val="100"/>
        <w:sz w:val="24"/>
        <w:szCs w:val="24"/>
      </w:rPr>
    </w:lvl>
    <w:lvl w:ilvl="2" w:tplc="E5044746">
      <w:numFmt w:val="bullet"/>
      <w:lvlText w:val="•"/>
      <w:lvlJc w:val="left"/>
      <w:pPr>
        <w:ind w:left="1638" w:hanging="255"/>
      </w:pPr>
      <w:rPr>
        <w:rFonts w:hint="default"/>
      </w:rPr>
    </w:lvl>
    <w:lvl w:ilvl="3" w:tplc="AA529B86">
      <w:numFmt w:val="bullet"/>
      <w:lvlText w:val="•"/>
      <w:lvlJc w:val="left"/>
      <w:pPr>
        <w:ind w:left="2596" w:hanging="255"/>
      </w:pPr>
      <w:rPr>
        <w:rFonts w:hint="default"/>
      </w:rPr>
    </w:lvl>
    <w:lvl w:ilvl="4" w:tplc="F1700C08">
      <w:numFmt w:val="bullet"/>
      <w:lvlText w:val="•"/>
      <w:lvlJc w:val="left"/>
      <w:pPr>
        <w:ind w:left="3555" w:hanging="255"/>
      </w:pPr>
      <w:rPr>
        <w:rFonts w:hint="default"/>
      </w:rPr>
    </w:lvl>
    <w:lvl w:ilvl="5" w:tplc="F000DDA0">
      <w:numFmt w:val="bullet"/>
      <w:lvlText w:val="•"/>
      <w:lvlJc w:val="left"/>
      <w:pPr>
        <w:ind w:left="4513" w:hanging="255"/>
      </w:pPr>
      <w:rPr>
        <w:rFonts w:hint="default"/>
      </w:rPr>
    </w:lvl>
    <w:lvl w:ilvl="6" w:tplc="01289F4E">
      <w:numFmt w:val="bullet"/>
      <w:lvlText w:val="•"/>
      <w:lvlJc w:val="left"/>
      <w:pPr>
        <w:ind w:left="5471" w:hanging="255"/>
      </w:pPr>
      <w:rPr>
        <w:rFonts w:hint="default"/>
      </w:rPr>
    </w:lvl>
    <w:lvl w:ilvl="7" w:tplc="068094B6">
      <w:numFmt w:val="bullet"/>
      <w:lvlText w:val="•"/>
      <w:lvlJc w:val="left"/>
      <w:pPr>
        <w:ind w:left="6430" w:hanging="255"/>
      </w:pPr>
      <w:rPr>
        <w:rFonts w:hint="default"/>
      </w:rPr>
    </w:lvl>
    <w:lvl w:ilvl="8" w:tplc="9AA8B002">
      <w:numFmt w:val="bullet"/>
      <w:lvlText w:val="•"/>
      <w:lvlJc w:val="left"/>
      <w:pPr>
        <w:ind w:left="7388" w:hanging="255"/>
      </w:pPr>
      <w:rPr>
        <w:rFonts w:hint="default"/>
      </w:rPr>
    </w:lvl>
  </w:abstractNum>
  <w:abstractNum w:abstractNumId="7" w15:restartNumberingAfterBreak="0">
    <w:nsid w:val="3F7F381B"/>
    <w:multiLevelType w:val="hybridMultilevel"/>
    <w:tmpl w:val="4E2C6222"/>
    <w:lvl w:ilvl="0" w:tplc="386880AA">
      <w:start w:val="1"/>
      <w:numFmt w:val="decimal"/>
      <w:lvlText w:val="(%1)"/>
      <w:lvlJc w:val="left"/>
      <w:pPr>
        <w:ind w:left="118" w:hanging="473"/>
      </w:pPr>
      <w:rPr>
        <w:rFonts w:ascii="Times New Roman" w:eastAsia="Times New Roman" w:hAnsi="Times New Roman" w:cs="Times New Roman" w:hint="default"/>
        <w:spacing w:val="-24"/>
        <w:w w:val="100"/>
        <w:sz w:val="24"/>
        <w:szCs w:val="24"/>
      </w:rPr>
    </w:lvl>
    <w:lvl w:ilvl="1" w:tplc="5B2C142E">
      <w:start w:val="1"/>
      <w:numFmt w:val="decimal"/>
      <w:lvlText w:val="%2."/>
      <w:lvlJc w:val="left"/>
      <w:pPr>
        <w:ind w:left="684" w:hanging="252"/>
      </w:pPr>
      <w:rPr>
        <w:rFonts w:ascii="Times New Roman" w:eastAsia="Times New Roman" w:hAnsi="Times New Roman" w:cs="Times New Roman" w:hint="default"/>
        <w:w w:val="100"/>
        <w:sz w:val="24"/>
        <w:szCs w:val="24"/>
      </w:rPr>
    </w:lvl>
    <w:lvl w:ilvl="2" w:tplc="64FC7464">
      <w:numFmt w:val="bullet"/>
      <w:lvlText w:val="•"/>
      <w:lvlJc w:val="left"/>
      <w:pPr>
        <w:ind w:left="1638" w:hanging="252"/>
      </w:pPr>
      <w:rPr>
        <w:rFonts w:hint="default"/>
      </w:rPr>
    </w:lvl>
    <w:lvl w:ilvl="3" w:tplc="82EC12F8">
      <w:numFmt w:val="bullet"/>
      <w:lvlText w:val="•"/>
      <w:lvlJc w:val="left"/>
      <w:pPr>
        <w:ind w:left="2596" w:hanging="252"/>
      </w:pPr>
      <w:rPr>
        <w:rFonts w:hint="default"/>
      </w:rPr>
    </w:lvl>
    <w:lvl w:ilvl="4" w:tplc="1B3E7060">
      <w:numFmt w:val="bullet"/>
      <w:lvlText w:val="•"/>
      <w:lvlJc w:val="left"/>
      <w:pPr>
        <w:ind w:left="3555" w:hanging="252"/>
      </w:pPr>
      <w:rPr>
        <w:rFonts w:hint="default"/>
      </w:rPr>
    </w:lvl>
    <w:lvl w:ilvl="5" w:tplc="920C3A3C">
      <w:numFmt w:val="bullet"/>
      <w:lvlText w:val="•"/>
      <w:lvlJc w:val="left"/>
      <w:pPr>
        <w:ind w:left="4513" w:hanging="252"/>
      </w:pPr>
      <w:rPr>
        <w:rFonts w:hint="default"/>
      </w:rPr>
    </w:lvl>
    <w:lvl w:ilvl="6" w:tplc="909C394A">
      <w:numFmt w:val="bullet"/>
      <w:lvlText w:val="•"/>
      <w:lvlJc w:val="left"/>
      <w:pPr>
        <w:ind w:left="5471" w:hanging="252"/>
      </w:pPr>
      <w:rPr>
        <w:rFonts w:hint="default"/>
      </w:rPr>
    </w:lvl>
    <w:lvl w:ilvl="7" w:tplc="239EB8B2">
      <w:numFmt w:val="bullet"/>
      <w:lvlText w:val="•"/>
      <w:lvlJc w:val="left"/>
      <w:pPr>
        <w:ind w:left="6430" w:hanging="252"/>
      </w:pPr>
      <w:rPr>
        <w:rFonts w:hint="default"/>
      </w:rPr>
    </w:lvl>
    <w:lvl w:ilvl="8" w:tplc="393E85DA">
      <w:numFmt w:val="bullet"/>
      <w:lvlText w:val="•"/>
      <w:lvlJc w:val="left"/>
      <w:pPr>
        <w:ind w:left="7388" w:hanging="252"/>
      </w:pPr>
      <w:rPr>
        <w:rFonts w:hint="default"/>
      </w:rPr>
    </w:lvl>
  </w:abstractNum>
  <w:abstractNum w:abstractNumId="8" w15:restartNumberingAfterBreak="0">
    <w:nsid w:val="3F9D372B"/>
    <w:multiLevelType w:val="hybridMultilevel"/>
    <w:tmpl w:val="AA96B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1A31AB"/>
    <w:multiLevelType w:val="hybridMultilevel"/>
    <w:tmpl w:val="0A7208D2"/>
    <w:lvl w:ilvl="0" w:tplc="BF7C8B1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D026DF5"/>
    <w:multiLevelType w:val="hybridMultilevel"/>
    <w:tmpl w:val="1A6CED62"/>
    <w:lvl w:ilvl="0" w:tplc="693EEF10">
      <w:start w:val="1"/>
      <w:numFmt w:val="decimal"/>
      <w:lvlText w:val="(%1)"/>
      <w:lvlJc w:val="left"/>
      <w:pPr>
        <w:ind w:left="118" w:hanging="459"/>
      </w:pPr>
      <w:rPr>
        <w:rFonts w:ascii="Times New Roman" w:eastAsia="Times New Roman" w:hAnsi="Times New Roman" w:cs="Times New Roman" w:hint="default"/>
        <w:spacing w:val="-5"/>
        <w:w w:val="100"/>
        <w:sz w:val="24"/>
        <w:szCs w:val="24"/>
      </w:rPr>
    </w:lvl>
    <w:lvl w:ilvl="1" w:tplc="F06CFC66">
      <w:numFmt w:val="bullet"/>
      <w:lvlText w:val="•"/>
      <w:lvlJc w:val="left"/>
      <w:pPr>
        <w:ind w:left="1038" w:hanging="459"/>
      </w:pPr>
      <w:rPr>
        <w:rFonts w:hint="default"/>
      </w:rPr>
    </w:lvl>
    <w:lvl w:ilvl="2" w:tplc="5F34C870">
      <w:numFmt w:val="bullet"/>
      <w:lvlText w:val="•"/>
      <w:lvlJc w:val="left"/>
      <w:pPr>
        <w:ind w:left="1957" w:hanging="459"/>
      </w:pPr>
      <w:rPr>
        <w:rFonts w:hint="default"/>
      </w:rPr>
    </w:lvl>
    <w:lvl w:ilvl="3" w:tplc="E55EDDEA">
      <w:numFmt w:val="bullet"/>
      <w:lvlText w:val="•"/>
      <w:lvlJc w:val="left"/>
      <w:pPr>
        <w:ind w:left="2875" w:hanging="459"/>
      </w:pPr>
      <w:rPr>
        <w:rFonts w:hint="default"/>
      </w:rPr>
    </w:lvl>
    <w:lvl w:ilvl="4" w:tplc="F6F6FC44">
      <w:numFmt w:val="bullet"/>
      <w:lvlText w:val="•"/>
      <w:lvlJc w:val="left"/>
      <w:pPr>
        <w:ind w:left="3794" w:hanging="459"/>
      </w:pPr>
      <w:rPr>
        <w:rFonts w:hint="default"/>
      </w:rPr>
    </w:lvl>
    <w:lvl w:ilvl="5" w:tplc="66D466BC">
      <w:numFmt w:val="bullet"/>
      <w:lvlText w:val="•"/>
      <w:lvlJc w:val="left"/>
      <w:pPr>
        <w:ind w:left="4712" w:hanging="459"/>
      </w:pPr>
      <w:rPr>
        <w:rFonts w:hint="default"/>
      </w:rPr>
    </w:lvl>
    <w:lvl w:ilvl="6" w:tplc="96CEFE1A">
      <w:numFmt w:val="bullet"/>
      <w:lvlText w:val="•"/>
      <w:lvlJc w:val="left"/>
      <w:pPr>
        <w:ind w:left="5631" w:hanging="459"/>
      </w:pPr>
      <w:rPr>
        <w:rFonts w:hint="default"/>
      </w:rPr>
    </w:lvl>
    <w:lvl w:ilvl="7" w:tplc="B4B64134">
      <w:numFmt w:val="bullet"/>
      <w:lvlText w:val="•"/>
      <w:lvlJc w:val="left"/>
      <w:pPr>
        <w:ind w:left="6549" w:hanging="459"/>
      </w:pPr>
      <w:rPr>
        <w:rFonts w:hint="default"/>
      </w:rPr>
    </w:lvl>
    <w:lvl w:ilvl="8" w:tplc="DE2A809A">
      <w:numFmt w:val="bullet"/>
      <w:lvlText w:val="•"/>
      <w:lvlJc w:val="left"/>
      <w:pPr>
        <w:ind w:left="7468" w:hanging="459"/>
      </w:pPr>
      <w:rPr>
        <w:rFonts w:hint="default"/>
      </w:rPr>
    </w:lvl>
  </w:abstractNum>
  <w:abstractNum w:abstractNumId="11" w15:restartNumberingAfterBreak="0">
    <w:nsid w:val="605D07BA"/>
    <w:multiLevelType w:val="hybridMultilevel"/>
    <w:tmpl w:val="2D22F53E"/>
    <w:lvl w:ilvl="0" w:tplc="E126F990">
      <w:start w:val="1"/>
      <w:numFmt w:val="decimal"/>
      <w:lvlText w:val="(%1)"/>
      <w:lvlJc w:val="left"/>
      <w:pPr>
        <w:ind w:left="456" w:hanging="339"/>
      </w:pPr>
      <w:rPr>
        <w:rFonts w:ascii="Times New Roman" w:eastAsia="Times New Roman" w:hAnsi="Times New Roman" w:cs="Times New Roman" w:hint="default"/>
        <w:w w:val="100"/>
        <w:sz w:val="24"/>
        <w:szCs w:val="24"/>
      </w:rPr>
    </w:lvl>
    <w:lvl w:ilvl="1" w:tplc="AFB8B81E">
      <w:start w:val="1"/>
      <w:numFmt w:val="decimal"/>
      <w:lvlText w:val="%2."/>
      <w:lvlJc w:val="left"/>
      <w:pPr>
        <w:ind w:left="684" w:hanging="396"/>
      </w:pPr>
      <w:rPr>
        <w:rFonts w:ascii="Times New Roman" w:eastAsia="Times New Roman" w:hAnsi="Times New Roman" w:cs="Times New Roman" w:hint="default"/>
        <w:spacing w:val="-30"/>
        <w:w w:val="100"/>
        <w:sz w:val="24"/>
        <w:szCs w:val="24"/>
      </w:rPr>
    </w:lvl>
    <w:lvl w:ilvl="2" w:tplc="CEBEC5A6">
      <w:numFmt w:val="bullet"/>
      <w:lvlText w:val="•"/>
      <w:lvlJc w:val="left"/>
      <w:pPr>
        <w:ind w:left="1638" w:hanging="396"/>
      </w:pPr>
      <w:rPr>
        <w:rFonts w:hint="default"/>
      </w:rPr>
    </w:lvl>
    <w:lvl w:ilvl="3" w:tplc="1D385A78">
      <w:numFmt w:val="bullet"/>
      <w:lvlText w:val="•"/>
      <w:lvlJc w:val="left"/>
      <w:pPr>
        <w:ind w:left="2596" w:hanging="396"/>
      </w:pPr>
      <w:rPr>
        <w:rFonts w:hint="default"/>
      </w:rPr>
    </w:lvl>
    <w:lvl w:ilvl="4" w:tplc="1C845BE4">
      <w:numFmt w:val="bullet"/>
      <w:lvlText w:val="•"/>
      <w:lvlJc w:val="left"/>
      <w:pPr>
        <w:ind w:left="3555" w:hanging="396"/>
      </w:pPr>
      <w:rPr>
        <w:rFonts w:hint="default"/>
      </w:rPr>
    </w:lvl>
    <w:lvl w:ilvl="5" w:tplc="92AA034E">
      <w:numFmt w:val="bullet"/>
      <w:lvlText w:val="•"/>
      <w:lvlJc w:val="left"/>
      <w:pPr>
        <w:ind w:left="4513" w:hanging="396"/>
      </w:pPr>
      <w:rPr>
        <w:rFonts w:hint="default"/>
      </w:rPr>
    </w:lvl>
    <w:lvl w:ilvl="6" w:tplc="02141016">
      <w:numFmt w:val="bullet"/>
      <w:lvlText w:val="•"/>
      <w:lvlJc w:val="left"/>
      <w:pPr>
        <w:ind w:left="5471" w:hanging="396"/>
      </w:pPr>
      <w:rPr>
        <w:rFonts w:hint="default"/>
      </w:rPr>
    </w:lvl>
    <w:lvl w:ilvl="7" w:tplc="6616B5A6">
      <w:numFmt w:val="bullet"/>
      <w:lvlText w:val="•"/>
      <w:lvlJc w:val="left"/>
      <w:pPr>
        <w:ind w:left="6430" w:hanging="396"/>
      </w:pPr>
      <w:rPr>
        <w:rFonts w:hint="default"/>
      </w:rPr>
    </w:lvl>
    <w:lvl w:ilvl="8" w:tplc="4DD411C0">
      <w:numFmt w:val="bullet"/>
      <w:lvlText w:val="•"/>
      <w:lvlJc w:val="left"/>
      <w:pPr>
        <w:ind w:left="7388" w:hanging="396"/>
      </w:pPr>
      <w:rPr>
        <w:rFonts w:hint="default"/>
      </w:rPr>
    </w:lvl>
  </w:abstractNum>
  <w:abstractNum w:abstractNumId="12" w15:restartNumberingAfterBreak="0">
    <w:nsid w:val="621E5C26"/>
    <w:multiLevelType w:val="hybridMultilevel"/>
    <w:tmpl w:val="F4920DB6"/>
    <w:lvl w:ilvl="0" w:tplc="8CDA06D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B11415"/>
    <w:multiLevelType w:val="hybridMultilevel"/>
    <w:tmpl w:val="4DB20E0E"/>
    <w:lvl w:ilvl="0" w:tplc="09BA8148">
      <w:start w:val="2"/>
      <w:numFmt w:val="bullet"/>
      <w:lvlText w:val="-"/>
      <w:lvlJc w:val="left"/>
      <w:pPr>
        <w:tabs>
          <w:tab w:val="num" w:pos="720"/>
        </w:tabs>
        <w:ind w:left="720" w:hanging="360"/>
      </w:pPr>
      <w:rPr>
        <w:rFonts w:ascii="TimesNewRomanPS-BoldMT" w:eastAsia="Times New Roman" w:hAnsi="TimesNewRomanPS-BoldMT" w:cs="TimesNewRomanPS-BoldMT"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51057F"/>
    <w:multiLevelType w:val="hybridMultilevel"/>
    <w:tmpl w:val="F4086410"/>
    <w:lvl w:ilvl="0" w:tplc="4D7633B4">
      <w:start w:val="1"/>
      <w:numFmt w:val="decimal"/>
      <w:lvlText w:val="(%1)"/>
      <w:lvlJc w:val="left"/>
      <w:pPr>
        <w:ind w:left="516" w:hanging="339"/>
      </w:pPr>
      <w:rPr>
        <w:rFonts w:ascii="Times New Roman" w:eastAsia="Times New Roman" w:hAnsi="Times New Roman" w:cs="Times New Roman" w:hint="default"/>
        <w:spacing w:val="-1"/>
        <w:w w:val="100"/>
        <w:sz w:val="24"/>
        <w:szCs w:val="24"/>
      </w:rPr>
    </w:lvl>
    <w:lvl w:ilvl="1" w:tplc="0C209668">
      <w:start w:val="1"/>
      <w:numFmt w:val="decimal"/>
      <w:lvlText w:val="%2."/>
      <w:lvlJc w:val="left"/>
      <w:pPr>
        <w:ind w:left="684" w:hanging="276"/>
      </w:pPr>
      <w:rPr>
        <w:rFonts w:ascii="Times New Roman" w:eastAsia="Times New Roman" w:hAnsi="Times New Roman" w:cs="Times New Roman" w:hint="default"/>
        <w:spacing w:val="-27"/>
        <w:w w:val="100"/>
        <w:sz w:val="24"/>
        <w:szCs w:val="24"/>
      </w:rPr>
    </w:lvl>
    <w:lvl w:ilvl="2" w:tplc="9300D666">
      <w:numFmt w:val="bullet"/>
      <w:lvlText w:val="•"/>
      <w:lvlJc w:val="left"/>
      <w:pPr>
        <w:ind w:left="1638" w:hanging="276"/>
      </w:pPr>
      <w:rPr>
        <w:rFonts w:hint="default"/>
      </w:rPr>
    </w:lvl>
    <w:lvl w:ilvl="3" w:tplc="C228EBB6">
      <w:numFmt w:val="bullet"/>
      <w:lvlText w:val="•"/>
      <w:lvlJc w:val="left"/>
      <w:pPr>
        <w:ind w:left="2596" w:hanging="276"/>
      </w:pPr>
      <w:rPr>
        <w:rFonts w:hint="default"/>
      </w:rPr>
    </w:lvl>
    <w:lvl w:ilvl="4" w:tplc="59662FAC">
      <w:numFmt w:val="bullet"/>
      <w:lvlText w:val="•"/>
      <w:lvlJc w:val="left"/>
      <w:pPr>
        <w:ind w:left="3555" w:hanging="276"/>
      </w:pPr>
      <w:rPr>
        <w:rFonts w:hint="default"/>
      </w:rPr>
    </w:lvl>
    <w:lvl w:ilvl="5" w:tplc="5300997C">
      <w:numFmt w:val="bullet"/>
      <w:lvlText w:val="•"/>
      <w:lvlJc w:val="left"/>
      <w:pPr>
        <w:ind w:left="4513" w:hanging="276"/>
      </w:pPr>
      <w:rPr>
        <w:rFonts w:hint="default"/>
      </w:rPr>
    </w:lvl>
    <w:lvl w:ilvl="6" w:tplc="C14280C2">
      <w:numFmt w:val="bullet"/>
      <w:lvlText w:val="•"/>
      <w:lvlJc w:val="left"/>
      <w:pPr>
        <w:ind w:left="5471" w:hanging="276"/>
      </w:pPr>
      <w:rPr>
        <w:rFonts w:hint="default"/>
      </w:rPr>
    </w:lvl>
    <w:lvl w:ilvl="7" w:tplc="254C1764">
      <w:numFmt w:val="bullet"/>
      <w:lvlText w:val="•"/>
      <w:lvlJc w:val="left"/>
      <w:pPr>
        <w:ind w:left="6430" w:hanging="276"/>
      </w:pPr>
      <w:rPr>
        <w:rFonts w:hint="default"/>
      </w:rPr>
    </w:lvl>
    <w:lvl w:ilvl="8" w:tplc="A7864160">
      <w:numFmt w:val="bullet"/>
      <w:lvlText w:val="•"/>
      <w:lvlJc w:val="left"/>
      <w:pPr>
        <w:ind w:left="7388" w:hanging="276"/>
      </w:pPr>
      <w:rPr>
        <w:rFonts w:hint="default"/>
      </w:rPr>
    </w:lvl>
  </w:abstractNum>
  <w:num w:numId="1">
    <w:abstractNumId w:val="5"/>
  </w:num>
  <w:num w:numId="2">
    <w:abstractNumId w:val="8"/>
  </w:num>
  <w:num w:numId="3">
    <w:abstractNumId w:val="0"/>
  </w:num>
  <w:num w:numId="4">
    <w:abstractNumId w:val="13"/>
  </w:num>
  <w:num w:numId="5">
    <w:abstractNumId w:val="12"/>
  </w:num>
  <w:num w:numId="6">
    <w:abstractNumId w:val="9"/>
  </w:num>
  <w:num w:numId="7">
    <w:abstractNumId w:val="11"/>
  </w:num>
  <w:num w:numId="8">
    <w:abstractNumId w:val="4"/>
  </w:num>
  <w:num w:numId="9">
    <w:abstractNumId w:val="10"/>
  </w:num>
  <w:num w:numId="10">
    <w:abstractNumId w:val="3"/>
  </w:num>
  <w:num w:numId="11">
    <w:abstractNumId w:val="7"/>
  </w:num>
  <w:num w:numId="12">
    <w:abstractNumId w:val="14"/>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F8"/>
    <w:rsid w:val="000110F8"/>
    <w:rsid w:val="00067AAF"/>
    <w:rsid w:val="00076F0C"/>
    <w:rsid w:val="001000DB"/>
    <w:rsid w:val="0015529C"/>
    <w:rsid w:val="001926FD"/>
    <w:rsid w:val="001F0C11"/>
    <w:rsid w:val="00230A0B"/>
    <w:rsid w:val="002469C8"/>
    <w:rsid w:val="00261F26"/>
    <w:rsid w:val="002E4D20"/>
    <w:rsid w:val="003420E3"/>
    <w:rsid w:val="00372B9E"/>
    <w:rsid w:val="00382B32"/>
    <w:rsid w:val="00382D3F"/>
    <w:rsid w:val="00452881"/>
    <w:rsid w:val="004908F1"/>
    <w:rsid w:val="004C3ED3"/>
    <w:rsid w:val="004D353A"/>
    <w:rsid w:val="004F7E1A"/>
    <w:rsid w:val="005101CC"/>
    <w:rsid w:val="00512049"/>
    <w:rsid w:val="00541FE6"/>
    <w:rsid w:val="005D6B05"/>
    <w:rsid w:val="005D73C2"/>
    <w:rsid w:val="00652E72"/>
    <w:rsid w:val="00661343"/>
    <w:rsid w:val="00675081"/>
    <w:rsid w:val="00696563"/>
    <w:rsid w:val="006C13F1"/>
    <w:rsid w:val="006C5C89"/>
    <w:rsid w:val="00716F06"/>
    <w:rsid w:val="007611F8"/>
    <w:rsid w:val="007706F1"/>
    <w:rsid w:val="00786A0F"/>
    <w:rsid w:val="00795FE0"/>
    <w:rsid w:val="007A7C07"/>
    <w:rsid w:val="008340B9"/>
    <w:rsid w:val="008C4D66"/>
    <w:rsid w:val="008D6DBD"/>
    <w:rsid w:val="008F086F"/>
    <w:rsid w:val="008F08E1"/>
    <w:rsid w:val="00917514"/>
    <w:rsid w:val="009236F5"/>
    <w:rsid w:val="00950C10"/>
    <w:rsid w:val="0095287A"/>
    <w:rsid w:val="00972AA3"/>
    <w:rsid w:val="009A32B5"/>
    <w:rsid w:val="009A4E16"/>
    <w:rsid w:val="009B6DC9"/>
    <w:rsid w:val="009E3D9C"/>
    <w:rsid w:val="00A0564A"/>
    <w:rsid w:val="00A275C0"/>
    <w:rsid w:val="00A7540A"/>
    <w:rsid w:val="00AA1407"/>
    <w:rsid w:val="00AA7944"/>
    <w:rsid w:val="00AD23CA"/>
    <w:rsid w:val="00B11B42"/>
    <w:rsid w:val="00B24497"/>
    <w:rsid w:val="00B92551"/>
    <w:rsid w:val="00BC796D"/>
    <w:rsid w:val="00BD66EF"/>
    <w:rsid w:val="00C45989"/>
    <w:rsid w:val="00C63654"/>
    <w:rsid w:val="00CA7C66"/>
    <w:rsid w:val="00CB36FC"/>
    <w:rsid w:val="00D256DB"/>
    <w:rsid w:val="00D43F8E"/>
    <w:rsid w:val="00D53656"/>
    <w:rsid w:val="00D60BEF"/>
    <w:rsid w:val="00D90B77"/>
    <w:rsid w:val="00DE11B2"/>
    <w:rsid w:val="00E556EC"/>
    <w:rsid w:val="00EB2742"/>
    <w:rsid w:val="00EF3C9B"/>
    <w:rsid w:val="00F271BB"/>
    <w:rsid w:val="00F43B78"/>
    <w:rsid w:val="00F83B97"/>
    <w:rsid w:val="00FA6C4F"/>
    <w:rsid w:val="00FC68F4"/>
    <w:rsid w:val="00FD1894"/>
    <w:rsid w:val="00FD45B8"/>
    <w:rsid w:val="00FE0666"/>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25C"/>
  <w15:docId w15:val="{311EF3B5-56BB-40A9-AF9A-CC4528D9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5DAD"/>
    <w:pPr>
      <w:tabs>
        <w:tab w:val="center" w:pos="4536"/>
        <w:tab w:val="right" w:pos="9072"/>
      </w:tabs>
    </w:pPr>
  </w:style>
  <w:style w:type="character" w:customStyle="1" w:styleId="HeaderChar">
    <w:name w:val="Header Char"/>
    <w:link w:val="Header"/>
    <w:rsid w:val="00985DAD"/>
    <w:rPr>
      <w:sz w:val="24"/>
      <w:szCs w:val="24"/>
    </w:rPr>
  </w:style>
  <w:style w:type="paragraph" w:styleId="Footer">
    <w:name w:val="footer"/>
    <w:basedOn w:val="Normal"/>
    <w:link w:val="FooterChar"/>
    <w:rsid w:val="00985DAD"/>
    <w:pPr>
      <w:tabs>
        <w:tab w:val="center" w:pos="4536"/>
        <w:tab w:val="right" w:pos="9072"/>
      </w:tabs>
    </w:pPr>
  </w:style>
  <w:style w:type="character" w:customStyle="1" w:styleId="FooterChar">
    <w:name w:val="Footer Char"/>
    <w:link w:val="Footer"/>
    <w:rsid w:val="00985DAD"/>
    <w:rPr>
      <w:sz w:val="24"/>
      <w:szCs w:val="24"/>
    </w:rPr>
  </w:style>
  <w:style w:type="paragraph" w:styleId="ListParagraph">
    <w:name w:val="List Paragraph"/>
    <w:basedOn w:val="Normal"/>
    <w:uiPriority w:val="34"/>
    <w:qFormat/>
    <w:rsid w:val="00C45989"/>
    <w:pPr>
      <w:ind w:left="720"/>
      <w:contextualSpacing/>
    </w:pPr>
  </w:style>
  <w:style w:type="paragraph" w:styleId="BalloonText">
    <w:name w:val="Balloon Text"/>
    <w:basedOn w:val="Normal"/>
    <w:link w:val="BalloonTextChar"/>
    <w:rsid w:val="00C63654"/>
    <w:rPr>
      <w:rFonts w:ascii="Segoe UI" w:hAnsi="Segoe UI" w:cs="Segoe UI"/>
      <w:sz w:val="18"/>
      <w:szCs w:val="18"/>
    </w:rPr>
  </w:style>
  <w:style w:type="character" w:customStyle="1" w:styleId="BalloonTextChar">
    <w:name w:val="Balloon Text Char"/>
    <w:basedOn w:val="DefaultParagraphFont"/>
    <w:link w:val="BalloonText"/>
    <w:rsid w:val="00C63654"/>
    <w:rPr>
      <w:rFonts w:ascii="Segoe UI" w:hAnsi="Segoe UI" w:cs="Segoe UI"/>
      <w:sz w:val="18"/>
      <w:szCs w:val="18"/>
    </w:rPr>
  </w:style>
  <w:style w:type="character" w:styleId="CommentReference">
    <w:name w:val="annotation reference"/>
    <w:basedOn w:val="DefaultParagraphFont"/>
    <w:rsid w:val="001000DB"/>
    <w:rPr>
      <w:sz w:val="16"/>
      <w:szCs w:val="16"/>
    </w:rPr>
  </w:style>
  <w:style w:type="paragraph" w:styleId="CommentText">
    <w:name w:val="annotation text"/>
    <w:basedOn w:val="Normal"/>
    <w:link w:val="CommentTextChar"/>
    <w:rsid w:val="001000DB"/>
    <w:rPr>
      <w:sz w:val="20"/>
      <w:szCs w:val="20"/>
    </w:rPr>
  </w:style>
  <w:style w:type="character" w:customStyle="1" w:styleId="CommentTextChar">
    <w:name w:val="Comment Text Char"/>
    <w:basedOn w:val="DefaultParagraphFont"/>
    <w:link w:val="CommentText"/>
    <w:rsid w:val="001000DB"/>
  </w:style>
  <w:style w:type="paragraph" w:styleId="CommentSubject">
    <w:name w:val="annotation subject"/>
    <w:basedOn w:val="CommentText"/>
    <w:next w:val="CommentText"/>
    <w:link w:val="CommentSubjectChar"/>
    <w:rsid w:val="001000DB"/>
    <w:rPr>
      <w:b/>
      <w:bCs/>
    </w:rPr>
  </w:style>
  <w:style w:type="character" w:customStyle="1" w:styleId="CommentSubjectChar">
    <w:name w:val="Comment Subject Char"/>
    <w:basedOn w:val="CommentTextChar"/>
    <w:link w:val="CommentSubject"/>
    <w:rsid w:val="001000DB"/>
    <w:rPr>
      <w:b/>
      <w:bCs/>
    </w:rPr>
  </w:style>
  <w:style w:type="paragraph" w:styleId="Revision">
    <w:name w:val="Revision"/>
    <w:hidden/>
    <w:uiPriority w:val="99"/>
    <w:semiHidden/>
    <w:rsid w:val="00B24497"/>
    <w:rPr>
      <w:sz w:val="24"/>
      <w:szCs w:val="24"/>
    </w:rPr>
  </w:style>
  <w:style w:type="character" w:customStyle="1" w:styleId="000000">
    <w:name w:val="000000"/>
    <w:basedOn w:val="DefaultParagraphFont"/>
    <w:rsid w:val="00076F0C"/>
    <w:rPr>
      <w:b w:val="0"/>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AZJMDCZ6QSYZ-1849078857-11203</_dlc_DocId>
    <_dlc_DocIdUrl xmlns="a494813a-d0d8-4dad-94cb-0d196f36ba15">
      <Url>https://ekoordinacije.vlada.hr/koordinacija-gospodarstvo/_layouts/15/DocIdRedir.aspx?ID=AZJMDCZ6QSYZ-1849078857-11203</Url>
      <Description>AZJMDCZ6QSYZ-1849078857-11203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B890A-6B49-485C-8645-AA5A63F55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EDE46-674F-4BEC-8348-B38AF003147A}">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258A2FCF-2313-4FB4-AB80-914B3CC922D6}">
  <ds:schemaRefs>
    <ds:schemaRef ds:uri="http://schemas.microsoft.com/sharepoint/events"/>
  </ds:schemaRefs>
</ds:datastoreItem>
</file>

<file path=customXml/itemProps4.xml><?xml version="1.0" encoding="utf-8"?>
<ds:datastoreItem xmlns:ds="http://schemas.openxmlformats.org/officeDocument/2006/customXml" ds:itemID="{B2CE1CF6-7773-423F-AF79-5C3FBA4FF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6661</Words>
  <Characters>37968</Characters>
  <Application>Microsoft Office Word</Application>
  <DocSecurity>0</DocSecurity>
  <Lines>316</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44540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Anita Rubić</dc:creator>
  <cp:lastModifiedBy>Sunčica Marini</cp:lastModifiedBy>
  <cp:revision>8</cp:revision>
  <cp:lastPrinted>2021-11-22T11:43:00Z</cp:lastPrinted>
  <dcterms:created xsi:type="dcterms:W3CDTF">2021-11-23T10:18:00Z</dcterms:created>
  <dcterms:modified xsi:type="dcterms:W3CDTF">2021-11-23T10:35:00Z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37a1d37b-96da-40eb-9038-5ccc52d48703</vt:lpwstr>
  </property>
  <property fmtid="{D5CDD505-2E9C-101B-9397-08002B2CF9AE}" pid="4" name="_NewReviewCycle">
    <vt:lpwstr/>
  </property>
</Properties>
</file>