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C466" w14:textId="77777777" w:rsidR="00A07E4D" w:rsidRPr="00A07E4D" w:rsidRDefault="00730BA6" w:rsidP="00A07E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color w:val="231F20"/>
        </w:rPr>
        <w:tab/>
      </w:r>
      <w:r w:rsidR="00A07E4D" w:rsidRPr="00A07E4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A3D8317" wp14:editId="44DAB8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E4D"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A07E4D"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A07E4D"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36442E3" w14:textId="77777777" w:rsidR="00A07E4D" w:rsidRPr="00A07E4D" w:rsidRDefault="00A07E4D" w:rsidP="00A07E4D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7E4D">
        <w:rPr>
          <w:rFonts w:ascii="Times New Roman" w:eastAsia="Times New Roman" w:hAnsi="Times New Roman" w:cs="Times New Roman"/>
          <w:sz w:val="28"/>
          <w:szCs w:val="28"/>
          <w:lang w:eastAsia="hr-HR"/>
        </w:rPr>
        <w:t>VLADA REPUBLIKE HRVATSKE</w:t>
      </w:r>
    </w:p>
    <w:p w14:paraId="1866E365" w14:textId="763CC25C" w:rsidR="00A07E4D" w:rsidRPr="00A07E4D" w:rsidRDefault="00A07E4D" w:rsidP="00A07E4D">
      <w:pPr>
        <w:spacing w:after="24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studenoga 2021.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07E4D" w:rsidRPr="00A07E4D" w14:paraId="0194C323" w14:textId="77777777" w:rsidTr="002044D3">
        <w:tc>
          <w:tcPr>
            <w:tcW w:w="1951" w:type="dxa"/>
          </w:tcPr>
          <w:p w14:paraId="3E2E66DE" w14:textId="77777777" w:rsidR="00A07E4D" w:rsidRPr="00A07E4D" w:rsidRDefault="00A07E4D" w:rsidP="00A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07E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2D2FF0" w14:textId="3A540BAF" w:rsidR="00A07E4D" w:rsidRPr="00A07E4D" w:rsidRDefault="00A07E4D" w:rsidP="00A07E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prostornoga uređenja, graditeljstva i državne imovine</w:t>
            </w:r>
          </w:p>
        </w:tc>
      </w:tr>
      <w:tr w:rsidR="00A07E4D" w:rsidRPr="00A07E4D" w14:paraId="4E22AA30" w14:textId="77777777" w:rsidTr="002044D3">
        <w:tc>
          <w:tcPr>
            <w:tcW w:w="1951" w:type="dxa"/>
          </w:tcPr>
          <w:p w14:paraId="430ECAFD" w14:textId="77777777" w:rsidR="00A07E4D" w:rsidRPr="00A07E4D" w:rsidRDefault="00A07E4D" w:rsidP="00A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07E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EEACAB" w14:textId="1D562D3A" w:rsidR="00A07E4D" w:rsidRPr="00A07E4D" w:rsidRDefault="00A07E4D" w:rsidP="00A07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načinu raspodjele bespovratnih financijskih sredstava iz Fonda solidarnosti Europske unije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</w:t>
            </w:r>
          </w:p>
          <w:p w14:paraId="298E2B5F" w14:textId="4C630552" w:rsidR="00A07E4D" w:rsidRPr="00A07E4D" w:rsidRDefault="00A07E4D" w:rsidP="00A07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sz w:val="24"/>
                <w:szCs w:val="24"/>
              </w:rPr>
              <w:t xml:space="preserve">i neovisnog revizorskog tijela  </w:t>
            </w:r>
          </w:p>
        </w:tc>
      </w:tr>
    </w:tbl>
    <w:p w14:paraId="22E7C2A4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022C0D5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04C6825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E443932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A530044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D3E0705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FA02E3F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F1B0227" w14:textId="77777777" w:rsidR="00A07E4D" w:rsidRPr="00A07E4D" w:rsidRDefault="00A07E4D" w:rsidP="00A07E4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A2E4EC8" w14:textId="0D8A4CAF" w:rsidR="00A07E4D" w:rsidRDefault="00A07E4D" w:rsidP="00A07E4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</w:p>
    <w:p w14:paraId="0DAC7FFD" w14:textId="77777777" w:rsidR="00A07E4D" w:rsidRPr="00A07E4D" w:rsidRDefault="00A07E4D" w:rsidP="00A07E4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</w:p>
    <w:p w14:paraId="0D914CD7" w14:textId="77777777" w:rsidR="00A07E4D" w:rsidRPr="00A07E4D" w:rsidRDefault="00A07E4D" w:rsidP="00A0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EDE40" w14:textId="7F4F6329" w:rsidR="00730BA6" w:rsidRPr="005B7093" w:rsidRDefault="00730BA6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bCs/>
          <w:i/>
          <w:iCs/>
          <w:color w:val="231F20"/>
          <w:u w:val="single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453D80">
        <w:rPr>
          <w:color w:val="231F20"/>
        </w:rPr>
        <w:t xml:space="preserve">                    </w:t>
      </w:r>
      <w:r w:rsidR="00453D80" w:rsidRPr="005B7093">
        <w:rPr>
          <w:color w:val="231F20"/>
        </w:rPr>
        <w:t>PRIJEDLOG</w:t>
      </w:r>
    </w:p>
    <w:p w14:paraId="47ACC77C" w14:textId="77777777" w:rsidR="00730BA6" w:rsidRPr="005B7093" w:rsidRDefault="00730BA6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bCs/>
          <w:i/>
          <w:iCs/>
          <w:color w:val="231F20"/>
          <w:u w:val="single"/>
        </w:rPr>
      </w:pPr>
    </w:p>
    <w:p w14:paraId="47881F93" w14:textId="38A44412" w:rsidR="002B1054" w:rsidRPr="005B7093" w:rsidRDefault="002B1054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B7093">
        <w:rPr>
          <w:color w:val="231F20"/>
        </w:rPr>
        <w:t xml:space="preserve">Na temelju članka 31. stavka 2. Zakona o Vladi Republike Hrvatske, (»Narodne novine«, br. 150/11, 119/14, 93/16 i 116/18), a u vezi s člankom 3. stavkom 2. Uredbe Vijeća (EZ) br. 2012/2002 od 11. studenoga 2002. o osnivanju Fonda solidarnosti Europske unije (SL L 311, 14. 11. 2002.) kako je </w:t>
      </w:r>
      <w:r w:rsidR="00552653" w:rsidRPr="00552653">
        <w:rPr>
          <w:color w:val="231F20"/>
        </w:rPr>
        <w:t>posljednji put izmijenjena Uredbom (EU) br. 2020/461 Europskog parlamenta i Vijeća od 30. ožujka 2020. o izmjeni Uredbe Vijeća (EZ) br. 2012/2002 radi pružanja financijske pomoći državama članica i zemljama koje pregovaraju o pristupanju Uniji ozbiljno pogođenima izvanrednim stanjem velikih razmjera u području javnog zdravlja (SL L 99, 31.3.2020.)</w:t>
      </w:r>
      <w:r w:rsidRPr="005B7093">
        <w:rPr>
          <w:color w:val="231F20"/>
        </w:rPr>
        <w:t xml:space="preserve"> Vlada Republike Hrvatske je na sjednici održanoj </w:t>
      </w:r>
      <w:r w:rsidR="00730BA6" w:rsidRPr="005B7093">
        <w:rPr>
          <w:color w:val="231F20"/>
        </w:rPr>
        <w:t>___________</w:t>
      </w:r>
      <w:r w:rsidRPr="005B7093">
        <w:rPr>
          <w:color w:val="231F20"/>
        </w:rPr>
        <w:t>. donijela</w:t>
      </w:r>
    </w:p>
    <w:p w14:paraId="6B322CA2" w14:textId="77777777" w:rsidR="00730BA6" w:rsidRPr="005B7093" w:rsidRDefault="00730BA6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C3035A0" w14:textId="55C43839" w:rsidR="002B1054" w:rsidRDefault="002B1054" w:rsidP="002B1054">
      <w:pPr>
        <w:pStyle w:val="box465949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A07E4D">
        <w:rPr>
          <w:b/>
          <w:bCs/>
          <w:color w:val="231F20"/>
        </w:rPr>
        <w:t>ODLUKU</w:t>
      </w:r>
    </w:p>
    <w:p w14:paraId="63ADCD1A" w14:textId="77777777" w:rsidR="00A07E4D" w:rsidRPr="00A07E4D" w:rsidRDefault="00A07E4D" w:rsidP="002B1054">
      <w:pPr>
        <w:pStyle w:val="box465949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BCDC6F5" w14:textId="6348DBAD" w:rsidR="00A07E4D" w:rsidRDefault="00A07E4D" w:rsidP="00A07E4D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A07E4D">
        <w:rPr>
          <w:b/>
          <w:bCs/>
          <w:color w:val="231F20"/>
        </w:rPr>
        <w:t xml:space="preserve">o načinu raspodjele bespovratnih financijskih sredstava iz Fonda solidarnosti Europske unije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</w:t>
      </w:r>
    </w:p>
    <w:p w14:paraId="05750AE8" w14:textId="74B5C183" w:rsidR="00730BA6" w:rsidRPr="005B7093" w:rsidRDefault="00A07E4D" w:rsidP="00A07E4D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A07E4D">
        <w:rPr>
          <w:b/>
          <w:bCs/>
          <w:color w:val="231F20"/>
        </w:rPr>
        <w:t xml:space="preserve">financijskog doprinosa i neovisnog revizorskog tijela  </w:t>
      </w:r>
    </w:p>
    <w:p w14:paraId="6274BE30" w14:textId="77777777" w:rsidR="002B1054" w:rsidRPr="005B7093" w:rsidRDefault="002B1054" w:rsidP="002B1054">
      <w:pPr>
        <w:pStyle w:val="box46594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5B7093">
        <w:rPr>
          <w:color w:val="231F20"/>
        </w:rPr>
        <w:t>I.</w:t>
      </w:r>
    </w:p>
    <w:p w14:paraId="33B10FEE" w14:textId="519A19F6" w:rsidR="002B1054" w:rsidRPr="005B7093" w:rsidRDefault="002B1054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B7093">
        <w:rPr>
          <w:color w:val="231F20"/>
        </w:rPr>
        <w:t>Ovom Odlukom utvrđuje se način raspodjele bespovratnih financijskih sredstava iz Fonda solidarnosti Europske unije za financiranje sanacije šteta od potresa na području Grada Zagreba, Krapinsko-zagorske županije</w:t>
      </w:r>
      <w:r w:rsidR="00730BA6" w:rsidRPr="005B7093">
        <w:rPr>
          <w:color w:val="231F20"/>
        </w:rPr>
        <w:t>,</w:t>
      </w:r>
      <w:r w:rsidRPr="005B7093">
        <w:rPr>
          <w:color w:val="231F20"/>
        </w:rPr>
        <w:t xml:space="preserve"> Zagrebačke županije</w:t>
      </w:r>
      <w:r w:rsidR="00730BA6" w:rsidRPr="005B7093">
        <w:rPr>
          <w:color w:val="231F20"/>
        </w:rPr>
        <w:t>, Sisačko-moslavačke županije</w:t>
      </w:r>
      <w:r w:rsidR="005C74FC" w:rsidRPr="005B7093">
        <w:rPr>
          <w:color w:val="231F20"/>
        </w:rPr>
        <w:t xml:space="preserve">, </w:t>
      </w:r>
      <w:r w:rsidR="00730BA6" w:rsidRPr="005B7093">
        <w:rPr>
          <w:color w:val="231F20"/>
        </w:rPr>
        <w:t>Karlovačke županije</w:t>
      </w:r>
      <w:r w:rsidR="005C74FC" w:rsidRPr="005B7093">
        <w:rPr>
          <w:color w:val="231F20"/>
        </w:rPr>
        <w:t>, Varaždinske županije, Međimurske županije, Brodsko-</w:t>
      </w:r>
      <w:r w:rsidR="0017021D" w:rsidRPr="005B7093">
        <w:rPr>
          <w:color w:val="231F20"/>
        </w:rPr>
        <w:t>p</w:t>
      </w:r>
      <w:r w:rsidR="005C74FC" w:rsidRPr="005B7093">
        <w:rPr>
          <w:color w:val="231F20"/>
        </w:rPr>
        <w:t>osavske županije i Bjelovarsko-</w:t>
      </w:r>
      <w:r w:rsidR="0017021D" w:rsidRPr="005B7093">
        <w:rPr>
          <w:color w:val="231F20"/>
        </w:rPr>
        <w:t>b</w:t>
      </w:r>
      <w:r w:rsidR="005C74FC" w:rsidRPr="005B7093">
        <w:rPr>
          <w:color w:val="231F20"/>
        </w:rPr>
        <w:t xml:space="preserve">ilogorske županije </w:t>
      </w:r>
      <w:r w:rsidR="004A0348" w:rsidRPr="005B7093">
        <w:rPr>
          <w:color w:val="231F20"/>
        </w:rPr>
        <w:t xml:space="preserve">nastalih kao posljedica serije potresa s epicentrom </w:t>
      </w:r>
      <w:r w:rsidR="004A0348" w:rsidRPr="005B7093">
        <w:rPr>
          <w:color w:val="231F20"/>
        </w:rPr>
        <w:lastRenderedPageBreak/>
        <w:t>na području Sisačko</w:t>
      </w:r>
      <w:r w:rsidR="0017021D" w:rsidRPr="005B7093">
        <w:rPr>
          <w:color w:val="231F20"/>
        </w:rPr>
        <w:t>-</w:t>
      </w:r>
      <w:r w:rsidR="004A0348" w:rsidRPr="005B7093">
        <w:rPr>
          <w:color w:val="231F20"/>
        </w:rPr>
        <w:t xml:space="preserve">moslavačke županije </w:t>
      </w:r>
      <w:r w:rsidR="007019C4" w:rsidRPr="005B7093">
        <w:rPr>
          <w:color w:val="231F20"/>
        </w:rPr>
        <w:t>počevši od 28. prosinca</w:t>
      </w:r>
      <w:r w:rsidR="004A0348" w:rsidRPr="005B7093">
        <w:rPr>
          <w:color w:val="231F20"/>
        </w:rPr>
        <w:t xml:space="preserve"> 2020. godine, </w:t>
      </w:r>
      <w:r w:rsidRPr="005B7093">
        <w:rPr>
          <w:color w:val="231F20"/>
        </w:rPr>
        <w:t xml:space="preserve">u iznosu od </w:t>
      </w:r>
      <w:r w:rsidR="00730BA6" w:rsidRPr="005B7093">
        <w:rPr>
          <w:color w:val="231F20"/>
        </w:rPr>
        <w:t>319.192.359,00</w:t>
      </w:r>
      <w:r w:rsidRPr="005B7093">
        <w:rPr>
          <w:color w:val="231F20"/>
        </w:rPr>
        <w:t xml:space="preserve"> eura, tijela odgovorna za koordinaciju provedbe ove Odluke, tijela odgovorna za provedbu financijskog doprinosa i neovisno revizorsko tijelo te njihova zaduženja.</w:t>
      </w:r>
    </w:p>
    <w:p w14:paraId="6E44ADDA" w14:textId="77777777" w:rsidR="00730BA6" w:rsidRPr="005B7093" w:rsidRDefault="00730BA6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2ABCE4CB" w14:textId="77777777" w:rsidR="002B1054" w:rsidRPr="005B7093" w:rsidRDefault="002B1054" w:rsidP="00730BA6">
      <w:pPr>
        <w:pStyle w:val="box46594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5B7093">
        <w:rPr>
          <w:color w:val="231F20"/>
        </w:rPr>
        <w:t>II.</w:t>
      </w:r>
    </w:p>
    <w:p w14:paraId="2BA21697" w14:textId="6AA67D0B" w:rsidR="002B1054" w:rsidRPr="005B7093" w:rsidRDefault="002B1054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B7093">
        <w:rPr>
          <w:color w:val="231F20"/>
        </w:rPr>
        <w:t xml:space="preserve">Način raspodjele sredstava iz točke I. ove Odluke utvrđen je ovisno o vrsti i vrijednosti štete, sukladno članku 3. stavku 2. Uredbe Vijeća (EZ) br. 2012/2002 od 11. studenoga 2002. o osnivanju Fonda solidarnosti Europske unije (SL L 311, 14. 11. 2002.) kako je </w:t>
      </w:r>
      <w:r w:rsidR="00F31FE6">
        <w:rPr>
          <w:color w:val="231F20"/>
        </w:rPr>
        <w:t xml:space="preserve">posljednji put </w:t>
      </w:r>
      <w:r w:rsidRPr="005B7093">
        <w:rPr>
          <w:color w:val="231F20"/>
        </w:rPr>
        <w:t xml:space="preserve">izmijenjena Uredbom (EU) br. </w:t>
      </w:r>
      <w:r w:rsidR="00F31FE6">
        <w:rPr>
          <w:color w:val="231F20"/>
        </w:rPr>
        <w:t>2020/461</w:t>
      </w:r>
      <w:r w:rsidRPr="005B7093">
        <w:rPr>
          <w:color w:val="231F20"/>
        </w:rPr>
        <w:t xml:space="preserve"> Europskog parlamenta i Vijeća od </w:t>
      </w:r>
      <w:r w:rsidR="00F31FE6">
        <w:rPr>
          <w:color w:val="231F20"/>
        </w:rPr>
        <w:t>30. ožujka</w:t>
      </w:r>
      <w:r w:rsidRPr="005B7093">
        <w:rPr>
          <w:color w:val="231F20"/>
        </w:rPr>
        <w:t xml:space="preserve"> 20</w:t>
      </w:r>
      <w:r w:rsidR="00F31FE6">
        <w:rPr>
          <w:color w:val="231F20"/>
        </w:rPr>
        <w:t>20</w:t>
      </w:r>
      <w:r w:rsidRPr="005B7093">
        <w:rPr>
          <w:color w:val="231F20"/>
        </w:rPr>
        <w:t xml:space="preserve">. o izmjeni Uredbe Vijeća (EZ) br. 2012/2002 </w:t>
      </w:r>
      <w:r w:rsidR="00D94D12">
        <w:rPr>
          <w:color w:val="231F20"/>
        </w:rPr>
        <w:t xml:space="preserve">radi pružanja financijske pomoći </w:t>
      </w:r>
      <w:r w:rsidR="0047538F">
        <w:rPr>
          <w:color w:val="231F20"/>
        </w:rPr>
        <w:t>državama članica i zemljama koje pregovaraju o pristupanju Uniji ozbiljno pogođeni</w:t>
      </w:r>
      <w:r w:rsidR="00AE6D73">
        <w:rPr>
          <w:color w:val="231F20"/>
        </w:rPr>
        <w:t>ma izvanrednim stanjem velikih razmjera u području javnog zdravlja (SL L 99, 31.3.2020.</w:t>
      </w:r>
      <w:r w:rsidR="00B26BAB">
        <w:rPr>
          <w:color w:val="231F20"/>
        </w:rPr>
        <w:t>)</w:t>
      </w:r>
      <w:r w:rsidRPr="005B7093">
        <w:rPr>
          <w:color w:val="231F20"/>
        </w:rPr>
        <w:t>, s ciljem osiguranja uvjeta za bržu uspostavu stanja koje je prethodilo elementarnoj nepogodi na pogođenim područjima te je iskazan u Prilogu I. koji je sastavni dio ove Odluke.</w:t>
      </w:r>
    </w:p>
    <w:p w14:paraId="1861A0C7" w14:textId="77777777" w:rsidR="00730BA6" w:rsidRPr="005B7093" w:rsidRDefault="00730BA6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04496657" w14:textId="77777777" w:rsidR="002B1054" w:rsidRPr="005B7093" w:rsidRDefault="002B1054" w:rsidP="00730BA6">
      <w:pPr>
        <w:pStyle w:val="box46594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5B7093">
        <w:rPr>
          <w:color w:val="231F20"/>
        </w:rPr>
        <w:t>III.</w:t>
      </w:r>
    </w:p>
    <w:p w14:paraId="0EE7D606" w14:textId="4245C0BD" w:rsidR="002B1054" w:rsidRDefault="002B1054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B7093">
        <w:rPr>
          <w:color w:val="231F20"/>
        </w:rPr>
        <w:t>Ministarstvo prostornoga uređenja, graditeljstva i državne imovine određuje se za nacionalno koordinacijsko tijelo za provedbu ove Odluke, sa zaduženjima iskazanim u Prilogu II. koji je sastavni dio ove Odluke.</w:t>
      </w:r>
    </w:p>
    <w:p w14:paraId="08FFF1BF" w14:textId="77777777" w:rsidR="002A15EC" w:rsidRPr="005B7093" w:rsidRDefault="002A15EC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F344EF8" w14:textId="77777777" w:rsidR="002A15EC" w:rsidRDefault="002B1054" w:rsidP="002A15EC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B7093">
        <w:rPr>
          <w:color w:val="231F20"/>
        </w:rPr>
        <w:t xml:space="preserve">Ministarstvo gospodarstva i održivog razvoja, Ministarstvo zdravstva, Ministarstvo znanosti i obrazovanja, </w:t>
      </w:r>
      <w:r w:rsidRPr="005B7093">
        <w:t>Ministarstvo prostornoga uređenja, graditeljstva i državne imovine</w:t>
      </w:r>
      <w:r w:rsidRPr="005B7093">
        <w:rPr>
          <w:color w:val="231F20"/>
        </w:rPr>
        <w:t>, Ministarstvo unutarnjih poslova, Ministarstvo kulture i medija</w:t>
      </w:r>
      <w:r w:rsidRPr="005B7093">
        <w:t xml:space="preserve">, </w:t>
      </w:r>
      <w:r w:rsidR="00F100BF" w:rsidRPr="005B7093">
        <w:t>i Ministarstvo mora, prometa i infrastrukture</w:t>
      </w:r>
      <w:r w:rsidRPr="005B7093">
        <w:rPr>
          <w:color w:val="FF0000"/>
        </w:rPr>
        <w:t xml:space="preserve"> </w:t>
      </w:r>
      <w:r w:rsidRPr="005B7093">
        <w:rPr>
          <w:color w:val="231F20"/>
        </w:rPr>
        <w:t>određuju se kao tijela odgovorna za provedbu financijskog doprinosa, prema zaduženjima iskazanim u Prilogu II.</w:t>
      </w:r>
    </w:p>
    <w:p w14:paraId="1D01231F" w14:textId="77777777" w:rsidR="002A15EC" w:rsidRDefault="002A15EC" w:rsidP="002A15EC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142FF37" w14:textId="24194F09" w:rsidR="002A15EC" w:rsidRPr="00FE707D" w:rsidRDefault="002A15EC" w:rsidP="00090A66">
      <w:pPr>
        <w:ind w:firstLine="408"/>
        <w:jc w:val="both"/>
        <w:rPr>
          <w:rFonts w:ascii="Times New Roman" w:hAnsi="Times New Roman"/>
          <w:sz w:val="24"/>
          <w:szCs w:val="24"/>
          <w:lang w:bidi="hr-HR"/>
        </w:rPr>
      </w:pPr>
      <w:r w:rsidRPr="00FE707D">
        <w:rPr>
          <w:rFonts w:ascii="Times New Roman" w:hAnsi="Times New Roman"/>
          <w:sz w:val="24"/>
          <w:szCs w:val="24"/>
          <w:lang w:bidi="hr-HR"/>
        </w:rPr>
        <w:t>Tijela iz točke III. stavka 2. ove Odluke mogu za određene aktivnosti koje obavljaju zadužiti drugo javnopravno tijelo, a u svrhu osiguranja stručne pomoći, zadržavajući pri tome punu</w:t>
      </w:r>
      <w:r w:rsidR="00090A66">
        <w:rPr>
          <w:rFonts w:ascii="Times New Roman" w:hAnsi="Times New Roman"/>
          <w:sz w:val="24"/>
          <w:szCs w:val="24"/>
          <w:lang w:bidi="hr-HR"/>
        </w:rPr>
        <w:t xml:space="preserve"> odgovornost za svoje funkcije.</w:t>
      </w:r>
      <w:r w:rsidRPr="00FE707D">
        <w:rPr>
          <w:rFonts w:ascii="Times New Roman" w:hAnsi="Times New Roman"/>
          <w:sz w:val="24"/>
          <w:szCs w:val="24"/>
          <w:lang w:bidi="hr-HR"/>
        </w:rPr>
        <w:t xml:space="preserve">  </w:t>
      </w:r>
    </w:p>
    <w:p w14:paraId="40079764" w14:textId="77777777" w:rsidR="002A15EC" w:rsidRDefault="002A15EC" w:rsidP="002A15EC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C94E565" w14:textId="4FAD223E" w:rsidR="002B1054" w:rsidRPr="005B7093" w:rsidRDefault="002B1054" w:rsidP="002A15EC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B7093">
        <w:rPr>
          <w:color w:val="231F20"/>
        </w:rPr>
        <w:lastRenderedPageBreak/>
        <w:t>Središnja agencija za financiranje i ugovaranje programa i projekata Europske unije određuje se za neovisno revizorsko tijelo za provedbu ove Odluke, sa zaduženjima iskazanim u Prilogu II.</w:t>
      </w:r>
    </w:p>
    <w:p w14:paraId="48AF8158" w14:textId="77777777" w:rsidR="005C74FC" w:rsidRPr="005B7093" w:rsidRDefault="005C74FC" w:rsidP="002B1054">
      <w:pPr>
        <w:pStyle w:val="box46594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73158B0" w14:textId="77777777" w:rsidR="002B1054" w:rsidRPr="005B7093" w:rsidRDefault="002B1054" w:rsidP="002B1054">
      <w:pPr>
        <w:pStyle w:val="box46594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5B7093">
        <w:rPr>
          <w:color w:val="231F20"/>
        </w:rPr>
        <w:t>IV.</w:t>
      </w:r>
    </w:p>
    <w:p w14:paraId="3B2441A9" w14:textId="494CA279" w:rsidR="002B1054" w:rsidRPr="005B7093" w:rsidRDefault="002B1054" w:rsidP="00090A6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B7093">
        <w:rPr>
          <w:color w:val="231F20"/>
        </w:rPr>
        <w:t>Zadužuje se Ministarstvo prostornoga uređenja, graditeljstva i državne imovine da o donošenju ove Odluke izvijesti tij</w:t>
      </w:r>
      <w:r w:rsidR="00E17B8A">
        <w:rPr>
          <w:color w:val="231F20"/>
        </w:rPr>
        <w:t>ela iz točke III. stavaka 2. i 4</w:t>
      </w:r>
      <w:r w:rsidRPr="005B7093">
        <w:rPr>
          <w:color w:val="231F20"/>
        </w:rPr>
        <w:t>. ove Odluke.</w:t>
      </w:r>
    </w:p>
    <w:p w14:paraId="339BC966" w14:textId="77777777" w:rsidR="005C74FC" w:rsidRPr="005B7093" w:rsidRDefault="005C74FC" w:rsidP="002B1054">
      <w:pPr>
        <w:pStyle w:val="box46594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8F7D59F" w14:textId="77777777" w:rsidR="002B1054" w:rsidRPr="005B7093" w:rsidRDefault="002B1054" w:rsidP="002B1054">
      <w:pPr>
        <w:pStyle w:val="box46594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5B7093">
        <w:rPr>
          <w:color w:val="231F20"/>
        </w:rPr>
        <w:t>V.</w:t>
      </w:r>
    </w:p>
    <w:p w14:paraId="56CB1DCF" w14:textId="7461BB45" w:rsidR="002B1054" w:rsidRPr="005B7093" w:rsidRDefault="002B1054" w:rsidP="002B1054">
      <w:pPr>
        <w:pStyle w:val="box46594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5B7093">
        <w:rPr>
          <w:color w:val="231F20"/>
        </w:rPr>
        <w:t>Ova Odluka stupa na snagu danom donošenja, a objavit će se u »Narodnim novinama«.</w:t>
      </w:r>
    </w:p>
    <w:p w14:paraId="75872A82" w14:textId="5D76C452" w:rsidR="00730BA6" w:rsidRPr="005B7093" w:rsidRDefault="00730BA6" w:rsidP="002B1054">
      <w:pPr>
        <w:pStyle w:val="box46594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0566AD0" w14:textId="77777777" w:rsidR="00730BA6" w:rsidRPr="005B7093" w:rsidRDefault="00730BA6" w:rsidP="002B1054">
      <w:pPr>
        <w:pStyle w:val="box46594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9438183" w14:textId="51DE894B" w:rsidR="002B1054" w:rsidRPr="005B7093" w:rsidRDefault="002B1054" w:rsidP="002B1054">
      <w:pPr>
        <w:pStyle w:val="box465949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5B7093">
        <w:rPr>
          <w:color w:val="231F20"/>
        </w:rPr>
        <w:t>K</w:t>
      </w:r>
      <w:r w:rsidR="005C74FC" w:rsidRPr="005B7093">
        <w:rPr>
          <w:color w:val="231F20"/>
        </w:rPr>
        <w:t>LASA</w:t>
      </w:r>
      <w:r w:rsidRPr="005B7093">
        <w:rPr>
          <w:color w:val="231F20"/>
        </w:rPr>
        <w:t xml:space="preserve">: </w:t>
      </w:r>
      <w:r w:rsidRPr="005B7093">
        <w:rPr>
          <w:rFonts w:ascii="Minion Pro" w:hAnsi="Minion Pro"/>
          <w:color w:val="231F20"/>
        </w:rPr>
        <w:br/>
      </w:r>
      <w:r w:rsidRPr="005B7093">
        <w:rPr>
          <w:color w:val="231F20"/>
        </w:rPr>
        <w:t>U</w:t>
      </w:r>
      <w:r w:rsidR="005C74FC" w:rsidRPr="005B7093">
        <w:rPr>
          <w:color w:val="231F20"/>
        </w:rPr>
        <w:t>RBROJ</w:t>
      </w:r>
      <w:r w:rsidRPr="005B7093">
        <w:rPr>
          <w:color w:val="231F20"/>
        </w:rPr>
        <w:t xml:space="preserve">: </w:t>
      </w:r>
      <w:r w:rsidRPr="005B7093">
        <w:rPr>
          <w:rFonts w:ascii="Minion Pro" w:hAnsi="Minion Pro"/>
          <w:color w:val="231F20"/>
        </w:rPr>
        <w:br/>
      </w:r>
      <w:r w:rsidRPr="005B7093">
        <w:rPr>
          <w:color w:val="231F20"/>
        </w:rPr>
        <w:t xml:space="preserve">Zagreb, </w:t>
      </w:r>
      <w:r w:rsidR="00730BA6" w:rsidRPr="005B7093">
        <w:rPr>
          <w:color w:val="231F20"/>
        </w:rPr>
        <w:t>________</w:t>
      </w:r>
      <w:r w:rsidRPr="005B7093">
        <w:rPr>
          <w:color w:val="231F20"/>
        </w:rPr>
        <w:t>.</w:t>
      </w:r>
    </w:p>
    <w:p w14:paraId="54DA1B4B" w14:textId="4E55EDBA" w:rsidR="00730BA6" w:rsidRPr="005B7093" w:rsidRDefault="00730BA6" w:rsidP="002B1054">
      <w:pPr>
        <w:pStyle w:val="box465949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625DEB6" w14:textId="25DDD04C" w:rsidR="00730BA6" w:rsidRPr="005B7093" w:rsidRDefault="00730BA6" w:rsidP="002B1054">
      <w:pPr>
        <w:pStyle w:val="box465949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98CC7E7" w14:textId="77777777" w:rsidR="00730BA6" w:rsidRPr="005B7093" w:rsidRDefault="00730BA6" w:rsidP="002B1054">
      <w:pPr>
        <w:pStyle w:val="box465949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DCC6D56" w14:textId="77777777" w:rsidR="002B1054" w:rsidRPr="005B7093" w:rsidRDefault="002B1054" w:rsidP="002B1054">
      <w:pPr>
        <w:pStyle w:val="box465949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5B7093">
        <w:rPr>
          <w:color w:val="231F20"/>
        </w:rPr>
        <w:t>Predsjednik</w:t>
      </w:r>
      <w:r w:rsidRPr="005B7093">
        <w:rPr>
          <w:rFonts w:ascii="Minion Pro" w:hAnsi="Minion Pro"/>
          <w:color w:val="231F20"/>
        </w:rPr>
        <w:br/>
      </w:r>
      <w:r w:rsidRPr="005B7093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mr. sc. Andrej Plenković, </w:t>
      </w:r>
      <w:r w:rsidRPr="005B7093">
        <w:rPr>
          <w:color w:val="231F20"/>
        </w:rPr>
        <w:t>v. r.</w:t>
      </w:r>
    </w:p>
    <w:p w14:paraId="35E49168" w14:textId="4289D68B" w:rsidR="00BA4608" w:rsidRDefault="00BA4608"/>
    <w:p w14:paraId="3CF85EC6" w14:textId="1DA25BF4" w:rsidR="002A15EC" w:rsidRDefault="002A15EC"/>
    <w:p w14:paraId="78AE5CA1" w14:textId="54248725" w:rsidR="00A07E4D" w:rsidRDefault="00A07E4D"/>
    <w:p w14:paraId="18617D9F" w14:textId="0C87B0F1" w:rsidR="00A07E4D" w:rsidRDefault="00A07E4D"/>
    <w:p w14:paraId="4C9BCF56" w14:textId="66BA4F77" w:rsidR="00090A66" w:rsidRDefault="00090A66"/>
    <w:p w14:paraId="148765E5" w14:textId="289B8537" w:rsidR="00090A66" w:rsidRDefault="00090A66"/>
    <w:p w14:paraId="71524BE5" w14:textId="77777777" w:rsidR="00090A66" w:rsidRPr="005B7093" w:rsidRDefault="00090A66">
      <w:bookmarkStart w:id="0" w:name="_GoBack"/>
      <w:bookmarkEnd w:id="0"/>
    </w:p>
    <w:p w14:paraId="2B4A10BB" w14:textId="77777777" w:rsidR="00F100BF" w:rsidRPr="005B7093" w:rsidRDefault="00F100BF" w:rsidP="00F100BF"/>
    <w:p w14:paraId="192718DA" w14:textId="2F84719C" w:rsidR="00BA4608" w:rsidRPr="005B7093" w:rsidRDefault="00BA4608" w:rsidP="00932CE5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7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OBRAZLOŽENJE</w:t>
      </w:r>
    </w:p>
    <w:p w14:paraId="0BF12CC7" w14:textId="77777777" w:rsidR="00BA4608" w:rsidRPr="005B7093" w:rsidRDefault="00BA4608" w:rsidP="00BA460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4F9001" w14:textId="65777AA9" w:rsidR="00BA4608" w:rsidRPr="005B7093" w:rsidRDefault="00BA4608" w:rsidP="00BA46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Nakon 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 xml:space="preserve">serije potresa 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koji 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su od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dana 2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8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prosinca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2020. godine pogodi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li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 xml:space="preserve">šire 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područje 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s epicentrom u blizini Petrinje</w:t>
      </w:r>
      <w:r w:rsidRPr="005B7093">
        <w:rPr>
          <w:rFonts w:ascii="Times New Roman" w:eastAsia="Calibri" w:hAnsi="Times New Roman" w:cs="Times New Roman"/>
          <w:sz w:val="24"/>
          <w:szCs w:val="24"/>
        </w:rPr>
        <w:t>, Republika Hrvatska je, sukladno zaključku Vlade Republike Hrvatske od 1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8</w:t>
      </w:r>
      <w:r w:rsidRPr="005B7093">
        <w:rPr>
          <w:rFonts w:ascii="Times New Roman" w:eastAsia="Calibri" w:hAnsi="Times New Roman" w:cs="Times New Roman"/>
          <w:sz w:val="24"/>
          <w:szCs w:val="24"/>
        </w:rPr>
        <w:t>.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 xml:space="preserve"> ožujka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1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. zatražila dodjelu  bespovratnih sredstava  iz Fonda solidarnosti Europske unije za saniranje posljedica prouzročenih potresom. </w:t>
      </w:r>
    </w:p>
    <w:p w14:paraId="0D545BAB" w14:textId="642FC9B9" w:rsidR="00BA4608" w:rsidRPr="005B7093" w:rsidRDefault="00BA4608" w:rsidP="00BA46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093">
        <w:rPr>
          <w:rFonts w:ascii="Times New Roman" w:eastAsia="Calibri" w:hAnsi="Times New Roman" w:cs="Times New Roman"/>
          <w:sz w:val="24"/>
          <w:szCs w:val="24"/>
        </w:rPr>
        <w:lastRenderedPageBreak/>
        <w:t>Temeljem zahtjeva Republike Hrvatske</w:t>
      </w:r>
      <w:r w:rsidR="00C17DAF" w:rsidRPr="005B7093">
        <w:rPr>
          <w:rFonts w:ascii="Times New Roman" w:eastAsia="Calibri" w:hAnsi="Times New Roman" w:cs="Times New Roman"/>
          <w:sz w:val="24"/>
          <w:szCs w:val="24"/>
        </w:rPr>
        <w:t>,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Europska komisija predložila je Europskom parlamentu i Vijeću dodjelu bespovratnih sredstava u iznosu od 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>319.192.359,00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 Eura, od čega je  do sada isplaćen predujam u iznosu od 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 xml:space="preserve">41.325.507,00 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Eura. </w:t>
      </w:r>
    </w:p>
    <w:p w14:paraId="784D78C6" w14:textId="148C7695" w:rsidR="00BA4608" w:rsidRPr="005B7093" w:rsidRDefault="00BA4608" w:rsidP="00BA46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093">
        <w:rPr>
          <w:rFonts w:ascii="Times New Roman" w:eastAsia="Calibri" w:hAnsi="Times New Roman" w:cs="Times New Roman"/>
          <w:sz w:val="24"/>
          <w:szCs w:val="24"/>
        </w:rPr>
        <w:t>Kako bi se ostvarili uvjeti za isplatu preostalog dijela dodijeljenih sredstava, Europska komisija je 1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>5</w:t>
      </w:r>
      <w:r w:rsidRPr="005B7093">
        <w:rPr>
          <w:rFonts w:ascii="Times New Roman" w:eastAsia="Calibri" w:hAnsi="Times New Roman" w:cs="Times New Roman"/>
          <w:sz w:val="24"/>
          <w:szCs w:val="24"/>
        </w:rPr>
        <w:t>. listopada 202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>1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. godine uputila zahtjev Republici Hrvatskoj da najkasnije do 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>26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. studenoga dostavi ispunjene obrasce za korištenje sredstava iz Fonda solidarnosti Europske unije i to: </w:t>
      </w:r>
    </w:p>
    <w:p w14:paraId="4F1F32F9" w14:textId="16F309A8" w:rsidR="00BA4608" w:rsidRPr="005B7093" w:rsidRDefault="00BA4608" w:rsidP="00BA460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093">
        <w:rPr>
          <w:rFonts w:ascii="Times New Roman" w:eastAsia="Calibri" w:hAnsi="Times New Roman" w:cs="Times New Roman"/>
          <w:sz w:val="24"/>
          <w:szCs w:val="24"/>
        </w:rPr>
        <w:t>Prilog 1. – podatke o  operacija</w:t>
      </w:r>
      <w:r w:rsidR="0045479A" w:rsidRPr="005B7093">
        <w:rPr>
          <w:rFonts w:ascii="Times New Roman" w:eastAsia="Calibri" w:hAnsi="Times New Roman" w:cs="Times New Roman"/>
          <w:sz w:val="24"/>
          <w:szCs w:val="24"/>
        </w:rPr>
        <w:t>ma i pripadajućim iznosima</w:t>
      </w:r>
    </w:p>
    <w:p w14:paraId="7AF35BC9" w14:textId="04C63C84" w:rsidR="00BA4608" w:rsidRPr="005B7093" w:rsidRDefault="00BA4608" w:rsidP="00BA460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Prilog 2. – podatke o tijelima </w:t>
      </w:r>
      <w:r w:rsidR="0045479A" w:rsidRPr="005B7093">
        <w:rPr>
          <w:rFonts w:ascii="Times New Roman" w:eastAsia="Calibri" w:hAnsi="Times New Roman" w:cs="Times New Roman"/>
          <w:sz w:val="24"/>
          <w:szCs w:val="24"/>
        </w:rPr>
        <w:t xml:space="preserve">u sustavu 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za provedbu 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>financijskog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doprinosa. </w:t>
      </w:r>
    </w:p>
    <w:p w14:paraId="65152C59" w14:textId="440C3632" w:rsidR="00BA4608" w:rsidRDefault="00BA4608" w:rsidP="00BA46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093">
        <w:rPr>
          <w:rFonts w:ascii="Times New Roman" w:eastAsia="Calibri" w:hAnsi="Times New Roman" w:cs="Times New Roman"/>
          <w:sz w:val="24"/>
          <w:szCs w:val="24"/>
        </w:rPr>
        <w:t>Slijedom navedenog, ovom Odlukom definiraju se traženi Prilozi, kako bi Europska komisija mogla do kraja 202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>1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. godine isplatiti Republici Hrvatskoj </w:t>
      </w:r>
      <w:r w:rsidR="007F6369" w:rsidRPr="005B7093">
        <w:rPr>
          <w:rFonts w:ascii="Times New Roman" w:eastAsia="Calibri" w:hAnsi="Times New Roman" w:cs="Times New Roman"/>
          <w:sz w:val="24"/>
          <w:szCs w:val="24"/>
        </w:rPr>
        <w:t>preostalih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019" w:rsidRPr="005B7093">
        <w:rPr>
          <w:rFonts w:ascii="Times New Roman" w:eastAsia="Calibri" w:hAnsi="Times New Roman" w:cs="Times New Roman"/>
          <w:sz w:val="24"/>
          <w:szCs w:val="24"/>
        </w:rPr>
        <w:t>277.866.852,00</w:t>
      </w:r>
      <w:r w:rsidRPr="005B7093">
        <w:rPr>
          <w:rFonts w:ascii="Times New Roman" w:eastAsia="Calibri" w:hAnsi="Times New Roman" w:cs="Times New Roman"/>
          <w:sz w:val="24"/>
          <w:szCs w:val="24"/>
        </w:rPr>
        <w:t xml:space="preserve"> milijuna Eura iz Fonda solidarnosti Europske unije (ukupni iznos dodijeljenih sredstava umanjen za iznos predujma).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4FB090" w14:textId="77777777" w:rsidR="00BA4608" w:rsidRDefault="00BA4608"/>
    <w:sectPr w:rsidR="00BA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D1"/>
    <w:multiLevelType w:val="hybridMultilevel"/>
    <w:tmpl w:val="1C2AD17C"/>
    <w:lvl w:ilvl="0" w:tplc="9F8C37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243757F"/>
    <w:multiLevelType w:val="hybridMultilevel"/>
    <w:tmpl w:val="AF862B52"/>
    <w:lvl w:ilvl="0" w:tplc="E9CE1812">
      <w:start w:val="1"/>
      <w:numFmt w:val="decimal"/>
      <w:lvlText w:val="%1."/>
      <w:lvlJc w:val="left"/>
      <w:pPr>
        <w:ind w:left="141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3280D06"/>
    <w:multiLevelType w:val="hybridMultilevel"/>
    <w:tmpl w:val="4E881554"/>
    <w:lvl w:ilvl="0" w:tplc="FF260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1FE4"/>
    <w:multiLevelType w:val="hybridMultilevel"/>
    <w:tmpl w:val="A5509B94"/>
    <w:lvl w:ilvl="0" w:tplc="113A44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800876"/>
    <w:multiLevelType w:val="hybridMultilevel"/>
    <w:tmpl w:val="E60E4CB0"/>
    <w:lvl w:ilvl="0" w:tplc="587025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4"/>
    <w:rsid w:val="00065926"/>
    <w:rsid w:val="00090A66"/>
    <w:rsid w:val="0017021D"/>
    <w:rsid w:val="001B68A1"/>
    <w:rsid w:val="00253C04"/>
    <w:rsid w:val="002A15EC"/>
    <w:rsid w:val="002A44CF"/>
    <w:rsid w:val="002B1054"/>
    <w:rsid w:val="003556C9"/>
    <w:rsid w:val="003E4796"/>
    <w:rsid w:val="00453D80"/>
    <w:rsid w:val="0045479A"/>
    <w:rsid w:val="0047538F"/>
    <w:rsid w:val="004A0348"/>
    <w:rsid w:val="00552653"/>
    <w:rsid w:val="005B7093"/>
    <w:rsid w:val="005C74FC"/>
    <w:rsid w:val="00603019"/>
    <w:rsid w:val="006D011B"/>
    <w:rsid w:val="006E6FC8"/>
    <w:rsid w:val="007019C4"/>
    <w:rsid w:val="00730BA6"/>
    <w:rsid w:val="007F6369"/>
    <w:rsid w:val="00932CE5"/>
    <w:rsid w:val="00A07E4D"/>
    <w:rsid w:val="00A43305"/>
    <w:rsid w:val="00AE6D73"/>
    <w:rsid w:val="00B04E3C"/>
    <w:rsid w:val="00B26BAB"/>
    <w:rsid w:val="00B80519"/>
    <w:rsid w:val="00BA4608"/>
    <w:rsid w:val="00C17DAF"/>
    <w:rsid w:val="00D94D12"/>
    <w:rsid w:val="00E16F07"/>
    <w:rsid w:val="00E17B8A"/>
    <w:rsid w:val="00F100BF"/>
    <w:rsid w:val="00F31FE6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9BB7"/>
  <w15:chartTrackingRefBased/>
  <w15:docId w15:val="{2C50C800-B8A5-490F-8C84-CF82FF1B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uiPriority w:val="9"/>
    <w:qFormat/>
    <w:rsid w:val="00F100BF"/>
    <w:pPr>
      <w:keepNext/>
      <w:numPr>
        <w:numId w:val="5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F100BF"/>
    <w:pPr>
      <w:keepNext/>
      <w:numPr>
        <w:ilvl w:val="1"/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rsid w:val="00F100BF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rsid w:val="00F100BF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949">
    <w:name w:val="box_465949"/>
    <w:basedOn w:val="Normal"/>
    <w:rsid w:val="002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B1054"/>
  </w:style>
  <w:style w:type="paragraph" w:styleId="ListParagraph">
    <w:name w:val="List Paragraph"/>
    <w:basedOn w:val="Normal"/>
    <w:uiPriority w:val="34"/>
    <w:qFormat/>
    <w:rsid w:val="00BA4608"/>
    <w:pPr>
      <w:spacing w:line="256" w:lineRule="auto"/>
      <w:ind w:left="720"/>
      <w:contextualSpacing/>
    </w:pPr>
  </w:style>
  <w:style w:type="paragraph" w:customStyle="1" w:styleId="Text1">
    <w:name w:val="Text 1"/>
    <w:basedOn w:val="Normal"/>
    <w:rsid w:val="00F100B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0number">
    <w:name w:val="Point 0 (number)"/>
    <w:basedOn w:val="Normal"/>
    <w:rsid w:val="00F100B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number">
    <w:name w:val="Point 1 (number)"/>
    <w:basedOn w:val="Normal"/>
    <w:rsid w:val="00F100B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number">
    <w:name w:val="Point 2 (number)"/>
    <w:basedOn w:val="Normal"/>
    <w:rsid w:val="00F100BF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number">
    <w:name w:val="Point 3 (number)"/>
    <w:basedOn w:val="Normal"/>
    <w:rsid w:val="00F100BF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0letter">
    <w:name w:val="Point 0 (letter)"/>
    <w:basedOn w:val="Normal"/>
    <w:rsid w:val="00F100B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letter">
    <w:name w:val="Point 1 (letter)"/>
    <w:basedOn w:val="Normal"/>
    <w:rsid w:val="00F100BF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letter">
    <w:name w:val="Point 2 (letter)"/>
    <w:basedOn w:val="Normal"/>
    <w:rsid w:val="00F100BF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letter">
    <w:name w:val="Point 3 (letter)"/>
    <w:basedOn w:val="Normal"/>
    <w:rsid w:val="00F100BF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4letter">
    <w:name w:val="Point 4 (letter)"/>
    <w:basedOn w:val="Normal"/>
    <w:rsid w:val="00F100BF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00BF"/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100BF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00BF"/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100BF"/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E3C"/>
    <w:pPr>
      <w:spacing w:after="0" w:line="240" w:lineRule="auto"/>
    </w:pPr>
  </w:style>
  <w:style w:type="table" w:styleId="TableGrid">
    <w:name w:val="Table Grid"/>
    <w:basedOn w:val="TableNormal"/>
    <w:uiPriority w:val="59"/>
    <w:rsid w:val="00A07E4D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888D0DD882C46B1330B6845B296ED" ma:contentTypeVersion="14" ma:contentTypeDescription="Create a new document." ma:contentTypeScope="" ma:versionID="c3bc814dfbb7dcbe8cca2a2ed9023087">
  <xsd:schema xmlns:xsd="http://www.w3.org/2001/XMLSchema" xmlns:xs="http://www.w3.org/2001/XMLSchema" xmlns:p="http://schemas.microsoft.com/office/2006/metadata/properties" xmlns:ns3="5ca75f4e-63e1-4cc3-a2e3-0fd0f85e7671" xmlns:ns4="6b99443d-f26b-47e8-bb90-bd3e6cfc2fc0" targetNamespace="http://schemas.microsoft.com/office/2006/metadata/properties" ma:root="true" ma:fieldsID="dcb8a609a9786ccfd6c16bad8d433400" ns3:_="" ns4:_="">
    <xsd:import namespace="5ca75f4e-63e1-4cc3-a2e3-0fd0f85e7671"/>
    <xsd:import namespace="6b99443d-f26b-47e8-bb90-bd3e6cfc2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75f4e-63e1-4cc3-a2e3-0fd0f85e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443d-f26b-47e8-bb90-bd3e6cfc2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8C2A-2F10-46B1-AC6E-314F4D8774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99443d-f26b-47e8-bb90-bd3e6cfc2fc0"/>
    <ds:schemaRef ds:uri="5ca75f4e-63e1-4cc3-a2e3-0fd0f85e76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9E648E-F56E-43E9-9BDE-B728348B5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17A08-A603-4445-9127-8D1C31D38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75f4e-63e1-4cc3-a2e3-0fd0f85e7671"/>
    <ds:schemaRef ds:uri="6b99443d-f26b-47e8-bb90-bd3e6cfc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F9D85-8646-494B-B0E1-69C10000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Dodig</dc:creator>
  <cp:keywords/>
  <dc:description/>
  <cp:lastModifiedBy>Domagoj Dodig</cp:lastModifiedBy>
  <cp:revision>6</cp:revision>
  <cp:lastPrinted>2021-11-10T14:24:00Z</cp:lastPrinted>
  <dcterms:created xsi:type="dcterms:W3CDTF">2021-11-23T07:59:00Z</dcterms:created>
  <dcterms:modified xsi:type="dcterms:W3CDTF">2021-11-23T14:05:00Z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0x010100487888D0DD882C46B1330B6845B296ED</vt:lpwstr>
  </property>
</Properties>
</file>