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1426" w14:textId="77777777" w:rsidR="00F43A1E" w:rsidRPr="00F43A1E" w:rsidRDefault="00F43A1E" w:rsidP="00F43A1E">
      <w:pPr>
        <w:widowControl/>
        <w:jc w:val="center"/>
        <w:rPr>
          <w:rFonts w:ascii="Times New Roman" w:hAnsi="Times New Roman"/>
          <w:snapToGrid/>
          <w:szCs w:val="24"/>
          <w:lang w:val="hr-HR" w:eastAsia="hr-HR"/>
        </w:rPr>
      </w:pPr>
      <w:r w:rsidRPr="00F43A1E">
        <w:rPr>
          <w:rFonts w:ascii="Times New Roman" w:hAnsi="Times New Roman"/>
          <w:noProof/>
          <w:snapToGrid/>
          <w:szCs w:val="24"/>
          <w:lang w:val="hr-HR" w:eastAsia="hr-HR"/>
        </w:rPr>
        <w:drawing>
          <wp:inline distT="0" distB="0" distL="0" distR="0" wp14:anchorId="3F168F08" wp14:editId="5F7A0A4F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1E">
        <w:rPr>
          <w:rFonts w:ascii="Times New Roman" w:hAnsi="Times New Roman"/>
          <w:snapToGrid/>
          <w:szCs w:val="24"/>
          <w:lang w:val="hr-HR" w:eastAsia="hr-HR"/>
        </w:rPr>
        <w:fldChar w:fldCharType="begin"/>
      </w:r>
      <w:r w:rsidRPr="00F43A1E">
        <w:rPr>
          <w:rFonts w:ascii="Times New Roman" w:hAnsi="Times New Roman"/>
          <w:snapToGrid/>
          <w:szCs w:val="24"/>
          <w:lang w:val="hr-HR" w:eastAsia="hr-HR"/>
        </w:rPr>
        <w:instrText xml:space="preserve"> INCLUDEPICTURE "http://www.inet.hr/~box/images/grb-rh.gif" \* MERGEFORMATINET </w:instrText>
      </w:r>
      <w:r w:rsidRPr="00F43A1E">
        <w:rPr>
          <w:rFonts w:ascii="Times New Roman" w:hAnsi="Times New Roman"/>
          <w:snapToGrid/>
          <w:szCs w:val="24"/>
          <w:lang w:val="hr-HR" w:eastAsia="hr-HR"/>
        </w:rPr>
        <w:fldChar w:fldCharType="end"/>
      </w:r>
    </w:p>
    <w:p w14:paraId="3380CB26" w14:textId="77777777" w:rsidR="00F43A1E" w:rsidRPr="00F43A1E" w:rsidRDefault="00F43A1E" w:rsidP="00F43A1E">
      <w:pPr>
        <w:widowControl/>
        <w:spacing w:before="60" w:after="1680"/>
        <w:jc w:val="center"/>
        <w:rPr>
          <w:rFonts w:ascii="Times New Roman" w:hAnsi="Times New Roman"/>
          <w:snapToGrid/>
          <w:sz w:val="28"/>
          <w:szCs w:val="24"/>
          <w:lang w:val="hr-HR" w:eastAsia="hr-HR"/>
        </w:rPr>
      </w:pPr>
      <w:r w:rsidRPr="00F43A1E">
        <w:rPr>
          <w:rFonts w:ascii="Times New Roman" w:hAnsi="Times New Roman"/>
          <w:snapToGrid/>
          <w:sz w:val="28"/>
          <w:szCs w:val="24"/>
          <w:lang w:val="hr-HR" w:eastAsia="hr-HR"/>
        </w:rPr>
        <w:t>VLADA REPUBLIKE HRVATSKE</w:t>
      </w:r>
    </w:p>
    <w:p w14:paraId="6EFE465F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2BDE94FD" w14:textId="054A7C81" w:rsidR="00F43A1E" w:rsidRPr="00F43A1E" w:rsidRDefault="00F43A1E" w:rsidP="00F43A1E">
      <w:pPr>
        <w:widowControl/>
        <w:spacing w:after="2400"/>
        <w:jc w:val="right"/>
        <w:rPr>
          <w:rFonts w:ascii="Times New Roman" w:hAnsi="Times New Roman"/>
          <w:snapToGrid/>
          <w:szCs w:val="24"/>
          <w:lang w:val="hr-HR" w:eastAsia="hr-HR"/>
        </w:rPr>
      </w:pPr>
      <w:r w:rsidRPr="00F43A1E">
        <w:rPr>
          <w:rFonts w:ascii="Times New Roman" w:hAnsi="Times New Roman"/>
          <w:snapToGrid/>
          <w:szCs w:val="24"/>
          <w:lang w:val="hr-HR" w:eastAsia="hr-HR"/>
        </w:rPr>
        <w:t xml:space="preserve">Zagreb, </w:t>
      </w:r>
      <w:r w:rsidR="00D874E9">
        <w:rPr>
          <w:rFonts w:ascii="Times New Roman" w:hAnsi="Times New Roman"/>
          <w:snapToGrid/>
          <w:szCs w:val="24"/>
          <w:lang w:val="hr-HR" w:eastAsia="hr-HR"/>
        </w:rPr>
        <w:t>6</w:t>
      </w:r>
      <w:r w:rsidRPr="00F43A1E">
        <w:rPr>
          <w:rFonts w:ascii="Times New Roman" w:hAnsi="Times New Roman"/>
          <w:snapToGrid/>
          <w:szCs w:val="24"/>
          <w:lang w:val="hr-HR" w:eastAsia="hr-HR"/>
        </w:rPr>
        <w:t xml:space="preserve">. </w:t>
      </w:r>
      <w:r w:rsidR="00D874E9">
        <w:rPr>
          <w:rFonts w:ascii="Times New Roman" w:hAnsi="Times New Roman"/>
          <w:snapToGrid/>
          <w:szCs w:val="24"/>
          <w:lang w:val="hr-HR" w:eastAsia="hr-HR"/>
        </w:rPr>
        <w:t>svibnja</w:t>
      </w:r>
      <w:bookmarkStart w:id="0" w:name="_GoBack"/>
      <w:bookmarkEnd w:id="0"/>
      <w:r w:rsidRPr="00F43A1E">
        <w:rPr>
          <w:rFonts w:ascii="Times New Roman" w:hAnsi="Times New Roman"/>
          <w:snapToGrid/>
          <w:szCs w:val="24"/>
          <w:lang w:val="hr-HR" w:eastAsia="hr-HR"/>
        </w:rPr>
        <w:t xml:space="preserve"> 2021.</w:t>
      </w:r>
    </w:p>
    <w:p w14:paraId="150665BC" w14:textId="77777777" w:rsidR="00F43A1E" w:rsidRPr="00F43A1E" w:rsidRDefault="00F43A1E" w:rsidP="00F43A1E">
      <w:pPr>
        <w:widowControl/>
        <w:spacing w:line="360" w:lineRule="auto"/>
        <w:rPr>
          <w:rFonts w:ascii="Times New Roman" w:hAnsi="Times New Roman"/>
          <w:snapToGrid/>
          <w:szCs w:val="24"/>
          <w:lang w:val="hr-HR" w:eastAsia="hr-HR"/>
        </w:rPr>
      </w:pPr>
      <w:r w:rsidRPr="00F43A1E">
        <w:rPr>
          <w:rFonts w:ascii="Times New Roman" w:hAnsi="Times New Roman"/>
          <w:snapToGrid/>
          <w:szCs w:val="24"/>
          <w:lang w:val="hr-HR" w:eastAsia="hr-HR"/>
        </w:rPr>
        <w:t>__________________________________________________________________________</w:t>
      </w:r>
    </w:p>
    <w:p w14:paraId="31799D23" w14:textId="77777777" w:rsidR="00F43A1E" w:rsidRPr="00F43A1E" w:rsidRDefault="00F43A1E" w:rsidP="00F43A1E">
      <w:pPr>
        <w:widowControl/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napToGrid/>
          <w:szCs w:val="24"/>
          <w:lang w:val="hr-HR" w:eastAsia="hr-HR"/>
        </w:rPr>
        <w:sectPr w:rsidR="00F43A1E" w:rsidRPr="00F43A1E" w:rsidSect="00F43A1E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43A1E" w:rsidRPr="00F43A1E" w14:paraId="020970EE" w14:textId="77777777" w:rsidTr="004B4227">
        <w:tc>
          <w:tcPr>
            <w:tcW w:w="1951" w:type="dxa"/>
          </w:tcPr>
          <w:p w14:paraId="218E1844" w14:textId="77777777" w:rsidR="00F43A1E" w:rsidRPr="00F43A1E" w:rsidRDefault="00F43A1E" w:rsidP="00F43A1E">
            <w:pPr>
              <w:widowControl/>
              <w:spacing w:line="360" w:lineRule="auto"/>
              <w:jc w:val="right"/>
              <w:rPr>
                <w:rFonts w:ascii="Times New Roman" w:hAnsi="Times New Roman"/>
                <w:snapToGrid/>
                <w:szCs w:val="24"/>
                <w:lang w:val="hr-HR"/>
              </w:rPr>
            </w:pPr>
            <w:r w:rsidRPr="00F43A1E">
              <w:rPr>
                <w:rFonts w:ascii="Times New Roman" w:hAnsi="Times New Roman"/>
                <w:b/>
                <w:smallCaps/>
                <w:snapToGrid/>
                <w:szCs w:val="24"/>
                <w:lang w:val="hr-HR"/>
              </w:rPr>
              <w:t>Predlagatelj</w:t>
            </w:r>
            <w:r w:rsidRPr="00F43A1E">
              <w:rPr>
                <w:rFonts w:ascii="Times New Roman" w:hAnsi="Times New Roman"/>
                <w:b/>
                <w:snapToGrid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14:paraId="6345A64B" w14:textId="77777777" w:rsidR="00F43A1E" w:rsidRPr="00F43A1E" w:rsidRDefault="00F43A1E" w:rsidP="00F43A1E">
            <w:pPr>
              <w:widowControl/>
              <w:spacing w:line="360" w:lineRule="auto"/>
              <w:rPr>
                <w:rFonts w:ascii="Times New Roman" w:hAnsi="Times New Roman"/>
                <w:snapToGrid/>
                <w:szCs w:val="24"/>
                <w:lang w:val="hr-HR"/>
              </w:rPr>
            </w:pPr>
            <w:r w:rsidRPr="00673B10">
              <w:rPr>
                <w:rFonts w:ascii="Times New Roman" w:hAnsi="Times New Roman"/>
                <w:snapToGrid/>
                <w:szCs w:val="24"/>
                <w:lang w:val="hr-HR"/>
              </w:rPr>
              <w:t xml:space="preserve">Ministarstvo </w:t>
            </w:r>
            <w:r w:rsidRPr="00673B10">
              <w:rPr>
                <w:rFonts w:ascii="Times New Roman" w:hAnsi="Times New Roman"/>
                <w:szCs w:val="24"/>
                <w:lang w:val="hr-HR"/>
              </w:rPr>
              <w:t>gospodarstva i održivog razvoja</w:t>
            </w:r>
          </w:p>
        </w:tc>
      </w:tr>
    </w:tbl>
    <w:p w14:paraId="3F3DFA3B" w14:textId="77777777" w:rsidR="00F43A1E" w:rsidRPr="00F43A1E" w:rsidRDefault="00F43A1E" w:rsidP="00F43A1E">
      <w:pPr>
        <w:widowControl/>
        <w:spacing w:line="360" w:lineRule="auto"/>
        <w:rPr>
          <w:rFonts w:ascii="Times New Roman" w:hAnsi="Times New Roman"/>
          <w:snapToGrid/>
          <w:szCs w:val="24"/>
          <w:lang w:val="hr-HR" w:eastAsia="hr-HR"/>
        </w:rPr>
      </w:pPr>
      <w:r w:rsidRPr="00F43A1E">
        <w:rPr>
          <w:rFonts w:ascii="Times New Roman" w:hAnsi="Times New Roman"/>
          <w:snapToGrid/>
          <w:szCs w:val="24"/>
          <w:lang w:val="hr-HR" w:eastAsia="hr-HR"/>
        </w:rPr>
        <w:t>__________________________________________________________________________</w:t>
      </w:r>
    </w:p>
    <w:p w14:paraId="47B583E0" w14:textId="77777777" w:rsidR="00F43A1E" w:rsidRPr="00F43A1E" w:rsidRDefault="00F43A1E" w:rsidP="00F43A1E">
      <w:pPr>
        <w:widowControl/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napToGrid/>
          <w:szCs w:val="24"/>
          <w:lang w:val="hr-HR" w:eastAsia="hr-HR"/>
        </w:rPr>
        <w:sectPr w:rsidR="00F43A1E" w:rsidRPr="00F43A1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F43A1E" w:rsidRPr="00F43A1E" w14:paraId="5ECCFA06" w14:textId="77777777" w:rsidTr="004B4227">
        <w:tc>
          <w:tcPr>
            <w:tcW w:w="1951" w:type="dxa"/>
          </w:tcPr>
          <w:p w14:paraId="1990FC13" w14:textId="77777777" w:rsidR="00F43A1E" w:rsidRPr="00F43A1E" w:rsidRDefault="00F43A1E" w:rsidP="00F43A1E">
            <w:pPr>
              <w:widowControl/>
              <w:spacing w:line="360" w:lineRule="auto"/>
              <w:jc w:val="right"/>
              <w:rPr>
                <w:rFonts w:ascii="Times New Roman" w:hAnsi="Times New Roman"/>
                <w:snapToGrid/>
                <w:szCs w:val="24"/>
                <w:lang w:val="hr-HR"/>
              </w:rPr>
            </w:pPr>
            <w:r w:rsidRPr="00F43A1E">
              <w:rPr>
                <w:rFonts w:ascii="Times New Roman" w:hAnsi="Times New Roman"/>
                <w:b/>
                <w:smallCaps/>
                <w:snapToGrid/>
                <w:szCs w:val="24"/>
                <w:lang w:val="hr-HR"/>
              </w:rPr>
              <w:t>Predmet</w:t>
            </w:r>
            <w:r w:rsidRPr="00F43A1E">
              <w:rPr>
                <w:rFonts w:ascii="Times New Roman" w:hAnsi="Times New Roman"/>
                <w:b/>
                <w:snapToGrid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14:paraId="6A231441" w14:textId="77777777" w:rsidR="00F43A1E" w:rsidRPr="00F43A1E" w:rsidRDefault="00F43A1E" w:rsidP="00F43A1E">
            <w:pPr>
              <w:widowControl/>
              <w:spacing w:line="360" w:lineRule="auto"/>
              <w:rPr>
                <w:rFonts w:ascii="Times New Roman" w:hAnsi="Times New Roman"/>
                <w:snapToGrid/>
                <w:szCs w:val="24"/>
                <w:lang w:val="hr-HR"/>
              </w:rPr>
            </w:pPr>
            <w:r w:rsidRPr="00673B10">
              <w:rPr>
                <w:rFonts w:ascii="Times New Roman" w:hAnsi="Times New Roman"/>
                <w:szCs w:val="24"/>
                <w:lang w:val="hr-HR"/>
              </w:rPr>
              <w:t xml:space="preserve">Izvješće pučke pravobraniteljice o pravu na zdrav život i klimatskim promjenama u Republici Hrvatskoj (2013. - 2020.) u kontekstu globalnog pokreta za klimu i pandemije COVID 19 - davanje mišljenja Hrvatskome saboru </w:t>
            </w:r>
          </w:p>
        </w:tc>
      </w:tr>
    </w:tbl>
    <w:p w14:paraId="78A08E0B" w14:textId="77777777" w:rsidR="00F43A1E" w:rsidRPr="00F43A1E" w:rsidRDefault="00F43A1E" w:rsidP="00F43A1E">
      <w:pPr>
        <w:widowControl/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napToGrid/>
          <w:szCs w:val="24"/>
          <w:lang w:val="hr-HR" w:eastAsia="hr-HR"/>
        </w:rPr>
      </w:pPr>
      <w:r w:rsidRPr="00F43A1E">
        <w:rPr>
          <w:rFonts w:ascii="Times New Roman" w:hAnsi="Times New Roman"/>
          <w:snapToGrid/>
          <w:szCs w:val="24"/>
          <w:lang w:val="hr-HR" w:eastAsia="hr-HR"/>
        </w:rPr>
        <w:t>__________________________________________________________________________</w:t>
      </w:r>
    </w:p>
    <w:p w14:paraId="42764258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4DDBF7AB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0AB942D3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00455B1E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7FC545CB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4E1369EB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59D33742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</w:pPr>
    </w:p>
    <w:p w14:paraId="16FBC57B" w14:textId="77777777" w:rsidR="00F43A1E" w:rsidRPr="00F43A1E" w:rsidRDefault="00F43A1E" w:rsidP="00F43A1E">
      <w:pPr>
        <w:widowControl/>
        <w:rPr>
          <w:rFonts w:ascii="Times New Roman" w:hAnsi="Times New Roman"/>
          <w:snapToGrid/>
          <w:szCs w:val="24"/>
          <w:lang w:val="hr-HR" w:eastAsia="hr-HR"/>
        </w:rPr>
        <w:sectPr w:rsidR="00F43A1E" w:rsidRPr="00F43A1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3D3C5BE" w14:textId="77777777" w:rsidR="00A842F0" w:rsidRPr="00673B10" w:rsidRDefault="00A842F0" w:rsidP="00F813F1">
      <w:pPr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7E55DD7D" w14:textId="77777777" w:rsidR="00A842F0" w:rsidRPr="00673B10" w:rsidRDefault="00F813F1" w:rsidP="00F813F1">
      <w:pPr>
        <w:tabs>
          <w:tab w:val="left" w:pos="-720"/>
        </w:tabs>
        <w:suppressAutoHyphens/>
        <w:jc w:val="right"/>
        <w:rPr>
          <w:rFonts w:ascii="Times New Roman" w:hAnsi="Times New Roman"/>
          <w:b/>
          <w:szCs w:val="24"/>
          <w:lang w:val="hr-HR"/>
        </w:rPr>
      </w:pPr>
      <w:r w:rsidRPr="00673B10">
        <w:rPr>
          <w:rFonts w:ascii="Times New Roman" w:hAnsi="Times New Roman"/>
          <w:b/>
          <w:szCs w:val="24"/>
          <w:lang w:val="hr-HR"/>
        </w:rPr>
        <w:t>Prijedlog</w:t>
      </w:r>
    </w:p>
    <w:p w14:paraId="3F1F11F3" w14:textId="4060CF61" w:rsidR="00F813F1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5D00A523" w14:textId="77777777" w:rsidR="000230B0" w:rsidRPr="00673B10" w:rsidRDefault="000230B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260075C4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7AB2958C" w14:textId="77777777" w:rsidR="00886AC6" w:rsidRPr="00673B10" w:rsidRDefault="00886AC6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302028A7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  <w:r w:rsidRPr="00673B10">
        <w:rPr>
          <w:rFonts w:ascii="Times New Roman" w:hAnsi="Times New Roman"/>
          <w:szCs w:val="24"/>
          <w:lang w:val="hr-HR"/>
        </w:rPr>
        <w:t>KLASA:</w:t>
      </w:r>
    </w:p>
    <w:p w14:paraId="5CC44DD5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  <w:r w:rsidRPr="00673B10">
        <w:rPr>
          <w:rFonts w:ascii="Times New Roman" w:hAnsi="Times New Roman"/>
          <w:szCs w:val="24"/>
          <w:lang w:val="hr-HR"/>
        </w:rPr>
        <w:t>URBROJ:</w:t>
      </w:r>
    </w:p>
    <w:p w14:paraId="71EAC2F0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564553DE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  <w:r w:rsidRPr="00673B10">
        <w:rPr>
          <w:rFonts w:ascii="Times New Roman" w:hAnsi="Times New Roman"/>
          <w:szCs w:val="24"/>
          <w:lang w:val="hr-HR"/>
        </w:rPr>
        <w:t>Zagreb,</w:t>
      </w:r>
    </w:p>
    <w:p w14:paraId="3CAF4E08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2C514F57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465D8C8E" w14:textId="77777777" w:rsidR="00F813F1" w:rsidRPr="00673B10" w:rsidRDefault="00F813F1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0DE5F629" w14:textId="77777777" w:rsidR="00A842F0" w:rsidRPr="00673B10" w:rsidRDefault="00A842F0" w:rsidP="00F813F1">
      <w:pPr>
        <w:tabs>
          <w:tab w:val="left" w:pos="-720"/>
        </w:tabs>
        <w:suppressAutoHyphens/>
        <w:jc w:val="right"/>
        <w:rPr>
          <w:rFonts w:ascii="Times New Roman" w:hAnsi="Times New Roman"/>
          <w:szCs w:val="24"/>
          <w:lang w:val="hr-HR"/>
        </w:rPr>
      </w:pPr>
      <w:r w:rsidRPr="00673B10">
        <w:rPr>
          <w:rFonts w:ascii="Times New Roman" w:hAnsi="Times New Roman"/>
          <w:b/>
          <w:szCs w:val="24"/>
          <w:lang w:val="hr-HR"/>
        </w:rPr>
        <w:t>PREDSJEDNIKU HRVATSKOGA SABORA</w:t>
      </w:r>
    </w:p>
    <w:p w14:paraId="4A213CD0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7826E10F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0694F311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1B3D74F9" w14:textId="77777777" w:rsidR="00A842F0" w:rsidRPr="00673B10" w:rsidRDefault="00A842F0" w:rsidP="00F813F1">
      <w:pPr>
        <w:tabs>
          <w:tab w:val="left" w:pos="0"/>
        </w:tabs>
        <w:suppressAutoHyphens/>
        <w:ind w:left="1440" w:hanging="1440"/>
        <w:jc w:val="both"/>
        <w:rPr>
          <w:rFonts w:ascii="Times New Roman" w:hAnsi="Times New Roman"/>
          <w:szCs w:val="24"/>
          <w:lang w:val="hr-HR"/>
        </w:rPr>
      </w:pPr>
      <w:r w:rsidRPr="00673B10">
        <w:rPr>
          <w:rFonts w:ascii="Times New Roman" w:hAnsi="Times New Roman"/>
          <w:szCs w:val="24"/>
          <w:lang w:val="hr-HR"/>
        </w:rPr>
        <w:t>PREDMET:</w:t>
      </w:r>
      <w:r w:rsidRPr="00673B10">
        <w:rPr>
          <w:rFonts w:ascii="Times New Roman" w:hAnsi="Times New Roman"/>
          <w:szCs w:val="24"/>
          <w:lang w:val="hr-HR"/>
        </w:rPr>
        <w:tab/>
        <w:t xml:space="preserve">Izvješće pučke pravobraniteljice o pravu na zdrav život i klimatskim promjenama u Republici Hrvatskoj (2013. </w:t>
      </w:r>
      <w:r w:rsidR="00F813F1" w:rsidRPr="00673B10">
        <w:rPr>
          <w:rFonts w:ascii="Times New Roman" w:hAnsi="Times New Roman"/>
          <w:szCs w:val="24"/>
          <w:lang w:val="hr-HR"/>
        </w:rPr>
        <w:t>-</w:t>
      </w:r>
      <w:r w:rsidRPr="00673B10">
        <w:rPr>
          <w:rFonts w:ascii="Times New Roman" w:hAnsi="Times New Roman"/>
          <w:szCs w:val="24"/>
          <w:lang w:val="hr-HR"/>
        </w:rPr>
        <w:t xml:space="preserve"> 2020.) u kontekstu global</w:t>
      </w:r>
      <w:r w:rsidR="00F813F1" w:rsidRPr="00673B10">
        <w:rPr>
          <w:rFonts w:ascii="Times New Roman" w:hAnsi="Times New Roman"/>
          <w:szCs w:val="24"/>
          <w:lang w:val="hr-HR"/>
        </w:rPr>
        <w:t>n</w:t>
      </w:r>
      <w:r w:rsidRPr="00673B10">
        <w:rPr>
          <w:rFonts w:ascii="Times New Roman" w:hAnsi="Times New Roman"/>
          <w:szCs w:val="24"/>
          <w:lang w:val="hr-HR"/>
        </w:rPr>
        <w:t>og pokreta za klimu i pandemije COVID 19 - mišljenje Vlade</w:t>
      </w:r>
    </w:p>
    <w:p w14:paraId="1FBD24DD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363BF2CD" w14:textId="77777777" w:rsidR="00A842F0" w:rsidRPr="00673B10" w:rsidRDefault="00A842F0" w:rsidP="00F813F1">
      <w:pPr>
        <w:pStyle w:val="Default"/>
        <w:ind w:left="1440" w:hanging="1440"/>
        <w:jc w:val="both"/>
        <w:rPr>
          <w:color w:val="auto"/>
        </w:rPr>
      </w:pPr>
      <w:r w:rsidRPr="00673B10">
        <w:rPr>
          <w:color w:val="auto"/>
        </w:rPr>
        <w:t>Veza:</w:t>
      </w:r>
      <w:r w:rsidRPr="00673B10">
        <w:rPr>
          <w:color w:val="auto"/>
        </w:rPr>
        <w:tab/>
        <w:t>Pismo Hrvatskoga sabora, KLASA: 021-12/2</w:t>
      </w:r>
      <w:r w:rsidR="00F813F1" w:rsidRPr="00673B10">
        <w:rPr>
          <w:color w:val="auto"/>
        </w:rPr>
        <w:t>1</w:t>
      </w:r>
      <w:r w:rsidRPr="00673B10">
        <w:rPr>
          <w:color w:val="auto"/>
        </w:rPr>
        <w:t>-09/08, URBROJ: 65-21-03, od 22. veljače 2021.</w:t>
      </w:r>
    </w:p>
    <w:p w14:paraId="34DE6503" w14:textId="77777777" w:rsidR="00A842F0" w:rsidRPr="00673B10" w:rsidRDefault="00A842F0" w:rsidP="00886AC6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52D5E2F4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727093B0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  <w:r w:rsidRPr="00673B10">
        <w:rPr>
          <w:rFonts w:ascii="Times New Roman" w:hAnsi="Times New Roman"/>
          <w:szCs w:val="24"/>
          <w:lang w:val="hr-HR"/>
        </w:rPr>
        <w:tab/>
      </w:r>
      <w:r w:rsidRPr="00673B10">
        <w:rPr>
          <w:rFonts w:ascii="Times New Roman" w:hAnsi="Times New Roman"/>
          <w:szCs w:val="24"/>
          <w:lang w:val="hr-HR"/>
        </w:rPr>
        <w:tab/>
        <w:t>Na temelju članka 122. stavka 2. Poslovnika Hrvatskoga sabora (</w:t>
      </w:r>
      <w:r w:rsidR="00886AC6" w:rsidRPr="00673B10">
        <w:rPr>
          <w:rFonts w:ascii="Times New Roman" w:hAnsi="Times New Roman"/>
          <w:szCs w:val="24"/>
          <w:lang w:val="hr-HR"/>
        </w:rPr>
        <w:t>„</w:t>
      </w:r>
      <w:r w:rsidRPr="00673B10">
        <w:rPr>
          <w:rFonts w:ascii="Times New Roman" w:hAnsi="Times New Roman"/>
          <w:szCs w:val="24"/>
          <w:lang w:val="hr-HR"/>
        </w:rPr>
        <w:t>Narodne novine</w:t>
      </w:r>
      <w:r w:rsidR="00886AC6" w:rsidRPr="00673B10">
        <w:rPr>
          <w:rFonts w:ascii="Times New Roman" w:hAnsi="Times New Roman"/>
          <w:szCs w:val="24"/>
          <w:lang w:val="hr-HR"/>
        </w:rPr>
        <w:t>“</w:t>
      </w:r>
      <w:r w:rsidRPr="00673B10">
        <w:rPr>
          <w:rFonts w:ascii="Times New Roman" w:hAnsi="Times New Roman"/>
          <w:szCs w:val="24"/>
          <w:lang w:val="hr-HR"/>
        </w:rPr>
        <w:t xml:space="preserve">, br. </w:t>
      </w:r>
      <w:r w:rsidRPr="00673B10">
        <w:rPr>
          <w:rFonts w:ascii="Times New Roman" w:hAnsi="Times New Roman"/>
          <w:szCs w:val="24"/>
          <w:lang w:val="hr-HR" w:eastAsia="hr-HR"/>
        </w:rPr>
        <w:t>81/13</w:t>
      </w:r>
      <w:r w:rsidR="00886AC6" w:rsidRPr="00673B10">
        <w:rPr>
          <w:rFonts w:ascii="Times New Roman" w:hAnsi="Times New Roman"/>
          <w:szCs w:val="24"/>
          <w:lang w:val="hr-HR" w:eastAsia="hr-HR"/>
        </w:rPr>
        <w:t>.</w:t>
      </w:r>
      <w:r w:rsidRPr="00673B10">
        <w:rPr>
          <w:rFonts w:ascii="Times New Roman" w:hAnsi="Times New Roman"/>
          <w:szCs w:val="24"/>
          <w:lang w:val="hr-HR" w:eastAsia="hr-HR"/>
        </w:rPr>
        <w:t>, 113/16</w:t>
      </w:r>
      <w:r w:rsidR="00886AC6" w:rsidRPr="00673B10">
        <w:rPr>
          <w:rFonts w:ascii="Times New Roman" w:hAnsi="Times New Roman"/>
          <w:szCs w:val="24"/>
          <w:lang w:val="hr-HR" w:eastAsia="hr-HR"/>
        </w:rPr>
        <w:t>.</w:t>
      </w:r>
      <w:r w:rsidRPr="00673B10">
        <w:rPr>
          <w:rFonts w:ascii="Times New Roman" w:hAnsi="Times New Roman"/>
          <w:szCs w:val="24"/>
          <w:lang w:val="hr-HR" w:eastAsia="hr-HR"/>
        </w:rPr>
        <w:t>, 69/17</w:t>
      </w:r>
      <w:r w:rsidR="00886AC6" w:rsidRPr="00673B10">
        <w:rPr>
          <w:rFonts w:ascii="Times New Roman" w:hAnsi="Times New Roman"/>
          <w:szCs w:val="24"/>
          <w:lang w:val="hr-HR" w:eastAsia="hr-HR"/>
        </w:rPr>
        <w:t>.</w:t>
      </w:r>
      <w:r w:rsidRPr="00673B10">
        <w:rPr>
          <w:rFonts w:ascii="Times New Roman" w:hAnsi="Times New Roman"/>
          <w:szCs w:val="24"/>
          <w:lang w:val="hr-HR" w:eastAsia="hr-HR"/>
        </w:rPr>
        <w:t>, 29/18</w:t>
      </w:r>
      <w:r w:rsidR="00886AC6" w:rsidRPr="00673B10">
        <w:rPr>
          <w:rFonts w:ascii="Times New Roman" w:hAnsi="Times New Roman"/>
          <w:szCs w:val="24"/>
          <w:lang w:val="hr-HR" w:eastAsia="hr-HR"/>
        </w:rPr>
        <w:t>.</w:t>
      </w:r>
      <w:r w:rsidR="000035CC" w:rsidRPr="00673B10">
        <w:rPr>
          <w:rFonts w:ascii="Times New Roman" w:hAnsi="Times New Roman"/>
          <w:szCs w:val="24"/>
          <w:lang w:val="hr-HR" w:eastAsia="hr-HR"/>
        </w:rPr>
        <w:t>, 53/20</w:t>
      </w:r>
      <w:r w:rsidR="00886AC6" w:rsidRPr="00673B10">
        <w:rPr>
          <w:rFonts w:ascii="Times New Roman" w:hAnsi="Times New Roman"/>
          <w:szCs w:val="24"/>
          <w:lang w:val="hr-HR" w:eastAsia="hr-HR"/>
        </w:rPr>
        <w:t>.</w:t>
      </w:r>
      <w:r w:rsidR="000035CC" w:rsidRPr="00673B10">
        <w:rPr>
          <w:rFonts w:ascii="Times New Roman" w:hAnsi="Times New Roman"/>
          <w:szCs w:val="24"/>
          <w:lang w:val="hr-HR" w:eastAsia="hr-HR"/>
        </w:rPr>
        <w:t>, 119/</w:t>
      </w:r>
      <w:r w:rsidRPr="00673B10">
        <w:rPr>
          <w:rFonts w:ascii="Times New Roman" w:hAnsi="Times New Roman"/>
          <w:szCs w:val="24"/>
          <w:lang w:val="hr-HR" w:eastAsia="hr-HR"/>
        </w:rPr>
        <w:t>20</w:t>
      </w:r>
      <w:r w:rsidR="00886AC6" w:rsidRPr="00673B10">
        <w:rPr>
          <w:rFonts w:ascii="Times New Roman" w:hAnsi="Times New Roman"/>
          <w:szCs w:val="24"/>
          <w:lang w:val="hr-HR" w:eastAsia="hr-HR"/>
        </w:rPr>
        <w:t>. -</w:t>
      </w:r>
      <w:r w:rsidRPr="00673B10">
        <w:rPr>
          <w:rFonts w:ascii="Times New Roman" w:hAnsi="Times New Roman"/>
          <w:szCs w:val="24"/>
          <w:lang w:val="hr-HR" w:eastAsia="hr-HR"/>
        </w:rPr>
        <w:t xml:space="preserve"> </w:t>
      </w:r>
      <w:r w:rsidR="00875A21" w:rsidRPr="00673B10">
        <w:rPr>
          <w:rFonts w:ascii="Times New Roman" w:hAnsi="Times New Roman"/>
          <w:szCs w:val="24"/>
          <w:lang w:val="hr-HR" w:eastAsia="hr-HR"/>
        </w:rPr>
        <w:t>Odluka Ustavnog suda Republike Hrvatske</w:t>
      </w:r>
      <w:r w:rsidR="000035CC" w:rsidRPr="00673B10">
        <w:rPr>
          <w:rFonts w:ascii="Times New Roman" w:hAnsi="Times New Roman"/>
          <w:szCs w:val="24"/>
          <w:lang w:val="hr-HR" w:eastAsia="hr-HR"/>
        </w:rPr>
        <w:t xml:space="preserve"> </w:t>
      </w:r>
      <w:r w:rsidR="00886AC6" w:rsidRPr="00673B10">
        <w:rPr>
          <w:rFonts w:ascii="Times New Roman" w:hAnsi="Times New Roman"/>
          <w:szCs w:val="24"/>
          <w:lang w:val="hr-HR" w:eastAsia="hr-HR"/>
        </w:rPr>
        <w:t xml:space="preserve">i </w:t>
      </w:r>
      <w:r w:rsidRPr="00673B10">
        <w:rPr>
          <w:rFonts w:ascii="Times New Roman" w:hAnsi="Times New Roman"/>
          <w:szCs w:val="24"/>
          <w:lang w:val="hr-HR" w:eastAsia="hr-HR"/>
        </w:rPr>
        <w:t>123/20</w:t>
      </w:r>
      <w:r w:rsidR="00886AC6" w:rsidRPr="00673B10">
        <w:rPr>
          <w:rFonts w:ascii="Times New Roman" w:hAnsi="Times New Roman"/>
          <w:szCs w:val="24"/>
          <w:lang w:val="hr-HR" w:eastAsia="hr-HR"/>
        </w:rPr>
        <w:t>.</w:t>
      </w:r>
      <w:r w:rsidRPr="00673B10">
        <w:rPr>
          <w:rFonts w:ascii="Times New Roman" w:hAnsi="Times New Roman"/>
          <w:szCs w:val="24"/>
          <w:lang w:val="hr-HR"/>
        </w:rPr>
        <w:t>)</w:t>
      </w:r>
      <w:r w:rsidR="007D72D6" w:rsidRPr="00673B10">
        <w:rPr>
          <w:rFonts w:ascii="Times New Roman" w:hAnsi="Times New Roman"/>
          <w:szCs w:val="24"/>
          <w:lang w:val="hr-HR"/>
        </w:rPr>
        <w:t>, Vlada Republike Hrvatske na</w:t>
      </w:r>
      <w:r w:rsidRPr="00673B10">
        <w:rPr>
          <w:rFonts w:ascii="Times New Roman" w:hAnsi="Times New Roman"/>
          <w:szCs w:val="24"/>
          <w:lang w:val="hr-HR"/>
        </w:rPr>
        <w:t xml:space="preserve"> </w:t>
      </w:r>
      <w:r w:rsidR="007D72D6" w:rsidRPr="00673B10">
        <w:rPr>
          <w:rFonts w:ascii="Times New Roman" w:hAnsi="Times New Roman"/>
          <w:szCs w:val="24"/>
          <w:lang w:val="hr-HR"/>
        </w:rPr>
        <w:t>Izvješće</w:t>
      </w:r>
      <w:r w:rsidRPr="00673B10">
        <w:rPr>
          <w:rFonts w:ascii="Times New Roman" w:hAnsi="Times New Roman"/>
          <w:szCs w:val="24"/>
          <w:lang w:val="hr-HR"/>
        </w:rPr>
        <w:t xml:space="preserve"> pučke pravobraniteljice o pravu na zdrav život i klimatskim promjenama u Republici Hrvatskoj (2013. </w:t>
      </w:r>
      <w:r w:rsidR="00886AC6" w:rsidRPr="00673B10">
        <w:rPr>
          <w:rFonts w:ascii="Times New Roman" w:hAnsi="Times New Roman"/>
          <w:szCs w:val="24"/>
          <w:lang w:val="hr-HR"/>
        </w:rPr>
        <w:t>-</w:t>
      </w:r>
      <w:r w:rsidRPr="00673B10">
        <w:rPr>
          <w:rFonts w:ascii="Times New Roman" w:hAnsi="Times New Roman"/>
          <w:szCs w:val="24"/>
          <w:lang w:val="hr-HR"/>
        </w:rPr>
        <w:t xml:space="preserve"> 2020.) u kontekstu global</w:t>
      </w:r>
      <w:r w:rsidR="00886AC6" w:rsidRPr="00673B10">
        <w:rPr>
          <w:rFonts w:ascii="Times New Roman" w:hAnsi="Times New Roman"/>
          <w:szCs w:val="24"/>
          <w:lang w:val="hr-HR"/>
        </w:rPr>
        <w:t>n</w:t>
      </w:r>
      <w:r w:rsidRPr="00673B10">
        <w:rPr>
          <w:rFonts w:ascii="Times New Roman" w:hAnsi="Times New Roman"/>
          <w:szCs w:val="24"/>
          <w:lang w:val="hr-HR"/>
        </w:rPr>
        <w:t>og pokreta za klimu i pandemije COVID 19, daje sljedeće</w:t>
      </w:r>
    </w:p>
    <w:p w14:paraId="63DEBA1A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72965853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0CC7630A" w14:textId="77777777" w:rsidR="00A842F0" w:rsidRPr="00673B10" w:rsidRDefault="00A842F0" w:rsidP="00886AC6">
      <w:pPr>
        <w:tabs>
          <w:tab w:val="center" w:pos="4513"/>
        </w:tabs>
        <w:suppressAutoHyphens/>
        <w:jc w:val="center"/>
        <w:rPr>
          <w:rFonts w:ascii="Times New Roman" w:hAnsi="Times New Roman"/>
          <w:szCs w:val="24"/>
          <w:lang w:val="hr-HR"/>
        </w:rPr>
      </w:pPr>
      <w:r w:rsidRPr="00673B10">
        <w:rPr>
          <w:rFonts w:ascii="Times New Roman" w:hAnsi="Times New Roman"/>
          <w:b/>
          <w:szCs w:val="24"/>
          <w:lang w:val="hr-HR"/>
        </w:rPr>
        <w:t>M I Š L J E N J E</w:t>
      </w:r>
    </w:p>
    <w:p w14:paraId="582F25E9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23CE4D17" w14:textId="77777777" w:rsidR="00A842F0" w:rsidRPr="00673B10" w:rsidRDefault="00A842F0" w:rsidP="00F813F1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3C701EFB" w14:textId="4DE69847" w:rsidR="00A842F0" w:rsidRPr="00673B10" w:rsidRDefault="00A842F0" w:rsidP="00F813F1">
      <w:pPr>
        <w:pStyle w:val="Default"/>
        <w:jc w:val="both"/>
        <w:rPr>
          <w:color w:val="auto"/>
        </w:rPr>
      </w:pPr>
      <w:r w:rsidRPr="00673B10">
        <w:rPr>
          <w:color w:val="auto"/>
        </w:rPr>
        <w:tab/>
      </w:r>
      <w:r w:rsidRPr="00673B10">
        <w:rPr>
          <w:color w:val="auto"/>
        </w:rPr>
        <w:tab/>
        <w:t xml:space="preserve">Vlada Republike Hrvatske, u odnosu na Izvješće pučke pravobraniteljice o pravu na zdrav život i klimatskim promjenama u Republici Hrvatskoj (2013. </w:t>
      </w:r>
      <w:r w:rsidR="00673B10" w:rsidRPr="00673B10">
        <w:rPr>
          <w:color w:val="auto"/>
        </w:rPr>
        <w:t>-</w:t>
      </w:r>
      <w:r w:rsidRPr="00673B10">
        <w:rPr>
          <w:color w:val="auto"/>
        </w:rPr>
        <w:t xml:space="preserve"> 2020.) u kontekstu global</w:t>
      </w:r>
      <w:r w:rsidR="00673B10" w:rsidRPr="00673B10">
        <w:rPr>
          <w:color w:val="auto"/>
        </w:rPr>
        <w:t>n</w:t>
      </w:r>
      <w:r w:rsidRPr="00673B10">
        <w:rPr>
          <w:color w:val="auto"/>
        </w:rPr>
        <w:t>og pokreta za klimu i pandemije COVID 19</w:t>
      </w:r>
      <w:r w:rsidR="00335A1E" w:rsidRPr="00673B10">
        <w:rPr>
          <w:color w:val="auto"/>
        </w:rPr>
        <w:t xml:space="preserve"> (u daljnjem tekstu: Izvješće)</w:t>
      </w:r>
      <w:r w:rsidRPr="00673B10">
        <w:rPr>
          <w:color w:val="auto"/>
        </w:rPr>
        <w:t>, koje je predsjedniku Hrvatskoga sabora podnijela pučka pravobraniteljica, aktom od 18. veljače 202</w:t>
      </w:r>
      <w:r w:rsidR="00E109AA">
        <w:rPr>
          <w:color w:val="auto"/>
        </w:rPr>
        <w:t>1</w:t>
      </w:r>
      <w:r w:rsidRPr="00673B10">
        <w:rPr>
          <w:color w:val="auto"/>
        </w:rPr>
        <w:t>., ukazuje na sljedeće:</w:t>
      </w:r>
    </w:p>
    <w:p w14:paraId="346162CB" w14:textId="77777777" w:rsidR="0097399E" w:rsidRPr="00673B10" w:rsidRDefault="0097399E" w:rsidP="00F813F1">
      <w:pPr>
        <w:pStyle w:val="Default"/>
        <w:jc w:val="both"/>
        <w:rPr>
          <w:color w:val="auto"/>
        </w:rPr>
      </w:pPr>
    </w:p>
    <w:p w14:paraId="1717D6E5" w14:textId="77777777" w:rsidR="0097399E" w:rsidRPr="00673B10" w:rsidRDefault="0097399E" w:rsidP="00673B10">
      <w:pPr>
        <w:pStyle w:val="Default"/>
        <w:ind w:firstLine="708"/>
        <w:jc w:val="both"/>
        <w:rPr>
          <w:color w:val="auto"/>
        </w:rPr>
      </w:pPr>
      <w:r w:rsidRPr="00673B10">
        <w:rPr>
          <w:color w:val="auto"/>
        </w:rPr>
        <w:t>3.</w:t>
      </w:r>
      <w:r w:rsidR="00673B10">
        <w:rPr>
          <w:color w:val="auto"/>
        </w:rPr>
        <w:tab/>
      </w:r>
      <w:r w:rsidRPr="00673B10">
        <w:rPr>
          <w:color w:val="auto"/>
        </w:rPr>
        <w:t>Pravo na zdrav život u Republici Hrvatskoj</w:t>
      </w:r>
    </w:p>
    <w:p w14:paraId="089BDE2B" w14:textId="77777777" w:rsidR="00A842F0" w:rsidRPr="00673B10" w:rsidRDefault="00A842F0" w:rsidP="00F813F1">
      <w:pPr>
        <w:widowControl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5EA6DC54" w14:textId="77777777" w:rsidR="00A842F0" w:rsidRPr="00673B10" w:rsidRDefault="00A842F0" w:rsidP="00F813F1">
      <w:pPr>
        <w:widowControl/>
        <w:ind w:left="708" w:firstLine="708"/>
        <w:jc w:val="both"/>
        <w:rPr>
          <w:rFonts w:ascii="Times New Roman" w:hAnsi="Times New Roman"/>
          <w:snapToGrid/>
          <w:szCs w:val="24"/>
          <w:lang w:val="hr-HR" w:eastAsia="hr-HR"/>
        </w:rPr>
      </w:pPr>
      <w:r w:rsidRPr="00673B10">
        <w:rPr>
          <w:rFonts w:ascii="Times New Roman" w:hAnsi="Times New Roman"/>
          <w:snapToGrid/>
          <w:szCs w:val="24"/>
          <w:lang w:val="hr-HR" w:eastAsia="hr-HR"/>
        </w:rPr>
        <w:t>Sastavnice okoliša: Zrak</w:t>
      </w:r>
    </w:p>
    <w:p w14:paraId="425F7202" w14:textId="77777777" w:rsidR="00A842F0" w:rsidRPr="00673B10" w:rsidRDefault="00A842F0" w:rsidP="00F813F1">
      <w:pPr>
        <w:widowControl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62A59B5A" w14:textId="147EB0A9" w:rsidR="00A842F0" w:rsidRDefault="00875A21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>V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ezano za broj prekoračenja vrijednosti sumporovodika na lokaciji Županijskog centra za gospodarenje otpadom (u daljnjem tekstu: ŽCGO) Marišćina</w:t>
      </w:r>
      <w:r w:rsidR="00673B10">
        <w:rPr>
          <w:rFonts w:ascii="Times New Roman" w:eastAsia="Calibri" w:hAnsi="Times New Roman"/>
          <w:snapToGrid/>
          <w:szCs w:val="24"/>
          <w:lang w:val="hr-HR"/>
        </w:rPr>
        <w:t>,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</w:t>
      </w:r>
      <w:r w:rsidR="0006172C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stranic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i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13.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Izvješća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koji glasi: „Navode da im smrad kiseline nadražuje sluznicu, imaju glavobolje, mučnine i probleme s disanjem, a u 2018. su izbrojali 122, te u 2019. čak 310 prekoračenja vrijednosti sumporovodika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>,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...." 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ističe kako se radi o 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>nevalidiranim podacima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, 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 xml:space="preserve">što je i navedeno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u napomeni na </w:t>
      </w:r>
      <w:r w:rsidR="00A57E17" w:rsidRPr="00673B10">
        <w:rPr>
          <w:rFonts w:ascii="Times New Roman" w:eastAsia="Calibri" w:hAnsi="Times New Roman"/>
          <w:snapToGrid/>
          <w:szCs w:val="24"/>
          <w:lang w:val="hr-HR"/>
        </w:rPr>
        <w:t xml:space="preserve">mrežnoj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stranici Nastavnog zavoda za javno zdravstvo Primorsko-goranske županije, s koje prijavitelji iščitavaju izmjerene vrijednosti i kao takve prijavljuju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lastRenderedPageBreak/>
        <w:t xml:space="preserve">institucijama. Nevalidirane podatke izmjerenih vrijednosti parametara tijekom jedne godine obrađuje Nastavni zavod za javno zdravstvo Primorsko-goranske županije i objavljuje 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 xml:space="preserve">ih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u 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>i</w:t>
      </w:r>
      <w:r w:rsidR="005D06FB" w:rsidRPr="00673B10">
        <w:rPr>
          <w:rFonts w:ascii="Times New Roman" w:eastAsia="Calibri" w:hAnsi="Times New Roman"/>
          <w:snapToGrid/>
          <w:szCs w:val="24"/>
          <w:lang w:val="hr-HR"/>
        </w:rPr>
        <w:t xml:space="preserve">zvještaju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o praćenju kvalitete zraka na području ŽCGO Mariščina. Iako 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 xml:space="preserve">još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nije pristigao </w:t>
      </w:r>
      <w:r w:rsidR="005D06FB">
        <w:rPr>
          <w:rFonts w:ascii="Times New Roman" w:eastAsia="Calibri" w:hAnsi="Times New Roman"/>
          <w:snapToGrid/>
          <w:szCs w:val="24"/>
          <w:lang w:val="hr-HR"/>
        </w:rPr>
        <w:t>i</w:t>
      </w:r>
      <w:r w:rsidR="005D06FB" w:rsidRPr="00673B10">
        <w:rPr>
          <w:rFonts w:ascii="Times New Roman" w:eastAsia="Calibri" w:hAnsi="Times New Roman"/>
          <w:snapToGrid/>
          <w:szCs w:val="24"/>
          <w:lang w:val="hr-HR"/>
        </w:rPr>
        <w:t xml:space="preserve">zvještaj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za 2020., temeljem nevalidiranih izmjerenih vrijednosti broja satnih prekoračenja, u mjesecu siječnju 2020., zabilježeno je petosatno, a u mjesecu rujnu jednosatno prekoračenje</w:t>
      </w:r>
      <w:r w:rsidR="00372309">
        <w:rPr>
          <w:rFonts w:ascii="Times New Roman" w:eastAsia="Calibri" w:hAnsi="Times New Roman"/>
          <w:snapToGrid/>
          <w:szCs w:val="24"/>
          <w:lang w:val="hr-HR"/>
        </w:rPr>
        <w:t xml:space="preserve"> graničnih vrijednosti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.</w:t>
      </w:r>
    </w:p>
    <w:p w14:paraId="0645C9BB" w14:textId="77777777" w:rsidR="005D06FB" w:rsidRPr="00673B10" w:rsidRDefault="005D06FB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3E58ABFA" w14:textId="4120B95F" w:rsidR="00A842F0" w:rsidRDefault="005D06FB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>
        <w:rPr>
          <w:rFonts w:ascii="Times New Roman" w:eastAsia="Calibri" w:hAnsi="Times New Roman"/>
          <w:snapToGrid/>
          <w:szCs w:val="24"/>
          <w:lang w:val="hr-HR"/>
        </w:rPr>
        <w:t>Nadalje, i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nspekcija zaštite okoliša je temeljem provedenih inspekcijskih nadzora tijekom 2018. i 2019.</w:t>
      </w:r>
      <w:r w:rsidR="008B03B9">
        <w:rPr>
          <w:rFonts w:ascii="Times New Roman" w:eastAsia="Calibri" w:hAnsi="Times New Roman"/>
          <w:snapToGrid/>
          <w:szCs w:val="24"/>
          <w:lang w:val="hr-HR"/>
        </w:rPr>
        <w:t xml:space="preserve">,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sa svrhom provjere poštivanja mjera povezanih sa sprječavanjem emisija onečišćujućih tvari u okoliš, poglavito sumporovodika, a na koje nepravilnosti su upućivali </w:t>
      </w:r>
      <w:r w:rsidR="00875A21" w:rsidRPr="00673B10">
        <w:rPr>
          <w:rFonts w:ascii="Times New Roman" w:eastAsia="Calibri" w:hAnsi="Times New Roman"/>
          <w:snapToGrid/>
          <w:szCs w:val="24"/>
          <w:lang w:val="hr-HR"/>
        </w:rPr>
        <w:t xml:space="preserve">u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Izvješta</w:t>
      </w:r>
      <w:r w:rsidR="008747D4" w:rsidRPr="00673B10">
        <w:rPr>
          <w:rFonts w:ascii="Times New Roman" w:eastAsia="Calibri" w:hAnsi="Times New Roman"/>
          <w:snapToGrid/>
          <w:szCs w:val="24"/>
          <w:lang w:val="hr-HR"/>
        </w:rPr>
        <w:t>ju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o analizama koncentracija deponijskog plina odlagališne plohe 1A, temeljem kojeg je utvrđeno da je na otplinjačima povišena prisutnost sumporovodika i metana, što je </w:t>
      </w:r>
      <w:r w:rsidR="008B03B9">
        <w:rPr>
          <w:rFonts w:ascii="Times New Roman" w:eastAsia="Calibri" w:hAnsi="Times New Roman"/>
          <w:snapToGrid/>
          <w:szCs w:val="24"/>
          <w:lang w:val="hr-HR"/>
        </w:rPr>
        <w:t>ukazivalo</w:t>
      </w:r>
      <w:r w:rsidR="008B03B9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na moguće aktiviranje mikrobioloških procesa i razgradnju sadržaja odloženog otpada, donijela rješenje kojim je operateru naredila obradu/iskorištavanje bioplina s odlagališne plohe, </w:t>
      </w:r>
      <w:r w:rsidR="008B03B9">
        <w:rPr>
          <w:rFonts w:ascii="Times New Roman" w:eastAsia="Calibri" w:hAnsi="Times New Roman"/>
          <w:snapToGrid/>
          <w:szCs w:val="24"/>
          <w:lang w:val="hr-HR"/>
        </w:rPr>
        <w:t xml:space="preserve">s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obzirom </w:t>
      </w:r>
      <w:r w:rsidR="008B03B9">
        <w:rPr>
          <w:rFonts w:ascii="Times New Roman" w:eastAsia="Calibri" w:hAnsi="Times New Roman"/>
          <w:snapToGrid/>
          <w:szCs w:val="24"/>
          <w:lang w:val="hr-HR"/>
        </w:rPr>
        <w:t xml:space="preserve">na to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da su stečeni uvjeti za spaljivanjem plina </w:t>
      </w:r>
      <w:r w:rsidR="00A842F0" w:rsidRPr="002E1676">
        <w:rPr>
          <w:rFonts w:ascii="Times New Roman" w:eastAsia="Calibri" w:hAnsi="Times New Roman"/>
          <w:snapToGrid/>
          <w:szCs w:val="24"/>
          <w:lang w:val="hr-HR"/>
        </w:rPr>
        <w:t>na visokotemperatu</w:t>
      </w:r>
      <w:r w:rsidR="00372309" w:rsidRPr="002E1676">
        <w:rPr>
          <w:rFonts w:ascii="Times New Roman" w:eastAsia="Calibri" w:hAnsi="Times New Roman"/>
          <w:snapToGrid/>
          <w:szCs w:val="24"/>
          <w:lang w:val="hr-HR"/>
        </w:rPr>
        <w:t>rn</w:t>
      </w:r>
      <w:r w:rsidR="00A842F0" w:rsidRPr="002E1676">
        <w:rPr>
          <w:rFonts w:ascii="Times New Roman" w:eastAsia="Calibri" w:hAnsi="Times New Roman"/>
          <w:snapToGrid/>
          <w:szCs w:val="24"/>
          <w:lang w:val="hr-HR"/>
        </w:rPr>
        <w:t>oj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baklji. U srpnju 2019.</w:t>
      </w:r>
      <w:r w:rsidR="00875A21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operater je obavio sve potrebne radove zadane projektom privremenog otplinjavanja i započeo s obradom/iskorištavanjem bioplina. Od dana puštanja u rad </w:t>
      </w:r>
      <w:r w:rsidR="00A842F0" w:rsidRPr="002E1676">
        <w:rPr>
          <w:rFonts w:ascii="Times New Roman" w:eastAsia="Calibri" w:hAnsi="Times New Roman"/>
          <w:snapToGrid/>
          <w:szCs w:val="24"/>
          <w:lang w:val="hr-HR"/>
        </w:rPr>
        <w:t>visokotemperaturne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baklje zabilježeno je osam prekoračenja propisane satne granične vrijednosti mjerenog </w:t>
      </w:r>
      <w:r w:rsidR="00372309">
        <w:rPr>
          <w:rFonts w:ascii="Times New Roman" w:eastAsia="Calibri" w:hAnsi="Times New Roman"/>
          <w:snapToGrid/>
          <w:szCs w:val="24"/>
          <w:lang w:val="hr-HR"/>
        </w:rPr>
        <w:t xml:space="preserve">sumporovodika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i to jednosatno 25. prosinca i sedmosatno 26. prosinca 2019. </w:t>
      </w:r>
      <w:r w:rsidR="00372309">
        <w:rPr>
          <w:rFonts w:ascii="Times New Roman" w:eastAsia="Calibri" w:hAnsi="Times New Roman"/>
          <w:snapToGrid/>
          <w:szCs w:val="24"/>
          <w:lang w:val="hr-HR"/>
        </w:rPr>
        <w:t xml:space="preserve">Slijedom navedenoga,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zaključuje </w:t>
      </w:r>
      <w:r w:rsidR="00372309">
        <w:rPr>
          <w:rFonts w:ascii="Times New Roman" w:eastAsia="Calibri" w:hAnsi="Times New Roman"/>
          <w:snapToGrid/>
          <w:szCs w:val="24"/>
          <w:lang w:val="hr-HR"/>
        </w:rPr>
        <w:t xml:space="preserve">se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da</w:t>
      </w:r>
      <w:r w:rsidR="00875A21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je sistem otplinjavanja odlagališne plohe na ŽCGO Marišćina pridonio smanjenju propisanih graničnih vrijednosti za sumporovodik, a samim time i sprječavanje imisija onečišćujućih tvari u zrak.</w:t>
      </w:r>
    </w:p>
    <w:p w14:paraId="6ACA73A1" w14:textId="77777777" w:rsidR="00372309" w:rsidRPr="00673B10" w:rsidRDefault="00372309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3C2D136" w14:textId="739DC20F" w:rsidR="00A842F0" w:rsidRPr="00673B10" w:rsidRDefault="00875A21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>V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ezano na dio rečenice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 stranici 14.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koji glasi: „Međutim, naš ispitni postupak je pokazao da je požar izbio na odlagališnoj plohi...</w:t>
      </w:r>
      <w:r w:rsidR="00C53CB9">
        <w:rPr>
          <w:rFonts w:ascii="Times New Roman" w:eastAsia="Calibri" w:hAnsi="Times New Roman"/>
          <w:snapToGrid/>
          <w:szCs w:val="24"/>
          <w:lang w:val="hr-HR"/>
        </w:rPr>
        <w:t>.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“ ukazuje se da je inspekcija zaštite okoliša utvrdila da je 24. srpnja 2019. unutar prostora odlagališta otpada Prudinec</w:t>
      </w:r>
      <w:r w:rsidR="00A347DF">
        <w:rPr>
          <w:rFonts w:ascii="Times New Roman" w:eastAsia="Calibri" w:hAnsi="Times New Roman"/>
          <w:snapToGrid/>
          <w:szCs w:val="24"/>
          <w:lang w:val="hr-HR"/>
        </w:rPr>
        <w:t xml:space="preserve"> u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Jakušev</w:t>
      </w:r>
      <w:r w:rsidR="00A347DF">
        <w:rPr>
          <w:rFonts w:ascii="Times New Roman" w:eastAsia="Calibri" w:hAnsi="Times New Roman"/>
          <w:snapToGrid/>
          <w:szCs w:val="24"/>
          <w:lang w:val="hr-HR"/>
        </w:rPr>
        <w:t>cu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na kojem Podružnica Čistoća Zagrebačkog holdinga d.o.o. obavlja razvrstavanje i skladištenje prikupljenog neopasnog i inertnog - glomaznog otpada došlo do izbijanja požara. Nastavno na dio zadnje rečenice koji glasi: „...a inspekcija zaštite okoliša nije mjerila dioksine i furane, jer prema objašnjenju DIRH-a, nisu razvijene primjerene metode za te vrste mjerenja</w:t>
      </w:r>
      <w:r w:rsidR="00C53CB9">
        <w:rPr>
          <w:rFonts w:ascii="Times New Roman" w:eastAsia="Calibri" w:hAnsi="Times New Roman"/>
          <w:snapToGrid/>
          <w:szCs w:val="24"/>
          <w:lang w:val="hr-HR"/>
        </w:rPr>
        <w:t>.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“ </w:t>
      </w:r>
      <w:r w:rsidR="00A347DF">
        <w:rPr>
          <w:rFonts w:ascii="Times New Roman" w:eastAsia="Calibri" w:hAnsi="Times New Roman"/>
          <w:snapToGrid/>
          <w:szCs w:val="24"/>
          <w:lang w:val="hr-HR"/>
        </w:rPr>
        <w:t>Vlada Republik</w:t>
      </w:r>
      <w:r w:rsidR="001B4DC2">
        <w:rPr>
          <w:rFonts w:ascii="Times New Roman" w:eastAsia="Calibri" w:hAnsi="Times New Roman"/>
          <w:snapToGrid/>
          <w:szCs w:val="24"/>
          <w:lang w:val="hr-HR"/>
        </w:rPr>
        <w:t>e</w:t>
      </w:r>
      <w:r w:rsidR="00A347DF">
        <w:rPr>
          <w:rFonts w:ascii="Times New Roman" w:eastAsia="Calibri" w:hAnsi="Times New Roman"/>
          <w:snapToGrid/>
          <w:szCs w:val="24"/>
          <w:lang w:val="hr-HR"/>
        </w:rPr>
        <w:t xml:space="preserve"> Hrvatske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ističe, </w:t>
      </w:r>
      <w:r w:rsidR="001B4DC2">
        <w:rPr>
          <w:rFonts w:ascii="Times New Roman" w:eastAsia="Calibri" w:hAnsi="Times New Roman"/>
          <w:snapToGrid/>
          <w:szCs w:val="24"/>
          <w:lang w:val="hr-HR"/>
        </w:rPr>
        <w:t xml:space="preserve">a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kako se navodi i u samom Izvješću, da su „Uredbom o razinama onečišćujućih tvari u zraku (</w:t>
      </w:r>
      <w:r w:rsidR="001B4DC2">
        <w:rPr>
          <w:rFonts w:ascii="Times New Roman" w:eastAsia="Calibri" w:hAnsi="Times New Roman"/>
          <w:snapToGrid/>
          <w:szCs w:val="24"/>
          <w:lang w:val="hr-HR"/>
        </w:rPr>
        <w:t>„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1B4DC2">
        <w:rPr>
          <w:rFonts w:ascii="Times New Roman" w:eastAsia="Calibri" w:hAnsi="Times New Roman"/>
          <w:snapToGrid/>
          <w:szCs w:val="24"/>
          <w:lang w:val="hr-HR"/>
        </w:rPr>
        <w:t>“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, broj 77/20</w:t>
      </w:r>
      <w:r w:rsidR="00C53CB9">
        <w:rPr>
          <w:rFonts w:ascii="Times New Roman" w:eastAsia="Calibri" w:hAnsi="Times New Roman"/>
          <w:snapToGrid/>
          <w:szCs w:val="24"/>
          <w:lang w:val="hr-HR"/>
        </w:rPr>
        <w:t>.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) propisani parametri onečišćujućih tvari koji mogu utjecati na zdravlje, vegetaciju i/ili kvalitetu življenja“, uz napomenu, da isti kao propisane vrijednosti veličina ne uključuju onečišćujuće tvari dioksine i furane te stoga nisu propisane ni</w:t>
      </w:r>
      <w:r w:rsidR="001B4DC2">
        <w:rPr>
          <w:rFonts w:ascii="Times New Roman" w:eastAsia="Calibri" w:hAnsi="Times New Roman"/>
          <w:snapToGrid/>
          <w:szCs w:val="24"/>
          <w:lang w:val="hr-HR"/>
        </w:rPr>
        <w:t>ti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njihove </w:t>
      </w:r>
      <w:r w:rsidR="001B4DC2">
        <w:rPr>
          <w:rFonts w:ascii="Times New Roman" w:eastAsia="Calibri" w:hAnsi="Times New Roman"/>
          <w:snapToGrid/>
          <w:szCs w:val="24"/>
          <w:lang w:val="hr-HR"/>
        </w:rPr>
        <w:t>granične vrijednosti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. Također, </w:t>
      </w:r>
      <w:r w:rsidR="001B4DC2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napominje da inspekcija zaštite okoliša ne obavlja uzorkovanja zraka već isto obavljaju ovlašteni laboratoriji.</w:t>
      </w:r>
    </w:p>
    <w:p w14:paraId="13E0E9D9" w14:textId="77777777" w:rsidR="00A842F0" w:rsidRPr="00673B10" w:rsidRDefault="00A842F0" w:rsidP="00F813F1">
      <w:pPr>
        <w:widowControl/>
        <w:ind w:firstLine="708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3677EC98" w14:textId="77777777" w:rsidR="00A842F0" w:rsidRPr="005A3EFC" w:rsidRDefault="00A842F0" w:rsidP="00F813F1">
      <w:pPr>
        <w:widowControl/>
        <w:ind w:left="708" w:firstLine="708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5A3EFC">
        <w:rPr>
          <w:rFonts w:ascii="Times New Roman" w:eastAsia="Calibri" w:hAnsi="Times New Roman"/>
          <w:snapToGrid/>
          <w:szCs w:val="24"/>
          <w:lang w:val="hr-HR"/>
        </w:rPr>
        <w:t>Sastavnice okoliša: Voda</w:t>
      </w:r>
    </w:p>
    <w:p w14:paraId="31BC56FD" w14:textId="77777777" w:rsidR="00A842F0" w:rsidRPr="00673B10" w:rsidRDefault="00A842F0" w:rsidP="00F813F1">
      <w:pPr>
        <w:widowControl/>
        <w:ind w:firstLine="708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D092C0D" w14:textId="0050871C" w:rsidR="00A842F0" w:rsidRDefault="00A842F0" w:rsidP="00A86412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Naime, površinske vode (rijeke, jezera i prijelazne vode), podzemne vode kao i priobalne vode i more predstavljaju sastavnicu okoliša. 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Temeljni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zakon koji uređuje upravljanje vodama je Zakon o vodama (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“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, </w:t>
      </w:r>
      <w:r w:rsidR="00426861" w:rsidRPr="00673B10">
        <w:rPr>
          <w:rFonts w:ascii="Times New Roman" w:eastAsia="Calibri" w:hAnsi="Times New Roman"/>
          <w:snapToGrid/>
          <w:szCs w:val="24"/>
          <w:lang w:val="hr-HR"/>
        </w:rPr>
        <w:t xml:space="preserve">broj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66/19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), dok Zakon o vodi za ljudsku potrošnju (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“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, </w:t>
      </w:r>
      <w:r w:rsidR="00426861" w:rsidRPr="00673B10">
        <w:rPr>
          <w:rFonts w:ascii="Times New Roman" w:eastAsia="Calibri" w:hAnsi="Times New Roman"/>
          <w:snapToGrid/>
          <w:szCs w:val="24"/>
          <w:lang w:val="hr-HR"/>
        </w:rPr>
        <w:t xml:space="preserve">br.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56/13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, 64/15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, 104/17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, 115/18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 16/20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)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335A1E" w:rsidRPr="00673B10">
        <w:rPr>
          <w:rFonts w:ascii="Times New Roman" w:eastAsia="Calibri" w:hAnsi="Times New Roman"/>
          <w:snapToGrid/>
          <w:szCs w:val="24"/>
          <w:lang w:val="hr-HR"/>
        </w:rPr>
        <w:t>propisuje</w:t>
      </w:r>
      <w:r w:rsidR="00426861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zdravstven</w:t>
      </w:r>
      <w:r w:rsidR="00335A1E" w:rsidRPr="00673B10">
        <w:rPr>
          <w:rFonts w:ascii="Times New Roman" w:eastAsia="Calibri" w:hAnsi="Times New Roman"/>
          <w:snapToGrid/>
          <w:szCs w:val="24"/>
          <w:lang w:val="hr-HR"/>
        </w:rPr>
        <w:t>u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ispravno</w:t>
      </w:r>
      <w:r w:rsidR="00335A1E" w:rsidRPr="00673B10">
        <w:rPr>
          <w:rFonts w:ascii="Times New Roman" w:eastAsia="Calibri" w:hAnsi="Times New Roman"/>
          <w:snapToGrid/>
          <w:szCs w:val="24"/>
          <w:lang w:val="hr-HR"/>
        </w:rPr>
        <w:t>st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vode za ljudsku potrošnju. Zakon o zaštiti okoliša (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“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, br. 80/13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, 78/15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, 12/18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 118/18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)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samo načelno spominje vode kao sastavnicu okoliša, a područje zaštite voda uređuje posebni zakon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Zakon o vodama. Slijedom navedenog</w:t>
      </w:r>
      <w:r w:rsidR="006542CD">
        <w:rPr>
          <w:rFonts w:ascii="Times New Roman" w:eastAsia="Calibri" w:hAnsi="Times New Roman"/>
          <w:snapToGrid/>
          <w:szCs w:val="24"/>
          <w:lang w:val="hr-HR"/>
        </w:rPr>
        <w:t>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, u pogledu zaštite voda </w:t>
      </w:r>
      <w:r w:rsidR="00A64D30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smatra da nije potrebno spominjati Zakon o zaštiti okoliša. Nadalje, </w:t>
      </w:r>
      <w:r w:rsidR="00421C4B">
        <w:rPr>
          <w:rFonts w:ascii="Times New Roman" w:eastAsia="Calibri" w:hAnsi="Times New Roman"/>
          <w:snapToGrid/>
          <w:szCs w:val="24"/>
          <w:lang w:val="hr-HR"/>
        </w:rPr>
        <w:t>Vlada Republike Hrvatske ist</w:t>
      </w:r>
      <w:r w:rsidR="00B82AE7">
        <w:rPr>
          <w:rFonts w:ascii="Times New Roman" w:eastAsia="Calibri" w:hAnsi="Times New Roman"/>
          <w:snapToGrid/>
          <w:szCs w:val="24"/>
          <w:lang w:val="hr-HR"/>
        </w:rPr>
        <w:t>i</w:t>
      </w:r>
      <w:r w:rsidR="00421C4B">
        <w:rPr>
          <w:rFonts w:ascii="Times New Roman" w:eastAsia="Calibri" w:hAnsi="Times New Roman"/>
          <w:snapToGrid/>
          <w:szCs w:val="24"/>
          <w:lang w:val="hr-HR"/>
        </w:rPr>
        <w:t>če da m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onitoring površinskih, podzemnih i priobalnih voda sukladno Zakonu o vodama</w:t>
      </w:r>
      <w:r w:rsidR="00421C4B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421C4B" w:rsidRPr="00673B10">
        <w:rPr>
          <w:rFonts w:ascii="Times New Roman" w:eastAsia="Calibri" w:hAnsi="Times New Roman"/>
          <w:snapToGrid/>
          <w:szCs w:val="24"/>
          <w:lang w:val="hr-HR"/>
        </w:rPr>
        <w:t>provod</w:t>
      </w:r>
      <w:r w:rsidR="00421C4B">
        <w:rPr>
          <w:rFonts w:ascii="Times New Roman" w:eastAsia="Calibri" w:hAnsi="Times New Roman"/>
          <w:snapToGrid/>
          <w:szCs w:val="24"/>
          <w:lang w:val="hr-HR"/>
        </w:rPr>
        <w:t>e</w:t>
      </w:r>
      <w:r w:rsidR="00421C4B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Hrvatske vode sve do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>k se ne osnuje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Instituta za vode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 xml:space="preserve">, </w:t>
      </w:r>
      <w:r w:rsidR="00C53CB9">
        <w:rPr>
          <w:rFonts w:ascii="Times New Roman" w:eastAsia="Calibri" w:hAnsi="Times New Roman"/>
          <w:snapToGrid/>
          <w:szCs w:val="24"/>
          <w:lang w:val="hr-HR"/>
        </w:rPr>
        <w:t xml:space="preserve">čije je osnivanje 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>u tijeku,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 xml:space="preserve">a nakon toga Institut za vode preuzima nadležnost za monitoring </w:t>
      </w:r>
      <w:r w:rsidR="00C96FC3" w:rsidRPr="00673B10">
        <w:rPr>
          <w:rFonts w:ascii="Times New Roman" w:eastAsia="Calibri" w:hAnsi="Times New Roman"/>
          <w:snapToGrid/>
          <w:szCs w:val="24"/>
          <w:lang w:val="hr-HR"/>
        </w:rPr>
        <w:t>površinskih, podzemnih i priobalnih voda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>. Isto tako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, u 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>ovome</w:t>
      </w:r>
      <w:r w:rsidR="00C96FC3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poglavlju </w:t>
      </w:r>
      <w:r w:rsidR="00D26B0D">
        <w:rPr>
          <w:rFonts w:ascii="Times New Roman" w:eastAsia="Calibri" w:hAnsi="Times New Roman"/>
          <w:snapToGrid/>
          <w:szCs w:val="24"/>
          <w:lang w:val="hr-HR"/>
        </w:rPr>
        <w:t xml:space="preserve">na stranici 14.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navodi </w:t>
      </w:r>
      <w:r w:rsidR="00D26B0D">
        <w:rPr>
          <w:rFonts w:ascii="Times New Roman" w:eastAsia="Calibri" w:hAnsi="Times New Roman"/>
          <w:snapToGrid/>
          <w:szCs w:val="24"/>
          <w:lang w:val="hr-HR"/>
        </w:rPr>
        <w:t xml:space="preserve">se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rečenica: 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Prema poda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>t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cima EEA iz 2021., 75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% podzemnih voda ima tek dobar, a 44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% površinskih ima dobar ili vrlo dobar kemijski status, a ugrožava ih kemijsko onečišćenje iz zraka te onečišćenje hranjivim tvarima iz poljoprivrede</w:t>
      </w:r>
      <w:r w:rsidR="00C96FC3" w:rsidRPr="00673B10">
        <w:rPr>
          <w:rFonts w:ascii="Times New Roman" w:eastAsia="Calibri" w:hAnsi="Times New Roman"/>
          <w:snapToGrid/>
          <w:szCs w:val="24"/>
          <w:lang w:val="hr-HR"/>
        </w:rPr>
        <w:t>.</w:t>
      </w:r>
      <w:r w:rsidR="00C96FC3">
        <w:rPr>
          <w:rFonts w:ascii="Times New Roman" w:eastAsia="Calibri" w:hAnsi="Times New Roman"/>
          <w:snapToGrid/>
          <w:szCs w:val="24"/>
          <w:lang w:val="hr-HR"/>
        </w:rPr>
        <w:t>“.</w:t>
      </w:r>
      <w:r w:rsidR="00C96FC3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D26B0D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mišljenja je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da</w:t>
      </w:r>
      <w:r w:rsidR="0068339D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je došlo do pogrešne interpretacije rezultata skupnog izvješća objavljenog od strane</w:t>
      </w:r>
      <w:r w:rsidRPr="005E640C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Europska agencija za okoliš</w:t>
      </w:r>
      <w:r w:rsidR="00D26B0D" w:rsidRPr="00D26B0D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D26B0D" w:rsidRPr="00127AB2">
        <w:rPr>
          <w:rFonts w:ascii="Times New Roman" w:eastAsia="Calibri" w:hAnsi="Times New Roman"/>
          <w:snapToGrid/>
          <w:szCs w:val="24"/>
          <w:lang w:val="hr-HR"/>
        </w:rPr>
        <w:t>(EEA</w:t>
      </w:r>
      <w:r w:rsidR="005E640C" w:rsidRPr="00127AB2">
        <w:rPr>
          <w:rFonts w:ascii="Times New Roman" w:eastAsia="Calibri" w:hAnsi="Times New Roman"/>
          <w:snapToGrid/>
          <w:szCs w:val="24"/>
          <w:lang w:val="hr-HR"/>
        </w:rPr>
        <w:t>)</w:t>
      </w:r>
      <w:r w:rsidRPr="00127AB2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Naime, vezano uz kemijsko stanje vodnih tijela površinskih voda, ocjena stanja može biti </w:t>
      </w:r>
      <w:r w:rsidR="005E640C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dobro</w:t>
      </w:r>
      <w:r w:rsidR="005E640C">
        <w:rPr>
          <w:rFonts w:ascii="Times New Roman" w:eastAsia="Calibri" w:hAnsi="Times New Roman"/>
          <w:snapToGrid/>
          <w:szCs w:val="24"/>
          <w:lang w:val="hr-HR"/>
        </w:rPr>
        <w:t>“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ili </w:t>
      </w:r>
      <w:r w:rsidR="005E640C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nije postig</w:t>
      </w:r>
      <w:r w:rsidR="00D82FEA" w:rsidRPr="00673B10">
        <w:rPr>
          <w:rFonts w:ascii="Times New Roman" w:eastAsia="Calibri" w:hAnsi="Times New Roman"/>
          <w:snapToGrid/>
          <w:szCs w:val="24"/>
          <w:lang w:val="hr-HR"/>
        </w:rPr>
        <w:t>nuto dobro kemijsko stanje</w:t>
      </w:r>
      <w:r w:rsidR="005E640C">
        <w:rPr>
          <w:rFonts w:ascii="Times New Roman" w:eastAsia="Calibri" w:hAnsi="Times New Roman"/>
          <w:snapToGrid/>
          <w:szCs w:val="24"/>
          <w:lang w:val="hr-HR"/>
        </w:rPr>
        <w:t>“</w:t>
      </w:r>
      <w:r w:rsidR="00D82FEA" w:rsidRPr="00673B10">
        <w:rPr>
          <w:rFonts w:ascii="Times New Roman" w:eastAsia="Calibri" w:hAnsi="Times New Roman"/>
          <w:snapToGrid/>
          <w:szCs w:val="24"/>
          <w:lang w:val="hr-HR"/>
        </w:rPr>
        <w:t>, stoga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ne može biti </w:t>
      </w:r>
      <w:r w:rsidR="005E640C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vrlo dobro</w:t>
      </w:r>
      <w:r w:rsidR="005E640C">
        <w:rPr>
          <w:rFonts w:ascii="Times New Roman" w:eastAsia="Calibri" w:hAnsi="Times New Roman"/>
          <w:snapToGrid/>
          <w:szCs w:val="24"/>
          <w:lang w:val="hr-HR"/>
        </w:rPr>
        <w:t>“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kako se navodi u </w:t>
      </w:r>
      <w:r w:rsidR="00D26B0D">
        <w:rPr>
          <w:rFonts w:ascii="Times New Roman" w:eastAsia="Calibri" w:hAnsi="Times New Roman"/>
          <w:snapToGrid/>
          <w:szCs w:val="24"/>
          <w:lang w:val="hr-HR"/>
        </w:rPr>
        <w:t>I</w:t>
      </w:r>
      <w:r w:rsidR="00D26B0D" w:rsidRPr="00673B10">
        <w:rPr>
          <w:rFonts w:ascii="Times New Roman" w:eastAsia="Calibri" w:hAnsi="Times New Roman"/>
          <w:snapToGrid/>
          <w:szCs w:val="24"/>
          <w:lang w:val="hr-HR"/>
        </w:rPr>
        <w:t>zvješću</w:t>
      </w:r>
      <w:r w:rsidR="008843CF">
        <w:rPr>
          <w:rFonts w:ascii="Times New Roman" w:eastAsia="Calibri" w:hAnsi="Times New Roman"/>
          <w:snapToGrid/>
          <w:szCs w:val="24"/>
          <w:lang w:val="hr-HR"/>
        </w:rPr>
        <w:t>.</w:t>
      </w:r>
    </w:p>
    <w:p w14:paraId="364FFE41" w14:textId="77777777" w:rsidR="008843CF" w:rsidRPr="00673B10" w:rsidRDefault="008843CF" w:rsidP="00F813F1">
      <w:pPr>
        <w:widowControl/>
        <w:jc w:val="both"/>
        <w:rPr>
          <w:rFonts w:ascii="Times New Roman" w:eastAsia="Calibri" w:hAnsi="Times New Roman"/>
          <w:b/>
          <w:snapToGrid/>
          <w:szCs w:val="24"/>
          <w:lang w:val="hr-HR"/>
        </w:rPr>
      </w:pPr>
    </w:p>
    <w:p w14:paraId="63EBF478" w14:textId="40F3D54C" w:rsidR="00A842F0" w:rsidRPr="005A3EFC" w:rsidRDefault="00A842F0" w:rsidP="00A80864">
      <w:pPr>
        <w:widowControl/>
        <w:ind w:firstLine="1418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5A3EFC">
        <w:rPr>
          <w:rFonts w:ascii="Times New Roman" w:eastAsia="Calibri" w:hAnsi="Times New Roman"/>
          <w:snapToGrid/>
          <w:szCs w:val="24"/>
          <w:lang w:val="hr-HR"/>
        </w:rPr>
        <w:t>Sastavnice okoliša: Tlo</w:t>
      </w:r>
    </w:p>
    <w:p w14:paraId="6E0E8246" w14:textId="77777777" w:rsidR="00A842F0" w:rsidRPr="00673B10" w:rsidRDefault="00A842F0" w:rsidP="00F813F1">
      <w:pPr>
        <w:widowControl/>
        <w:jc w:val="both"/>
        <w:rPr>
          <w:rFonts w:ascii="Times New Roman" w:eastAsia="Calibri" w:hAnsi="Times New Roman"/>
          <w:snapToGrid/>
          <w:szCs w:val="24"/>
          <w:u w:val="single"/>
          <w:lang w:val="hr-HR"/>
        </w:rPr>
      </w:pPr>
    </w:p>
    <w:p w14:paraId="3DA899BC" w14:textId="02CF082B" w:rsidR="00A842F0" w:rsidRDefault="0017574C" w:rsidP="008843CF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>V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ezano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za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navode o uzorkovanju tla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 stranici 17. Izvješća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:</w:t>
      </w:r>
      <w:r w:rsidR="00D82FEA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„DIRH nam nije dostavio podatke o uzorkovanjima tla u 2019. i 2020.</w:t>
      </w:r>
      <w:r w:rsidR="00A80864">
        <w:rPr>
          <w:rFonts w:ascii="Times New Roman" w:eastAsia="Calibri" w:hAnsi="Times New Roman"/>
          <w:snapToGrid/>
          <w:szCs w:val="24"/>
          <w:lang w:val="hr-HR"/>
        </w:rPr>
        <w:t>,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a na naše izričito traženje da se nakon požara u odlagalištu Prudinec u Jakuševcu 2019. analizira tlo, DIRH nam na to nije odgovorio.“</w:t>
      </w:r>
      <w:r w:rsidR="003A299D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5E640C">
        <w:rPr>
          <w:rFonts w:ascii="Times New Roman" w:eastAsia="Calibri" w:hAnsi="Times New Roman"/>
          <w:snapToGrid/>
          <w:szCs w:val="24"/>
          <w:lang w:val="hr-HR"/>
        </w:rPr>
        <w:t>Naime</w:t>
      </w:r>
      <w:r w:rsidR="003A299D">
        <w:rPr>
          <w:rFonts w:ascii="Times New Roman" w:eastAsia="Calibri" w:hAnsi="Times New Roman"/>
          <w:snapToGrid/>
          <w:szCs w:val="24"/>
          <w:lang w:val="hr-HR"/>
        </w:rPr>
        <w:t xml:space="preserve">, inspektori zaštite okoliša nisu naredili uzorkovanje tla iz razloga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što je međuskladište na betonskoj podlozi sa zatvorenim sustavom odvodnje, čime nije došlo do onečišćenja tla. U navedenoj situaciji, </w:t>
      </w:r>
      <w:r w:rsidR="00C36678">
        <w:rPr>
          <w:rFonts w:ascii="Times New Roman" w:eastAsia="Calibri" w:hAnsi="Times New Roman"/>
          <w:snapToGrid/>
          <w:szCs w:val="24"/>
          <w:lang w:val="hr-HR"/>
        </w:rPr>
        <w:t>da je bilo potrebe za uzorkovanjem tla to bi učinila poljoprivredna inspekcija sukladno Zakonu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o poljoprivrednom zemljištu (</w:t>
      </w:r>
      <w:r w:rsidR="003A299D">
        <w:rPr>
          <w:rFonts w:ascii="Times New Roman" w:eastAsia="Calibri" w:hAnsi="Times New Roman"/>
          <w:snapToGrid/>
          <w:szCs w:val="24"/>
          <w:lang w:val="hr-HR"/>
        </w:rPr>
        <w:t>„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3A299D">
        <w:rPr>
          <w:rFonts w:ascii="Times New Roman" w:eastAsia="Calibri" w:hAnsi="Times New Roman"/>
          <w:snapToGrid/>
          <w:szCs w:val="24"/>
          <w:lang w:val="hr-HR"/>
        </w:rPr>
        <w:t>“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, br. 20/18</w:t>
      </w:r>
      <w:r w:rsidR="00B13774">
        <w:rPr>
          <w:rFonts w:ascii="Times New Roman" w:eastAsia="Calibri" w:hAnsi="Times New Roman"/>
          <w:snapToGrid/>
          <w:szCs w:val="24"/>
          <w:lang w:val="hr-HR"/>
        </w:rPr>
        <w:t>.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, 115/18</w:t>
      </w:r>
      <w:r w:rsidR="00B13774">
        <w:rPr>
          <w:rFonts w:ascii="Times New Roman" w:eastAsia="Calibri" w:hAnsi="Times New Roman"/>
          <w:snapToGrid/>
          <w:szCs w:val="24"/>
          <w:lang w:val="hr-HR"/>
        </w:rPr>
        <w:t>.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i 98/19</w:t>
      </w:r>
      <w:r w:rsidR="00B13774">
        <w:rPr>
          <w:rFonts w:ascii="Times New Roman" w:eastAsia="Calibri" w:hAnsi="Times New Roman"/>
          <w:snapToGrid/>
          <w:szCs w:val="24"/>
          <w:lang w:val="hr-HR"/>
        </w:rPr>
        <w:t>.</w:t>
      </w:r>
      <w:r w:rsidR="00C36678">
        <w:rPr>
          <w:rFonts w:ascii="Times New Roman" w:eastAsia="Calibri" w:hAnsi="Times New Roman"/>
          <w:snapToGrid/>
          <w:szCs w:val="24"/>
          <w:lang w:val="hr-HR"/>
        </w:rPr>
        <w:t>) i Pravilniku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o zaštiti poljoprivrednog zemljišta od onečišćenja (</w:t>
      </w:r>
      <w:r w:rsidR="00B13774">
        <w:rPr>
          <w:rFonts w:ascii="Times New Roman" w:eastAsia="Calibri" w:hAnsi="Times New Roman"/>
          <w:snapToGrid/>
          <w:szCs w:val="24"/>
          <w:lang w:val="hr-HR"/>
        </w:rPr>
        <w:t>„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B13774">
        <w:rPr>
          <w:rFonts w:ascii="Times New Roman" w:eastAsia="Calibri" w:hAnsi="Times New Roman"/>
          <w:snapToGrid/>
          <w:szCs w:val="24"/>
          <w:lang w:val="hr-HR"/>
        </w:rPr>
        <w:t>“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, broj 71/19</w:t>
      </w:r>
      <w:r w:rsidR="00C36678">
        <w:rPr>
          <w:rFonts w:ascii="Times New Roman" w:eastAsia="Calibri" w:hAnsi="Times New Roman"/>
          <w:snapToGrid/>
          <w:szCs w:val="24"/>
          <w:lang w:val="hr-HR"/>
        </w:rPr>
        <w:t>)</w:t>
      </w:r>
      <w:r w:rsidR="0007726F">
        <w:rPr>
          <w:rFonts w:ascii="Times New Roman" w:eastAsia="Calibri" w:hAnsi="Times New Roman"/>
          <w:snapToGrid/>
          <w:szCs w:val="24"/>
          <w:lang w:val="hr-HR"/>
        </w:rPr>
        <w:t>,</w:t>
      </w:r>
      <w:r w:rsidR="00C36678">
        <w:rPr>
          <w:rFonts w:ascii="Times New Roman" w:eastAsia="Calibri" w:hAnsi="Times New Roman"/>
          <w:snapToGrid/>
          <w:szCs w:val="24"/>
          <w:lang w:val="hr-HR"/>
        </w:rPr>
        <w:t xml:space="preserve"> ali za tim nije bilo potrebe s obzirom </w:t>
      </w:r>
      <w:r w:rsidR="0007726F">
        <w:rPr>
          <w:rFonts w:ascii="Times New Roman" w:eastAsia="Calibri" w:hAnsi="Times New Roman"/>
          <w:snapToGrid/>
          <w:szCs w:val="24"/>
          <w:lang w:val="hr-HR"/>
        </w:rPr>
        <w:t xml:space="preserve">na to </w:t>
      </w:r>
      <w:r w:rsidR="00C36678">
        <w:rPr>
          <w:rFonts w:ascii="Times New Roman" w:eastAsia="Calibri" w:hAnsi="Times New Roman"/>
          <w:snapToGrid/>
          <w:szCs w:val="24"/>
          <w:lang w:val="hr-HR"/>
        </w:rPr>
        <w:t xml:space="preserve">da </w:t>
      </w:r>
      <w:r w:rsidR="00ED412F">
        <w:rPr>
          <w:rFonts w:ascii="Times New Roman" w:eastAsia="Calibri" w:hAnsi="Times New Roman"/>
          <w:snapToGrid/>
          <w:szCs w:val="24"/>
          <w:lang w:val="hr-HR"/>
        </w:rPr>
        <w:t>je riječ</w:t>
      </w:r>
      <w:r w:rsidR="00C36678">
        <w:rPr>
          <w:rFonts w:ascii="Times New Roman" w:eastAsia="Calibri" w:hAnsi="Times New Roman"/>
          <w:snapToGrid/>
          <w:szCs w:val="24"/>
          <w:lang w:val="hr-HR"/>
        </w:rPr>
        <w:t xml:space="preserve"> o zatvorenom sustavu.</w:t>
      </w:r>
    </w:p>
    <w:p w14:paraId="2E9C4938" w14:textId="77777777" w:rsidR="00167E5F" w:rsidRPr="00673B10" w:rsidRDefault="00167E5F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081EA721" w14:textId="77777777" w:rsidR="00A842F0" w:rsidRPr="005A3EFC" w:rsidRDefault="00A842F0" w:rsidP="00F813F1">
      <w:pPr>
        <w:widowControl/>
        <w:ind w:left="708" w:firstLine="708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5A3EFC">
        <w:rPr>
          <w:rFonts w:ascii="Times New Roman" w:eastAsia="Calibri" w:hAnsi="Times New Roman"/>
          <w:snapToGrid/>
          <w:szCs w:val="24"/>
          <w:lang w:val="hr-HR"/>
        </w:rPr>
        <w:t>Održivo gospodarenje otpadom, centri za gospodarenje otpadom</w:t>
      </w:r>
    </w:p>
    <w:p w14:paraId="1AFE4AB2" w14:textId="77777777" w:rsidR="00A842F0" w:rsidRPr="00673B10" w:rsidRDefault="00A842F0" w:rsidP="00F813F1">
      <w:pPr>
        <w:widowControl/>
        <w:ind w:firstLine="708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288460DD" w14:textId="022EF7FF" w:rsidR="00474BFD" w:rsidRDefault="0017574C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Vezano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u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z</w:t>
      </w:r>
      <w:r w:rsidR="00EE6802" w:rsidRPr="00673B10">
        <w:rPr>
          <w:rFonts w:ascii="Times New Roman" w:eastAsia="Calibri" w:hAnsi="Times New Roman"/>
          <w:snapToGrid/>
          <w:szCs w:val="24"/>
          <w:lang w:val="hr-HR"/>
        </w:rPr>
        <w:t xml:space="preserve"> odlom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ak na stranici 22.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koji započinje: „Treba se prisjetiti i požara koji je zahvatio odlagalište Prudinec u Jakuševcu 2019.</w:t>
      </w:r>
      <w:r w:rsidR="00B02CE5">
        <w:rPr>
          <w:rFonts w:ascii="Times New Roman" w:eastAsia="Calibri" w:hAnsi="Times New Roman"/>
          <w:snapToGrid/>
          <w:szCs w:val="24"/>
          <w:lang w:val="hr-HR"/>
        </w:rPr>
        <w:t>,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nakon kojeg je analiza opožarenog otpada utvrdila dvije vrste koje su tamo bile odložene...</w:t>
      </w:r>
      <w:r w:rsidR="000230B0">
        <w:rPr>
          <w:rFonts w:ascii="Times New Roman" w:eastAsia="Calibri" w:hAnsi="Times New Roman"/>
          <w:snapToGrid/>
          <w:szCs w:val="24"/>
          <w:lang w:val="hr-HR"/>
        </w:rPr>
        <w:t>.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“ </w:t>
      </w:r>
      <w:r w:rsidR="00B02CE5">
        <w:rPr>
          <w:rFonts w:ascii="Times New Roman" w:eastAsia="Calibri" w:hAnsi="Times New Roman"/>
          <w:snapToGrid/>
          <w:szCs w:val="24"/>
          <w:lang w:val="hr-HR"/>
        </w:rPr>
        <w:t>Vlada Republike Hrvatske ističe</w:t>
      </w:r>
      <w:r w:rsidR="00B02CE5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da</w:t>
      </w:r>
      <w:r w:rsidR="00ED5887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je inspekcija zaštite okoliša utvrdila da</w:t>
      </w:r>
      <w:r w:rsidR="00B02CE5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>je opožareno pet vrsta otpada (glomazni otpad, otpadne gume, drvo, plastika i metali). Po gašenju požara, od strane ovlaštene osobe, Hrvatskog zavoda za javno zdravstvo, obavljena je analiza opožarenog otpada kojom su utvrđene dvije vrste i to: otpad od pirolize koji sadrži opasne tvari i komunalni otpad koji nije specificiran na drugi način. Sav otpad je predan ovlaštenim osobama osim otpada od pirolize</w:t>
      </w:r>
      <w:r w:rsidR="00B02CE5">
        <w:rPr>
          <w:rFonts w:ascii="Times New Roman" w:eastAsia="Calibri" w:hAnsi="Times New Roman"/>
          <w:snapToGrid/>
          <w:szCs w:val="24"/>
          <w:lang w:val="hr-HR"/>
        </w:rPr>
        <w:t>,</w:t>
      </w:r>
      <w:r w:rsidR="00A842F0" w:rsidRPr="00673B10">
        <w:rPr>
          <w:rFonts w:ascii="Times New Roman" w:eastAsia="Calibri" w:hAnsi="Times New Roman"/>
          <w:snapToGrid/>
          <w:szCs w:val="24"/>
          <w:lang w:val="hr-HR"/>
        </w:rPr>
        <w:t xml:space="preserve"> koji je odložen na odlagalište Davor iz razloga što zagrebačko odlagalište ne posjeduje dozvolu za odlaganje te vrste otpada.</w:t>
      </w:r>
    </w:p>
    <w:p w14:paraId="3AAFFB00" w14:textId="77777777" w:rsidR="00B02CE5" w:rsidRPr="00673B10" w:rsidRDefault="00B02CE5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984BBB9" w14:textId="2927A45F" w:rsidR="00474BFD" w:rsidRDefault="00474BFD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U pogledu dijelova Izvješća u kojima se spominje okolišna dozvola, u kontekstu nezadovoljavajućeg stanja sastavnica okoliša, a uz navođenje </w:t>
      </w:r>
      <w:r w:rsidR="000230B0">
        <w:rPr>
          <w:rFonts w:ascii="Times New Roman" w:eastAsia="Calibri" w:hAnsi="Times New Roman"/>
          <w:snapToGrid/>
          <w:szCs w:val="24"/>
          <w:lang w:val="hr-HR"/>
        </w:rPr>
        <w:t>ŽCGO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Marišćina i </w:t>
      </w:r>
      <w:r w:rsidR="000230B0">
        <w:rPr>
          <w:rFonts w:ascii="Times New Roman" w:eastAsia="Calibri" w:hAnsi="Times New Roman"/>
          <w:snapToGrid/>
          <w:szCs w:val="24"/>
          <w:lang w:val="hr-HR"/>
        </w:rPr>
        <w:t xml:space="preserve">ŽCGO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Kaštijun, te postrojenja DIV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 xml:space="preserve">d.o.o.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iz Knina,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ističe da 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 xml:space="preserve">Izvješće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ne uzima u obzir da su svi ti postupci provedeni zakonito, uz provođenje visokih standarda zakonodavstva Europske unije koji su cjelovito preneseni u nacionalno zakonodavstva te da u pogledu zakonitosti provođenja ovih postupaka nije nikada bilo o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 xml:space="preserve">pravdanih primjedbi (u slučaju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ŽCGO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Marišćina i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 xml:space="preserve">ŽCGO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Kaštijun u tijeku su još i postupci razmatranja uvjeta okolišne dozvole, koji se također provode po visokim standardima).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Nadalje, Vlada Republike Hrvatske naglašava da se o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dluke u postupcima okolišnih dozvola donose u okviru administrativno visoko zahtjevnih postupaka, u kojima je javnosti tijekom cijelog postupka omogućeno sudjelovanje i utjecaj na odluke koje se u njima donose, a navedeno se nekritički u 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 xml:space="preserve">Izvješću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uopće ne spominje.</w:t>
      </w:r>
    </w:p>
    <w:p w14:paraId="56F941DB" w14:textId="4DE49619" w:rsidR="00B02CE5" w:rsidRDefault="00B02CE5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555F1892" w14:textId="565D84CF" w:rsidR="000230B0" w:rsidRDefault="000230B0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5CBCD80F" w14:textId="654FB621" w:rsidR="000230B0" w:rsidRDefault="000230B0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3E0AEDA6" w14:textId="77777777" w:rsidR="000230B0" w:rsidRPr="00673B10" w:rsidRDefault="000230B0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422A64F" w14:textId="554AF45D" w:rsidR="00474BFD" w:rsidRDefault="00474BFD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Također,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Vlada Republike smatra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da se 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 xml:space="preserve">Izvješćem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uopće ne uzima u obzir da je okolišna dozvola instrument 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>zaštite okoliša kojim se ne daju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odobrenja da neko postrojenje (odlagalište, centar za gospodarenje otpadom) obavlja svoju određenu aktivnost, već se određuju uvjeti i mjere s kojima to postrojenje mora raditi, ako mu je obavljanje aktivnosti već ranije zakonskim putem odobreno. Stoga se okolišnom dozvolom, odnosno njezinom uskratom, ne može zabranjivati rad postrojenja, kako se to u pojedinim dijelovima 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 xml:space="preserve">Izvješća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sugerira, već se ona može odbiti (ali svakako ne uskratiti) ili ukinuti samo u strogo zakonski propisanim slučajevima. Praćenje pridržavanja uvjeta propisanih okolišnom dozvolom, kao i poduzimanje mjera u slučaju ne postupanja prema dozvoli, dio je nacionalnog sustava vlasti koji je izvan okvira izdavanja okolišne dozvole, te se po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>stupanja koja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se traže u </w:t>
      </w:r>
      <w:r w:rsidR="004403D8" w:rsidRPr="00673B10">
        <w:rPr>
          <w:rFonts w:ascii="Times New Roman" w:eastAsia="Calibri" w:hAnsi="Times New Roman"/>
          <w:snapToGrid/>
          <w:szCs w:val="24"/>
          <w:lang w:val="hr-HR"/>
        </w:rPr>
        <w:t xml:space="preserve">Izvješću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u slučajevima Karepovac ili odlagalište Jakuševec, ne mogu povezati s okolišnom dozvolom. U slučaju postrojenja DIV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 xml:space="preserve"> d.o.o.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iz Knina, za koje je izdavanje okolišne dozvole u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I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zvješću naročito istaknuto u negativnom kontekstu, ne sagledava se što je sve učinjeno i na koji način regulirano okolišnom dozvolom u vezi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 xml:space="preserve">s 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>obavljanj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em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aktivnosti postrojenja. Radi sprječavanja onečišćenja voda</w:t>
      </w:r>
      <w:r w:rsidR="004403D8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operater je izgradio novi uređaj za pročišćavanje otpadnih voda s cjelokupnom internom odvodnjom, puštenog u rad krajem 2018., a od 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>veljač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e</w:t>
      </w:r>
      <w:r w:rsidR="00733F59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2019. na njemu se obrađuju sve tehnološke otpadne vode iz postrojenja. 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Također, o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perater ima obvezu provođenja i brojnih drugih mjera propisanih okolišnom dozvolom</w:t>
      </w:r>
      <w:r w:rsidR="00733F59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a čije se izvršenje, za neke od njih povezano s potrebnim vremenskim razdobljem, obvezno prati preko dijela nacionalnog sustava vlasti koji je za to zadužen (Državni inspektorat).</w:t>
      </w:r>
    </w:p>
    <w:p w14:paraId="271A2558" w14:textId="77777777" w:rsidR="003B2C94" w:rsidRPr="00673B10" w:rsidRDefault="003B2C94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0531983" w14:textId="7827A3C6" w:rsidR="00A842F0" w:rsidRDefault="003B2C94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>
        <w:rPr>
          <w:rFonts w:ascii="Times New Roman" w:eastAsia="Calibri" w:hAnsi="Times New Roman"/>
          <w:snapToGrid/>
          <w:szCs w:val="24"/>
          <w:lang w:val="hr-HR"/>
        </w:rPr>
        <w:lastRenderedPageBreak/>
        <w:t>Nadalje, Vlada Republike Hrvatske i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>stiče kako je u Izvješću vezano uz okolišnu dozvolu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 za odlagalište Lončarica </w:t>
      </w:r>
      <w:r w:rsidR="004D1421" w:rsidRPr="00673B10">
        <w:rPr>
          <w:rFonts w:ascii="Times New Roman" w:eastAsia="Calibri" w:hAnsi="Times New Roman"/>
          <w:snapToGrid/>
          <w:szCs w:val="24"/>
          <w:lang w:val="hr-HR"/>
        </w:rPr>
        <w:t xml:space="preserve">Velika 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kraj Osijeka, 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 xml:space="preserve">netočna tvrdnja 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da </w:t>
      </w:r>
      <w:r w:rsidR="00A11F00">
        <w:rPr>
          <w:rFonts w:ascii="Times New Roman" w:eastAsia="Calibri" w:hAnsi="Times New Roman"/>
          <w:snapToGrid/>
          <w:szCs w:val="24"/>
          <w:lang w:val="hr-HR"/>
        </w:rPr>
        <w:t>j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e 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>ista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11F00">
        <w:rPr>
          <w:rFonts w:ascii="Times New Roman" w:eastAsia="Calibri" w:hAnsi="Times New Roman"/>
          <w:snapToGrid/>
          <w:szCs w:val="24"/>
          <w:lang w:val="hr-HR"/>
        </w:rPr>
        <w:t>izdana</w:t>
      </w:r>
      <w:r w:rsidR="00A11F00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zbog toga što nije pušten u rad </w:t>
      </w:r>
      <w:r w:rsidR="00895484">
        <w:rPr>
          <w:rFonts w:ascii="Times New Roman" w:eastAsia="Calibri" w:hAnsi="Times New Roman"/>
          <w:snapToGrid/>
          <w:szCs w:val="24"/>
          <w:lang w:val="hr-HR"/>
        </w:rPr>
        <w:t xml:space="preserve">Regionalni centar 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>za gospodarenje otpadom Orlovnjak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 xml:space="preserve">, te isto 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nije niti navedeno u obrazloženju </w:t>
      </w:r>
      <w:r w:rsidR="00A15D0F">
        <w:rPr>
          <w:rFonts w:ascii="Times New Roman" w:eastAsia="Calibri" w:hAnsi="Times New Roman"/>
          <w:snapToGrid/>
          <w:szCs w:val="24"/>
          <w:lang w:val="hr-HR"/>
        </w:rPr>
        <w:t>R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ješenja ove okolišne dozvole, niti bi se isto, kao obrazloženje razloga izdavanja, moglo koristiti u ovom ili drugim postupcima izdavanja okolišne dozvole. </w:t>
      </w:r>
      <w:r w:rsidR="00A15D0F">
        <w:rPr>
          <w:rFonts w:ascii="Times New Roman" w:eastAsia="Calibri" w:hAnsi="Times New Roman"/>
          <w:snapToGrid/>
          <w:szCs w:val="24"/>
          <w:lang w:val="hr-HR"/>
        </w:rPr>
        <w:t>Stoga, Vlada Republike Hrvatske n</w:t>
      </w:r>
      <w:r w:rsidR="00D80720" w:rsidRPr="00673B10">
        <w:rPr>
          <w:rFonts w:ascii="Times New Roman" w:eastAsia="Calibri" w:hAnsi="Times New Roman"/>
          <w:snapToGrid/>
          <w:szCs w:val="24"/>
          <w:lang w:val="hr-HR"/>
        </w:rPr>
        <w:t>avedeno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 smatra štetnim, jer se time sugerira da kriteriji za izdavanje okolišne dozvole mogu biti sasvim neki drugi </w:t>
      </w:r>
      <w:r w:rsidR="004D1421">
        <w:rPr>
          <w:rFonts w:ascii="Times New Roman" w:eastAsia="Calibri" w:hAnsi="Times New Roman"/>
          <w:snapToGrid/>
          <w:szCs w:val="24"/>
          <w:lang w:val="hr-HR"/>
        </w:rPr>
        <w:t>od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 oni</w:t>
      </w:r>
      <w:r w:rsidR="004D1421">
        <w:rPr>
          <w:rFonts w:ascii="Times New Roman" w:eastAsia="Calibri" w:hAnsi="Times New Roman"/>
          <w:snapToGrid/>
          <w:szCs w:val="24"/>
          <w:lang w:val="hr-HR"/>
        </w:rPr>
        <w:t>h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 koji su propisani Zakonom o zaštiti okoliša i njegovim provedbenim propisima, a bez ikakvog, na činjenicama utemeljenog i provjerenog stanja. </w:t>
      </w:r>
      <w:r w:rsidR="00A15D0F">
        <w:rPr>
          <w:rFonts w:ascii="Times New Roman" w:eastAsia="Calibri" w:hAnsi="Times New Roman"/>
          <w:snapToGrid/>
          <w:szCs w:val="24"/>
          <w:lang w:val="hr-HR"/>
        </w:rPr>
        <w:t xml:space="preserve">Nastavno na navedeno, Vlada Republike Hrvatske 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zaključuje da se u </w:t>
      </w:r>
      <w:r w:rsidR="00A15D0F">
        <w:rPr>
          <w:rFonts w:ascii="Times New Roman" w:eastAsia="Calibri" w:hAnsi="Times New Roman"/>
          <w:snapToGrid/>
          <w:szCs w:val="24"/>
          <w:lang w:val="hr-HR"/>
        </w:rPr>
        <w:t>Izvješću</w:t>
      </w:r>
      <w:r w:rsidR="004D1421">
        <w:rPr>
          <w:rFonts w:ascii="Times New Roman" w:eastAsia="Calibri" w:hAnsi="Times New Roman"/>
          <w:snapToGrid/>
          <w:szCs w:val="24"/>
          <w:lang w:val="hr-HR"/>
        </w:rPr>
        <w:t>,</w:t>
      </w:r>
      <w:r w:rsidR="00474BFD" w:rsidRPr="00673B10">
        <w:rPr>
          <w:rFonts w:ascii="Times New Roman" w:eastAsia="Calibri" w:hAnsi="Times New Roman"/>
          <w:snapToGrid/>
          <w:szCs w:val="24"/>
          <w:lang w:val="hr-HR"/>
        </w:rPr>
        <w:t xml:space="preserve"> instrument okolišnih dozvole navodi uglavnom u negativnom kontekstu, bez provjerenih navoda koji mu se pripisuju, a ne sagledava se što se sve i na koji način regulira okolišnom dozvolom u radu postrojenja, kao i ukupan doprinos smanjenju emisijskih onečišćenja koji se tim instrumentom zaštite okoliša postiže.</w:t>
      </w:r>
    </w:p>
    <w:p w14:paraId="64F9A7D0" w14:textId="77777777" w:rsidR="00A15D0F" w:rsidRPr="00673B10" w:rsidRDefault="00A15D0F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3F069753" w14:textId="6FF6E468" w:rsidR="0017574C" w:rsidRPr="005A3EFC" w:rsidRDefault="0017574C" w:rsidP="005A3EFC">
      <w:pPr>
        <w:widowControl/>
        <w:ind w:firstLine="708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5A3EFC">
        <w:rPr>
          <w:rFonts w:ascii="Times New Roman" w:eastAsia="Calibri" w:hAnsi="Times New Roman"/>
          <w:snapToGrid/>
          <w:szCs w:val="24"/>
          <w:lang w:val="hr-HR"/>
        </w:rPr>
        <w:t>5.</w:t>
      </w:r>
      <w:r w:rsidR="00A15D0F">
        <w:rPr>
          <w:rFonts w:ascii="Times New Roman" w:eastAsia="Calibri" w:hAnsi="Times New Roman"/>
          <w:snapToGrid/>
          <w:szCs w:val="24"/>
          <w:lang w:val="hr-HR"/>
        </w:rPr>
        <w:tab/>
      </w:r>
      <w:r w:rsidRPr="005A3EFC">
        <w:rPr>
          <w:rFonts w:ascii="Times New Roman" w:eastAsia="Calibri" w:hAnsi="Times New Roman"/>
          <w:snapToGrid/>
          <w:szCs w:val="24"/>
          <w:lang w:val="hr-HR"/>
        </w:rPr>
        <w:t>PREPORUKE</w:t>
      </w:r>
    </w:p>
    <w:p w14:paraId="61FA7DCD" w14:textId="77777777" w:rsidR="00A15D0F" w:rsidRPr="00673B10" w:rsidRDefault="00A15D0F" w:rsidP="00F813F1">
      <w:pPr>
        <w:widowControl/>
        <w:ind w:left="708" w:firstLine="708"/>
        <w:jc w:val="both"/>
        <w:rPr>
          <w:rFonts w:ascii="Times New Roman" w:eastAsia="Calibri" w:hAnsi="Times New Roman"/>
          <w:b/>
          <w:snapToGrid/>
          <w:szCs w:val="24"/>
          <w:lang w:val="hr-HR"/>
        </w:rPr>
      </w:pPr>
    </w:p>
    <w:p w14:paraId="7AE811CE" w14:textId="33BF16C2" w:rsidR="0017574C" w:rsidRDefault="009527A8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>Vezano za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A15D0F">
        <w:rPr>
          <w:rFonts w:ascii="Times New Roman" w:eastAsia="Calibri" w:hAnsi="Times New Roman"/>
          <w:snapToGrid/>
          <w:szCs w:val="24"/>
          <w:lang w:val="hr-HR"/>
        </w:rPr>
        <w:t>p</w:t>
      </w:r>
      <w:r w:rsidR="00A15D0F" w:rsidRPr="00673B10">
        <w:rPr>
          <w:rFonts w:ascii="Times New Roman" w:eastAsia="Calibri" w:hAnsi="Times New Roman"/>
          <w:snapToGrid/>
          <w:szCs w:val="24"/>
          <w:lang w:val="hr-HR"/>
        </w:rPr>
        <w:t xml:space="preserve">reporuku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Ministarstvu gospodarstva i održivog razvoja</w:t>
      </w:r>
      <w:r w:rsidR="00A15D0F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pod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točk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om</w:t>
      </w:r>
      <w:r w:rsidR="00216D09" w:rsidRPr="00673B10">
        <w:rPr>
          <w:rFonts w:ascii="Times New Roman" w:eastAsia="Calibri" w:hAnsi="Times New Roman"/>
          <w:snapToGrid/>
          <w:szCs w:val="24"/>
          <w:lang w:val="hr-HR"/>
        </w:rPr>
        <w:t xml:space="preserve"> 7.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, da u suradnji s Ministarstvom zdravstva i Hrvatskim vodama, izradi i objavi analizu učinkovitosti zaštite izvorišta pitke vode, vodocrpilišta i vodoopskrbnih objekata, temeljem Zakona o vodama te Zakona o zaštiti vode za ljudsku potrošnju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,</w:t>
      </w:r>
      <w:r w:rsidR="004D1421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Vlada Republike Hrvatske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ističe kako je Ministarstvo </w:t>
      </w:r>
      <w:r w:rsidR="00C758F6" w:rsidRPr="00673B10">
        <w:rPr>
          <w:rFonts w:ascii="Times New Roman" w:eastAsia="Calibri" w:hAnsi="Times New Roman"/>
          <w:snapToGrid/>
          <w:szCs w:val="24"/>
          <w:lang w:val="hr-HR"/>
        </w:rPr>
        <w:t>gospodarstva i održivog razvoja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u svojim ranijim očitovanjima na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spomenutu</w:t>
      </w:r>
      <w:r w:rsidR="00C758F6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preporuku od strane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p</w:t>
      </w:r>
      <w:r w:rsidR="00C758F6" w:rsidRPr="00673B10">
        <w:rPr>
          <w:rFonts w:ascii="Times New Roman" w:eastAsia="Calibri" w:hAnsi="Times New Roman"/>
          <w:snapToGrid/>
          <w:szCs w:val="24"/>
          <w:lang w:val="hr-HR"/>
        </w:rPr>
        <w:t xml:space="preserve">učke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pravobraniteljice, navelo da je zakonodavni okvir koji se odnosi na predmetno pitanje uspostavljen Zakonom o vodama i Pravilnikom o uvjetima za utvrđivanje zona sanitarne zaštite izvorišta (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„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“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, br. 66/11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.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i 47/13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.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), te s obzirom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 xml:space="preserve">na to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da u proteklom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razdoblju</w:t>
      </w:r>
      <w:r w:rsidR="00C758F6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nije došlo do trajnog isključenja izvorišta i sustava javne vodoopskrbe,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smatra da su mjere propisane navedenim propisima učinkovite.</w:t>
      </w:r>
    </w:p>
    <w:p w14:paraId="7B680619" w14:textId="0EF6BC1B" w:rsidR="00C758F6" w:rsidRDefault="00C758F6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2A9B1853" w14:textId="77777777" w:rsidR="004D1421" w:rsidRPr="00673B10" w:rsidRDefault="004D1421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32ABF065" w14:textId="65D12088" w:rsidR="0017574C" w:rsidRDefault="0017574C" w:rsidP="008F306E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Vezano za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p</w:t>
      </w:r>
      <w:r w:rsidR="00C758F6" w:rsidRPr="00673B10">
        <w:rPr>
          <w:rFonts w:ascii="Times New Roman" w:eastAsia="Calibri" w:hAnsi="Times New Roman"/>
          <w:snapToGrid/>
          <w:szCs w:val="24"/>
          <w:lang w:val="hr-HR"/>
        </w:rPr>
        <w:t xml:space="preserve">reporuku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Ministarstvu zdravstva pod točkom 13.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C758F6">
        <w:rPr>
          <w:rFonts w:ascii="Times New Roman" w:eastAsia="Calibri" w:hAnsi="Times New Roman"/>
          <w:snapToGrid/>
          <w:szCs w:val="24"/>
          <w:lang w:val="hr-HR"/>
        </w:rPr>
        <w:t>Vlada Republike Hrvatske ističe da p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ravne osobe koje provode mjerenja buke okoliša, buku moraju mjeriti sukladno pravilima struke i sukladno normama koje uređuju područje akustike, te su odgovorne za istinitost i točnost rezultata mjerenja (mjerenje buke uz uključene sve izvore).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Nadzor nad dobivenim rezultatima, kao i uvjetima mjerenja te jesu li mjerenja provedena sukladno normama tijekom postupka akreditacije</w:t>
      </w:r>
      <w:r w:rsidR="00B05360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odnosno reakreditacije provodi Hrvatska akreditacijska agenci</w:t>
      </w:r>
      <w:r w:rsidR="00952528" w:rsidRPr="00673B10">
        <w:rPr>
          <w:rFonts w:ascii="Times New Roman" w:eastAsia="Calibri" w:hAnsi="Times New Roman"/>
          <w:snapToGrid/>
          <w:szCs w:val="24"/>
          <w:lang w:val="hr-HR"/>
        </w:rPr>
        <w:t xml:space="preserve">ja,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a potvrda o akreditaciji jedan je od bitnih uvjeta kojom se pravna osoba ovlašćuje od strane Ministarstva zdravstva. </w:t>
      </w:r>
    </w:p>
    <w:p w14:paraId="45EA118A" w14:textId="77777777" w:rsidR="00B05360" w:rsidRPr="00673B10" w:rsidRDefault="00B05360" w:rsidP="005A3EFC">
      <w:pPr>
        <w:widowControl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09322964" w14:textId="3F957364" w:rsidR="0017574C" w:rsidRDefault="00B05360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>
        <w:rPr>
          <w:rFonts w:ascii="Times New Roman" w:eastAsia="Calibri" w:hAnsi="Times New Roman"/>
          <w:snapToGrid/>
          <w:szCs w:val="24"/>
          <w:lang w:val="hr-HR"/>
        </w:rPr>
        <w:t>Nadalje v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ezano za </w:t>
      </w:r>
      <w:r>
        <w:rPr>
          <w:rFonts w:ascii="Times New Roman" w:eastAsia="Calibri" w:hAnsi="Times New Roman"/>
          <w:snapToGrid/>
          <w:szCs w:val="24"/>
          <w:lang w:val="hr-HR"/>
        </w:rPr>
        <w:t>p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reporuku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Ministarstvu zdravstva pod točkom 14.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>,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ističe da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 xml:space="preserve">je </w:t>
      </w:r>
      <w:r>
        <w:rPr>
          <w:rFonts w:ascii="Times New Roman" w:eastAsia="Calibri" w:hAnsi="Times New Roman"/>
          <w:snapToGrid/>
          <w:szCs w:val="24"/>
          <w:lang w:val="hr-HR"/>
        </w:rPr>
        <w:t>n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ormativna zaštita zdravlja od dugoročnih i kumulativnih učinaka neionizirajućeg zračenja propisana zakonima i pravilnicima kojima je uređeno područje 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>neionizirajuć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eg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zračenja, te usklađena s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relevantnim d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irektivama E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uropske unije,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kao i preporukama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 xml:space="preserve">Svjetske zdravstvene organizacije vezano za 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>područj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e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 xml:space="preserve"> neionizirajuć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eg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zračenja. Također,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</w:t>
      </w:r>
      <w:r w:rsidR="00BA46DD" w:rsidRPr="00673B10">
        <w:rPr>
          <w:rFonts w:ascii="Times New Roman" w:eastAsia="Calibri" w:hAnsi="Times New Roman"/>
          <w:snapToGrid/>
          <w:szCs w:val="24"/>
          <w:lang w:val="hr-HR"/>
        </w:rPr>
        <w:t xml:space="preserve">ističe kako se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kontinuirano tijekom 2020. te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 xml:space="preserve">nadalje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u 2021. provode aktivnosti projekta „Izrada studije utjecaja ekoloških čimbenika na zdravlje ljudi“ na području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G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 xml:space="preserve">rada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Slavonskog Broda, nositelja Nastavnog zavoda za javno zdravstvo Brodsko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-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>posavske županije u suradnji s Hrvatskim zavodom za javno zdravstvo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,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 xml:space="preserve">a 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u svrhu praćenja i usporedbe parametara te prevencije čimbenika okoliša s potencijalno štetnim djelovanjem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radi</w:t>
      </w:r>
      <w:r w:rsidR="0017574C" w:rsidRPr="00673B10">
        <w:rPr>
          <w:rFonts w:ascii="Times New Roman" w:eastAsia="Calibri" w:hAnsi="Times New Roman"/>
          <w:snapToGrid/>
          <w:szCs w:val="24"/>
          <w:lang w:val="hr-HR"/>
        </w:rPr>
        <w:t xml:space="preserve"> zaštite zdravlja pučanstva.</w:t>
      </w:r>
    </w:p>
    <w:p w14:paraId="698A54D1" w14:textId="77777777" w:rsidR="00F11715" w:rsidRPr="00673B10" w:rsidRDefault="00F11715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646A8B83" w14:textId="713AEDB0" w:rsidR="00AE2BC6" w:rsidRDefault="0017574C" w:rsidP="008A00C4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Vezano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z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 xml:space="preserve">a </w:t>
      </w:r>
      <w:r w:rsidR="00F11715">
        <w:rPr>
          <w:rFonts w:ascii="Times New Roman" w:eastAsia="Calibri" w:hAnsi="Times New Roman"/>
          <w:snapToGrid/>
          <w:szCs w:val="24"/>
          <w:lang w:val="hr-HR"/>
        </w:rPr>
        <w:t>p</w:t>
      </w:r>
      <w:r w:rsidR="00F11715" w:rsidRPr="00673B10">
        <w:rPr>
          <w:rFonts w:ascii="Times New Roman" w:eastAsia="Calibri" w:hAnsi="Times New Roman"/>
          <w:snapToGrid/>
          <w:szCs w:val="24"/>
          <w:lang w:val="hr-HR"/>
        </w:rPr>
        <w:t xml:space="preserve">reporuku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Državnom inspektoratu pod točkom 16.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>,</w:t>
      </w:r>
      <w:r w:rsidR="00380473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da osigura kontinuirano provođenje inspekcijskih nadzora i izricanje mjera sukladno Zakonu o zaštiti od svjetlosnog onečišćenja (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„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“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, broj 14/19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.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), 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 xml:space="preserve">Vlada Republike Hrvatske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ističe da inspekcija zaštite okoliša kontinuirano provodi inspekcijske nadzore i izriče mjere sukladno tom 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Z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akonu i podzakonskim propisom. 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Naime, i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nspekcija zaštite okoliša provodi postupanje u području ovlasti prema odredbama 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 xml:space="preserve">članka 16. stavka 1. spomenutog Zakona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i predmeta inspekcijskog nadzora propisanog člankom 17. istog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>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Zakona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 xml:space="preserve"> te sukladno članku 16. stavku 5. spomenutog Zakona obavještava drugu nadležnu inspekciju i komunalne redare.</w:t>
      </w:r>
      <w:r w:rsidR="008843CF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Nadalje, Vlada Republike Hrvatske u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kazuje da su dosadašnja najčešća postupanja inspekcije zaštite okoliša bila nadležna postupanja komunalnom redarstvu 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 xml:space="preserve">s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obzirom na sadržaj zaprimljenih prijava, a koje su bile vezane 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z</w:t>
      </w:r>
      <w:r w:rsidR="008A00C4" w:rsidRPr="00673B10">
        <w:rPr>
          <w:rFonts w:ascii="Times New Roman" w:eastAsia="Calibri" w:hAnsi="Times New Roman"/>
          <w:snapToGrid/>
          <w:szCs w:val="24"/>
          <w:lang w:val="hr-HR"/>
        </w:rPr>
        <w:t xml:space="preserve">a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područje nadležnosti komunalnog redara</w:t>
      </w:r>
      <w:r w:rsidR="008A00C4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odnosno predmeta nadzora izvršenja obveza i provedbe mjera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lastRenderedPageBreak/>
        <w:t>zaštite od svjetlosnog onečišćenja, a koje nisu predmet nadzora inspekcije zaštite okoliša. Tako su najčešće pritužbe građana vezane na pritužbe rasvjetljavanja otvora (prozori i/ili vrata) zaštićenog ili stambenog prostora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 xml:space="preserve">,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odnosno vezane na zabrane rasvjetljavanja iz članka 11. stavka 5. predmetnog Zakona, 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>za koje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su člankom 20.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 xml:space="preserve"> ist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>og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>a Zakona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propisane mjere komunalnog redara, kojim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>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između ostalog, isti ima ovlast za naređivanjem gašenja rasvjete koja ne udovoljava odredbama članka 11. stavka 5. 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 xml:space="preserve">spomenutog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Zakona i </w:t>
      </w:r>
      <w:r w:rsidR="00AE2BC6" w:rsidRPr="00673B10">
        <w:rPr>
          <w:rFonts w:ascii="Times New Roman" w:eastAsia="Calibri" w:hAnsi="Times New Roman"/>
          <w:snapToGrid/>
          <w:szCs w:val="24"/>
          <w:lang w:val="hr-HR"/>
        </w:rPr>
        <w:t>za</w:t>
      </w:r>
      <w:r w:rsidR="00380C63" w:rsidRPr="00673B10">
        <w:rPr>
          <w:rFonts w:ascii="Times New Roman" w:eastAsia="Calibri" w:hAnsi="Times New Roman"/>
          <w:snapToGrid/>
          <w:szCs w:val="24"/>
          <w:lang w:val="hr-HR"/>
        </w:rPr>
        <w:t xml:space="preserve">brane njihove daljnje uporabe. </w:t>
      </w:r>
    </w:p>
    <w:p w14:paraId="7CB10134" w14:textId="77777777" w:rsidR="00F124AC" w:rsidRPr="00673B10" w:rsidRDefault="00F124AC" w:rsidP="008A00C4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6677048B" w14:textId="67DBF642" w:rsidR="00380C63" w:rsidRDefault="0017574C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Vezano 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>z</w:t>
      </w:r>
      <w:r w:rsidR="00F124AC" w:rsidRPr="00673B10">
        <w:rPr>
          <w:rFonts w:ascii="Times New Roman" w:eastAsia="Calibri" w:hAnsi="Times New Roman"/>
          <w:snapToGrid/>
          <w:szCs w:val="24"/>
          <w:lang w:val="hr-HR"/>
        </w:rPr>
        <w:t xml:space="preserve">a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preporuku Državnom inspektoratu pod točkom 17.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da temeljem ovlasti iz Zakona o zaštiti okoliša</w:t>
      </w:r>
      <w:r w:rsidR="008F306E">
        <w:rPr>
          <w:rFonts w:ascii="Times New Roman" w:eastAsia="Calibri" w:hAnsi="Times New Roman"/>
          <w:snapToGrid/>
          <w:szCs w:val="24"/>
          <w:lang w:val="hr-HR"/>
        </w:rPr>
        <w:t>,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izriče više mjera uzorkovanja sastavnica okoliša, posebice tla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>, Vlada Republike Hrvatske</w:t>
      </w:r>
      <w:r w:rsidR="00F124AC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napominje da se mjere uzorkovanja sastavnica okoliša naređuju kada se utvrdi da uzorkovanje nije provedeno, a sukladno propisu ili pojedinačnom aktu je trebalo biti obavljeno i kada su propisom ili pojedinačnim aktom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 xml:space="preserve"> određene vrijednosti kojima rezultati moraju udovoljavati</w:t>
      </w:r>
      <w:r w:rsidR="00826A8C" w:rsidRPr="00673B10">
        <w:rPr>
          <w:rFonts w:ascii="Times New Roman" w:eastAsia="Calibri" w:hAnsi="Times New Roman"/>
          <w:snapToGrid/>
          <w:szCs w:val="24"/>
          <w:lang w:val="hr-HR"/>
        </w:rPr>
        <w:t>.</w:t>
      </w:r>
    </w:p>
    <w:p w14:paraId="43D35A22" w14:textId="5ADCF510" w:rsidR="00F124AC" w:rsidRDefault="00F124AC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69B24140" w14:textId="6BB93F8F" w:rsidR="008F306E" w:rsidRDefault="008F306E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3CC837FA" w14:textId="22FB0620" w:rsidR="008F306E" w:rsidRDefault="008F306E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1326B81E" w14:textId="77777777" w:rsidR="008F306E" w:rsidRPr="00673B10" w:rsidRDefault="008F306E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EF62E2C" w14:textId="22ED444B" w:rsidR="000A06A5" w:rsidRDefault="000A06A5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Vezano 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>za</w:t>
      </w:r>
      <w:r w:rsidR="00F124AC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preporuku Ministarstvu prostornog</w:t>
      </w:r>
      <w:r w:rsidR="00F124AC">
        <w:rPr>
          <w:rFonts w:ascii="Times New Roman" w:eastAsia="Calibri" w:hAnsi="Times New Roman"/>
          <w:snapToGrid/>
          <w:szCs w:val="24"/>
          <w:lang w:val="hr-HR"/>
        </w:rPr>
        <w:t>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uređenja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>, graditeljstva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 državne imovine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 xml:space="preserve"> pod točkom 18., Vlada Republike Hrvatske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 ističe da su uvjeti za postavljanje baznih stanica mobilnih operatera detaljno uređeni propisima iz područja graditeljstva te da je uklanjanje baznih stanica mobilnih operatera u djelokrugu rada Državnog inspektorata. </w:t>
      </w:r>
    </w:p>
    <w:p w14:paraId="6E78C777" w14:textId="77777777" w:rsidR="00F124AC" w:rsidRPr="00673B10" w:rsidRDefault="00F124AC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A040BD1" w14:textId="75EF6495" w:rsidR="00626BC5" w:rsidRDefault="00826A8C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Vezano 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>za</w:t>
      </w:r>
      <w:r w:rsidR="00542478" w:rsidRPr="00673B10">
        <w:rPr>
          <w:rFonts w:ascii="Times New Roman" w:eastAsia="Calibri" w:hAnsi="Times New Roman"/>
          <w:snapToGrid/>
          <w:szCs w:val="24"/>
          <w:lang w:val="hr-HR"/>
        </w:rPr>
        <w:t xml:space="preserve">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preporuku Ministarstvu znanosti i obrazovanja 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 xml:space="preserve">pod točkom 19., Vlada Republike Hrvatske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ističe da Ministarstvo 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 xml:space="preserve">znanosti i obrazovanja </w:t>
      </w:r>
      <w:r w:rsidRPr="00673B10">
        <w:rPr>
          <w:rFonts w:ascii="Times New Roman" w:eastAsia="Calibri" w:hAnsi="Times New Roman"/>
          <w:snapToGrid/>
          <w:szCs w:val="24"/>
          <w:lang w:val="hr-HR"/>
        </w:rPr>
        <w:t>sustavno podržava senzibiliziranje djece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 i mladih te razvijanje ekološke svijesti o važnosti zaštite okoliša, prirode, klime i ljudskog zdravlja na svim razinama obrazovanja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>,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 kako u sklopu redovitog obrazovnog sustava, tako i u sklopu izvanškolskih i izvannastavnih aktivnosti. Ministarstvo 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 xml:space="preserve">znanosti i obrazovanja 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>je 14. siječnja 2019. donijelo Odluku o donošenju kurikuluma za međupredmetnu temu Održivi razvoj za osnovne i srednje škole u Republici Hrvatskoj (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>„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>Narodne novine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>“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>, broj 7/19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>.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). Navedenim dokumentom podupire se razvoj znanja o funkcioniranju i o složenosti prirodnih sustava te znanje o posljedicama ljudskih aktivnosti, 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 xml:space="preserve">solidarnost prema drugim ljudima, 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odgovornost prema okolišu </w:t>
      </w:r>
      <w:r w:rsidR="00542478">
        <w:rPr>
          <w:rFonts w:ascii="Times New Roman" w:eastAsia="Calibri" w:hAnsi="Times New Roman"/>
          <w:snapToGrid/>
          <w:szCs w:val="24"/>
          <w:lang w:val="hr-HR"/>
        </w:rPr>
        <w:t xml:space="preserve">te vlastitom i tuđem zdravlju kao i odgovornost prema cjelokupnome životnom okruženju 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i prema budućim generacijama. </w:t>
      </w:r>
      <w:r w:rsidR="00626BC5">
        <w:rPr>
          <w:rFonts w:ascii="Times New Roman" w:eastAsia="Calibri" w:hAnsi="Times New Roman"/>
          <w:snapToGrid/>
          <w:szCs w:val="24"/>
          <w:lang w:val="hr-HR"/>
        </w:rPr>
        <w:t>Nadalje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, Ministarstvo </w:t>
      </w:r>
      <w:r w:rsidR="00626BC5">
        <w:rPr>
          <w:rFonts w:ascii="Times New Roman" w:eastAsia="Calibri" w:hAnsi="Times New Roman"/>
          <w:snapToGrid/>
          <w:szCs w:val="24"/>
          <w:lang w:val="hr-HR"/>
        </w:rPr>
        <w:t xml:space="preserve">znanosti i obrazovanja 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svake godine raspisuje </w:t>
      </w:r>
      <w:r w:rsidR="00626BC5">
        <w:rPr>
          <w:rFonts w:ascii="Times New Roman" w:eastAsia="Calibri" w:hAnsi="Times New Roman"/>
          <w:snapToGrid/>
          <w:szCs w:val="24"/>
          <w:lang w:val="hr-HR"/>
        </w:rPr>
        <w:t>n</w:t>
      </w:r>
      <w:r w:rsidR="00626BC5" w:rsidRPr="00673B10">
        <w:rPr>
          <w:rFonts w:ascii="Times New Roman" w:eastAsia="Calibri" w:hAnsi="Times New Roman"/>
          <w:snapToGrid/>
          <w:szCs w:val="24"/>
          <w:lang w:val="hr-HR"/>
        </w:rPr>
        <w:t xml:space="preserve">atječaj 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>za dodjelu bespovratnih sredstava projektima udruga u području izvaninstitucionalnog</w:t>
      </w:r>
      <w:r w:rsidR="00626BC5">
        <w:rPr>
          <w:rFonts w:ascii="Times New Roman" w:eastAsia="Calibri" w:hAnsi="Times New Roman"/>
          <w:snapToGrid/>
          <w:szCs w:val="24"/>
          <w:lang w:val="hr-HR"/>
        </w:rPr>
        <w:t>a</w:t>
      </w:r>
      <w:r w:rsidR="00E575B7" w:rsidRPr="00673B10">
        <w:rPr>
          <w:rFonts w:ascii="Times New Roman" w:eastAsia="Calibri" w:hAnsi="Times New Roman"/>
          <w:snapToGrid/>
          <w:szCs w:val="24"/>
          <w:lang w:val="hr-HR"/>
        </w:rPr>
        <w:t xml:space="preserve"> odgoja i obrazovanja djece i mladih. </w:t>
      </w:r>
      <w:r w:rsidR="00853C93" w:rsidRPr="00673B10">
        <w:rPr>
          <w:rFonts w:ascii="Times New Roman" w:eastAsia="Calibri" w:hAnsi="Times New Roman"/>
          <w:snapToGrid/>
          <w:szCs w:val="24"/>
          <w:lang w:val="hr-HR"/>
        </w:rPr>
        <w:t>U okviru natječaja, kao jedno od prioritetnih područja, definirano je i područje Odgoja i obrazovanja o zdravim načinima života, očuvanju prirode i održivom razvoju. U školskoj godini 2019./2020. u okviru navedenog prioritetnog područja financirano je ukupno 12 projekata udruga uz odobreni iznos financijskih sredstava od 1.336.304,12 kuna.</w:t>
      </w:r>
    </w:p>
    <w:p w14:paraId="45563A7B" w14:textId="60139FAA" w:rsidR="00A842F0" w:rsidRPr="00673B10" w:rsidRDefault="00A842F0" w:rsidP="00F813F1">
      <w:pPr>
        <w:widowControl/>
        <w:ind w:firstLine="1416"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48D65327" w14:textId="77777777" w:rsidR="008F306E" w:rsidRPr="008F306E" w:rsidRDefault="001015C5" w:rsidP="008F306E">
      <w:pPr>
        <w:ind w:firstLine="1418"/>
        <w:jc w:val="both"/>
        <w:rPr>
          <w:rFonts w:ascii="Times New Roman" w:eastAsia="Calibri" w:hAnsi="Times New Roman"/>
          <w:snapToGrid/>
          <w:szCs w:val="24"/>
          <w:lang w:val="hr-HR"/>
        </w:rPr>
      </w:pPr>
      <w:r w:rsidRPr="00673B10">
        <w:rPr>
          <w:rFonts w:ascii="Times New Roman" w:eastAsia="Calibri" w:hAnsi="Times New Roman"/>
          <w:snapToGrid/>
          <w:szCs w:val="24"/>
          <w:lang w:val="hr-HR"/>
        </w:rPr>
        <w:t xml:space="preserve">Za svoje predstavnike, koji će u vezi s iznesenim mišljenjem biti nazočni na sjednicama Hrvatskoga sabora i njegovih radnih tijela, Vlada je odredila ministra gospodarstva i održivog razvoja </w:t>
      </w:r>
      <w:r w:rsidR="008F306E" w:rsidRPr="008F306E">
        <w:rPr>
          <w:rFonts w:ascii="Times New Roman" w:eastAsia="Calibri" w:hAnsi="Times New Roman"/>
          <w:snapToGrid/>
          <w:szCs w:val="24"/>
          <w:lang w:val="hr-HR"/>
        </w:rPr>
        <w:t>dr. sc. Tomislava Ćorića, ministra zdravstva dr. sc. Vilija Beroša, dr. med., glavnog državnog inspektora dr. sc. Andriju Mikulića i državne tajnike Milu Horvata, dr. sc. Marija Šiljega i dr. sc. Silvia Bašića, dr. med.</w:t>
      </w:r>
    </w:p>
    <w:p w14:paraId="180E5B20" w14:textId="5A6CE68E" w:rsidR="001015C5" w:rsidRPr="00673B10" w:rsidRDefault="001015C5" w:rsidP="008F306E">
      <w:pPr>
        <w:widowControl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79CA9750" w14:textId="77777777" w:rsidR="006C0CE7" w:rsidRPr="00673B10" w:rsidRDefault="006C0CE7" w:rsidP="008F306E">
      <w:pPr>
        <w:widowControl/>
        <w:jc w:val="both"/>
        <w:rPr>
          <w:rFonts w:ascii="Times New Roman" w:eastAsia="Calibri" w:hAnsi="Times New Roman"/>
          <w:snapToGrid/>
          <w:szCs w:val="24"/>
          <w:lang w:val="hr-HR"/>
        </w:rPr>
      </w:pPr>
    </w:p>
    <w:p w14:paraId="040231EB" w14:textId="77777777" w:rsidR="00A842F0" w:rsidRPr="00673B10" w:rsidRDefault="00A842F0" w:rsidP="00F813F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Cs w:val="24"/>
          <w:lang w:val="hr-HR" w:eastAsia="hr-HR"/>
        </w:rPr>
      </w:pPr>
    </w:p>
    <w:p w14:paraId="6341BAFE" w14:textId="77777777" w:rsidR="00A842F0" w:rsidRPr="00673B10" w:rsidRDefault="00A842F0" w:rsidP="00F813F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Cs w:val="24"/>
          <w:lang w:val="hr-HR" w:eastAsia="hr-HR"/>
        </w:rPr>
      </w:pP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  <w:t xml:space="preserve">       PREDSJEDNIK</w:t>
      </w:r>
    </w:p>
    <w:p w14:paraId="6BAF8C12" w14:textId="77777777" w:rsidR="00A842F0" w:rsidRPr="00673B10" w:rsidRDefault="00A842F0" w:rsidP="00F813F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Cs w:val="24"/>
          <w:lang w:val="hr-HR" w:eastAsia="hr-HR"/>
        </w:rPr>
      </w:pPr>
    </w:p>
    <w:p w14:paraId="489D7AA9" w14:textId="77777777" w:rsidR="00A842F0" w:rsidRPr="00673B10" w:rsidRDefault="00A842F0" w:rsidP="00F813F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Cs w:val="24"/>
          <w:lang w:val="hr-HR" w:eastAsia="hr-HR"/>
        </w:rPr>
      </w:pPr>
    </w:p>
    <w:p w14:paraId="5C77836E" w14:textId="77777777" w:rsidR="00A842F0" w:rsidRPr="00673B10" w:rsidRDefault="00A842F0" w:rsidP="00F813F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Cs w:val="24"/>
          <w:lang w:val="hr-HR" w:eastAsia="hr-HR"/>
        </w:rPr>
      </w:pPr>
      <w:r w:rsidRPr="00673B10">
        <w:rPr>
          <w:rFonts w:ascii="Times New Roman" w:hAnsi="Times New Roman"/>
          <w:snapToGrid/>
          <w:szCs w:val="24"/>
          <w:lang w:val="hr-HR" w:eastAsia="hr-HR"/>
        </w:rPr>
        <w:t xml:space="preserve">     </w:t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</w:r>
      <w:r w:rsidRPr="00673B10">
        <w:rPr>
          <w:rFonts w:ascii="Times New Roman" w:hAnsi="Times New Roman"/>
          <w:snapToGrid/>
          <w:szCs w:val="24"/>
          <w:lang w:val="hr-HR" w:eastAsia="hr-HR"/>
        </w:rPr>
        <w:tab/>
        <w:t>mr. sc. Andrej Plenković</w:t>
      </w:r>
    </w:p>
    <w:p w14:paraId="6FF9EB39" w14:textId="77777777" w:rsidR="00A842F0" w:rsidRPr="00673B10" w:rsidRDefault="00A842F0" w:rsidP="00F813F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/>
          <w:szCs w:val="24"/>
          <w:lang w:val="hr-HR" w:eastAsia="hr-HR"/>
        </w:rPr>
      </w:pPr>
    </w:p>
    <w:p w14:paraId="61C1E8DC" w14:textId="77777777" w:rsidR="00BD442E" w:rsidRPr="00673B10" w:rsidRDefault="00D874E9" w:rsidP="00F813F1">
      <w:pPr>
        <w:rPr>
          <w:rFonts w:ascii="Times New Roman" w:hAnsi="Times New Roman"/>
          <w:szCs w:val="24"/>
          <w:lang w:val="hr-HR"/>
        </w:rPr>
      </w:pPr>
    </w:p>
    <w:sectPr w:rsidR="00BD442E" w:rsidRPr="00673B10" w:rsidSect="00EA5543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2624" w14:textId="77777777" w:rsidR="00F30648" w:rsidRDefault="00F30648" w:rsidP="00A842F0">
      <w:r>
        <w:separator/>
      </w:r>
    </w:p>
  </w:endnote>
  <w:endnote w:type="continuationSeparator" w:id="0">
    <w:p w14:paraId="03DEAECE" w14:textId="77777777" w:rsidR="00F30648" w:rsidRDefault="00F30648" w:rsidP="00A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50364" w14:textId="77777777" w:rsidR="00F43A1E" w:rsidRPr="00F43A1E" w:rsidRDefault="00F43A1E" w:rsidP="00F43A1E">
    <w:pPr>
      <w:pStyle w:val="Footer"/>
      <w:pBdr>
        <w:top w:val="single" w:sz="4" w:space="1" w:color="404040"/>
      </w:pBdr>
      <w:jc w:val="center"/>
      <w:rPr>
        <w:rFonts w:ascii="Times New Roman" w:hAnsi="Times New Roman"/>
        <w:color w:val="404040"/>
        <w:spacing w:val="20"/>
        <w:sz w:val="20"/>
      </w:rPr>
    </w:pPr>
    <w:r w:rsidRPr="00F43A1E">
      <w:rPr>
        <w:rFonts w:ascii="Times New Roman" w:hAnsi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0C45" w14:textId="77777777" w:rsidR="00EA5543" w:rsidRPr="00EA5543" w:rsidRDefault="00EA5543" w:rsidP="00EA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2F89" w14:textId="77777777" w:rsidR="00F30648" w:rsidRDefault="00F30648" w:rsidP="00A842F0">
      <w:r>
        <w:separator/>
      </w:r>
    </w:p>
  </w:footnote>
  <w:footnote w:type="continuationSeparator" w:id="0">
    <w:p w14:paraId="3BE8C2C9" w14:textId="77777777" w:rsidR="00F30648" w:rsidRDefault="00F30648" w:rsidP="00A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Cs w:val="24"/>
      </w:rPr>
      <w:id w:val="3825276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3CB897" w14:textId="0A6D674F" w:rsidR="00E27A01" w:rsidRPr="00E109AA" w:rsidRDefault="00F813F1" w:rsidP="00E109AA">
        <w:pPr>
          <w:pStyle w:val="Header"/>
          <w:jc w:val="center"/>
          <w:rPr>
            <w:rFonts w:ascii="Times New Roman" w:hAnsi="Times New Roman"/>
            <w:szCs w:val="24"/>
          </w:rPr>
        </w:pPr>
        <w:r w:rsidRPr="00F813F1">
          <w:rPr>
            <w:rFonts w:ascii="Times New Roman" w:hAnsi="Times New Roman"/>
            <w:szCs w:val="24"/>
          </w:rPr>
          <w:fldChar w:fldCharType="begin"/>
        </w:r>
        <w:r w:rsidRPr="00F813F1">
          <w:rPr>
            <w:rFonts w:ascii="Times New Roman" w:hAnsi="Times New Roman"/>
            <w:szCs w:val="24"/>
          </w:rPr>
          <w:instrText xml:space="preserve"> PAGE   \* MERGEFORMAT </w:instrText>
        </w:r>
        <w:r w:rsidRPr="00F813F1">
          <w:rPr>
            <w:rFonts w:ascii="Times New Roman" w:hAnsi="Times New Roman"/>
            <w:szCs w:val="24"/>
          </w:rPr>
          <w:fldChar w:fldCharType="separate"/>
        </w:r>
        <w:r w:rsidR="00D874E9">
          <w:rPr>
            <w:rFonts w:ascii="Times New Roman" w:hAnsi="Times New Roman"/>
            <w:noProof/>
            <w:szCs w:val="24"/>
          </w:rPr>
          <w:t>6</w:t>
        </w:r>
        <w:r w:rsidRPr="00F813F1">
          <w:rPr>
            <w:rFonts w:ascii="Times New Roman" w:hAnsi="Times New Roman"/>
            <w:noProof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A20"/>
    <w:multiLevelType w:val="hybridMultilevel"/>
    <w:tmpl w:val="3E824DA8"/>
    <w:lvl w:ilvl="0" w:tplc="08AE6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C26"/>
    <w:multiLevelType w:val="hybridMultilevel"/>
    <w:tmpl w:val="17986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4F46"/>
    <w:multiLevelType w:val="hybridMultilevel"/>
    <w:tmpl w:val="37BA5CB6"/>
    <w:lvl w:ilvl="0" w:tplc="A296F1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F569A"/>
    <w:multiLevelType w:val="hybridMultilevel"/>
    <w:tmpl w:val="26BEAFD4"/>
    <w:lvl w:ilvl="0" w:tplc="12A46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5299"/>
    <w:multiLevelType w:val="hybridMultilevel"/>
    <w:tmpl w:val="01649C3C"/>
    <w:lvl w:ilvl="0" w:tplc="08AE6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0"/>
    <w:rsid w:val="000035CC"/>
    <w:rsid w:val="000064F6"/>
    <w:rsid w:val="00007885"/>
    <w:rsid w:val="000230B0"/>
    <w:rsid w:val="0006172C"/>
    <w:rsid w:val="0007726F"/>
    <w:rsid w:val="000A06A5"/>
    <w:rsid w:val="000D005E"/>
    <w:rsid w:val="001015C5"/>
    <w:rsid w:val="00127AB2"/>
    <w:rsid w:val="001322F3"/>
    <w:rsid w:val="00167E5F"/>
    <w:rsid w:val="0017574C"/>
    <w:rsid w:val="001979DA"/>
    <w:rsid w:val="001B4DC2"/>
    <w:rsid w:val="00216D09"/>
    <w:rsid w:val="00271277"/>
    <w:rsid w:val="002B0619"/>
    <w:rsid w:val="002E1676"/>
    <w:rsid w:val="00335A1E"/>
    <w:rsid w:val="00342C78"/>
    <w:rsid w:val="00372309"/>
    <w:rsid w:val="00380473"/>
    <w:rsid w:val="00380C63"/>
    <w:rsid w:val="003A229B"/>
    <w:rsid w:val="003A299D"/>
    <w:rsid w:val="003B08B3"/>
    <w:rsid w:val="003B2C94"/>
    <w:rsid w:val="00421C4B"/>
    <w:rsid w:val="00426861"/>
    <w:rsid w:val="004403D8"/>
    <w:rsid w:val="00470974"/>
    <w:rsid w:val="00474BFD"/>
    <w:rsid w:val="004A0C7E"/>
    <w:rsid w:val="004D1421"/>
    <w:rsid w:val="0050449E"/>
    <w:rsid w:val="00542478"/>
    <w:rsid w:val="00576EAD"/>
    <w:rsid w:val="0058256D"/>
    <w:rsid w:val="00592478"/>
    <w:rsid w:val="005A3EFC"/>
    <w:rsid w:val="005C3E39"/>
    <w:rsid w:val="005D06FB"/>
    <w:rsid w:val="005E640C"/>
    <w:rsid w:val="00626BC5"/>
    <w:rsid w:val="0065244F"/>
    <w:rsid w:val="006542CD"/>
    <w:rsid w:val="00673B10"/>
    <w:rsid w:val="0068339D"/>
    <w:rsid w:val="00683419"/>
    <w:rsid w:val="006A53E3"/>
    <w:rsid w:val="006C0CE7"/>
    <w:rsid w:val="00733F59"/>
    <w:rsid w:val="007D72D6"/>
    <w:rsid w:val="00826A8C"/>
    <w:rsid w:val="00853C93"/>
    <w:rsid w:val="008747D4"/>
    <w:rsid w:val="00875A21"/>
    <w:rsid w:val="008843CF"/>
    <w:rsid w:val="00886AC6"/>
    <w:rsid w:val="00895484"/>
    <w:rsid w:val="008A00C4"/>
    <w:rsid w:val="008A6F89"/>
    <w:rsid w:val="008B03B9"/>
    <w:rsid w:val="008F306E"/>
    <w:rsid w:val="00952528"/>
    <w:rsid w:val="009527A8"/>
    <w:rsid w:val="00971FA6"/>
    <w:rsid w:val="0097399E"/>
    <w:rsid w:val="00A00203"/>
    <w:rsid w:val="00A11F00"/>
    <w:rsid w:val="00A15D0F"/>
    <w:rsid w:val="00A347DF"/>
    <w:rsid w:val="00A57E17"/>
    <w:rsid w:val="00A64D30"/>
    <w:rsid w:val="00A80864"/>
    <w:rsid w:val="00A842F0"/>
    <w:rsid w:val="00A86412"/>
    <w:rsid w:val="00AA2A97"/>
    <w:rsid w:val="00AC0034"/>
    <w:rsid w:val="00AD62CF"/>
    <w:rsid w:val="00AE2546"/>
    <w:rsid w:val="00AE2BC6"/>
    <w:rsid w:val="00AF3C0B"/>
    <w:rsid w:val="00B02CE5"/>
    <w:rsid w:val="00B05360"/>
    <w:rsid w:val="00B13774"/>
    <w:rsid w:val="00B6074D"/>
    <w:rsid w:val="00B82AE7"/>
    <w:rsid w:val="00BA46DD"/>
    <w:rsid w:val="00C001AB"/>
    <w:rsid w:val="00C36678"/>
    <w:rsid w:val="00C53CB9"/>
    <w:rsid w:val="00C758F6"/>
    <w:rsid w:val="00C96FC3"/>
    <w:rsid w:val="00CB422F"/>
    <w:rsid w:val="00D041B8"/>
    <w:rsid w:val="00D26B0D"/>
    <w:rsid w:val="00D74625"/>
    <w:rsid w:val="00D80720"/>
    <w:rsid w:val="00D82FEA"/>
    <w:rsid w:val="00D84C09"/>
    <w:rsid w:val="00D874E9"/>
    <w:rsid w:val="00DB4D15"/>
    <w:rsid w:val="00DC1358"/>
    <w:rsid w:val="00DE5603"/>
    <w:rsid w:val="00E109AA"/>
    <w:rsid w:val="00E27A01"/>
    <w:rsid w:val="00E575B7"/>
    <w:rsid w:val="00E611EE"/>
    <w:rsid w:val="00EA5543"/>
    <w:rsid w:val="00ED412F"/>
    <w:rsid w:val="00ED5887"/>
    <w:rsid w:val="00EE6802"/>
    <w:rsid w:val="00F11715"/>
    <w:rsid w:val="00F124AC"/>
    <w:rsid w:val="00F171E3"/>
    <w:rsid w:val="00F30648"/>
    <w:rsid w:val="00F43A1E"/>
    <w:rsid w:val="00F76E2E"/>
    <w:rsid w:val="00F81046"/>
    <w:rsid w:val="00F813F1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7078"/>
  <w15:chartTrackingRefBased/>
  <w15:docId w15:val="{DF7AFAC4-CB59-47E4-9B8C-CAACCC15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F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842F0"/>
    <w:pPr>
      <w:keepNext/>
      <w:spacing w:before="240" w:after="60"/>
      <w:outlineLvl w:val="0"/>
    </w:pPr>
    <w:rPr>
      <w:rFonts w:ascii="Times New Roman" w:hAnsi="Times New Roman"/>
      <w:b/>
      <w:bCs/>
      <w:snapToGrid/>
      <w:kern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2F0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EndnoteText">
    <w:name w:val="endnote text"/>
    <w:basedOn w:val="Normal"/>
    <w:link w:val="EndnoteTextChar"/>
    <w:semiHidden/>
    <w:rsid w:val="00A842F0"/>
  </w:style>
  <w:style w:type="character" w:customStyle="1" w:styleId="EndnoteTextChar">
    <w:name w:val="Endnote Text Char"/>
    <w:basedOn w:val="DefaultParagraphFont"/>
    <w:link w:val="EndnoteText"/>
    <w:semiHidden/>
    <w:rsid w:val="00A842F0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EndnoteReference">
    <w:name w:val="endnote reference"/>
    <w:semiHidden/>
    <w:rsid w:val="00A842F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842F0"/>
  </w:style>
  <w:style w:type="character" w:customStyle="1" w:styleId="FootnoteTextChar">
    <w:name w:val="Footnote Text Char"/>
    <w:basedOn w:val="DefaultParagraphFont"/>
    <w:link w:val="FootnoteText"/>
    <w:semiHidden/>
    <w:rsid w:val="00A842F0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A842F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A842F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A842F0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A842F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A842F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A842F0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A842F0"/>
  </w:style>
  <w:style w:type="character" w:customStyle="1" w:styleId="EquationCaption">
    <w:name w:val="_Equation Caption"/>
    <w:rsid w:val="00A842F0"/>
  </w:style>
  <w:style w:type="paragraph" w:styleId="Header">
    <w:name w:val="header"/>
    <w:basedOn w:val="Normal"/>
    <w:link w:val="HeaderChar"/>
    <w:uiPriority w:val="99"/>
    <w:rsid w:val="00A842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F0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rsid w:val="00A842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42F0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rsid w:val="00A8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numbering" w:customStyle="1" w:styleId="NoList1">
    <w:name w:val="No List1"/>
    <w:next w:val="NoList"/>
    <w:uiPriority w:val="99"/>
    <w:semiHidden/>
    <w:unhideWhenUsed/>
    <w:rsid w:val="00A842F0"/>
  </w:style>
  <w:style w:type="character" w:styleId="Hyperlink">
    <w:name w:val="Hyperlink"/>
    <w:uiPriority w:val="99"/>
    <w:unhideWhenUsed/>
    <w:rsid w:val="00A842F0"/>
    <w:rPr>
      <w:color w:val="0000FF"/>
      <w:u w:val="single"/>
    </w:rPr>
  </w:style>
  <w:style w:type="character" w:customStyle="1" w:styleId="FollowedHyperlink1">
    <w:name w:val="FollowedHyperlink1"/>
    <w:uiPriority w:val="99"/>
    <w:semiHidden/>
    <w:unhideWhenUsed/>
    <w:rsid w:val="00A842F0"/>
    <w:rPr>
      <w:color w:val="954F72"/>
      <w:u w:val="single"/>
    </w:rPr>
  </w:style>
  <w:style w:type="paragraph" w:styleId="NoSpacing">
    <w:name w:val="No Spacing"/>
    <w:uiPriority w:val="1"/>
    <w:qFormat/>
    <w:rsid w:val="00A842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842F0"/>
    <w:pPr>
      <w:widowControl/>
      <w:ind w:left="720"/>
    </w:pPr>
    <w:rPr>
      <w:rFonts w:ascii="Calibri" w:eastAsia="Calibri" w:hAnsi="Calibri" w:cs="Calibri"/>
      <w:snapToGrid/>
      <w:sz w:val="22"/>
      <w:szCs w:val="22"/>
      <w:lang w:val="hr-HR"/>
    </w:rPr>
  </w:style>
  <w:style w:type="character" w:styleId="Emphasis">
    <w:name w:val="Emphasis"/>
    <w:qFormat/>
    <w:rsid w:val="00A842F0"/>
    <w:rPr>
      <w:i/>
      <w:iCs/>
    </w:rPr>
  </w:style>
  <w:style w:type="character" w:styleId="FollowedHyperlink">
    <w:name w:val="FollowedHyperlink"/>
    <w:rsid w:val="00A842F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8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2F0"/>
    <w:rPr>
      <w:rFonts w:ascii="Tahoma" w:eastAsia="Times New Roman" w:hAnsi="Tahoma" w:cs="Tahoma"/>
      <w:snapToGrid w:val="0"/>
      <w:sz w:val="16"/>
      <w:szCs w:val="16"/>
      <w:lang w:val="en-GB"/>
    </w:rPr>
  </w:style>
  <w:style w:type="character" w:styleId="CommentReference">
    <w:name w:val="annotation reference"/>
    <w:rsid w:val="00A84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42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42F0"/>
    <w:rPr>
      <w:rFonts w:ascii="Courier" w:eastAsia="Times New Roman" w:hAnsi="Courier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84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42F0"/>
    <w:rPr>
      <w:rFonts w:ascii="Courier" w:eastAsia="Times New Roman" w:hAnsi="Courier" w:cs="Times New Roman"/>
      <w:b/>
      <w:bCs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A842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42F0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rsid w:val="00A842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842F0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/>
    </w:rPr>
  </w:style>
  <w:style w:type="paragraph" w:customStyle="1" w:styleId="h4">
    <w:name w:val="h4"/>
    <w:basedOn w:val="Normal"/>
    <w:rsid w:val="00A842F0"/>
    <w:pPr>
      <w:widowControl/>
      <w:suppressAutoHyphens/>
      <w:spacing w:before="300" w:after="225"/>
      <w:ind w:left="15" w:right="15"/>
      <w:jc w:val="center"/>
    </w:pPr>
    <w:rPr>
      <w:rFonts w:ascii="Arial" w:hAnsi="Arial" w:cs="Arial"/>
      <w:b/>
      <w:bCs/>
      <w:snapToGrid/>
      <w:color w:val="222222"/>
      <w:sz w:val="22"/>
      <w:szCs w:val="22"/>
      <w:lang w:val="hr-HR" w:eastAsia="ar-SA"/>
    </w:rPr>
  </w:style>
  <w:style w:type="table" w:customStyle="1" w:styleId="TableGrid1">
    <w:name w:val="Table Grid1"/>
    <w:basedOn w:val="TableNormal"/>
    <w:next w:val="TableGrid"/>
    <w:rsid w:val="00A842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AZJMDCZ6QSYZ-12-2166</_dlc_DocId>
    <_dlc_DocIdUrl xmlns="a494813a-d0d8-4dad-94cb-0d196f36ba15">
      <Url>https://ekoordinacije.vlada.hr/sjednice-drustvo/_layouts/15/DocIdRedir.aspx?ID=AZJMDCZ6QSYZ-12-2166</Url>
      <Description>AZJMDCZ6QSYZ-12-2166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C780-ABAF-4280-AFDF-FBB0D0EE7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7814B-790B-4EE9-88E4-75FAB47A09C2}">
  <ds:schemaRefs>
    <ds:schemaRef ds:uri="http://schemas.microsoft.com/office/infopath/2007/PartnerControls"/>
    <ds:schemaRef ds:uri="http://schemas.microsoft.com/office/2006/documentManagement/types"/>
    <ds:schemaRef ds:uri="a494813a-d0d8-4dad-94cb-0d196f36ba15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A79766-A1B7-4EC6-AC6C-9409B928F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41123-C82E-4901-B857-8E1EF1927F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A9576F-5FFC-4F2E-B17C-3674A0C0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2955</Words>
  <Characters>16848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Madronić</dc:creator>
  <cp:keywords/>
  <dc:description/>
  <cp:lastModifiedBy>Marija Pišonić</cp:lastModifiedBy>
  <cp:revision>14</cp:revision>
  <cp:lastPrinted>2021-04-12T12:07:00Z</cp:lastPrinted>
  <dcterms:created xsi:type="dcterms:W3CDTF">2021-04-13T10:29:00Z</dcterms:created>
  <dcterms:modified xsi:type="dcterms:W3CDTF">2021-04-28T07:52:00Z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fbfe3cfb-de77-4306-b9a0-460ab31765bf</vt:lpwstr>
  </property>
</Properties>
</file>