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049F" w14:textId="11512936" w:rsidR="00CD3EFA" w:rsidRPr="00C208B8" w:rsidRDefault="007D76CF" w:rsidP="007D76CF">
      <w:pPr>
        <w:ind w:left="2832" w:firstLine="708"/>
      </w:pPr>
      <w:r>
        <w:t xml:space="preserve">        </w:t>
      </w:r>
      <w:r w:rsidR="00A7796D">
        <w:t xml:space="preserve"> </w:t>
      </w:r>
      <w:r w:rsidR="008F0DD4">
        <w:rPr>
          <w:noProof/>
        </w:rPr>
        <w:drawing>
          <wp:inline distT="0" distB="0" distL="0" distR="0" wp14:anchorId="7B289C11" wp14:editId="5FF8444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6CF4A5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9649C57" w14:textId="77777777" w:rsidR="00CD3EFA" w:rsidRDefault="00CD3EFA"/>
    <w:p w14:paraId="13CE852F" w14:textId="1898252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922F98">
        <w:t>13. svibnja</w:t>
      </w:r>
      <w:r w:rsidR="003E5D01">
        <w:t xml:space="preserve"> </w:t>
      </w:r>
      <w:r w:rsidRPr="003A2F05">
        <w:t>20</w:t>
      </w:r>
      <w:r w:rsidR="002F03C7">
        <w:t>2</w:t>
      </w:r>
      <w:r w:rsidR="00CE0CF6">
        <w:t>1</w:t>
      </w:r>
      <w:r w:rsidRPr="003A2F05">
        <w:t>.</w:t>
      </w:r>
    </w:p>
    <w:p w14:paraId="74D80BC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F49AC5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4E7334">
          <w:headerReference w:type="default" r:id="rId13"/>
          <w:footerReference w:type="defaul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7B0AB5D" w14:textId="77777777" w:rsidTr="000350D9">
        <w:tc>
          <w:tcPr>
            <w:tcW w:w="1951" w:type="dxa"/>
          </w:tcPr>
          <w:p w14:paraId="68662D0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2DB0738" w14:textId="63A5F779" w:rsidR="000350D9" w:rsidRDefault="009B0712" w:rsidP="000350D9">
            <w:pPr>
              <w:spacing w:line="360" w:lineRule="auto"/>
            </w:pPr>
            <w:r>
              <w:t xml:space="preserve">Ministarstvo </w:t>
            </w:r>
            <w:r w:rsidR="00C50373">
              <w:t>regionalnoga razvoja i fondova Europske unije</w:t>
            </w:r>
          </w:p>
        </w:tc>
      </w:tr>
    </w:tbl>
    <w:p w14:paraId="6FAAD5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7C2954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C011EA5" w14:textId="77777777" w:rsidTr="000350D9">
        <w:tc>
          <w:tcPr>
            <w:tcW w:w="1951" w:type="dxa"/>
          </w:tcPr>
          <w:p w14:paraId="4EE630E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EE8214" w14:textId="1BC96738" w:rsidR="000350D9" w:rsidRDefault="00845749" w:rsidP="00845749">
            <w:pPr>
              <w:spacing w:line="360" w:lineRule="auto"/>
              <w:jc w:val="both"/>
            </w:pPr>
            <w:r w:rsidRPr="00845749">
              <w:t xml:space="preserve">Prijedlog </w:t>
            </w:r>
            <w:r w:rsidR="00665BD6">
              <w:t>o</w:t>
            </w:r>
            <w:r w:rsidR="003932FE">
              <w:t xml:space="preserve">dluke </w:t>
            </w:r>
            <w:r w:rsidR="0002177A">
              <w:t>o izmjen</w:t>
            </w:r>
            <w:r w:rsidR="00C56078">
              <w:t>ama</w:t>
            </w:r>
            <w:r w:rsidR="00665BD6">
              <w:t xml:space="preserve"> i dopuni</w:t>
            </w:r>
            <w:r w:rsidR="0002177A">
              <w:t xml:space="preserve"> Odluke </w:t>
            </w:r>
            <w:r w:rsidR="003932FE" w:rsidRPr="003932FE">
              <w:t>o utvrđivanju akata strateškog planiranja povezanih s uvjetima koji omogućavaju provedbu fondova Europske unije u razdoblju od 2021. do 2027. godine,</w:t>
            </w:r>
            <w:r w:rsidR="00BD678C">
              <w:t xml:space="preserve"> rokova donošenja </w:t>
            </w:r>
            <w:r w:rsidR="001C5BB0">
              <w:t>i</w:t>
            </w:r>
            <w:r w:rsidR="00BD678C">
              <w:t xml:space="preserve"> tijela </w:t>
            </w:r>
            <w:r w:rsidR="001C5BB0">
              <w:t>zaduženih</w:t>
            </w:r>
            <w:r w:rsidR="00BD678C">
              <w:t xml:space="preserve"> za njihovu izradu</w:t>
            </w:r>
          </w:p>
        </w:tc>
      </w:tr>
    </w:tbl>
    <w:p w14:paraId="420170A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C4B0F1B" w14:textId="77777777" w:rsidR="00CE78D1" w:rsidRDefault="00CE78D1" w:rsidP="008F0DD4"/>
    <w:p w14:paraId="768F5C3E" w14:textId="77777777" w:rsidR="00CE78D1" w:rsidRPr="00CE78D1" w:rsidRDefault="00CE78D1" w:rsidP="00CE78D1"/>
    <w:p w14:paraId="74D2A3C4" w14:textId="77777777" w:rsidR="00CE78D1" w:rsidRPr="00CE78D1" w:rsidRDefault="00CE78D1" w:rsidP="00CE78D1"/>
    <w:p w14:paraId="4FE1901C" w14:textId="77777777" w:rsidR="00CE78D1" w:rsidRPr="00CE78D1" w:rsidRDefault="00CE78D1" w:rsidP="00CE78D1"/>
    <w:p w14:paraId="1B627065" w14:textId="77777777" w:rsidR="003A5F65" w:rsidRDefault="003A5F65" w:rsidP="00CE78D1"/>
    <w:p w14:paraId="6174F32C" w14:textId="08568717" w:rsidR="00BC17A6" w:rsidRPr="004F5E52" w:rsidRDefault="003A5F65" w:rsidP="004F5E52">
      <w:r>
        <w:br w:type="page"/>
      </w:r>
    </w:p>
    <w:p w14:paraId="20A633A8" w14:textId="377EB392" w:rsidR="00E25F42" w:rsidRPr="00E25F42" w:rsidRDefault="00E25F42" w:rsidP="00665BD6">
      <w:pPr>
        <w:ind w:firstLine="141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E25F42">
        <w:rPr>
          <w:rFonts w:eastAsia="Calibri"/>
          <w:b/>
          <w:lang w:eastAsia="en-US"/>
        </w:rPr>
        <w:t>PRIJEDLOG</w:t>
      </w:r>
    </w:p>
    <w:p w14:paraId="512A7042" w14:textId="6025829A" w:rsidR="00E25F42" w:rsidRDefault="00E25F42" w:rsidP="00665BD6">
      <w:pPr>
        <w:ind w:firstLine="1418"/>
        <w:jc w:val="both"/>
        <w:rPr>
          <w:rFonts w:eastAsia="Calibri"/>
          <w:lang w:eastAsia="en-US"/>
        </w:rPr>
      </w:pPr>
    </w:p>
    <w:p w14:paraId="1A1030A1" w14:textId="336B0287" w:rsidR="004617D7" w:rsidRDefault="004617D7" w:rsidP="00665BD6">
      <w:pPr>
        <w:ind w:firstLine="1418"/>
        <w:jc w:val="both"/>
        <w:rPr>
          <w:rFonts w:eastAsia="Calibri"/>
          <w:lang w:eastAsia="en-US"/>
        </w:rPr>
      </w:pPr>
    </w:p>
    <w:p w14:paraId="2B4CCE36" w14:textId="77777777" w:rsidR="004617D7" w:rsidRDefault="004617D7" w:rsidP="00665BD6">
      <w:pPr>
        <w:ind w:firstLine="1418"/>
        <w:jc w:val="both"/>
        <w:rPr>
          <w:rFonts w:eastAsia="Calibri"/>
          <w:lang w:eastAsia="en-US"/>
        </w:rPr>
      </w:pPr>
    </w:p>
    <w:p w14:paraId="61485352" w14:textId="13CA40F3" w:rsidR="0003164F" w:rsidRDefault="0003164F" w:rsidP="00665BD6">
      <w:pPr>
        <w:ind w:firstLine="1418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 xml:space="preserve">Na temelju članka </w:t>
      </w:r>
      <w:r w:rsidR="00BC17A6">
        <w:rPr>
          <w:rFonts w:eastAsia="Calibri"/>
          <w:lang w:eastAsia="en-US"/>
        </w:rPr>
        <w:t xml:space="preserve">31. stavka 2. Zakona o Vladi </w:t>
      </w:r>
      <w:r w:rsidR="00BC17A6" w:rsidRPr="00BC17A6">
        <w:rPr>
          <w:rFonts w:eastAsia="Calibri"/>
          <w:lang w:eastAsia="en-US"/>
        </w:rPr>
        <w:t xml:space="preserve">Republike Hrvatske </w:t>
      </w:r>
      <w:r w:rsidR="00BC17A6">
        <w:rPr>
          <w:rFonts w:eastAsia="Calibri"/>
          <w:lang w:eastAsia="en-US"/>
        </w:rPr>
        <w:t>(</w:t>
      </w:r>
      <w:r w:rsidR="00665BD6">
        <w:rPr>
          <w:rFonts w:eastAsia="Calibri"/>
          <w:lang w:eastAsia="en-US"/>
        </w:rPr>
        <w:t>„</w:t>
      </w:r>
      <w:r w:rsidR="00BC17A6">
        <w:rPr>
          <w:rFonts w:eastAsia="Calibri"/>
          <w:lang w:eastAsia="en-US"/>
        </w:rPr>
        <w:t>Narodne novine</w:t>
      </w:r>
      <w:r w:rsidR="00665BD6">
        <w:rPr>
          <w:rFonts w:eastAsia="Calibri"/>
          <w:lang w:eastAsia="en-US"/>
        </w:rPr>
        <w:t>“</w:t>
      </w:r>
      <w:r w:rsidR="00BC17A6">
        <w:rPr>
          <w:rFonts w:eastAsia="Calibri"/>
          <w:lang w:eastAsia="en-US"/>
        </w:rPr>
        <w:t>, br</w:t>
      </w:r>
      <w:r w:rsidR="00665BD6">
        <w:rPr>
          <w:rFonts w:eastAsia="Calibri"/>
          <w:lang w:eastAsia="en-US"/>
        </w:rPr>
        <w:t>.</w:t>
      </w:r>
      <w:r w:rsidR="00BC17A6">
        <w:rPr>
          <w:rFonts w:eastAsia="Calibri"/>
          <w:lang w:eastAsia="en-US"/>
        </w:rPr>
        <w:t xml:space="preserve"> 150/11</w:t>
      </w:r>
      <w:r w:rsidR="00665BD6">
        <w:rPr>
          <w:rFonts w:eastAsia="Calibri"/>
          <w:lang w:eastAsia="en-US"/>
        </w:rPr>
        <w:t>.</w:t>
      </w:r>
      <w:r w:rsidR="00BC17A6">
        <w:rPr>
          <w:rFonts w:eastAsia="Calibri"/>
          <w:lang w:eastAsia="en-US"/>
        </w:rPr>
        <w:t>, 119/14</w:t>
      </w:r>
      <w:r w:rsidR="00665BD6">
        <w:rPr>
          <w:rFonts w:eastAsia="Calibri"/>
          <w:lang w:eastAsia="en-US"/>
        </w:rPr>
        <w:t>.</w:t>
      </w:r>
      <w:r w:rsidR="00BC17A6">
        <w:rPr>
          <w:rFonts w:eastAsia="Calibri"/>
          <w:lang w:eastAsia="en-US"/>
        </w:rPr>
        <w:t>, 93/16</w:t>
      </w:r>
      <w:r w:rsidR="00665BD6">
        <w:rPr>
          <w:rFonts w:eastAsia="Calibri"/>
          <w:lang w:eastAsia="en-US"/>
        </w:rPr>
        <w:t>.</w:t>
      </w:r>
      <w:r w:rsidR="00BC17A6">
        <w:rPr>
          <w:rFonts w:eastAsia="Calibri"/>
          <w:lang w:eastAsia="en-US"/>
        </w:rPr>
        <w:t xml:space="preserve"> i 116/18</w:t>
      </w:r>
      <w:r w:rsidR="00665BD6">
        <w:rPr>
          <w:rFonts w:eastAsia="Calibri"/>
          <w:lang w:eastAsia="en-US"/>
        </w:rPr>
        <w:t>.</w:t>
      </w:r>
      <w:r w:rsidR="00BC17A6">
        <w:rPr>
          <w:rFonts w:eastAsia="Calibri"/>
          <w:lang w:eastAsia="en-US"/>
        </w:rPr>
        <w:t xml:space="preserve">) te članka 18. stavka 5. </w:t>
      </w:r>
      <w:r w:rsidR="00915604">
        <w:rPr>
          <w:rFonts w:eastAsia="Calibri"/>
          <w:lang w:eastAsia="en-US"/>
        </w:rPr>
        <w:t>i članka 19. stavka 2. Zakona o sustavu strateškog planiranja i upravljanja razvojem Republike Hrvatske (</w:t>
      </w:r>
      <w:r w:rsidR="00665BD6">
        <w:rPr>
          <w:rFonts w:eastAsia="Calibri"/>
          <w:lang w:eastAsia="en-US"/>
        </w:rPr>
        <w:t>„</w:t>
      </w:r>
      <w:r w:rsidR="00915604">
        <w:rPr>
          <w:rFonts w:eastAsia="Calibri"/>
          <w:lang w:eastAsia="en-US"/>
        </w:rPr>
        <w:t>Narodne novine</w:t>
      </w:r>
      <w:r w:rsidR="00665BD6">
        <w:rPr>
          <w:rFonts w:eastAsia="Calibri"/>
          <w:lang w:eastAsia="en-US"/>
        </w:rPr>
        <w:t>“</w:t>
      </w:r>
      <w:r w:rsidR="00915604">
        <w:rPr>
          <w:rFonts w:eastAsia="Calibri"/>
          <w:lang w:eastAsia="en-US"/>
        </w:rPr>
        <w:t>, broj 123/17</w:t>
      </w:r>
      <w:r w:rsidR="00665BD6">
        <w:rPr>
          <w:rFonts w:eastAsia="Calibri"/>
          <w:lang w:eastAsia="en-US"/>
        </w:rPr>
        <w:t>.</w:t>
      </w:r>
      <w:r w:rsidR="00915604">
        <w:rPr>
          <w:rFonts w:eastAsia="Calibri"/>
          <w:lang w:eastAsia="en-US"/>
        </w:rPr>
        <w:t xml:space="preserve">), </w:t>
      </w:r>
      <w:r w:rsidRPr="00845749">
        <w:rPr>
          <w:rFonts w:eastAsia="Calibri"/>
          <w:lang w:eastAsia="en-US"/>
        </w:rPr>
        <w:t xml:space="preserve">Vlada Republike Hrvatske je na sjednici održanoj </w:t>
      </w:r>
      <w:r w:rsidR="00922F98" w:rsidRPr="004F5E52">
        <w:rPr>
          <w:rFonts w:eastAsia="Calibri"/>
          <w:lang w:eastAsia="en-US"/>
        </w:rPr>
        <w:t>13. svibnja</w:t>
      </w:r>
      <w:r w:rsidR="0002177A" w:rsidRPr="004F5E52">
        <w:rPr>
          <w:rFonts w:eastAsia="Calibri"/>
          <w:lang w:eastAsia="en-US"/>
        </w:rPr>
        <w:t xml:space="preserve"> </w:t>
      </w:r>
      <w:r w:rsidR="00BC6675" w:rsidRPr="004F5E52">
        <w:rPr>
          <w:rFonts w:eastAsia="Calibri"/>
          <w:lang w:eastAsia="en-US"/>
        </w:rPr>
        <w:t>202</w:t>
      </w:r>
      <w:r w:rsidR="00CE0CF6" w:rsidRPr="004F5E52">
        <w:rPr>
          <w:rFonts w:eastAsia="Calibri"/>
          <w:lang w:eastAsia="en-US"/>
        </w:rPr>
        <w:t>1</w:t>
      </w:r>
      <w:r w:rsidR="00922F98" w:rsidRPr="004F5E52">
        <w:rPr>
          <w:rFonts w:eastAsia="Calibri"/>
          <w:lang w:eastAsia="en-US"/>
        </w:rPr>
        <w:t>.</w:t>
      </w:r>
      <w:r w:rsidR="00922F98">
        <w:rPr>
          <w:rFonts w:eastAsia="Calibri"/>
          <w:lang w:eastAsia="en-US"/>
        </w:rPr>
        <w:t xml:space="preserve"> </w:t>
      </w:r>
      <w:r w:rsidRPr="00845749">
        <w:rPr>
          <w:rFonts w:eastAsia="Calibri"/>
          <w:lang w:eastAsia="en-US"/>
        </w:rPr>
        <w:t>donijela</w:t>
      </w:r>
    </w:p>
    <w:p w14:paraId="2230486A" w14:textId="559F90D3" w:rsidR="00922F98" w:rsidRPr="00845749" w:rsidRDefault="00922F98" w:rsidP="00A1661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4EBEAF9" w14:textId="3A5469DB" w:rsidR="0003164F" w:rsidRDefault="0003164F" w:rsidP="00C80F15">
      <w:pPr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ODLUKU</w:t>
      </w:r>
    </w:p>
    <w:p w14:paraId="4F34C898" w14:textId="6583C03F" w:rsidR="00922F98" w:rsidRDefault="00922F98" w:rsidP="00A1661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9669E86" w14:textId="16EFC882" w:rsidR="00845749" w:rsidRDefault="00BC17A6" w:rsidP="00C80F15">
      <w:pPr>
        <w:jc w:val="center"/>
        <w:rPr>
          <w:rFonts w:eastAsia="Calibri"/>
          <w:b/>
          <w:lang w:eastAsia="en-US"/>
        </w:rPr>
      </w:pPr>
      <w:r w:rsidRPr="00BC17A6">
        <w:rPr>
          <w:rFonts w:eastAsia="Calibri"/>
          <w:b/>
          <w:lang w:eastAsia="en-US"/>
        </w:rPr>
        <w:t>o izmjen</w:t>
      </w:r>
      <w:r w:rsidR="00C56078">
        <w:rPr>
          <w:rFonts w:eastAsia="Calibri"/>
          <w:b/>
          <w:lang w:eastAsia="en-US"/>
        </w:rPr>
        <w:t>ama</w:t>
      </w:r>
      <w:r w:rsidRPr="00BC17A6">
        <w:rPr>
          <w:rFonts w:eastAsia="Calibri"/>
          <w:b/>
          <w:lang w:eastAsia="en-US"/>
        </w:rPr>
        <w:t xml:space="preserve"> </w:t>
      </w:r>
      <w:r w:rsidR="00956862">
        <w:rPr>
          <w:rFonts w:eastAsia="Calibri"/>
          <w:b/>
          <w:lang w:eastAsia="en-US"/>
        </w:rPr>
        <w:t xml:space="preserve">i dopuni </w:t>
      </w:r>
      <w:r w:rsidRPr="00BC17A6">
        <w:rPr>
          <w:rFonts w:eastAsia="Calibri"/>
          <w:b/>
          <w:lang w:eastAsia="en-US"/>
        </w:rPr>
        <w:t>Odluke</w:t>
      </w:r>
      <w:r w:rsidR="00232899">
        <w:rPr>
          <w:rFonts w:eastAsia="Calibri"/>
          <w:b/>
          <w:lang w:eastAsia="en-US"/>
        </w:rPr>
        <w:t xml:space="preserve"> </w:t>
      </w:r>
      <w:r w:rsidR="00232899" w:rsidRPr="00232899">
        <w:rPr>
          <w:rFonts w:eastAsia="Calibri"/>
          <w:b/>
          <w:lang w:eastAsia="en-US"/>
        </w:rPr>
        <w:t>o utvrđivanju akata strateškog planiranja povezanih s uvjetima koji omogućavaju provedbu fondova Europske unije u razdoblju od 2021. do 2027. godine, rokova donošenja i tijela zaduženih za njihovu izradu</w:t>
      </w:r>
    </w:p>
    <w:p w14:paraId="513A9DA5" w14:textId="50BE93CA" w:rsidR="00BC17A6" w:rsidRDefault="00BC17A6" w:rsidP="00A1661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0DC7CF2" w14:textId="6C52E31A" w:rsidR="0003164F" w:rsidRDefault="0003164F" w:rsidP="00A1661C">
      <w:pPr>
        <w:spacing w:line="276" w:lineRule="auto"/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t>I.</w:t>
      </w:r>
    </w:p>
    <w:p w14:paraId="45B20E41" w14:textId="77777777" w:rsidR="00845749" w:rsidRPr="00845749" w:rsidRDefault="00845749" w:rsidP="00A1661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C980489" w14:textId="47B8B76D" w:rsidR="00845749" w:rsidRPr="00845749" w:rsidRDefault="00667AAC" w:rsidP="004F5E5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</w:t>
      </w:r>
      <w:r w:rsidR="00BC17A6">
        <w:rPr>
          <w:rFonts w:eastAsia="Calibri"/>
          <w:lang w:eastAsia="en-US"/>
        </w:rPr>
        <w:t xml:space="preserve">Odluci o </w:t>
      </w:r>
      <w:r w:rsidR="00BC17A6" w:rsidRPr="00BC17A6">
        <w:rPr>
          <w:rFonts w:eastAsia="Calibri"/>
          <w:lang w:eastAsia="en-US"/>
        </w:rPr>
        <w:t>utvrđivanju akata strateškog planiranja povezanih s uvjetima koji omogućavaju provedbu fondova Europske unije u razdoblju od 2021. do 2027. godine, rokova donošenja i tijela zaduženih za njihovu izradu</w:t>
      </w:r>
      <w:r w:rsidR="00915604">
        <w:rPr>
          <w:rFonts w:eastAsia="Calibri"/>
          <w:lang w:eastAsia="en-US"/>
        </w:rPr>
        <w:t xml:space="preserve">, </w:t>
      </w:r>
      <w:r w:rsidR="00BC17A6" w:rsidRPr="00BC17A6">
        <w:rPr>
          <w:rFonts w:eastAsia="Calibri"/>
          <w:lang w:eastAsia="en-US"/>
        </w:rPr>
        <w:t>KLASA: 022-03/20-04/352, URBROJ: 50301-05/16-20-6</w:t>
      </w:r>
      <w:r w:rsidR="00C80F15">
        <w:rPr>
          <w:rFonts w:eastAsia="Calibri"/>
          <w:lang w:eastAsia="en-US"/>
        </w:rPr>
        <w:t>,</w:t>
      </w:r>
      <w:r w:rsidR="00915604">
        <w:rPr>
          <w:rFonts w:eastAsia="Calibri"/>
          <w:lang w:eastAsia="en-US"/>
        </w:rPr>
        <w:t xml:space="preserve"> od 14. listopada 2020.</w:t>
      </w:r>
      <w:r w:rsidR="00152C29">
        <w:rPr>
          <w:rFonts w:eastAsia="Calibri"/>
          <w:lang w:eastAsia="en-US"/>
        </w:rPr>
        <w:t>,</w:t>
      </w:r>
      <w:r w:rsidR="008B404A">
        <w:rPr>
          <w:rFonts w:eastAsia="Calibri"/>
          <w:lang w:eastAsia="en-US"/>
        </w:rPr>
        <w:t xml:space="preserve"> </w:t>
      </w:r>
      <w:bookmarkStart w:id="0" w:name="_Hlk66715037"/>
      <w:r w:rsidR="00C80F15">
        <w:rPr>
          <w:rFonts w:eastAsia="Calibri"/>
          <w:lang w:eastAsia="en-US"/>
        </w:rPr>
        <w:t xml:space="preserve">u </w:t>
      </w:r>
      <w:r w:rsidR="008B404A">
        <w:rPr>
          <w:rFonts w:eastAsia="Calibri"/>
          <w:lang w:eastAsia="en-US"/>
        </w:rPr>
        <w:t>točk</w:t>
      </w:r>
      <w:r w:rsidR="00C80F15">
        <w:rPr>
          <w:rFonts w:eastAsia="Calibri"/>
          <w:lang w:eastAsia="en-US"/>
        </w:rPr>
        <w:t>i</w:t>
      </w:r>
      <w:r w:rsidR="008B404A">
        <w:rPr>
          <w:rFonts w:eastAsia="Calibri"/>
          <w:lang w:eastAsia="en-US"/>
        </w:rPr>
        <w:t xml:space="preserve"> I</w:t>
      </w:r>
      <w:r w:rsidR="004E462A">
        <w:rPr>
          <w:rFonts w:eastAsia="Calibri"/>
          <w:lang w:eastAsia="en-US"/>
        </w:rPr>
        <w:t>I</w:t>
      </w:r>
      <w:r w:rsidR="008B404A">
        <w:rPr>
          <w:rFonts w:eastAsia="Calibri"/>
          <w:lang w:eastAsia="en-US"/>
        </w:rPr>
        <w:t xml:space="preserve">. </w:t>
      </w:r>
      <w:r w:rsidR="00FD20C9">
        <w:rPr>
          <w:rFonts w:eastAsia="Calibri"/>
          <w:lang w:eastAsia="en-US"/>
        </w:rPr>
        <w:t>stavk</w:t>
      </w:r>
      <w:r w:rsidR="00C80F15">
        <w:rPr>
          <w:rFonts w:eastAsia="Calibri"/>
          <w:lang w:eastAsia="en-US"/>
        </w:rPr>
        <w:t>u</w:t>
      </w:r>
      <w:r w:rsidR="00FD20C9">
        <w:rPr>
          <w:rFonts w:eastAsia="Calibri"/>
          <w:lang w:eastAsia="en-US"/>
        </w:rPr>
        <w:t xml:space="preserve"> 1. podstavak 2. </w:t>
      </w:r>
      <w:r w:rsidR="008B404A">
        <w:rPr>
          <w:rFonts w:eastAsia="Calibri"/>
          <w:lang w:eastAsia="en-US"/>
        </w:rPr>
        <w:t>mijenja se i glasi:</w:t>
      </w:r>
    </w:p>
    <w:p w14:paraId="270130DE" w14:textId="63C1C817" w:rsidR="00A7796D" w:rsidRDefault="00A7796D" w:rsidP="004F5E52">
      <w:pPr>
        <w:contextualSpacing/>
        <w:jc w:val="both"/>
        <w:rPr>
          <w:rFonts w:eastAsia="Calibri"/>
          <w:strike/>
          <w:lang w:eastAsia="en-US"/>
        </w:rPr>
      </w:pPr>
    </w:p>
    <w:p w14:paraId="5DE9A2A5" w14:textId="0DC757B1" w:rsidR="008B404A" w:rsidRDefault="0016538C" w:rsidP="004F5E52">
      <w:pPr>
        <w:pStyle w:val="ListParagraph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="00391F6D">
        <w:rPr>
          <w:rFonts w:eastAsia="Calibri"/>
          <w:lang w:eastAsia="en-US"/>
        </w:rPr>
        <w:t xml:space="preserve">- </w:t>
      </w:r>
      <w:r w:rsidR="008B404A" w:rsidRPr="00AB53ED">
        <w:rPr>
          <w:rFonts w:eastAsia="Calibri"/>
          <w:lang w:eastAsia="en-US"/>
        </w:rPr>
        <w:t>Strategija upravljanja rizicima od katastrofa</w:t>
      </w:r>
      <w:r w:rsidR="008B404A">
        <w:rPr>
          <w:rFonts w:eastAsia="Calibri"/>
          <w:lang w:eastAsia="en-US"/>
        </w:rPr>
        <w:t xml:space="preserve"> do 2030. godine</w:t>
      </w:r>
      <w:r w:rsidR="008B404A" w:rsidRPr="00AB53ED">
        <w:rPr>
          <w:rFonts w:eastAsia="Calibri"/>
          <w:lang w:eastAsia="en-US"/>
        </w:rPr>
        <w:t>, Ministarstvo unutarnjih poslova</w:t>
      </w:r>
      <w:r>
        <w:rPr>
          <w:rFonts w:eastAsia="Calibri"/>
          <w:lang w:eastAsia="en-US"/>
        </w:rPr>
        <w:t>“</w:t>
      </w:r>
      <w:r w:rsidR="00C80F15">
        <w:rPr>
          <w:rFonts w:eastAsia="Calibri"/>
          <w:lang w:eastAsia="en-US"/>
        </w:rPr>
        <w:t>.</w:t>
      </w:r>
    </w:p>
    <w:p w14:paraId="3A114383" w14:textId="77777777" w:rsidR="00FD20C9" w:rsidRDefault="00FD20C9" w:rsidP="004F5E52">
      <w:pPr>
        <w:pStyle w:val="ListParagraph"/>
        <w:jc w:val="both"/>
        <w:rPr>
          <w:rFonts w:eastAsia="Calibri"/>
          <w:lang w:eastAsia="en-US"/>
        </w:rPr>
      </w:pPr>
    </w:p>
    <w:p w14:paraId="059A7297" w14:textId="440F397F" w:rsidR="008B404A" w:rsidRDefault="00CD6DA4" w:rsidP="004F5E52">
      <w:pPr>
        <w:pStyle w:val="ListParagraph"/>
        <w:ind w:left="0" w:firstLine="1418"/>
        <w:jc w:val="both"/>
        <w:rPr>
          <w:rFonts w:eastAsia="Calibri"/>
          <w:lang w:eastAsia="en-US"/>
        </w:rPr>
      </w:pPr>
      <w:bookmarkStart w:id="1" w:name="_Hlk66181849"/>
      <w:bookmarkStart w:id="2" w:name="_Hlk66181818"/>
      <w:r>
        <w:rPr>
          <w:rFonts w:eastAsia="Calibri"/>
          <w:lang w:eastAsia="en-US"/>
        </w:rPr>
        <w:t>I</w:t>
      </w:r>
      <w:r w:rsidR="008B404A">
        <w:rPr>
          <w:rFonts w:eastAsia="Calibri"/>
          <w:lang w:eastAsia="en-US"/>
        </w:rPr>
        <w:t>za podstavka 2</w:t>
      </w:r>
      <w:r>
        <w:rPr>
          <w:rFonts w:eastAsia="Calibri"/>
          <w:lang w:eastAsia="en-US"/>
        </w:rPr>
        <w:t>.</w:t>
      </w:r>
      <w:r w:rsidR="008B404A">
        <w:rPr>
          <w:rFonts w:eastAsia="Calibri"/>
          <w:lang w:eastAsia="en-US"/>
        </w:rPr>
        <w:t xml:space="preserve"> dodaje se novi podstavak 3</w:t>
      </w:r>
      <w:r>
        <w:rPr>
          <w:rFonts w:eastAsia="Calibri"/>
          <w:lang w:eastAsia="en-US"/>
        </w:rPr>
        <w:t>.</w:t>
      </w:r>
      <w:r w:rsidR="008B404A">
        <w:rPr>
          <w:rFonts w:eastAsia="Calibri"/>
          <w:lang w:eastAsia="en-US"/>
        </w:rPr>
        <w:t xml:space="preserve"> </w:t>
      </w:r>
      <w:bookmarkEnd w:id="1"/>
      <w:bookmarkEnd w:id="2"/>
      <w:r w:rsidR="008B404A">
        <w:rPr>
          <w:rFonts w:eastAsia="Calibri"/>
          <w:lang w:eastAsia="en-US"/>
        </w:rPr>
        <w:t xml:space="preserve">koji glasi: </w:t>
      </w:r>
    </w:p>
    <w:p w14:paraId="112AB71B" w14:textId="77777777" w:rsidR="008B404A" w:rsidRDefault="008B404A" w:rsidP="004F5E52">
      <w:pPr>
        <w:pStyle w:val="ListParagraph"/>
        <w:ind w:left="0"/>
        <w:jc w:val="both"/>
        <w:rPr>
          <w:rFonts w:eastAsia="Calibri"/>
          <w:lang w:eastAsia="en-US"/>
        </w:rPr>
      </w:pPr>
    </w:p>
    <w:p w14:paraId="69390613" w14:textId="018551EF" w:rsidR="008B404A" w:rsidRDefault="0016538C" w:rsidP="004F5E52">
      <w:pPr>
        <w:pStyle w:val="ListParagraph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="00354C87">
        <w:rPr>
          <w:rFonts w:eastAsia="Calibri"/>
          <w:lang w:eastAsia="en-US"/>
        </w:rPr>
        <w:t xml:space="preserve">- </w:t>
      </w:r>
      <w:r w:rsidR="008B404A" w:rsidRPr="008B404A">
        <w:rPr>
          <w:rFonts w:eastAsia="Calibri"/>
          <w:lang w:eastAsia="en-US"/>
        </w:rPr>
        <w:t>Nacionalni plan sigurnosti cestovnog prometa Republike Hrvatske za razdoblje od 2021. do 2030. godine, Ministarstvo unutarnjih poslova</w:t>
      </w:r>
      <w:r>
        <w:rPr>
          <w:rFonts w:eastAsia="Calibri"/>
          <w:lang w:eastAsia="en-US"/>
        </w:rPr>
        <w:t>“</w:t>
      </w:r>
      <w:r w:rsidR="00D945DC">
        <w:rPr>
          <w:rFonts w:eastAsia="Calibri"/>
          <w:lang w:eastAsia="en-US"/>
        </w:rPr>
        <w:t>.</w:t>
      </w:r>
    </w:p>
    <w:p w14:paraId="12F1453D" w14:textId="77777777" w:rsidR="00211F5B" w:rsidRDefault="00211F5B" w:rsidP="004F5E52">
      <w:pPr>
        <w:rPr>
          <w:rFonts w:eastAsia="Calibri"/>
          <w:lang w:eastAsia="en-US"/>
        </w:rPr>
      </w:pPr>
    </w:p>
    <w:p w14:paraId="77C8D429" w14:textId="1C4F40E0" w:rsidR="008B404A" w:rsidRDefault="00211F5B" w:rsidP="004F5E52">
      <w:pPr>
        <w:ind w:firstLine="1418"/>
        <w:rPr>
          <w:rFonts w:eastAsia="Calibri"/>
          <w:lang w:eastAsia="en-US"/>
        </w:rPr>
      </w:pPr>
      <w:r>
        <w:rPr>
          <w:rFonts w:eastAsia="Calibri"/>
          <w:lang w:eastAsia="en-US"/>
        </w:rPr>
        <w:t>Dosadašnji podstavci 3</w:t>
      </w:r>
      <w:r w:rsidR="00FD20C9">
        <w:rPr>
          <w:rFonts w:eastAsia="Calibri"/>
          <w:lang w:eastAsia="en-US"/>
        </w:rPr>
        <w:t>.</w:t>
      </w:r>
      <w:r w:rsidR="008E43B1">
        <w:rPr>
          <w:rFonts w:eastAsia="Calibri"/>
          <w:lang w:eastAsia="en-US"/>
        </w:rPr>
        <w:t xml:space="preserve"> do 9</w:t>
      </w:r>
      <w:r w:rsidR="00CD6DA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postaju </w:t>
      </w:r>
      <w:r w:rsidR="00CD6DA4">
        <w:rPr>
          <w:rFonts w:eastAsia="Calibri"/>
          <w:lang w:eastAsia="en-US"/>
        </w:rPr>
        <w:t xml:space="preserve">podstavci </w:t>
      </w:r>
      <w:r>
        <w:rPr>
          <w:rFonts w:eastAsia="Calibri"/>
          <w:lang w:eastAsia="en-US"/>
        </w:rPr>
        <w:t>4</w:t>
      </w:r>
      <w:r w:rsidR="00FD20C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do 1</w:t>
      </w:r>
      <w:r w:rsidR="008E43B1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.</w:t>
      </w:r>
    </w:p>
    <w:p w14:paraId="68120A33" w14:textId="77777777" w:rsidR="00FD20C9" w:rsidRDefault="00FD20C9" w:rsidP="004F5E52">
      <w:pPr>
        <w:pStyle w:val="ListParagraph"/>
        <w:ind w:left="0"/>
        <w:jc w:val="both"/>
        <w:rPr>
          <w:rFonts w:eastAsia="Calibri"/>
          <w:lang w:eastAsia="en-US"/>
        </w:rPr>
      </w:pPr>
    </w:p>
    <w:p w14:paraId="7B7A414D" w14:textId="0BE4267F" w:rsidR="00211F5B" w:rsidRDefault="00C56078" w:rsidP="004F5E52">
      <w:pPr>
        <w:pStyle w:val="ListParagraph"/>
        <w:ind w:left="0"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Dosadašnji </w:t>
      </w:r>
      <w:r w:rsidR="00C4750D">
        <w:rPr>
          <w:rFonts w:eastAsia="Calibri"/>
          <w:lang w:eastAsia="en-US"/>
        </w:rPr>
        <w:t>pods</w:t>
      </w:r>
      <w:r w:rsidR="00211F5B">
        <w:rPr>
          <w:rFonts w:eastAsia="Calibri"/>
          <w:lang w:eastAsia="en-US"/>
        </w:rPr>
        <w:t>tavak 1</w:t>
      </w:r>
      <w:r>
        <w:rPr>
          <w:rFonts w:eastAsia="Calibri"/>
          <w:lang w:eastAsia="en-US"/>
        </w:rPr>
        <w:t>0</w:t>
      </w:r>
      <w:r w:rsidR="00FD20C9">
        <w:rPr>
          <w:rFonts w:eastAsia="Calibri"/>
          <w:lang w:eastAsia="en-US"/>
        </w:rPr>
        <w:t>.</w:t>
      </w:r>
      <w:r w:rsidR="00211F5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koji </w:t>
      </w:r>
      <w:r w:rsidR="00480444">
        <w:rPr>
          <w:rFonts w:eastAsia="Calibri"/>
          <w:lang w:eastAsia="en-US"/>
        </w:rPr>
        <w:t>postaje</w:t>
      </w:r>
      <w:r>
        <w:rPr>
          <w:rFonts w:eastAsia="Calibri"/>
          <w:lang w:eastAsia="en-US"/>
        </w:rPr>
        <w:t xml:space="preserve"> </w:t>
      </w:r>
      <w:r w:rsidR="00C4750D">
        <w:rPr>
          <w:rFonts w:eastAsia="Calibri"/>
          <w:lang w:eastAsia="en-US"/>
        </w:rPr>
        <w:t>pod</w:t>
      </w:r>
      <w:r>
        <w:rPr>
          <w:rFonts w:eastAsia="Calibri"/>
          <w:lang w:eastAsia="en-US"/>
        </w:rPr>
        <w:t xml:space="preserve">stavak </w:t>
      </w:r>
      <w:r w:rsidR="00211F5B">
        <w:rPr>
          <w:rFonts w:eastAsia="Calibri"/>
          <w:lang w:eastAsia="en-US"/>
        </w:rPr>
        <w:t>11</w:t>
      </w:r>
      <w:r w:rsidR="00FD20C9">
        <w:rPr>
          <w:rFonts w:eastAsia="Calibri"/>
          <w:lang w:eastAsia="en-US"/>
        </w:rPr>
        <w:t>.</w:t>
      </w:r>
      <w:r w:rsidR="00211F5B">
        <w:rPr>
          <w:rFonts w:eastAsia="Calibri"/>
          <w:lang w:eastAsia="en-US"/>
        </w:rPr>
        <w:t xml:space="preserve"> mijenja se i glasi: </w:t>
      </w:r>
    </w:p>
    <w:p w14:paraId="647FA836" w14:textId="77777777" w:rsidR="00354C87" w:rsidRDefault="00354C87" w:rsidP="004F5E52">
      <w:pPr>
        <w:pStyle w:val="ListParagraph"/>
        <w:jc w:val="both"/>
        <w:rPr>
          <w:rFonts w:eastAsia="Calibri"/>
          <w:lang w:eastAsia="en-US"/>
        </w:rPr>
      </w:pPr>
    </w:p>
    <w:p w14:paraId="0A6A69DA" w14:textId="3EA03906" w:rsidR="00211F5B" w:rsidRDefault="0016538C" w:rsidP="004F5E52">
      <w:pPr>
        <w:pStyle w:val="ListParagraph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</w:t>
      </w:r>
      <w:r w:rsidR="00354C87">
        <w:rPr>
          <w:rFonts w:eastAsia="Calibri"/>
          <w:lang w:eastAsia="en-US"/>
        </w:rPr>
        <w:t xml:space="preserve">- </w:t>
      </w:r>
      <w:r w:rsidR="00211F5B" w:rsidRPr="00AB53ED">
        <w:rPr>
          <w:rFonts w:eastAsia="Calibri"/>
          <w:lang w:eastAsia="en-US"/>
        </w:rPr>
        <w:t xml:space="preserve">Nacionalni plan razvoja širokopojasnog pristupa </w:t>
      </w:r>
      <w:r w:rsidR="00211F5B">
        <w:rPr>
          <w:rFonts w:eastAsia="Calibri"/>
          <w:lang w:eastAsia="en-US"/>
        </w:rPr>
        <w:t>u Republici Hrvatskoj u</w:t>
      </w:r>
      <w:r w:rsidR="00211F5B" w:rsidRPr="00AB53ED">
        <w:rPr>
          <w:rFonts w:eastAsia="Calibri"/>
          <w:lang w:eastAsia="en-US"/>
        </w:rPr>
        <w:t xml:space="preserve"> razdoblj</w:t>
      </w:r>
      <w:r w:rsidR="00211F5B">
        <w:rPr>
          <w:rFonts w:eastAsia="Calibri"/>
          <w:lang w:eastAsia="en-US"/>
        </w:rPr>
        <w:t>u</w:t>
      </w:r>
      <w:r w:rsidR="00211F5B" w:rsidRPr="00AB53ED">
        <w:rPr>
          <w:rFonts w:eastAsia="Calibri"/>
          <w:lang w:eastAsia="en-US"/>
        </w:rPr>
        <w:t xml:space="preserve"> od 2021. do 2027. godine, Ministarstvo mora, prometa i infrastrukture</w:t>
      </w:r>
      <w:r>
        <w:rPr>
          <w:rFonts w:eastAsia="Calibri"/>
          <w:lang w:eastAsia="en-US"/>
        </w:rPr>
        <w:t>“</w:t>
      </w:r>
      <w:r w:rsidR="00354C87">
        <w:rPr>
          <w:rFonts w:eastAsia="Calibri"/>
          <w:lang w:eastAsia="en-US"/>
        </w:rPr>
        <w:t>.</w:t>
      </w:r>
    </w:p>
    <w:p w14:paraId="23B87BEA" w14:textId="267C6BEC" w:rsidR="00FB58E0" w:rsidRDefault="00FB58E0" w:rsidP="004F5E52">
      <w:pPr>
        <w:pStyle w:val="ListParagraph"/>
        <w:ind w:left="0"/>
        <w:jc w:val="both"/>
        <w:rPr>
          <w:rFonts w:eastAsia="Calibri"/>
          <w:lang w:eastAsia="en-US"/>
        </w:rPr>
      </w:pPr>
    </w:p>
    <w:p w14:paraId="0E44FB27" w14:textId="18A47F28" w:rsidR="00FB58E0" w:rsidRDefault="00FB58E0" w:rsidP="00FB58E0">
      <w:pPr>
        <w:pStyle w:val="ListParagraph"/>
        <w:ind w:left="0"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Dosadašnji podstavci 11. do 15. postaju podstavci 12. do 16.</w:t>
      </w:r>
    </w:p>
    <w:p w14:paraId="3795D71E" w14:textId="77777777" w:rsidR="00211F5B" w:rsidRDefault="00211F5B" w:rsidP="004F5E52">
      <w:pPr>
        <w:pStyle w:val="ListParagraph"/>
        <w:ind w:left="0"/>
        <w:jc w:val="both"/>
        <w:rPr>
          <w:rFonts w:eastAsia="Calibri"/>
          <w:lang w:eastAsia="en-US"/>
        </w:rPr>
      </w:pPr>
    </w:p>
    <w:bookmarkEnd w:id="0"/>
    <w:p w14:paraId="32D6DBBE" w14:textId="2E7F6069" w:rsidR="008B404A" w:rsidRPr="0016538C" w:rsidRDefault="00391F6D" w:rsidP="00A1661C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II.</w:t>
      </w:r>
    </w:p>
    <w:p w14:paraId="2F4E2D86" w14:textId="77777777" w:rsidR="008B404A" w:rsidRPr="0016538C" w:rsidRDefault="008B404A" w:rsidP="00A1661C">
      <w:pPr>
        <w:pStyle w:val="ListParagraph"/>
        <w:spacing w:line="276" w:lineRule="auto"/>
        <w:ind w:left="0"/>
        <w:jc w:val="both"/>
        <w:rPr>
          <w:rFonts w:eastAsia="Calibri"/>
          <w:lang w:eastAsia="en-US"/>
        </w:rPr>
      </w:pPr>
    </w:p>
    <w:p w14:paraId="4C392520" w14:textId="7C38775F" w:rsidR="004F5E52" w:rsidRPr="00FB58E0" w:rsidRDefault="00354C87" w:rsidP="00FB58E0">
      <w:pPr>
        <w:pStyle w:val="ListParagraph"/>
        <w:ind w:left="0" w:firstLine="1418"/>
        <w:jc w:val="both"/>
        <w:rPr>
          <w:rFonts w:eastAsia="Calibri"/>
          <w:lang w:eastAsia="en-US"/>
        </w:rPr>
      </w:pPr>
      <w:bookmarkStart w:id="3" w:name="_Hlk66180335"/>
      <w:r>
        <w:rPr>
          <w:rFonts w:eastAsia="Calibri"/>
          <w:lang w:eastAsia="en-US"/>
        </w:rPr>
        <w:t xml:space="preserve">Dosadašnji </w:t>
      </w:r>
      <w:r w:rsidR="00152C29" w:rsidRPr="0016538C">
        <w:rPr>
          <w:rFonts w:eastAsia="Calibri"/>
          <w:lang w:eastAsia="en-US"/>
        </w:rPr>
        <w:t xml:space="preserve">Prilog 1. </w:t>
      </w:r>
      <w:r>
        <w:rPr>
          <w:rFonts w:eastAsia="Calibri"/>
          <w:lang w:eastAsia="en-US"/>
        </w:rPr>
        <w:t xml:space="preserve">zamjenjuje se novim Prilogom 1. </w:t>
      </w:r>
      <w:r w:rsidRPr="00354C87">
        <w:rPr>
          <w:rFonts w:eastAsia="Calibri"/>
          <w:lang w:eastAsia="en-US"/>
        </w:rPr>
        <w:t>koji je tiskan uz ovu Odluku i njezin je sastavni dio</w:t>
      </w:r>
      <w:r>
        <w:rPr>
          <w:rFonts w:eastAsia="Calibri"/>
          <w:lang w:eastAsia="en-US"/>
        </w:rPr>
        <w:t>.</w:t>
      </w:r>
      <w:bookmarkEnd w:id="3"/>
    </w:p>
    <w:p w14:paraId="1A3C6989" w14:textId="35515552" w:rsidR="00463356" w:rsidRDefault="00463356" w:rsidP="006E272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0C42F964" w14:textId="3449BA2D" w:rsidR="00FB58E0" w:rsidRDefault="00FB58E0" w:rsidP="006E272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0B782D43" w14:textId="2F96FA9C" w:rsidR="00FB58E0" w:rsidRDefault="00FB58E0" w:rsidP="006E272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4E18ED44" w14:textId="6533C24C" w:rsidR="00FB58E0" w:rsidRDefault="00FB58E0" w:rsidP="006E2728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14:paraId="430CA5E8" w14:textId="7C6084D0" w:rsidR="004617D7" w:rsidRDefault="004617D7" w:rsidP="006E2728">
      <w:pPr>
        <w:spacing w:line="276" w:lineRule="auto"/>
        <w:jc w:val="center"/>
        <w:rPr>
          <w:rFonts w:eastAsia="Calibri"/>
          <w:b/>
          <w:bCs/>
          <w:lang w:eastAsia="en-US"/>
        </w:rPr>
      </w:pPr>
      <w:bookmarkStart w:id="4" w:name="_GoBack"/>
      <w:bookmarkEnd w:id="4"/>
    </w:p>
    <w:p w14:paraId="1F2053E3" w14:textId="022F063A" w:rsidR="006E2728" w:rsidRPr="0016538C" w:rsidRDefault="00B66A15" w:rsidP="006E2728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I</w:t>
      </w:r>
      <w:r w:rsidR="00FB58E0">
        <w:rPr>
          <w:rFonts w:eastAsia="Calibri"/>
          <w:b/>
          <w:bCs/>
          <w:lang w:eastAsia="en-US"/>
        </w:rPr>
        <w:t>II</w:t>
      </w:r>
      <w:r w:rsidR="006E2728" w:rsidRPr="0016538C">
        <w:rPr>
          <w:rFonts w:eastAsia="Calibri"/>
          <w:b/>
          <w:bCs/>
          <w:lang w:eastAsia="en-US"/>
        </w:rPr>
        <w:t>.</w:t>
      </w:r>
    </w:p>
    <w:p w14:paraId="363EDD5E" w14:textId="77777777" w:rsidR="006E2728" w:rsidRPr="0016538C" w:rsidRDefault="006E2728" w:rsidP="004F5E52">
      <w:pPr>
        <w:jc w:val="both"/>
        <w:rPr>
          <w:rFonts w:eastAsia="Calibri"/>
          <w:lang w:eastAsia="en-US"/>
        </w:rPr>
      </w:pPr>
    </w:p>
    <w:p w14:paraId="2A7149B0" w14:textId="7DD53985" w:rsidR="006E2728" w:rsidRDefault="006E2728" w:rsidP="004F5E52">
      <w:pPr>
        <w:spacing w:line="276" w:lineRule="auto"/>
        <w:ind w:firstLine="1418"/>
        <w:jc w:val="both"/>
        <w:rPr>
          <w:rFonts w:eastAsia="Calibri"/>
          <w:lang w:eastAsia="en-US"/>
        </w:rPr>
      </w:pPr>
      <w:r w:rsidRPr="0016538C">
        <w:rPr>
          <w:rFonts w:eastAsia="Calibri"/>
          <w:lang w:eastAsia="en-US"/>
        </w:rPr>
        <w:t>Ova Odluka stupa na snagu danom donošenja.</w:t>
      </w:r>
    </w:p>
    <w:p w14:paraId="341453DE" w14:textId="1BF54D7C" w:rsidR="006E2728" w:rsidRDefault="006E2728" w:rsidP="00A1661C">
      <w:pPr>
        <w:pStyle w:val="ListParagraph"/>
        <w:spacing w:line="276" w:lineRule="auto"/>
        <w:ind w:left="0"/>
        <w:jc w:val="both"/>
        <w:rPr>
          <w:rFonts w:eastAsia="Calibri"/>
          <w:lang w:eastAsia="en-US"/>
        </w:rPr>
      </w:pPr>
    </w:p>
    <w:p w14:paraId="2CAA59F3" w14:textId="77777777" w:rsidR="00FB58E0" w:rsidRDefault="00FB58E0" w:rsidP="00A1661C">
      <w:pPr>
        <w:pStyle w:val="ListParagraph"/>
        <w:spacing w:line="276" w:lineRule="auto"/>
        <w:ind w:left="0"/>
        <w:jc w:val="both"/>
        <w:rPr>
          <w:rFonts w:eastAsia="Calibri"/>
          <w:lang w:eastAsia="en-US"/>
        </w:rPr>
      </w:pPr>
    </w:p>
    <w:p w14:paraId="2378141B" w14:textId="77777777" w:rsidR="009B5528" w:rsidRPr="00845749" w:rsidRDefault="009B5528" w:rsidP="009B5528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Pr="00845749">
        <w:rPr>
          <w:rFonts w:eastAsia="Calibri"/>
          <w:lang w:eastAsia="en-US"/>
        </w:rPr>
        <w:t>LASA:</w:t>
      </w:r>
    </w:p>
    <w:p w14:paraId="50A806E1" w14:textId="77777777" w:rsidR="009B5528" w:rsidRDefault="009B5528" w:rsidP="009B5528">
      <w:pPr>
        <w:spacing w:line="276" w:lineRule="auto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URBROJ:</w:t>
      </w:r>
    </w:p>
    <w:p w14:paraId="591CD2FC" w14:textId="77777777" w:rsidR="009B5528" w:rsidRDefault="009B5528" w:rsidP="009B5528">
      <w:pPr>
        <w:spacing w:line="276" w:lineRule="auto"/>
        <w:jc w:val="both"/>
        <w:rPr>
          <w:rFonts w:eastAsia="Calibri"/>
          <w:lang w:eastAsia="en-US"/>
        </w:rPr>
      </w:pPr>
    </w:p>
    <w:p w14:paraId="41D6E0F1" w14:textId="77777777" w:rsidR="009B5528" w:rsidRPr="00845749" w:rsidRDefault="009B5528" w:rsidP="009B5528">
      <w:pPr>
        <w:spacing w:line="276" w:lineRule="auto"/>
        <w:jc w:val="both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Zagreb,</w:t>
      </w:r>
      <w:r>
        <w:rPr>
          <w:rFonts w:eastAsia="Calibri"/>
          <w:lang w:eastAsia="en-US"/>
        </w:rPr>
        <w:t>________________</w:t>
      </w:r>
    </w:p>
    <w:p w14:paraId="03BA91AA" w14:textId="31433226" w:rsidR="009B5528" w:rsidRDefault="009B5528" w:rsidP="009B5528">
      <w:pPr>
        <w:spacing w:line="276" w:lineRule="auto"/>
        <w:ind w:left="5664"/>
        <w:jc w:val="center"/>
        <w:rPr>
          <w:rFonts w:eastAsia="Calibri"/>
          <w:lang w:eastAsia="en-US"/>
        </w:rPr>
      </w:pPr>
    </w:p>
    <w:p w14:paraId="2772CF98" w14:textId="77777777" w:rsidR="009B5528" w:rsidRDefault="009B5528" w:rsidP="009B5528">
      <w:pPr>
        <w:spacing w:line="276" w:lineRule="auto"/>
        <w:ind w:left="5664"/>
        <w:jc w:val="center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PREDSJEDNIK</w:t>
      </w:r>
    </w:p>
    <w:p w14:paraId="7A92D3D4" w14:textId="77777777" w:rsidR="009B5528" w:rsidRDefault="009B5528" w:rsidP="009B5528">
      <w:pPr>
        <w:spacing w:line="276" w:lineRule="auto"/>
        <w:ind w:left="5664"/>
        <w:jc w:val="center"/>
        <w:rPr>
          <w:rFonts w:eastAsia="Calibri"/>
          <w:lang w:eastAsia="en-US"/>
        </w:rPr>
      </w:pPr>
    </w:p>
    <w:p w14:paraId="6DD57582" w14:textId="77777777" w:rsidR="009B5528" w:rsidRDefault="009B5528" w:rsidP="009B5528">
      <w:pPr>
        <w:spacing w:line="276" w:lineRule="auto"/>
        <w:ind w:left="5664"/>
        <w:jc w:val="center"/>
        <w:rPr>
          <w:rFonts w:eastAsia="Calibri"/>
          <w:lang w:eastAsia="en-US"/>
        </w:rPr>
      </w:pPr>
    </w:p>
    <w:p w14:paraId="3109E20E" w14:textId="77777777" w:rsidR="009B5528" w:rsidRDefault="009B5528" w:rsidP="009B5528">
      <w:pPr>
        <w:spacing w:line="276" w:lineRule="auto"/>
        <w:ind w:left="5664"/>
        <w:jc w:val="center"/>
        <w:rPr>
          <w:rFonts w:eastAsia="Calibri"/>
          <w:lang w:eastAsia="en-US"/>
        </w:rPr>
      </w:pPr>
      <w:r w:rsidRPr="00845749">
        <w:rPr>
          <w:rFonts w:eastAsia="Calibri"/>
          <w:lang w:eastAsia="en-US"/>
        </w:rPr>
        <w:t>mr. sc. Andrej Plenković</w:t>
      </w:r>
    </w:p>
    <w:p w14:paraId="6332073B" w14:textId="77777777" w:rsidR="009B5528" w:rsidRDefault="009B5528" w:rsidP="009B5528">
      <w:pPr>
        <w:spacing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14:paraId="245FEBCB" w14:textId="2D070A44" w:rsidR="006E2728" w:rsidRPr="009B5528" w:rsidRDefault="009B5528" w:rsidP="00A1661C">
      <w:pPr>
        <w:pStyle w:val="ListParagraph"/>
        <w:spacing w:line="276" w:lineRule="auto"/>
        <w:ind w:left="0"/>
        <w:jc w:val="both"/>
        <w:rPr>
          <w:rFonts w:eastAsia="Calibri"/>
          <w:b/>
          <w:lang w:eastAsia="en-US"/>
        </w:rPr>
      </w:pPr>
      <w:r w:rsidRPr="009B5528">
        <w:rPr>
          <w:rFonts w:eastAsia="Calibri"/>
          <w:b/>
          <w:lang w:eastAsia="en-US"/>
        </w:rPr>
        <w:lastRenderedPageBreak/>
        <w:t>Prilog 1.</w:t>
      </w:r>
    </w:p>
    <w:p w14:paraId="197C61A6" w14:textId="114C3B9A" w:rsidR="006E2728" w:rsidRPr="0016538C" w:rsidRDefault="006E2728" w:rsidP="00A1661C">
      <w:pPr>
        <w:pStyle w:val="ListParagraph"/>
        <w:spacing w:line="276" w:lineRule="auto"/>
        <w:ind w:left="0"/>
        <w:jc w:val="both"/>
        <w:rPr>
          <w:rFonts w:eastAsia="Calibri"/>
          <w:lang w:eastAsia="en-US"/>
        </w:rPr>
      </w:pPr>
    </w:p>
    <w:tbl>
      <w:tblPr>
        <w:tblStyle w:val="TableGrid"/>
        <w:tblW w:w="5081" w:type="pct"/>
        <w:tblLook w:val="04A0" w:firstRow="1" w:lastRow="0" w:firstColumn="1" w:lastColumn="0" w:noHBand="0" w:noVBand="1"/>
      </w:tblPr>
      <w:tblGrid>
        <w:gridCol w:w="703"/>
        <w:gridCol w:w="4255"/>
        <w:gridCol w:w="2127"/>
        <w:gridCol w:w="2124"/>
      </w:tblGrid>
      <w:tr w:rsidR="00FD20C9" w:rsidRPr="005751DC" w14:paraId="6CC31C44" w14:textId="77777777" w:rsidTr="00803CB2">
        <w:trPr>
          <w:trHeight w:val="1208"/>
        </w:trPr>
        <w:tc>
          <w:tcPr>
            <w:tcW w:w="382" w:type="pct"/>
            <w:shd w:val="clear" w:color="auto" w:fill="EAF1DD" w:themeFill="accent3" w:themeFillTint="33"/>
          </w:tcPr>
          <w:p w14:paraId="23255D4D" w14:textId="77777777" w:rsidR="00FD20C9" w:rsidRPr="002352EB" w:rsidRDefault="00FD20C9" w:rsidP="00A1661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B792085" w14:textId="77777777" w:rsidR="00FD20C9" w:rsidRPr="002352EB" w:rsidRDefault="00FD20C9" w:rsidP="00A1661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352EB">
              <w:rPr>
                <w:rFonts w:eastAsia="Calibri"/>
                <w:b/>
                <w:sz w:val="22"/>
                <w:szCs w:val="22"/>
              </w:rPr>
              <w:t>R.</w:t>
            </w:r>
          </w:p>
          <w:p w14:paraId="20E18E72" w14:textId="77777777" w:rsidR="00FD20C9" w:rsidRPr="002352EB" w:rsidRDefault="00FD20C9" w:rsidP="00A1661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352EB">
              <w:rPr>
                <w:rFonts w:eastAsia="Calibri"/>
                <w:b/>
                <w:sz w:val="22"/>
                <w:szCs w:val="22"/>
              </w:rPr>
              <w:t>BR.</w:t>
            </w:r>
          </w:p>
        </w:tc>
        <w:tc>
          <w:tcPr>
            <w:tcW w:w="2310" w:type="pct"/>
            <w:shd w:val="clear" w:color="auto" w:fill="EAF1DD" w:themeFill="accent3" w:themeFillTint="33"/>
          </w:tcPr>
          <w:p w14:paraId="08227645" w14:textId="77777777" w:rsidR="00FD20C9" w:rsidRPr="005751DC" w:rsidRDefault="00FD20C9" w:rsidP="00A1661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D1FFA27" w14:textId="77777777" w:rsidR="00FD20C9" w:rsidRPr="005751DC" w:rsidRDefault="00FD20C9" w:rsidP="00A1661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POPIS AKATA STRATEŠKOG PLANIRANJA</w:t>
            </w:r>
          </w:p>
        </w:tc>
        <w:tc>
          <w:tcPr>
            <w:tcW w:w="1155" w:type="pct"/>
            <w:shd w:val="clear" w:color="auto" w:fill="EAF1DD" w:themeFill="accent3" w:themeFillTint="33"/>
          </w:tcPr>
          <w:p w14:paraId="3ECC6FC7" w14:textId="77777777" w:rsidR="00FD20C9" w:rsidRPr="005751DC" w:rsidRDefault="00FD20C9" w:rsidP="00A1661C">
            <w:pPr>
              <w:spacing w:line="276" w:lineRule="auto"/>
              <w:ind w:left="39" w:hanging="142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3E8F551" w14:textId="77777777" w:rsidR="00FD20C9" w:rsidRPr="005751DC" w:rsidRDefault="00FD20C9" w:rsidP="00A1661C">
            <w:pPr>
              <w:spacing w:line="276" w:lineRule="auto"/>
              <w:ind w:left="39" w:hanging="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NADLEŽNO TIJELO</w:t>
            </w:r>
          </w:p>
          <w:p w14:paraId="5B17FDF7" w14:textId="77777777" w:rsidR="00FD20C9" w:rsidRPr="005751DC" w:rsidRDefault="00FD20C9" w:rsidP="00A1661C">
            <w:pPr>
              <w:spacing w:line="276" w:lineRule="auto"/>
              <w:ind w:hanging="41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53" w:type="pct"/>
            <w:shd w:val="clear" w:color="auto" w:fill="EAF1DD" w:themeFill="accent3" w:themeFillTint="33"/>
          </w:tcPr>
          <w:p w14:paraId="4276C8E4" w14:textId="77777777" w:rsidR="00FD20C9" w:rsidRPr="005751DC" w:rsidRDefault="00FD20C9" w:rsidP="00A1661C">
            <w:pPr>
              <w:spacing w:line="276" w:lineRule="auto"/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205BCB3" w14:textId="77777777" w:rsidR="00FD20C9" w:rsidRPr="005751DC" w:rsidRDefault="00FD20C9" w:rsidP="00A1661C">
            <w:pPr>
              <w:spacing w:line="276" w:lineRule="auto"/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 xml:space="preserve">PLANIRANI </w:t>
            </w:r>
          </w:p>
          <w:p w14:paraId="1125121F" w14:textId="77777777" w:rsidR="00FD20C9" w:rsidRPr="005751DC" w:rsidRDefault="00FD20C9" w:rsidP="00A1661C">
            <w:pPr>
              <w:spacing w:line="276" w:lineRule="auto"/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ROK ZA</w:t>
            </w:r>
          </w:p>
          <w:p w14:paraId="5634E2BD" w14:textId="77777777" w:rsidR="00FD20C9" w:rsidRPr="005751DC" w:rsidRDefault="00FD20C9" w:rsidP="00A1661C">
            <w:pPr>
              <w:spacing w:line="276" w:lineRule="auto"/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51DC">
              <w:rPr>
                <w:rFonts w:eastAsia="Calibri"/>
                <w:b/>
                <w:sz w:val="22"/>
                <w:szCs w:val="22"/>
              </w:rPr>
              <w:t>DONOŠENJE</w:t>
            </w:r>
          </w:p>
          <w:p w14:paraId="45EB3E55" w14:textId="77777777" w:rsidR="00FD20C9" w:rsidRPr="005751DC" w:rsidRDefault="00FD20C9" w:rsidP="00A1661C">
            <w:pPr>
              <w:spacing w:line="276" w:lineRule="auto"/>
              <w:ind w:left="-9131" w:firstLine="902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D20C9" w:rsidRPr="005751DC" w14:paraId="61BF19E8" w14:textId="77777777" w:rsidTr="00803CB2">
        <w:trPr>
          <w:trHeight w:val="544"/>
        </w:trPr>
        <w:tc>
          <w:tcPr>
            <w:tcW w:w="382" w:type="pct"/>
          </w:tcPr>
          <w:p w14:paraId="1420514B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310" w:type="pct"/>
          </w:tcPr>
          <w:p w14:paraId="36DB7600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  <w:bCs/>
              </w:rPr>
              <w:t>Dugoročna strategija obnove nacionalnog fonda zgrada do 2050. godine</w:t>
            </w:r>
          </w:p>
        </w:tc>
        <w:tc>
          <w:tcPr>
            <w:tcW w:w="1155" w:type="pct"/>
          </w:tcPr>
          <w:p w14:paraId="1C4AA9FB" w14:textId="77777777" w:rsidR="00FD20C9" w:rsidRPr="008D029D" w:rsidRDefault="00FD20C9" w:rsidP="00EC0083">
            <w:pPr>
              <w:shd w:val="clear" w:color="auto" w:fill="FFFFFF"/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bCs/>
              </w:rPr>
              <w:t xml:space="preserve">Ministarstvo prostornoga uređenja, graditeljstva i državne imovine </w:t>
            </w:r>
          </w:p>
        </w:tc>
        <w:tc>
          <w:tcPr>
            <w:tcW w:w="1153" w:type="pct"/>
          </w:tcPr>
          <w:p w14:paraId="7767BCB3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  <w:bCs/>
              </w:rPr>
              <w:t>I. kvartal 2021.</w:t>
            </w:r>
          </w:p>
        </w:tc>
      </w:tr>
      <w:tr w:rsidR="007A0619" w:rsidRPr="005751DC" w14:paraId="10657ABB" w14:textId="77777777" w:rsidTr="007E0974">
        <w:trPr>
          <w:trHeight w:val="603"/>
        </w:trPr>
        <w:tc>
          <w:tcPr>
            <w:tcW w:w="382" w:type="pct"/>
          </w:tcPr>
          <w:p w14:paraId="40244346" w14:textId="77777777" w:rsidR="007A0619" w:rsidRPr="008D029D" w:rsidRDefault="007A061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310" w:type="pct"/>
            <w:shd w:val="clear" w:color="auto" w:fill="auto"/>
          </w:tcPr>
          <w:p w14:paraId="4A35A846" w14:textId="77777777" w:rsidR="007A0619" w:rsidRPr="008D029D" w:rsidRDefault="007A061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  <w:bCs/>
              </w:rPr>
              <w:t>Nacionalni plan razvoja širokopojasnog pristupa u Republici Hrvatskoj u razdoblju od 2021. do 2027. godine</w:t>
            </w:r>
          </w:p>
        </w:tc>
        <w:tc>
          <w:tcPr>
            <w:tcW w:w="1155" w:type="pct"/>
          </w:tcPr>
          <w:p w14:paraId="07856917" w14:textId="77777777" w:rsidR="007A0619" w:rsidRPr="008D029D" w:rsidRDefault="007A061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</w:rPr>
              <w:t>Ministarstvo mora, prometa i infrastrukture</w:t>
            </w:r>
          </w:p>
        </w:tc>
        <w:tc>
          <w:tcPr>
            <w:tcW w:w="1153" w:type="pct"/>
          </w:tcPr>
          <w:p w14:paraId="241D3ACC" w14:textId="77777777" w:rsidR="007A0619" w:rsidRPr="008D029D" w:rsidRDefault="007A061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I. kvartal 2021.</w:t>
            </w:r>
          </w:p>
        </w:tc>
      </w:tr>
      <w:tr w:rsidR="00FD20C9" w:rsidRPr="005751DC" w14:paraId="3385780D" w14:textId="77777777" w:rsidTr="00803CB2">
        <w:trPr>
          <w:trHeight w:val="544"/>
        </w:trPr>
        <w:tc>
          <w:tcPr>
            <w:tcW w:w="382" w:type="pct"/>
          </w:tcPr>
          <w:p w14:paraId="7B51D549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310" w:type="pct"/>
          </w:tcPr>
          <w:p w14:paraId="0D7042F7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8D029D">
              <w:rPr>
                <w:rFonts w:eastAsia="Calibri"/>
                <w:bCs/>
              </w:rPr>
              <w:t>Strategija upravljanja rizicima od katastrofa do 2030. godine</w:t>
            </w:r>
          </w:p>
        </w:tc>
        <w:tc>
          <w:tcPr>
            <w:tcW w:w="1155" w:type="pct"/>
          </w:tcPr>
          <w:p w14:paraId="26C5B182" w14:textId="77777777" w:rsidR="00FD20C9" w:rsidRPr="008D029D" w:rsidRDefault="00FD20C9" w:rsidP="00EC0083">
            <w:pPr>
              <w:shd w:val="clear" w:color="auto" w:fill="FFFFFF"/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</w:rPr>
              <w:t xml:space="preserve">Ministarstvo unutarnjih poslova </w:t>
            </w:r>
          </w:p>
        </w:tc>
        <w:tc>
          <w:tcPr>
            <w:tcW w:w="1153" w:type="pct"/>
          </w:tcPr>
          <w:p w14:paraId="09378F6A" w14:textId="7EB8738F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8D029D">
              <w:rPr>
                <w:rFonts w:eastAsia="Calibri"/>
                <w:bCs/>
              </w:rPr>
              <w:t>I</w:t>
            </w:r>
            <w:r w:rsidR="00BE5C44" w:rsidRPr="008D029D">
              <w:rPr>
                <w:rFonts w:eastAsia="Calibri"/>
                <w:bCs/>
              </w:rPr>
              <w:t>I</w:t>
            </w:r>
            <w:r w:rsidRPr="008D029D">
              <w:rPr>
                <w:rFonts w:eastAsia="Calibri"/>
                <w:bCs/>
              </w:rPr>
              <w:t>. kvartal 2021.</w:t>
            </w:r>
          </w:p>
        </w:tc>
      </w:tr>
      <w:tr w:rsidR="00FD20C9" w:rsidRPr="005751DC" w14:paraId="4D95C585" w14:textId="77777777" w:rsidTr="00803CB2">
        <w:trPr>
          <w:trHeight w:val="542"/>
        </w:trPr>
        <w:tc>
          <w:tcPr>
            <w:tcW w:w="382" w:type="pct"/>
          </w:tcPr>
          <w:p w14:paraId="225B5A73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310" w:type="pct"/>
          </w:tcPr>
          <w:p w14:paraId="25A9AB72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8D029D">
              <w:rPr>
                <w:rFonts w:eastAsia="Calibri"/>
                <w:bCs/>
              </w:rPr>
              <w:t xml:space="preserve">Nacionalni plan sigurnosti cestovnog prometa Republike Hrvatske za razdoblje od 2021. do 2030. godine </w:t>
            </w:r>
          </w:p>
        </w:tc>
        <w:tc>
          <w:tcPr>
            <w:tcW w:w="1155" w:type="pct"/>
          </w:tcPr>
          <w:p w14:paraId="7922FAB2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</w:rPr>
              <w:t>Ministarstvo unutarnjih poslova</w:t>
            </w:r>
          </w:p>
        </w:tc>
        <w:tc>
          <w:tcPr>
            <w:tcW w:w="1153" w:type="pct"/>
          </w:tcPr>
          <w:p w14:paraId="4DF8670A" w14:textId="053625DF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  <w:bCs/>
              </w:rPr>
              <w:t>I</w:t>
            </w:r>
            <w:r w:rsidR="00BE5C44" w:rsidRPr="008D029D">
              <w:rPr>
                <w:rFonts w:eastAsia="Calibri"/>
                <w:bCs/>
              </w:rPr>
              <w:t>I</w:t>
            </w:r>
            <w:r w:rsidRPr="008D029D">
              <w:rPr>
                <w:rFonts w:eastAsia="Calibri"/>
                <w:bCs/>
              </w:rPr>
              <w:t>. kvartal 2021.</w:t>
            </w:r>
          </w:p>
        </w:tc>
      </w:tr>
      <w:tr w:rsidR="00FD20C9" w:rsidRPr="005751DC" w14:paraId="68124429" w14:textId="77777777" w:rsidTr="00803CB2">
        <w:trPr>
          <w:trHeight w:val="708"/>
        </w:trPr>
        <w:tc>
          <w:tcPr>
            <w:tcW w:w="382" w:type="pct"/>
            <w:shd w:val="clear" w:color="auto" w:fill="FFFFFF" w:themeFill="background1"/>
          </w:tcPr>
          <w:p w14:paraId="00DDC50E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310" w:type="pct"/>
            <w:shd w:val="clear" w:color="auto" w:fill="FFFFFF" w:themeFill="background1"/>
          </w:tcPr>
          <w:p w14:paraId="56DD66A0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8D029D">
              <w:rPr>
                <w:rFonts w:eastAsia="Calibri"/>
                <w:bCs/>
              </w:rPr>
              <w:t xml:space="preserve">Nacionalni plan za ravnopravnost spolova za razdoblje od 2021. do 2027. godine </w:t>
            </w:r>
          </w:p>
        </w:tc>
        <w:tc>
          <w:tcPr>
            <w:tcW w:w="1155" w:type="pct"/>
            <w:shd w:val="clear" w:color="auto" w:fill="FFFFFF" w:themeFill="background1"/>
          </w:tcPr>
          <w:p w14:paraId="06B6FF57" w14:textId="05863A4C" w:rsidR="00FD20C9" w:rsidRPr="008D029D" w:rsidRDefault="00FD20C9" w:rsidP="00EC0083">
            <w:pPr>
              <w:spacing w:line="276" w:lineRule="auto"/>
              <w:rPr>
                <w:rFonts w:eastAsia="Calibri"/>
                <w:bCs/>
              </w:rPr>
            </w:pPr>
            <w:r w:rsidRPr="008D029D">
              <w:rPr>
                <w:rFonts w:eastAsia="Calibri"/>
                <w:bCs/>
              </w:rPr>
              <w:t>Ured za ravnopravnost spolova</w:t>
            </w:r>
          </w:p>
        </w:tc>
        <w:tc>
          <w:tcPr>
            <w:tcW w:w="1153" w:type="pct"/>
            <w:shd w:val="clear" w:color="auto" w:fill="FFFFFF" w:themeFill="background1"/>
          </w:tcPr>
          <w:p w14:paraId="356E6B2C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8D029D">
              <w:rPr>
                <w:rFonts w:eastAsia="Calibri"/>
                <w:bCs/>
              </w:rPr>
              <w:t>II. kvartal 2021.</w:t>
            </w:r>
          </w:p>
        </w:tc>
      </w:tr>
      <w:tr w:rsidR="00FD20C9" w:rsidRPr="005751DC" w14:paraId="60939128" w14:textId="77777777" w:rsidTr="00803CB2">
        <w:trPr>
          <w:trHeight w:val="735"/>
        </w:trPr>
        <w:tc>
          <w:tcPr>
            <w:tcW w:w="382" w:type="pct"/>
          </w:tcPr>
          <w:p w14:paraId="1FCDB62F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31D2E205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Nacionalni plan za uključivanje Roma za razdoblje od 2021. do 2027. godine</w:t>
            </w:r>
          </w:p>
        </w:tc>
        <w:tc>
          <w:tcPr>
            <w:tcW w:w="1155" w:type="pct"/>
            <w:shd w:val="clear" w:color="auto" w:fill="auto"/>
          </w:tcPr>
          <w:p w14:paraId="0235B575" w14:textId="09773946" w:rsidR="00FD20C9" w:rsidRPr="008D029D" w:rsidRDefault="00FD20C9" w:rsidP="00EC0083">
            <w:pPr>
              <w:spacing w:line="276" w:lineRule="auto"/>
              <w:rPr>
                <w:rFonts w:eastAsia="Calibri"/>
                <w:lang w:eastAsia="en-US"/>
              </w:rPr>
            </w:pPr>
            <w:r w:rsidRPr="008D029D">
              <w:rPr>
                <w:rFonts w:eastAsia="Calibri"/>
              </w:rPr>
              <w:t>Ured za ljudska prava i prava nacionalnih manjina</w:t>
            </w:r>
          </w:p>
        </w:tc>
        <w:tc>
          <w:tcPr>
            <w:tcW w:w="1153" w:type="pct"/>
            <w:shd w:val="clear" w:color="auto" w:fill="auto"/>
          </w:tcPr>
          <w:p w14:paraId="617F0299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bCs/>
              </w:rPr>
              <w:t>II. kvartal 2021.</w:t>
            </w:r>
          </w:p>
        </w:tc>
      </w:tr>
      <w:tr w:rsidR="00FD20C9" w:rsidRPr="005751DC" w14:paraId="53233E9F" w14:textId="77777777" w:rsidTr="00803CB2">
        <w:trPr>
          <w:trHeight w:val="735"/>
        </w:trPr>
        <w:tc>
          <w:tcPr>
            <w:tcW w:w="382" w:type="pct"/>
          </w:tcPr>
          <w:p w14:paraId="183499C1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34FB3C02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Nacionalni plan izjednačavanja mogućnosti osoba s invaliditetom za razdoblje od 2021. do 2027. godine</w:t>
            </w:r>
          </w:p>
        </w:tc>
        <w:tc>
          <w:tcPr>
            <w:tcW w:w="1155" w:type="pct"/>
          </w:tcPr>
          <w:p w14:paraId="2539E9BA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Ministarstvo rada, mirovinskoga sustava, obitelji i socijalne politike</w:t>
            </w:r>
          </w:p>
        </w:tc>
        <w:tc>
          <w:tcPr>
            <w:tcW w:w="1153" w:type="pct"/>
          </w:tcPr>
          <w:p w14:paraId="39C8459C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II. kvartal 2021.</w:t>
            </w:r>
          </w:p>
        </w:tc>
      </w:tr>
      <w:tr w:rsidR="00FD20C9" w:rsidRPr="005751DC" w14:paraId="31D21D60" w14:textId="77777777" w:rsidTr="00803CB2">
        <w:trPr>
          <w:trHeight w:val="548"/>
        </w:trPr>
        <w:tc>
          <w:tcPr>
            <w:tcW w:w="382" w:type="pct"/>
          </w:tcPr>
          <w:p w14:paraId="0A264882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79B86888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Nacionalni plan razvoja socijalnih usluga za  razdoblje od 2021. do 2027. godine</w:t>
            </w:r>
          </w:p>
        </w:tc>
        <w:tc>
          <w:tcPr>
            <w:tcW w:w="1155" w:type="pct"/>
          </w:tcPr>
          <w:p w14:paraId="328F2A49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Ministarstvo rada, mirovinskoga sustava, obitelji i socijalne politike</w:t>
            </w:r>
          </w:p>
        </w:tc>
        <w:tc>
          <w:tcPr>
            <w:tcW w:w="1153" w:type="pct"/>
            <w:shd w:val="clear" w:color="auto" w:fill="auto"/>
          </w:tcPr>
          <w:p w14:paraId="3955F62E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II. kvartal 2021.</w:t>
            </w:r>
          </w:p>
        </w:tc>
      </w:tr>
      <w:tr w:rsidR="00FD20C9" w:rsidRPr="005751DC" w14:paraId="1B12CF83" w14:textId="77777777" w:rsidTr="00803CB2">
        <w:trPr>
          <w:trHeight w:val="548"/>
        </w:trPr>
        <w:tc>
          <w:tcPr>
            <w:tcW w:w="382" w:type="pct"/>
          </w:tcPr>
          <w:p w14:paraId="64BDBD78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5E1A9D60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Nacionalni plan borbe protiv siromaštva i socijalne isključenosti za razdoblje od 2021. do 2027. godine</w:t>
            </w:r>
            <w:r w:rsidRPr="008D029D">
              <w:t xml:space="preserve"> </w:t>
            </w:r>
          </w:p>
        </w:tc>
        <w:tc>
          <w:tcPr>
            <w:tcW w:w="1155" w:type="pct"/>
          </w:tcPr>
          <w:p w14:paraId="3E146496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Ministarstvo rada, mirovinskoga sustava, obitelji i socijalne politike</w:t>
            </w:r>
          </w:p>
        </w:tc>
        <w:tc>
          <w:tcPr>
            <w:tcW w:w="1153" w:type="pct"/>
            <w:shd w:val="clear" w:color="auto" w:fill="auto"/>
          </w:tcPr>
          <w:p w14:paraId="2F6399DF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II. kvartal 2021.</w:t>
            </w:r>
          </w:p>
        </w:tc>
      </w:tr>
      <w:tr w:rsidR="0088144B" w:rsidRPr="005751DC" w14:paraId="2A0AD943" w14:textId="77777777" w:rsidTr="00803CB2">
        <w:trPr>
          <w:trHeight w:val="548"/>
        </w:trPr>
        <w:tc>
          <w:tcPr>
            <w:tcW w:w="382" w:type="pct"/>
          </w:tcPr>
          <w:p w14:paraId="52EC4BCB" w14:textId="77777777" w:rsidR="0088144B" w:rsidRPr="008D029D" w:rsidRDefault="0088144B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4E2492E5" w14:textId="70506B59" w:rsidR="0088144B" w:rsidRPr="008D029D" w:rsidRDefault="0088144B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Nacionalni plan razvoja zdravstva za razdoblje od 2021. do 2027. godine</w:t>
            </w:r>
          </w:p>
        </w:tc>
        <w:tc>
          <w:tcPr>
            <w:tcW w:w="1155" w:type="pct"/>
          </w:tcPr>
          <w:p w14:paraId="6C244776" w14:textId="4ECE096F" w:rsidR="0088144B" w:rsidRPr="008D029D" w:rsidRDefault="0088144B" w:rsidP="00EC0083">
            <w:pPr>
              <w:spacing w:line="276" w:lineRule="auto"/>
              <w:rPr>
                <w:rFonts w:eastAsia="Calibri"/>
                <w:lang w:eastAsia="en-US"/>
              </w:rPr>
            </w:pPr>
            <w:r w:rsidRPr="008D029D">
              <w:rPr>
                <w:rFonts w:eastAsia="Calibri"/>
                <w:lang w:eastAsia="en-US"/>
              </w:rPr>
              <w:t>Ministarstvo zdravstva</w:t>
            </w:r>
          </w:p>
        </w:tc>
        <w:tc>
          <w:tcPr>
            <w:tcW w:w="1153" w:type="pct"/>
            <w:shd w:val="clear" w:color="auto" w:fill="auto"/>
          </w:tcPr>
          <w:p w14:paraId="46D665C4" w14:textId="24A8D1F8" w:rsidR="0088144B" w:rsidRPr="008D029D" w:rsidRDefault="0088144B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III kvartal 2021.</w:t>
            </w:r>
          </w:p>
        </w:tc>
      </w:tr>
      <w:tr w:rsidR="007A0619" w:rsidRPr="005751DC" w14:paraId="636E4E9C" w14:textId="77777777" w:rsidTr="007E0974">
        <w:trPr>
          <w:trHeight w:val="755"/>
        </w:trPr>
        <w:tc>
          <w:tcPr>
            <w:tcW w:w="382" w:type="pct"/>
          </w:tcPr>
          <w:p w14:paraId="7F0468F0" w14:textId="77777777" w:rsidR="007A0619" w:rsidRPr="008D029D" w:rsidRDefault="007A061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673AC3E2" w14:textId="77777777" w:rsidR="007A0619" w:rsidRPr="008D029D" w:rsidRDefault="007A061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Nacionalni plan zaštite i promicanja ljudskih prava i suzbijanja diskriminacije za razdoblje od 2021. do 2027. godine</w:t>
            </w:r>
          </w:p>
        </w:tc>
        <w:tc>
          <w:tcPr>
            <w:tcW w:w="1155" w:type="pct"/>
          </w:tcPr>
          <w:p w14:paraId="5479A950" w14:textId="77777777" w:rsidR="007A0619" w:rsidRPr="008D029D" w:rsidRDefault="007A0619" w:rsidP="00EC0083">
            <w:pPr>
              <w:shd w:val="clear" w:color="auto" w:fill="FFFFFF"/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</w:rPr>
              <w:t>Ured za ljudska prava i prava nacionalnih manjina</w:t>
            </w:r>
          </w:p>
        </w:tc>
        <w:tc>
          <w:tcPr>
            <w:tcW w:w="1153" w:type="pct"/>
            <w:shd w:val="clear" w:color="auto" w:fill="auto"/>
          </w:tcPr>
          <w:p w14:paraId="5A6157B3" w14:textId="77777777" w:rsidR="007A0619" w:rsidRPr="008D029D" w:rsidRDefault="007A061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III. kvartal 2021.</w:t>
            </w:r>
          </w:p>
        </w:tc>
      </w:tr>
      <w:tr w:rsidR="00FD20C9" w:rsidRPr="005751DC" w14:paraId="2AD7AABD" w14:textId="77777777" w:rsidTr="00803CB2">
        <w:trPr>
          <w:trHeight w:val="548"/>
        </w:trPr>
        <w:tc>
          <w:tcPr>
            <w:tcW w:w="382" w:type="pct"/>
          </w:tcPr>
          <w:p w14:paraId="3BAFA3B7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5C287620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Nacionalni plan razvoja sustava obrazovanja za razdoblje od 2021. do 2027. godine</w:t>
            </w:r>
          </w:p>
        </w:tc>
        <w:tc>
          <w:tcPr>
            <w:tcW w:w="1155" w:type="pct"/>
          </w:tcPr>
          <w:p w14:paraId="174890E1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</w:rPr>
              <w:t>Ministarstvo znanosti i obrazovanja</w:t>
            </w:r>
          </w:p>
        </w:tc>
        <w:tc>
          <w:tcPr>
            <w:tcW w:w="1153" w:type="pct"/>
            <w:shd w:val="clear" w:color="auto" w:fill="auto"/>
          </w:tcPr>
          <w:p w14:paraId="55EAC6C1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III. kvartal 2021.</w:t>
            </w:r>
          </w:p>
        </w:tc>
      </w:tr>
      <w:tr w:rsidR="00FD20C9" w:rsidRPr="005751DC" w14:paraId="69EA9867" w14:textId="77777777" w:rsidTr="00803CB2">
        <w:trPr>
          <w:trHeight w:val="747"/>
        </w:trPr>
        <w:tc>
          <w:tcPr>
            <w:tcW w:w="382" w:type="pct"/>
            <w:shd w:val="clear" w:color="auto" w:fill="auto"/>
          </w:tcPr>
          <w:p w14:paraId="2EBDD939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2310" w:type="pct"/>
            <w:shd w:val="clear" w:color="auto" w:fill="auto"/>
          </w:tcPr>
          <w:p w14:paraId="44431AE7" w14:textId="77777777" w:rsidR="00FD20C9" w:rsidRPr="008D029D" w:rsidRDefault="00FD20C9" w:rsidP="00A1661C">
            <w:pPr>
              <w:spacing w:line="276" w:lineRule="auto"/>
            </w:pPr>
            <w:r w:rsidRPr="008D029D">
              <w:rPr>
                <w:rFonts w:eastAsia="Calibri"/>
              </w:rPr>
              <w:t>Nacionalni plan za rad, zaštitu na radu i zapošljavanje za razdoblje 2021. do 2027. godine</w:t>
            </w:r>
          </w:p>
        </w:tc>
        <w:tc>
          <w:tcPr>
            <w:tcW w:w="1155" w:type="pct"/>
          </w:tcPr>
          <w:p w14:paraId="5D6BD66D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Ministarstvo rada, mirovinskoga sustava, obitelji i socijalne politike</w:t>
            </w:r>
          </w:p>
        </w:tc>
        <w:tc>
          <w:tcPr>
            <w:tcW w:w="1153" w:type="pct"/>
          </w:tcPr>
          <w:p w14:paraId="0D0DEA85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bCs/>
              </w:rPr>
              <w:t>III. kvartal 2021.</w:t>
            </w:r>
          </w:p>
        </w:tc>
      </w:tr>
      <w:tr w:rsidR="00FD20C9" w:rsidRPr="005751DC" w14:paraId="1E20F229" w14:textId="77777777" w:rsidTr="00803CB2">
        <w:trPr>
          <w:trHeight w:val="747"/>
        </w:trPr>
        <w:tc>
          <w:tcPr>
            <w:tcW w:w="382" w:type="pct"/>
            <w:shd w:val="clear" w:color="auto" w:fill="auto"/>
          </w:tcPr>
          <w:p w14:paraId="67E58813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2310" w:type="pct"/>
            <w:shd w:val="clear" w:color="auto" w:fill="auto"/>
          </w:tcPr>
          <w:p w14:paraId="6BA226E1" w14:textId="77777777" w:rsidR="00FD20C9" w:rsidRPr="008D029D" w:rsidRDefault="00FD20C9" w:rsidP="00A1661C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</w:rPr>
              <w:t>Strategija pametne specijalizacije za razdoblje od 2021. do 2029. godine</w:t>
            </w:r>
          </w:p>
        </w:tc>
        <w:tc>
          <w:tcPr>
            <w:tcW w:w="1155" w:type="pct"/>
          </w:tcPr>
          <w:p w14:paraId="46BA67BF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Ministarstvo gospodarstva i održivog razvoja</w:t>
            </w:r>
            <w:r w:rsidRPr="008D029D">
              <w:rPr>
                <w:rFonts w:eastAsia="Calibri"/>
              </w:rPr>
              <w:t xml:space="preserve"> te Ministarstvo znanosti i obrazovanja</w:t>
            </w:r>
            <w:r w:rsidRPr="008D029D">
              <w:rPr>
                <w:rStyle w:val="FootnoteReference0"/>
                <w:rFonts w:eastAsia="Calibri"/>
              </w:rPr>
              <w:footnoteReference w:id="2"/>
            </w:r>
          </w:p>
        </w:tc>
        <w:tc>
          <w:tcPr>
            <w:tcW w:w="1153" w:type="pct"/>
          </w:tcPr>
          <w:p w14:paraId="782AD456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</w:rPr>
              <w:t>IV. kvartal 2021.</w:t>
            </w:r>
          </w:p>
        </w:tc>
      </w:tr>
      <w:tr w:rsidR="00FD20C9" w:rsidRPr="005751DC" w14:paraId="0833D3D6" w14:textId="77777777" w:rsidTr="00803CB2">
        <w:trPr>
          <w:trHeight w:val="548"/>
        </w:trPr>
        <w:tc>
          <w:tcPr>
            <w:tcW w:w="382" w:type="pct"/>
          </w:tcPr>
          <w:p w14:paraId="70F6DFBD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49F2557D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t>Višegodišnji program gradnje komunalnih vodnih građevina za razdoblje do 2030. godine</w:t>
            </w:r>
          </w:p>
        </w:tc>
        <w:tc>
          <w:tcPr>
            <w:tcW w:w="1155" w:type="pct"/>
            <w:shd w:val="clear" w:color="auto" w:fill="auto"/>
          </w:tcPr>
          <w:p w14:paraId="70C671C0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Ministarstvo gospodarstva i održivog razvoja</w:t>
            </w:r>
            <w:r w:rsidRPr="008D029D">
              <w:rPr>
                <w:rFonts w:eastAsia="Calibri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0806CEAF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t>IV. kvartal 2021.</w:t>
            </w:r>
          </w:p>
        </w:tc>
      </w:tr>
      <w:tr w:rsidR="00FD20C9" w:rsidRPr="005751DC" w14:paraId="31D59F15" w14:textId="77777777" w:rsidTr="00803CB2">
        <w:trPr>
          <w:trHeight w:val="548"/>
        </w:trPr>
        <w:tc>
          <w:tcPr>
            <w:tcW w:w="382" w:type="pct"/>
          </w:tcPr>
          <w:p w14:paraId="47527E6D" w14:textId="77777777" w:rsidR="00FD20C9" w:rsidRPr="008D029D" w:rsidRDefault="00FD20C9" w:rsidP="00A1661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310" w:type="pct"/>
          </w:tcPr>
          <w:p w14:paraId="42C8F297" w14:textId="77777777" w:rsidR="00FD20C9" w:rsidRPr="008D029D" w:rsidRDefault="00FD20C9" w:rsidP="00A1661C">
            <w:pPr>
              <w:spacing w:line="276" w:lineRule="auto"/>
              <w:jc w:val="both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Plan gospodarenja otpadom Republike Hrvatske za razdoblje od 2023. do 2028. godine</w:t>
            </w:r>
          </w:p>
        </w:tc>
        <w:tc>
          <w:tcPr>
            <w:tcW w:w="1155" w:type="pct"/>
            <w:shd w:val="clear" w:color="auto" w:fill="auto"/>
          </w:tcPr>
          <w:p w14:paraId="320F6046" w14:textId="77777777" w:rsidR="00FD20C9" w:rsidRPr="008D029D" w:rsidRDefault="00FD20C9" w:rsidP="00EC0083">
            <w:pPr>
              <w:spacing w:line="276" w:lineRule="auto"/>
              <w:rPr>
                <w:rFonts w:eastAsia="Calibri"/>
              </w:rPr>
            </w:pPr>
            <w:r w:rsidRPr="008D029D">
              <w:rPr>
                <w:rFonts w:eastAsia="Calibri"/>
                <w:lang w:eastAsia="en-US"/>
              </w:rPr>
              <w:t>Ministarstvo gospodarstva i održivog razvoja</w:t>
            </w:r>
            <w:r w:rsidRPr="008D029D">
              <w:rPr>
                <w:rFonts w:eastAsia="Calibri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12ED39F8" w14:textId="77777777" w:rsidR="00FD20C9" w:rsidRPr="008D029D" w:rsidRDefault="00FD20C9" w:rsidP="00A1661C">
            <w:pPr>
              <w:spacing w:line="276" w:lineRule="auto"/>
              <w:jc w:val="both"/>
              <w:rPr>
                <w:bCs/>
              </w:rPr>
            </w:pPr>
            <w:r w:rsidRPr="008D029D">
              <w:rPr>
                <w:rFonts w:eastAsia="Calibri"/>
              </w:rPr>
              <w:t xml:space="preserve">IV. kvartal 2022. </w:t>
            </w:r>
          </w:p>
        </w:tc>
      </w:tr>
    </w:tbl>
    <w:p w14:paraId="6B6E238E" w14:textId="77777777" w:rsidR="004B153E" w:rsidRDefault="004B153E" w:rsidP="00A1661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381FCD1" w14:textId="77777777" w:rsidR="004B153E" w:rsidRDefault="004B153E" w:rsidP="00A1661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4E0A9CF" w14:textId="65390344" w:rsidR="004B153E" w:rsidRDefault="004B153E" w:rsidP="00A1661C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9093B8A" w14:textId="77777777" w:rsidR="0003164F" w:rsidRPr="0016538C" w:rsidRDefault="0003164F" w:rsidP="00A1661C">
      <w:pPr>
        <w:spacing w:line="276" w:lineRule="auto"/>
        <w:jc w:val="both"/>
        <w:rPr>
          <w:rFonts w:eastAsia="Calibri"/>
          <w:lang w:eastAsia="en-US"/>
        </w:rPr>
      </w:pPr>
    </w:p>
    <w:p w14:paraId="223E0429" w14:textId="3AF8E15A" w:rsidR="00845749" w:rsidRDefault="00845749" w:rsidP="00A1661C">
      <w:pPr>
        <w:spacing w:line="276" w:lineRule="auto"/>
        <w:jc w:val="both"/>
        <w:rPr>
          <w:rFonts w:eastAsia="Calibri"/>
          <w:lang w:eastAsia="en-US"/>
        </w:rPr>
      </w:pPr>
    </w:p>
    <w:p w14:paraId="2F7233F6" w14:textId="77777777" w:rsidR="004B153E" w:rsidRDefault="004B153E" w:rsidP="00A1661C">
      <w:pPr>
        <w:spacing w:line="276" w:lineRule="auto"/>
        <w:jc w:val="both"/>
        <w:rPr>
          <w:rFonts w:eastAsia="Calibri"/>
          <w:lang w:eastAsia="en-US"/>
        </w:rPr>
      </w:pPr>
    </w:p>
    <w:p w14:paraId="3CC607BE" w14:textId="54613685" w:rsidR="005123FE" w:rsidRDefault="005123F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52ED273" w14:textId="77777777" w:rsidR="005123FE" w:rsidRPr="00845749" w:rsidRDefault="005123FE" w:rsidP="005123FE">
      <w:pPr>
        <w:spacing w:line="276" w:lineRule="auto"/>
        <w:jc w:val="center"/>
        <w:rPr>
          <w:rFonts w:eastAsia="Calibri"/>
          <w:b/>
          <w:lang w:eastAsia="en-US"/>
        </w:rPr>
      </w:pPr>
      <w:r w:rsidRPr="00845749">
        <w:rPr>
          <w:rFonts w:eastAsia="Calibri"/>
          <w:b/>
          <w:lang w:eastAsia="en-US"/>
        </w:rPr>
        <w:lastRenderedPageBreak/>
        <w:t>OBRAZLOŽENJE</w:t>
      </w:r>
    </w:p>
    <w:p w14:paraId="304C4E89" w14:textId="77777777" w:rsidR="005123FE" w:rsidRPr="00845749" w:rsidRDefault="005123FE" w:rsidP="005123FE">
      <w:pPr>
        <w:spacing w:line="276" w:lineRule="auto"/>
        <w:jc w:val="center"/>
        <w:rPr>
          <w:rFonts w:eastAsia="Calibri"/>
          <w:lang w:eastAsia="en-US"/>
        </w:rPr>
      </w:pPr>
    </w:p>
    <w:p w14:paraId="7A6D9F8E" w14:textId="77777777" w:rsidR="005123FE" w:rsidRDefault="005123FE" w:rsidP="005123FE">
      <w:pPr>
        <w:spacing w:line="276" w:lineRule="auto"/>
        <w:jc w:val="both"/>
      </w:pPr>
      <w:r w:rsidRPr="00C730A9">
        <w:t xml:space="preserve">Vlada Republike Hrvatske </w:t>
      </w:r>
      <w:r>
        <w:t xml:space="preserve">je </w:t>
      </w:r>
      <w:r w:rsidRPr="00C730A9">
        <w:t>na sjednici održanoj 14. listopada 2020. godine donijela Odluku o utvrđivanju akata strateškog planiranja povezanih s uvjetima koji omogućavaju provedbu fondova Europske unije u razdoblju od 2021. do 2027. godine, rokova donošenja i tijela zaduženih za njihovu izradu (KLASA: 022-03/20-04/352; URBROJ: 50301-05/16-20-</w:t>
      </w:r>
      <w:r>
        <w:t>6; dalje u tekstu: Odluka).</w:t>
      </w:r>
    </w:p>
    <w:p w14:paraId="5A8EF6DB" w14:textId="77777777" w:rsidR="005123FE" w:rsidRPr="00A70E22" w:rsidRDefault="005123FE" w:rsidP="005123FE">
      <w:pPr>
        <w:spacing w:line="276" w:lineRule="auto"/>
        <w:jc w:val="both"/>
      </w:pPr>
    </w:p>
    <w:p w14:paraId="39A11B88" w14:textId="77777777" w:rsidR="005123FE" w:rsidRDefault="005123FE" w:rsidP="005123FE">
      <w:pPr>
        <w:spacing w:line="276" w:lineRule="auto"/>
        <w:jc w:val="both"/>
      </w:pPr>
      <w:r>
        <w:t xml:space="preserve">S obzirom da je u procesu </w:t>
      </w:r>
      <w:r w:rsidRPr="001E742F">
        <w:t>izrad</w:t>
      </w:r>
      <w:r>
        <w:t>e</w:t>
      </w:r>
      <w:r w:rsidRPr="001E742F">
        <w:t xml:space="preserve"> programskih dokumenata </w:t>
      </w:r>
      <w:r w:rsidRPr="004B717B">
        <w:t>za provedbu fondova Europske unije</w:t>
      </w:r>
      <w:r>
        <w:t>,</w:t>
      </w:r>
      <w:r w:rsidRPr="004B717B">
        <w:t xml:space="preserve"> </w:t>
      </w:r>
      <w:r>
        <w:t xml:space="preserve">te koordinacije i praćenja ispunjenja uvjeta koji omogućuju provedbu fondova EU </w:t>
      </w:r>
      <w:r w:rsidRPr="004B717B">
        <w:t>u razdoblju od 2021. do 2027. godine,</w:t>
      </w:r>
      <w:r>
        <w:t xml:space="preserve"> utvrđena potreba za izmjenama i dopuni Odluke, </w:t>
      </w:r>
      <w:r w:rsidRPr="004F022C">
        <w:t>Ministarstvo regionalnoga razvoja i fondova Europske unije, u svojstvu Koordinacijskog tijela za EU fondove,</w:t>
      </w:r>
      <w:r>
        <w:t xml:space="preserve"> dodatno je</w:t>
      </w:r>
      <w:r w:rsidRPr="004F022C">
        <w:t xml:space="preserve"> </w:t>
      </w:r>
      <w:r>
        <w:t xml:space="preserve">zatražilo od nadležnih tijela da </w:t>
      </w:r>
      <w:r w:rsidRPr="00CB6F73">
        <w:t>za akte strateškog planiranja navedene u Odluci, dostave informaciju hoće li predmetni akti biti doneseni sukladno rokovima utvrđenim Odlukom ili informaciju o promjeni rokova donošenja akata s detaljnim obrazloženjem razloga promjene roka</w:t>
      </w:r>
      <w:r>
        <w:t>.</w:t>
      </w:r>
    </w:p>
    <w:p w14:paraId="74AA006D" w14:textId="77777777" w:rsidR="005123FE" w:rsidRDefault="005123FE" w:rsidP="005123FE">
      <w:pPr>
        <w:spacing w:line="276" w:lineRule="auto"/>
        <w:jc w:val="both"/>
      </w:pPr>
    </w:p>
    <w:p w14:paraId="38DF5580" w14:textId="69469A25" w:rsidR="005123FE" w:rsidRDefault="005123FE" w:rsidP="005123FE">
      <w:pPr>
        <w:spacing w:line="276" w:lineRule="auto"/>
        <w:jc w:val="both"/>
      </w:pPr>
      <w:r w:rsidRPr="008828A6">
        <w:t xml:space="preserve">Ministarstvo unutarnjih poslova </w:t>
      </w:r>
      <w:r>
        <w:t xml:space="preserve">je očitovanjima od 25. veljače 2021. i 1. travnja 2021. </w:t>
      </w:r>
      <w:r w:rsidRPr="008828A6">
        <w:t>zatražilo dodavanje novog akta strateškog planiranja</w:t>
      </w:r>
      <w:r>
        <w:t xml:space="preserve"> kako slijedi:</w:t>
      </w:r>
    </w:p>
    <w:p w14:paraId="6ADFEBBC" w14:textId="3E6F8B5F" w:rsidR="005123FE" w:rsidRDefault="005123FE" w:rsidP="005123FE">
      <w:pPr>
        <w:pStyle w:val="ListParagraph"/>
        <w:numPr>
          <w:ilvl w:val="0"/>
          <w:numId w:val="23"/>
        </w:numPr>
        <w:spacing w:line="276" w:lineRule="auto"/>
        <w:jc w:val="both"/>
      </w:pPr>
      <w:r w:rsidRPr="008828A6">
        <w:t xml:space="preserve">Nacionalni plan sigurnosti cestovnog prometa Republike Hrvatske za razdoblje od 2021. do 2030. </w:t>
      </w:r>
      <w:r w:rsidR="002841C6">
        <w:t>godine</w:t>
      </w:r>
    </w:p>
    <w:p w14:paraId="2B637C24" w14:textId="77777777" w:rsidR="005123FE" w:rsidRDefault="005123FE" w:rsidP="005123FE">
      <w:pPr>
        <w:pStyle w:val="ListParagraph"/>
        <w:numPr>
          <w:ilvl w:val="0"/>
          <w:numId w:val="23"/>
        </w:numPr>
        <w:spacing w:line="276" w:lineRule="auto"/>
        <w:jc w:val="both"/>
      </w:pPr>
      <w:r>
        <w:t>rok donošenja - II. kvartal 2021.</w:t>
      </w:r>
    </w:p>
    <w:p w14:paraId="229E39D6" w14:textId="77777777" w:rsidR="005123FE" w:rsidRDefault="005123FE" w:rsidP="005123FE">
      <w:pPr>
        <w:spacing w:line="276" w:lineRule="auto"/>
        <w:jc w:val="both"/>
      </w:pPr>
    </w:p>
    <w:p w14:paraId="2B1D8888" w14:textId="2576BAF0" w:rsidR="005123FE" w:rsidRPr="00EE02AC" w:rsidRDefault="005123FE" w:rsidP="005123FE">
      <w:pPr>
        <w:spacing w:line="276" w:lineRule="auto"/>
        <w:jc w:val="both"/>
      </w:pPr>
      <w:r>
        <w:t xml:space="preserve">Također, sukladno svim zaprimljenim očitovanjima </w:t>
      </w:r>
      <w:r w:rsidRPr="00EE02AC">
        <w:t>nadležnih tijela, za sljedeće akte strateškog planiranja pomiču se rokovi:</w:t>
      </w:r>
    </w:p>
    <w:p w14:paraId="270B8F51" w14:textId="77777777" w:rsidR="005123FE" w:rsidRPr="00EE02AC" w:rsidRDefault="005123FE" w:rsidP="005123FE">
      <w:pPr>
        <w:spacing w:line="276" w:lineRule="auto"/>
        <w:jc w:val="both"/>
      </w:pPr>
    </w:p>
    <w:p w14:paraId="0185DBF7" w14:textId="77777777" w:rsidR="005123FE" w:rsidRPr="00EE02AC" w:rsidRDefault="005123FE" w:rsidP="005123FE">
      <w:pPr>
        <w:spacing w:line="276" w:lineRule="auto"/>
        <w:jc w:val="both"/>
      </w:pPr>
      <w:r w:rsidRPr="00EE02AC">
        <w:t>Strategija upravljanja rizicima od katastrofa do 2030. godine</w:t>
      </w:r>
    </w:p>
    <w:p w14:paraId="0754356D" w14:textId="77777777" w:rsidR="005123FE" w:rsidRPr="00EE02AC" w:rsidRDefault="005123FE" w:rsidP="005123FE">
      <w:pPr>
        <w:pStyle w:val="ListParagraph"/>
        <w:numPr>
          <w:ilvl w:val="0"/>
          <w:numId w:val="16"/>
        </w:numPr>
        <w:spacing w:line="276" w:lineRule="auto"/>
        <w:jc w:val="both"/>
      </w:pPr>
      <w:r w:rsidRPr="00EE02AC">
        <w:t xml:space="preserve">Ministarstvo unutarnjih poslova </w:t>
      </w:r>
    </w:p>
    <w:p w14:paraId="44924DE5" w14:textId="77777777" w:rsidR="005123FE" w:rsidRPr="00EE02AC" w:rsidRDefault="005123FE" w:rsidP="005123FE">
      <w:pPr>
        <w:pStyle w:val="ListParagraph"/>
        <w:numPr>
          <w:ilvl w:val="0"/>
          <w:numId w:val="16"/>
        </w:numPr>
        <w:spacing w:line="276" w:lineRule="auto"/>
        <w:jc w:val="both"/>
      </w:pPr>
      <w:r w:rsidRPr="00EE02AC">
        <w:t>rok I. kvartal 2021. pomiče se na II. kvartal 2021.</w:t>
      </w:r>
    </w:p>
    <w:p w14:paraId="3BC3317B" w14:textId="77777777" w:rsidR="005123FE" w:rsidRPr="00EE02AC" w:rsidRDefault="005123FE" w:rsidP="005123FE">
      <w:pPr>
        <w:spacing w:line="276" w:lineRule="auto"/>
        <w:jc w:val="both"/>
      </w:pPr>
    </w:p>
    <w:p w14:paraId="4A4E1167" w14:textId="77777777" w:rsidR="005123FE" w:rsidRDefault="005123FE" w:rsidP="005123FE">
      <w:pPr>
        <w:spacing w:line="276" w:lineRule="auto"/>
        <w:jc w:val="both"/>
      </w:pPr>
      <w:r w:rsidRPr="00EE02AC">
        <w:lastRenderedPageBreak/>
        <w:t>Nacionalni plan za ravnopravnost spolova za razdoblje od 2021. do 2027. godine</w:t>
      </w:r>
    </w:p>
    <w:p w14:paraId="2FFE6E77" w14:textId="77777777" w:rsidR="005123FE" w:rsidRPr="00EE02AC" w:rsidRDefault="005123FE" w:rsidP="005123FE">
      <w:pPr>
        <w:pStyle w:val="ListParagraph"/>
        <w:numPr>
          <w:ilvl w:val="0"/>
          <w:numId w:val="22"/>
        </w:numPr>
        <w:spacing w:line="276" w:lineRule="auto"/>
        <w:jc w:val="both"/>
      </w:pPr>
      <w:r w:rsidRPr="00EE02AC">
        <w:t>Ured za ravnopravnost spolova</w:t>
      </w:r>
    </w:p>
    <w:p w14:paraId="4EE0A119" w14:textId="77777777" w:rsidR="005123FE" w:rsidRDefault="005123FE" w:rsidP="005123FE">
      <w:pPr>
        <w:pStyle w:val="ListParagraph"/>
        <w:numPr>
          <w:ilvl w:val="0"/>
          <w:numId w:val="19"/>
        </w:numPr>
        <w:spacing w:line="276" w:lineRule="auto"/>
        <w:jc w:val="both"/>
      </w:pPr>
      <w:r w:rsidRPr="00EE02AC">
        <w:t>rok I. kvartal 2021. pomiče se na II. kvartal 2021.</w:t>
      </w:r>
    </w:p>
    <w:p w14:paraId="1A911C11" w14:textId="77777777" w:rsidR="005123FE" w:rsidRPr="00EE02AC" w:rsidRDefault="005123FE" w:rsidP="005123FE">
      <w:pPr>
        <w:pStyle w:val="ListParagraph"/>
        <w:spacing w:line="276" w:lineRule="auto"/>
        <w:jc w:val="both"/>
      </w:pPr>
    </w:p>
    <w:p w14:paraId="4BEE85CD" w14:textId="77777777" w:rsidR="005123FE" w:rsidRPr="00EE02AC" w:rsidRDefault="005123FE" w:rsidP="005123FE">
      <w:pPr>
        <w:spacing w:line="276" w:lineRule="auto"/>
        <w:jc w:val="both"/>
      </w:pPr>
      <w:r w:rsidRPr="00EE02AC">
        <w:t>Nacionalni plan razvoja zdravstva za razdoblje od 2021. do 2027. godine</w:t>
      </w:r>
    </w:p>
    <w:p w14:paraId="188FEA35" w14:textId="77777777" w:rsidR="005123FE" w:rsidRPr="00EE02AC" w:rsidRDefault="005123FE" w:rsidP="005123FE">
      <w:pPr>
        <w:pStyle w:val="ListParagraph"/>
        <w:numPr>
          <w:ilvl w:val="0"/>
          <w:numId w:val="17"/>
        </w:numPr>
        <w:spacing w:line="276" w:lineRule="auto"/>
        <w:jc w:val="both"/>
      </w:pPr>
      <w:r w:rsidRPr="00EE02AC">
        <w:t>Ministarstvo zdravstva</w:t>
      </w:r>
    </w:p>
    <w:p w14:paraId="6418B9D6" w14:textId="77777777" w:rsidR="005123FE" w:rsidRPr="00EE02AC" w:rsidRDefault="005123FE" w:rsidP="005123FE">
      <w:pPr>
        <w:pStyle w:val="ListParagraph"/>
        <w:numPr>
          <w:ilvl w:val="0"/>
          <w:numId w:val="17"/>
        </w:numPr>
        <w:spacing w:line="276" w:lineRule="auto"/>
        <w:jc w:val="both"/>
      </w:pPr>
      <w:r w:rsidRPr="00EE02AC">
        <w:t>rok I. kvartal 2021. pomiče se na II</w:t>
      </w:r>
      <w:r>
        <w:t>I</w:t>
      </w:r>
      <w:r w:rsidRPr="00EE02AC">
        <w:t>. kvartal 2021.</w:t>
      </w:r>
    </w:p>
    <w:p w14:paraId="239E24A1" w14:textId="77777777" w:rsidR="005123FE" w:rsidRPr="00EE02AC" w:rsidRDefault="005123FE" w:rsidP="005123FE">
      <w:pPr>
        <w:pStyle w:val="ListParagraph"/>
        <w:spacing w:line="276" w:lineRule="auto"/>
        <w:jc w:val="both"/>
      </w:pPr>
    </w:p>
    <w:p w14:paraId="04EFFED2" w14:textId="77777777" w:rsidR="005123FE" w:rsidRPr="00EE02AC" w:rsidRDefault="005123FE" w:rsidP="005123FE">
      <w:pPr>
        <w:spacing w:line="276" w:lineRule="auto"/>
        <w:jc w:val="both"/>
      </w:pPr>
      <w:r w:rsidRPr="00EE02AC">
        <w:t>Nacionalni plan zaštite i promicanja ljudskih prava i suzbijanja diskriminacije za razdoblje od 2021. do 2027. godine</w:t>
      </w:r>
    </w:p>
    <w:p w14:paraId="060F78F6" w14:textId="77777777" w:rsidR="005123FE" w:rsidRPr="00EE02AC" w:rsidRDefault="005123FE" w:rsidP="005123FE">
      <w:pPr>
        <w:pStyle w:val="ListParagraph"/>
        <w:numPr>
          <w:ilvl w:val="0"/>
          <w:numId w:val="18"/>
        </w:numPr>
        <w:spacing w:line="276" w:lineRule="auto"/>
        <w:jc w:val="both"/>
      </w:pPr>
      <w:r w:rsidRPr="00EE02AC">
        <w:t>Ured za ljudska prava i prava nacionalnih manjina</w:t>
      </w:r>
    </w:p>
    <w:p w14:paraId="1AA03176" w14:textId="77777777" w:rsidR="005123FE" w:rsidRPr="00EE02AC" w:rsidRDefault="005123FE" w:rsidP="005123FE">
      <w:pPr>
        <w:pStyle w:val="ListParagraph"/>
        <w:numPr>
          <w:ilvl w:val="0"/>
          <w:numId w:val="18"/>
        </w:numPr>
        <w:spacing w:line="276" w:lineRule="auto"/>
        <w:jc w:val="both"/>
      </w:pPr>
      <w:r w:rsidRPr="00EE02AC">
        <w:t>rok I. kvartal 2021. pomiče se na III. kvartal 2021.</w:t>
      </w:r>
    </w:p>
    <w:p w14:paraId="0E964945" w14:textId="77777777" w:rsidR="005123FE" w:rsidRPr="00EE02AC" w:rsidRDefault="005123FE" w:rsidP="005123FE">
      <w:pPr>
        <w:spacing w:line="276" w:lineRule="auto"/>
        <w:jc w:val="both"/>
      </w:pPr>
    </w:p>
    <w:p w14:paraId="3685A7E5" w14:textId="77777777" w:rsidR="005123FE" w:rsidRDefault="005123FE" w:rsidP="005123FE">
      <w:pPr>
        <w:spacing w:line="276" w:lineRule="auto"/>
        <w:jc w:val="both"/>
      </w:pPr>
    </w:p>
    <w:p w14:paraId="4086CF23" w14:textId="77777777" w:rsidR="005123FE" w:rsidRPr="00EE02AC" w:rsidRDefault="005123FE" w:rsidP="005123FE">
      <w:pPr>
        <w:spacing w:line="276" w:lineRule="auto"/>
        <w:jc w:val="both"/>
      </w:pPr>
      <w:r w:rsidRPr="00EE02AC">
        <w:t>Nacionalni plan razvoja sustava obrazovanja za razdoblje od 2021. do 2027. godine</w:t>
      </w:r>
    </w:p>
    <w:p w14:paraId="0EC54E7B" w14:textId="77777777" w:rsidR="005123FE" w:rsidRPr="00EE02AC" w:rsidRDefault="005123FE" w:rsidP="005123FE">
      <w:pPr>
        <w:pStyle w:val="ListParagraph"/>
        <w:numPr>
          <w:ilvl w:val="0"/>
          <w:numId w:val="20"/>
        </w:numPr>
        <w:spacing w:line="276" w:lineRule="auto"/>
        <w:jc w:val="both"/>
      </w:pPr>
      <w:r w:rsidRPr="00EE02AC">
        <w:t>Ministarstvo znanosti i obrazovanja</w:t>
      </w:r>
    </w:p>
    <w:p w14:paraId="42607337" w14:textId="77777777" w:rsidR="005123FE" w:rsidRPr="00EE02AC" w:rsidRDefault="005123FE" w:rsidP="005123FE">
      <w:pPr>
        <w:pStyle w:val="ListParagraph"/>
        <w:numPr>
          <w:ilvl w:val="0"/>
          <w:numId w:val="20"/>
        </w:numPr>
        <w:spacing w:line="276" w:lineRule="auto"/>
        <w:jc w:val="both"/>
      </w:pPr>
      <w:r w:rsidRPr="00EE02AC">
        <w:t>rok II. kvartal 2021. pomiče se na III. kvartal 2021.</w:t>
      </w:r>
    </w:p>
    <w:p w14:paraId="0930D71B" w14:textId="77777777" w:rsidR="005123FE" w:rsidRPr="00EE02AC" w:rsidRDefault="005123FE" w:rsidP="005123FE">
      <w:pPr>
        <w:pStyle w:val="ListParagraph"/>
        <w:spacing w:line="276" w:lineRule="auto"/>
        <w:jc w:val="both"/>
      </w:pPr>
    </w:p>
    <w:p w14:paraId="31B8DD48" w14:textId="77777777" w:rsidR="005123FE" w:rsidRDefault="005123FE" w:rsidP="005123FE">
      <w:pPr>
        <w:spacing w:line="276" w:lineRule="auto"/>
        <w:jc w:val="both"/>
      </w:pPr>
      <w:r w:rsidRPr="00EE02AC">
        <w:t xml:space="preserve">Slijedom navedenog, prijedlogom Odluke o izmjenama Odluke, mijenja se točka II., stavak 1., podstavak 2.,  u točki II., stavku 1., iza podstavka 2. dodaje se novi podstavak 3., mijenja se točka II., stavak 1., na način </w:t>
      </w:r>
      <w:r w:rsidRPr="00E537F0">
        <w:t>da dosadašnji podstavci od 3. do 15. postaju podstavci 4. do 16.</w:t>
      </w:r>
      <w:r>
        <w:t xml:space="preserve"> te</w:t>
      </w:r>
      <w:r w:rsidRPr="00E537F0">
        <w:t xml:space="preserve"> </w:t>
      </w:r>
      <w:r w:rsidRPr="00EE02AC">
        <w:t>dosadašnji podstavak 10.</w:t>
      </w:r>
      <w:r>
        <w:t>,</w:t>
      </w:r>
      <w:r w:rsidRPr="00EE02AC">
        <w:t xml:space="preserve"> </w:t>
      </w:r>
      <w:r>
        <w:t xml:space="preserve">koji </w:t>
      </w:r>
      <w:r w:rsidRPr="00EE02AC">
        <w:t>postaje podstavak 11.</w:t>
      </w:r>
      <w:r>
        <w:t>,</w:t>
      </w:r>
      <w:r w:rsidRPr="00EE02AC">
        <w:t xml:space="preserve"> </w:t>
      </w:r>
      <w:r>
        <w:t>mijenja se kao i</w:t>
      </w:r>
      <w:r w:rsidRPr="00EE02AC">
        <w:t xml:space="preserve"> Prilog 1. Odluke sukladno zahtjevima nadležnih tijela.</w:t>
      </w:r>
    </w:p>
    <w:p w14:paraId="1C0DEF05" w14:textId="77777777" w:rsidR="005123FE" w:rsidRDefault="005123FE" w:rsidP="005123FE">
      <w:pPr>
        <w:spacing w:line="276" w:lineRule="auto"/>
        <w:jc w:val="both"/>
      </w:pPr>
    </w:p>
    <w:p w14:paraId="5D9760D1" w14:textId="77777777" w:rsidR="005123FE" w:rsidRPr="00EE02AC" w:rsidRDefault="005123FE" w:rsidP="005123FE">
      <w:pPr>
        <w:spacing w:line="276" w:lineRule="auto"/>
        <w:jc w:val="both"/>
        <w:rPr>
          <w:lang w:eastAsia="en-US"/>
        </w:rPr>
      </w:pPr>
    </w:p>
    <w:p w14:paraId="30758028" w14:textId="77777777" w:rsidR="00F569FE" w:rsidRPr="00922F98" w:rsidRDefault="00F569FE" w:rsidP="00922F98">
      <w:pPr>
        <w:rPr>
          <w:rFonts w:eastAsia="Calibri"/>
          <w:b/>
          <w:lang w:eastAsia="en-US"/>
        </w:rPr>
      </w:pPr>
    </w:p>
    <w:sectPr w:rsidR="00F569FE" w:rsidRPr="00922F98" w:rsidSect="00845749">
      <w:footerReference w:type="default" r:id="rId16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3B7D" w14:textId="77777777" w:rsidR="004357F3" w:rsidRDefault="004357F3" w:rsidP="0011560A">
      <w:r>
        <w:separator/>
      </w:r>
    </w:p>
  </w:endnote>
  <w:endnote w:type="continuationSeparator" w:id="0">
    <w:p w14:paraId="1E436EEB" w14:textId="77777777" w:rsidR="004357F3" w:rsidRDefault="004357F3" w:rsidP="0011560A">
      <w:r>
        <w:continuationSeparator/>
      </w:r>
    </w:p>
  </w:endnote>
  <w:endnote w:type="continuationNotice" w:id="1">
    <w:p w14:paraId="3602B04C" w14:textId="77777777" w:rsidR="004357F3" w:rsidRDefault="00435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980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AC1F" w14:textId="77777777" w:rsidR="004E7334" w:rsidRDefault="004E7334" w:rsidP="004E7334">
    <w:pPr>
      <w:pStyle w:val="Header"/>
    </w:pPr>
  </w:p>
  <w:p w14:paraId="698F097C" w14:textId="77777777" w:rsidR="004E7334" w:rsidRDefault="004E7334" w:rsidP="004E7334"/>
  <w:p w14:paraId="2F6BCD5D" w14:textId="77777777" w:rsidR="004E7334" w:rsidRDefault="004E7334" w:rsidP="004E7334">
    <w:pPr>
      <w:pStyle w:val="Footer"/>
    </w:pPr>
  </w:p>
  <w:p w14:paraId="55B2312A" w14:textId="77777777" w:rsidR="004E7334" w:rsidRDefault="004E7334" w:rsidP="004E7334"/>
  <w:p w14:paraId="301503EE" w14:textId="77777777" w:rsidR="004E7334" w:rsidRPr="00CE78D1" w:rsidRDefault="004E7334" w:rsidP="004E733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1449BFA" w14:textId="77777777" w:rsidR="004E7334" w:rsidRDefault="004E7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0E58" w14:textId="77777777" w:rsidR="003C719F" w:rsidRPr="004E7334" w:rsidRDefault="003C719F" w:rsidP="004E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5A89" w14:textId="77777777" w:rsidR="004357F3" w:rsidRDefault="004357F3" w:rsidP="0011560A">
      <w:r>
        <w:separator/>
      </w:r>
    </w:p>
  </w:footnote>
  <w:footnote w:type="continuationSeparator" w:id="0">
    <w:p w14:paraId="45DD524E" w14:textId="77777777" w:rsidR="004357F3" w:rsidRDefault="004357F3" w:rsidP="0011560A">
      <w:r>
        <w:continuationSeparator/>
      </w:r>
    </w:p>
  </w:footnote>
  <w:footnote w:type="continuationNotice" w:id="1">
    <w:p w14:paraId="042E0684" w14:textId="77777777" w:rsidR="004357F3" w:rsidRDefault="004357F3"/>
  </w:footnote>
  <w:footnote w:id="2">
    <w:p w14:paraId="6B44C71C" w14:textId="77777777" w:rsidR="00FD20C9" w:rsidRPr="00153F2C" w:rsidRDefault="00FD20C9" w:rsidP="00FD20C9">
      <w:pPr>
        <w:pStyle w:val="FootnoteText"/>
        <w:rPr>
          <w:sz w:val="16"/>
          <w:szCs w:val="16"/>
        </w:rPr>
      </w:pPr>
      <w:r w:rsidRPr="00153F2C">
        <w:rPr>
          <w:rStyle w:val="FootnoteReference0"/>
          <w:sz w:val="16"/>
          <w:szCs w:val="16"/>
        </w:rPr>
        <w:footnoteRef/>
      </w:r>
      <w:r w:rsidRPr="00153F2C">
        <w:rPr>
          <w:sz w:val="16"/>
          <w:szCs w:val="16"/>
        </w:rPr>
        <w:t xml:space="preserve"> Predsjedatelji Nacionalnog inovacijskog vijeća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1303" w14:textId="77777777" w:rsidR="00845749" w:rsidRDefault="00845749">
    <w:pPr>
      <w:pStyle w:val="Header"/>
      <w:jc w:val="center"/>
    </w:pPr>
  </w:p>
  <w:p w14:paraId="4EC2FEF4" w14:textId="77777777" w:rsidR="00845749" w:rsidRDefault="00845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375"/>
    <w:multiLevelType w:val="hybridMultilevel"/>
    <w:tmpl w:val="DE562396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DDC"/>
    <w:multiLevelType w:val="hybridMultilevel"/>
    <w:tmpl w:val="9E70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584"/>
    <w:multiLevelType w:val="hybridMultilevel"/>
    <w:tmpl w:val="546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3FBD"/>
    <w:multiLevelType w:val="hybridMultilevel"/>
    <w:tmpl w:val="F5A2C816"/>
    <w:lvl w:ilvl="0" w:tplc="29AAA7C4">
      <w:start w:val="5"/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1D347F43"/>
    <w:multiLevelType w:val="hybridMultilevel"/>
    <w:tmpl w:val="BA46C8BE"/>
    <w:lvl w:ilvl="0" w:tplc="29AAA7C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C878E6"/>
    <w:multiLevelType w:val="hybridMultilevel"/>
    <w:tmpl w:val="BF9C6BB4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722E"/>
    <w:multiLevelType w:val="hybridMultilevel"/>
    <w:tmpl w:val="4CA4B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6A5"/>
    <w:multiLevelType w:val="hybridMultilevel"/>
    <w:tmpl w:val="BF860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4879"/>
    <w:multiLevelType w:val="hybridMultilevel"/>
    <w:tmpl w:val="166C92EC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2BB6"/>
    <w:multiLevelType w:val="hybridMultilevel"/>
    <w:tmpl w:val="5B52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44F3"/>
    <w:multiLevelType w:val="hybridMultilevel"/>
    <w:tmpl w:val="E606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1A4C"/>
    <w:multiLevelType w:val="hybridMultilevel"/>
    <w:tmpl w:val="3CC24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42870"/>
    <w:multiLevelType w:val="hybridMultilevel"/>
    <w:tmpl w:val="15EE9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261B"/>
    <w:multiLevelType w:val="hybridMultilevel"/>
    <w:tmpl w:val="167836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C15A54"/>
    <w:multiLevelType w:val="hybridMultilevel"/>
    <w:tmpl w:val="F5F07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48CA"/>
    <w:multiLevelType w:val="hybridMultilevel"/>
    <w:tmpl w:val="454A7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C54A1"/>
    <w:multiLevelType w:val="hybridMultilevel"/>
    <w:tmpl w:val="E98060A8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C5BF9"/>
    <w:multiLevelType w:val="hybridMultilevel"/>
    <w:tmpl w:val="F376BBD2"/>
    <w:lvl w:ilvl="0" w:tplc="5E80BD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7724"/>
    <w:multiLevelType w:val="hybridMultilevel"/>
    <w:tmpl w:val="52C82764"/>
    <w:lvl w:ilvl="0" w:tplc="29AAA7C4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34A2AAF"/>
    <w:multiLevelType w:val="hybridMultilevel"/>
    <w:tmpl w:val="7A3A5DFA"/>
    <w:lvl w:ilvl="0" w:tplc="DCC04C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71F1"/>
    <w:multiLevelType w:val="hybridMultilevel"/>
    <w:tmpl w:val="F24E41A8"/>
    <w:lvl w:ilvl="0" w:tplc="29AAA7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D33D5"/>
    <w:multiLevelType w:val="hybridMultilevel"/>
    <w:tmpl w:val="48904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62DE8"/>
    <w:multiLevelType w:val="hybridMultilevel"/>
    <w:tmpl w:val="9E9C67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3"/>
  </w:num>
  <w:num w:numId="5">
    <w:abstractNumId w:val="21"/>
  </w:num>
  <w:num w:numId="6">
    <w:abstractNumId w:val="0"/>
  </w:num>
  <w:num w:numId="7">
    <w:abstractNumId w:val="20"/>
  </w:num>
  <w:num w:numId="8">
    <w:abstractNumId w:val="9"/>
  </w:num>
  <w:num w:numId="9">
    <w:abstractNumId w:val="16"/>
  </w:num>
  <w:num w:numId="10">
    <w:abstractNumId w:val="5"/>
  </w:num>
  <w:num w:numId="11">
    <w:abstractNumId w:val="14"/>
  </w:num>
  <w:num w:numId="12">
    <w:abstractNumId w:val="12"/>
  </w:num>
  <w:num w:numId="13">
    <w:abstractNumId w:val="22"/>
  </w:num>
  <w:num w:numId="14">
    <w:abstractNumId w:val="19"/>
  </w:num>
  <w:num w:numId="15">
    <w:abstractNumId w:val="17"/>
  </w:num>
  <w:num w:numId="16">
    <w:abstractNumId w:val="11"/>
  </w:num>
  <w:num w:numId="17">
    <w:abstractNumId w:val="6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295"/>
    <w:rsid w:val="00006C1F"/>
    <w:rsid w:val="00013728"/>
    <w:rsid w:val="0002177A"/>
    <w:rsid w:val="00021CBB"/>
    <w:rsid w:val="0003164F"/>
    <w:rsid w:val="00032FD7"/>
    <w:rsid w:val="0003325A"/>
    <w:rsid w:val="000350D9"/>
    <w:rsid w:val="00035D9A"/>
    <w:rsid w:val="00036565"/>
    <w:rsid w:val="0004186E"/>
    <w:rsid w:val="0004339D"/>
    <w:rsid w:val="000450C7"/>
    <w:rsid w:val="00045DC5"/>
    <w:rsid w:val="00046BC6"/>
    <w:rsid w:val="00050816"/>
    <w:rsid w:val="0005437A"/>
    <w:rsid w:val="000566A2"/>
    <w:rsid w:val="00057310"/>
    <w:rsid w:val="00061EBD"/>
    <w:rsid w:val="00063520"/>
    <w:rsid w:val="00066C24"/>
    <w:rsid w:val="000708EF"/>
    <w:rsid w:val="0007172B"/>
    <w:rsid w:val="00071D8B"/>
    <w:rsid w:val="00074FDD"/>
    <w:rsid w:val="00080FBA"/>
    <w:rsid w:val="00086A6C"/>
    <w:rsid w:val="00087225"/>
    <w:rsid w:val="00092BFC"/>
    <w:rsid w:val="000A11A7"/>
    <w:rsid w:val="000A1D60"/>
    <w:rsid w:val="000A2C42"/>
    <w:rsid w:val="000A3A3B"/>
    <w:rsid w:val="000B3632"/>
    <w:rsid w:val="000B6C9A"/>
    <w:rsid w:val="000C5B1C"/>
    <w:rsid w:val="000C6771"/>
    <w:rsid w:val="000C7238"/>
    <w:rsid w:val="000D0B54"/>
    <w:rsid w:val="000D1A50"/>
    <w:rsid w:val="000D3952"/>
    <w:rsid w:val="000D50C0"/>
    <w:rsid w:val="000E088B"/>
    <w:rsid w:val="000E3516"/>
    <w:rsid w:val="000E43FF"/>
    <w:rsid w:val="000E4A34"/>
    <w:rsid w:val="000E6352"/>
    <w:rsid w:val="000E6D08"/>
    <w:rsid w:val="000E6EF3"/>
    <w:rsid w:val="000F4F35"/>
    <w:rsid w:val="000F6E40"/>
    <w:rsid w:val="001015C6"/>
    <w:rsid w:val="00110E6C"/>
    <w:rsid w:val="00112F26"/>
    <w:rsid w:val="0011456E"/>
    <w:rsid w:val="00114D95"/>
    <w:rsid w:val="0011560A"/>
    <w:rsid w:val="0011770A"/>
    <w:rsid w:val="00122EE2"/>
    <w:rsid w:val="00123147"/>
    <w:rsid w:val="00126123"/>
    <w:rsid w:val="0013390E"/>
    <w:rsid w:val="00133F29"/>
    <w:rsid w:val="00135F1A"/>
    <w:rsid w:val="0013688E"/>
    <w:rsid w:val="00146219"/>
    <w:rsid w:val="00146B79"/>
    <w:rsid w:val="00147DE9"/>
    <w:rsid w:val="00152C29"/>
    <w:rsid w:val="00153814"/>
    <w:rsid w:val="00161F7E"/>
    <w:rsid w:val="0016538C"/>
    <w:rsid w:val="001664DF"/>
    <w:rsid w:val="00167817"/>
    <w:rsid w:val="00170226"/>
    <w:rsid w:val="0017294F"/>
    <w:rsid w:val="001741AA"/>
    <w:rsid w:val="00176413"/>
    <w:rsid w:val="00182289"/>
    <w:rsid w:val="00183E49"/>
    <w:rsid w:val="00191738"/>
    <w:rsid w:val="001917B2"/>
    <w:rsid w:val="00191DC6"/>
    <w:rsid w:val="00193473"/>
    <w:rsid w:val="001A13E7"/>
    <w:rsid w:val="001A6699"/>
    <w:rsid w:val="001A7770"/>
    <w:rsid w:val="001B1AB0"/>
    <w:rsid w:val="001B7A97"/>
    <w:rsid w:val="001C51C6"/>
    <w:rsid w:val="001C5958"/>
    <w:rsid w:val="001C5BB0"/>
    <w:rsid w:val="001D628C"/>
    <w:rsid w:val="001D6478"/>
    <w:rsid w:val="001D68A0"/>
    <w:rsid w:val="001D7D7A"/>
    <w:rsid w:val="001E26DC"/>
    <w:rsid w:val="001E7218"/>
    <w:rsid w:val="001F0D8C"/>
    <w:rsid w:val="001F500A"/>
    <w:rsid w:val="001F515B"/>
    <w:rsid w:val="001F6C3B"/>
    <w:rsid w:val="001F72E6"/>
    <w:rsid w:val="00205114"/>
    <w:rsid w:val="00207F79"/>
    <w:rsid w:val="00211F5B"/>
    <w:rsid w:val="00212473"/>
    <w:rsid w:val="00212819"/>
    <w:rsid w:val="002157CC"/>
    <w:rsid w:val="002179F8"/>
    <w:rsid w:val="00220956"/>
    <w:rsid w:val="00220C73"/>
    <w:rsid w:val="002258C6"/>
    <w:rsid w:val="00232899"/>
    <w:rsid w:val="002352EB"/>
    <w:rsid w:val="0023763F"/>
    <w:rsid w:val="00243809"/>
    <w:rsid w:val="00246C5B"/>
    <w:rsid w:val="00254BC8"/>
    <w:rsid w:val="00270FDA"/>
    <w:rsid w:val="0027207C"/>
    <w:rsid w:val="0027430C"/>
    <w:rsid w:val="002800F1"/>
    <w:rsid w:val="00282F6F"/>
    <w:rsid w:val="002841C6"/>
    <w:rsid w:val="00284A86"/>
    <w:rsid w:val="0028608D"/>
    <w:rsid w:val="00287D31"/>
    <w:rsid w:val="0029163B"/>
    <w:rsid w:val="002A1D77"/>
    <w:rsid w:val="002B107A"/>
    <w:rsid w:val="002B4230"/>
    <w:rsid w:val="002C18D1"/>
    <w:rsid w:val="002C7020"/>
    <w:rsid w:val="002D1256"/>
    <w:rsid w:val="002D6C51"/>
    <w:rsid w:val="002D7C91"/>
    <w:rsid w:val="002E2A42"/>
    <w:rsid w:val="002F03C7"/>
    <w:rsid w:val="002F2F01"/>
    <w:rsid w:val="002F72A0"/>
    <w:rsid w:val="003020E9"/>
    <w:rsid w:val="003033E4"/>
    <w:rsid w:val="00304232"/>
    <w:rsid w:val="00304B49"/>
    <w:rsid w:val="0030680A"/>
    <w:rsid w:val="00316168"/>
    <w:rsid w:val="0031773A"/>
    <w:rsid w:val="00323C77"/>
    <w:rsid w:val="00336EE7"/>
    <w:rsid w:val="00340CBA"/>
    <w:rsid w:val="0034351C"/>
    <w:rsid w:val="00353EC3"/>
    <w:rsid w:val="00354361"/>
    <w:rsid w:val="00354C87"/>
    <w:rsid w:val="00361E6B"/>
    <w:rsid w:val="00363BC2"/>
    <w:rsid w:val="003672CF"/>
    <w:rsid w:val="00372B9B"/>
    <w:rsid w:val="00372F14"/>
    <w:rsid w:val="003762D9"/>
    <w:rsid w:val="00377696"/>
    <w:rsid w:val="00381F04"/>
    <w:rsid w:val="0038426B"/>
    <w:rsid w:val="00391F6D"/>
    <w:rsid w:val="003929F5"/>
    <w:rsid w:val="003932FE"/>
    <w:rsid w:val="003948C1"/>
    <w:rsid w:val="00395163"/>
    <w:rsid w:val="003977F6"/>
    <w:rsid w:val="00397870"/>
    <w:rsid w:val="003A2F05"/>
    <w:rsid w:val="003A5F65"/>
    <w:rsid w:val="003B0CB4"/>
    <w:rsid w:val="003B4F5E"/>
    <w:rsid w:val="003B58EE"/>
    <w:rsid w:val="003B61A4"/>
    <w:rsid w:val="003C09D8"/>
    <w:rsid w:val="003C387C"/>
    <w:rsid w:val="003C690B"/>
    <w:rsid w:val="003C719F"/>
    <w:rsid w:val="003D0700"/>
    <w:rsid w:val="003D47D1"/>
    <w:rsid w:val="003D5D20"/>
    <w:rsid w:val="003E25E4"/>
    <w:rsid w:val="003E523C"/>
    <w:rsid w:val="003E5D01"/>
    <w:rsid w:val="003F1116"/>
    <w:rsid w:val="003F4B80"/>
    <w:rsid w:val="003F5623"/>
    <w:rsid w:val="003F6A24"/>
    <w:rsid w:val="004039BD"/>
    <w:rsid w:val="00414798"/>
    <w:rsid w:val="00424B04"/>
    <w:rsid w:val="00425BBD"/>
    <w:rsid w:val="004272DC"/>
    <w:rsid w:val="004357F3"/>
    <w:rsid w:val="004364A8"/>
    <w:rsid w:val="004374F4"/>
    <w:rsid w:val="00437533"/>
    <w:rsid w:val="00437E21"/>
    <w:rsid w:val="00440D6D"/>
    <w:rsid w:val="00442367"/>
    <w:rsid w:val="00444692"/>
    <w:rsid w:val="0044532F"/>
    <w:rsid w:val="00445ADC"/>
    <w:rsid w:val="004463BF"/>
    <w:rsid w:val="00453C53"/>
    <w:rsid w:val="00457FEA"/>
    <w:rsid w:val="00461188"/>
    <w:rsid w:val="004617D7"/>
    <w:rsid w:val="00463356"/>
    <w:rsid w:val="00465497"/>
    <w:rsid w:val="004711E8"/>
    <w:rsid w:val="00471703"/>
    <w:rsid w:val="00477C6D"/>
    <w:rsid w:val="00480444"/>
    <w:rsid w:val="00481F13"/>
    <w:rsid w:val="0048735E"/>
    <w:rsid w:val="004A45E6"/>
    <w:rsid w:val="004A776B"/>
    <w:rsid w:val="004B153E"/>
    <w:rsid w:val="004B4994"/>
    <w:rsid w:val="004B51B1"/>
    <w:rsid w:val="004B5884"/>
    <w:rsid w:val="004C1065"/>
    <w:rsid w:val="004C1375"/>
    <w:rsid w:val="004C5354"/>
    <w:rsid w:val="004C537A"/>
    <w:rsid w:val="004D2273"/>
    <w:rsid w:val="004D712F"/>
    <w:rsid w:val="004D7D38"/>
    <w:rsid w:val="004E021C"/>
    <w:rsid w:val="004E0C67"/>
    <w:rsid w:val="004E1300"/>
    <w:rsid w:val="004E1618"/>
    <w:rsid w:val="004E1F36"/>
    <w:rsid w:val="004E2CBD"/>
    <w:rsid w:val="004E462A"/>
    <w:rsid w:val="004E4E34"/>
    <w:rsid w:val="004E5238"/>
    <w:rsid w:val="004E6FFC"/>
    <w:rsid w:val="004E7334"/>
    <w:rsid w:val="004F045B"/>
    <w:rsid w:val="004F07B2"/>
    <w:rsid w:val="004F5E52"/>
    <w:rsid w:val="00504248"/>
    <w:rsid w:val="005123FE"/>
    <w:rsid w:val="005146D6"/>
    <w:rsid w:val="005300CB"/>
    <w:rsid w:val="00532010"/>
    <w:rsid w:val="00532DC6"/>
    <w:rsid w:val="0053356A"/>
    <w:rsid w:val="00535BA4"/>
    <w:rsid w:val="00535E09"/>
    <w:rsid w:val="00544D26"/>
    <w:rsid w:val="00545D07"/>
    <w:rsid w:val="005478DE"/>
    <w:rsid w:val="00561BC2"/>
    <w:rsid w:val="00562C8C"/>
    <w:rsid w:val="0056365A"/>
    <w:rsid w:val="0057047D"/>
    <w:rsid w:val="00571A4E"/>
    <w:rsid w:val="00571F6C"/>
    <w:rsid w:val="00572473"/>
    <w:rsid w:val="005751DC"/>
    <w:rsid w:val="005861F2"/>
    <w:rsid w:val="005868C9"/>
    <w:rsid w:val="00587C5F"/>
    <w:rsid w:val="005906BB"/>
    <w:rsid w:val="0059173A"/>
    <w:rsid w:val="0059277B"/>
    <w:rsid w:val="00595597"/>
    <w:rsid w:val="005A214D"/>
    <w:rsid w:val="005B282C"/>
    <w:rsid w:val="005B7972"/>
    <w:rsid w:val="005B7C10"/>
    <w:rsid w:val="005C143F"/>
    <w:rsid w:val="005C3A4C"/>
    <w:rsid w:val="005C3FB9"/>
    <w:rsid w:val="005D5825"/>
    <w:rsid w:val="005E59C1"/>
    <w:rsid w:val="005E5DAE"/>
    <w:rsid w:val="005E73BD"/>
    <w:rsid w:val="005E7CAB"/>
    <w:rsid w:val="005F1DC7"/>
    <w:rsid w:val="005F1DD5"/>
    <w:rsid w:val="005F4727"/>
    <w:rsid w:val="005F7E42"/>
    <w:rsid w:val="00605718"/>
    <w:rsid w:val="00606C47"/>
    <w:rsid w:val="0061200B"/>
    <w:rsid w:val="00613BC5"/>
    <w:rsid w:val="006144E0"/>
    <w:rsid w:val="00614A2F"/>
    <w:rsid w:val="006152FC"/>
    <w:rsid w:val="00617DF6"/>
    <w:rsid w:val="006304FB"/>
    <w:rsid w:val="00631B61"/>
    <w:rsid w:val="00633454"/>
    <w:rsid w:val="0063442C"/>
    <w:rsid w:val="0063478A"/>
    <w:rsid w:val="00635354"/>
    <w:rsid w:val="006453CE"/>
    <w:rsid w:val="00646942"/>
    <w:rsid w:val="00652604"/>
    <w:rsid w:val="00654166"/>
    <w:rsid w:val="00657BC5"/>
    <w:rsid w:val="0066110E"/>
    <w:rsid w:val="00663194"/>
    <w:rsid w:val="0066475F"/>
    <w:rsid w:val="00665BD6"/>
    <w:rsid w:val="00667AAC"/>
    <w:rsid w:val="00674D87"/>
    <w:rsid w:val="00675B44"/>
    <w:rsid w:val="006760F9"/>
    <w:rsid w:val="006761ED"/>
    <w:rsid w:val="0068013E"/>
    <w:rsid w:val="0068772B"/>
    <w:rsid w:val="00693A4D"/>
    <w:rsid w:val="006946D7"/>
    <w:rsid w:val="00694D87"/>
    <w:rsid w:val="006A1DA3"/>
    <w:rsid w:val="006B0315"/>
    <w:rsid w:val="006B1A52"/>
    <w:rsid w:val="006B7800"/>
    <w:rsid w:val="006C02FC"/>
    <w:rsid w:val="006C0CC3"/>
    <w:rsid w:val="006C2B63"/>
    <w:rsid w:val="006C35DC"/>
    <w:rsid w:val="006C3C4E"/>
    <w:rsid w:val="006D08CA"/>
    <w:rsid w:val="006D1E35"/>
    <w:rsid w:val="006E14A9"/>
    <w:rsid w:val="006E1C9C"/>
    <w:rsid w:val="006E2728"/>
    <w:rsid w:val="006E611E"/>
    <w:rsid w:val="006F73A8"/>
    <w:rsid w:val="007010C7"/>
    <w:rsid w:val="0070218E"/>
    <w:rsid w:val="00702C15"/>
    <w:rsid w:val="00710E00"/>
    <w:rsid w:val="00717CA4"/>
    <w:rsid w:val="0072210C"/>
    <w:rsid w:val="0072564F"/>
    <w:rsid w:val="00726165"/>
    <w:rsid w:val="00731AC4"/>
    <w:rsid w:val="00737973"/>
    <w:rsid w:val="00747A02"/>
    <w:rsid w:val="0075754F"/>
    <w:rsid w:val="0076043E"/>
    <w:rsid w:val="007638D8"/>
    <w:rsid w:val="00767917"/>
    <w:rsid w:val="00770328"/>
    <w:rsid w:val="00775158"/>
    <w:rsid w:val="007759A9"/>
    <w:rsid w:val="00777CAA"/>
    <w:rsid w:val="0078506D"/>
    <w:rsid w:val="00786120"/>
    <w:rsid w:val="0078648A"/>
    <w:rsid w:val="00797E76"/>
    <w:rsid w:val="007A005F"/>
    <w:rsid w:val="007A0619"/>
    <w:rsid w:val="007A1768"/>
    <w:rsid w:val="007A1881"/>
    <w:rsid w:val="007B0314"/>
    <w:rsid w:val="007B12CF"/>
    <w:rsid w:val="007B1942"/>
    <w:rsid w:val="007C1DF2"/>
    <w:rsid w:val="007C20DC"/>
    <w:rsid w:val="007C7836"/>
    <w:rsid w:val="007C7BBD"/>
    <w:rsid w:val="007D3922"/>
    <w:rsid w:val="007D6017"/>
    <w:rsid w:val="007D68D8"/>
    <w:rsid w:val="007D6B0C"/>
    <w:rsid w:val="007D76CF"/>
    <w:rsid w:val="007E3965"/>
    <w:rsid w:val="007E3BDD"/>
    <w:rsid w:val="007E5796"/>
    <w:rsid w:val="007E721B"/>
    <w:rsid w:val="007F3A2C"/>
    <w:rsid w:val="007F54E2"/>
    <w:rsid w:val="008010F2"/>
    <w:rsid w:val="00805A88"/>
    <w:rsid w:val="00806979"/>
    <w:rsid w:val="008137B5"/>
    <w:rsid w:val="0082118C"/>
    <w:rsid w:val="0082523C"/>
    <w:rsid w:val="00826F6B"/>
    <w:rsid w:val="00833808"/>
    <w:rsid w:val="00833D0B"/>
    <w:rsid w:val="00834265"/>
    <w:rsid w:val="00834267"/>
    <w:rsid w:val="008353A1"/>
    <w:rsid w:val="008365FD"/>
    <w:rsid w:val="00845749"/>
    <w:rsid w:val="008560A4"/>
    <w:rsid w:val="008562D4"/>
    <w:rsid w:val="00862F6D"/>
    <w:rsid w:val="00863D27"/>
    <w:rsid w:val="0086651D"/>
    <w:rsid w:val="00874888"/>
    <w:rsid w:val="00876641"/>
    <w:rsid w:val="0088144B"/>
    <w:rsid w:val="00881BBB"/>
    <w:rsid w:val="00881D86"/>
    <w:rsid w:val="008919CA"/>
    <w:rsid w:val="0089283D"/>
    <w:rsid w:val="008975E8"/>
    <w:rsid w:val="008A234D"/>
    <w:rsid w:val="008A53A5"/>
    <w:rsid w:val="008B2ED9"/>
    <w:rsid w:val="008B404A"/>
    <w:rsid w:val="008C0768"/>
    <w:rsid w:val="008C17A2"/>
    <w:rsid w:val="008C1D0A"/>
    <w:rsid w:val="008D029D"/>
    <w:rsid w:val="008D1E25"/>
    <w:rsid w:val="008E36F9"/>
    <w:rsid w:val="008E43B1"/>
    <w:rsid w:val="008F0DD4"/>
    <w:rsid w:val="008F1515"/>
    <w:rsid w:val="008F3638"/>
    <w:rsid w:val="008F3FEA"/>
    <w:rsid w:val="008F47C4"/>
    <w:rsid w:val="008F71A4"/>
    <w:rsid w:val="009012F2"/>
    <w:rsid w:val="0090200F"/>
    <w:rsid w:val="009047E4"/>
    <w:rsid w:val="00907146"/>
    <w:rsid w:val="009126B3"/>
    <w:rsid w:val="009152C4"/>
    <w:rsid w:val="00915604"/>
    <w:rsid w:val="00921716"/>
    <w:rsid w:val="00922F98"/>
    <w:rsid w:val="00923969"/>
    <w:rsid w:val="00933C9F"/>
    <w:rsid w:val="00942AC9"/>
    <w:rsid w:val="00946FEE"/>
    <w:rsid w:val="00947361"/>
    <w:rsid w:val="0095079B"/>
    <w:rsid w:val="009535E1"/>
    <w:rsid w:val="00953BA1"/>
    <w:rsid w:val="00954D08"/>
    <w:rsid w:val="00956862"/>
    <w:rsid w:val="00956AE0"/>
    <w:rsid w:val="009611B3"/>
    <w:rsid w:val="00965526"/>
    <w:rsid w:val="00967173"/>
    <w:rsid w:val="00972CFC"/>
    <w:rsid w:val="009736F3"/>
    <w:rsid w:val="00977A8E"/>
    <w:rsid w:val="00984CCF"/>
    <w:rsid w:val="009930CA"/>
    <w:rsid w:val="0099314D"/>
    <w:rsid w:val="00993BB6"/>
    <w:rsid w:val="009A2588"/>
    <w:rsid w:val="009A5749"/>
    <w:rsid w:val="009B0712"/>
    <w:rsid w:val="009B1A37"/>
    <w:rsid w:val="009B254C"/>
    <w:rsid w:val="009B5528"/>
    <w:rsid w:val="009C33E1"/>
    <w:rsid w:val="009C7815"/>
    <w:rsid w:val="009D549E"/>
    <w:rsid w:val="009E079E"/>
    <w:rsid w:val="009E0AE6"/>
    <w:rsid w:val="009F1ED7"/>
    <w:rsid w:val="009F4B62"/>
    <w:rsid w:val="009F74BC"/>
    <w:rsid w:val="00A0369B"/>
    <w:rsid w:val="00A10A8F"/>
    <w:rsid w:val="00A14BFF"/>
    <w:rsid w:val="00A15F08"/>
    <w:rsid w:val="00A1661C"/>
    <w:rsid w:val="00A175E9"/>
    <w:rsid w:val="00A176B6"/>
    <w:rsid w:val="00A21819"/>
    <w:rsid w:val="00A24EA3"/>
    <w:rsid w:val="00A32237"/>
    <w:rsid w:val="00A33E47"/>
    <w:rsid w:val="00A36993"/>
    <w:rsid w:val="00A37C67"/>
    <w:rsid w:val="00A45CF4"/>
    <w:rsid w:val="00A50A5E"/>
    <w:rsid w:val="00A52A71"/>
    <w:rsid w:val="00A54E7D"/>
    <w:rsid w:val="00A54EAD"/>
    <w:rsid w:val="00A56DB9"/>
    <w:rsid w:val="00A573DC"/>
    <w:rsid w:val="00A6339A"/>
    <w:rsid w:val="00A6754C"/>
    <w:rsid w:val="00A725A4"/>
    <w:rsid w:val="00A7796D"/>
    <w:rsid w:val="00A83290"/>
    <w:rsid w:val="00A94A2B"/>
    <w:rsid w:val="00A95FFC"/>
    <w:rsid w:val="00AB53ED"/>
    <w:rsid w:val="00AB654B"/>
    <w:rsid w:val="00AB6832"/>
    <w:rsid w:val="00AD1665"/>
    <w:rsid w:val="00AD2D4B"/>
    <w:rsid w:val="00AD2F06"/>
    <w:rsid w:val="00AD4D7C"/>
    <w:rsid w:val="00AD778D"/>
    <w:rsid w:val="00AE00F7"/>
    <w:rsid w:val="00AE59DF"/>
    <w:rsid w:val="00AE7857"/>
    <w:rsid w:val="00AF025C"/>
    <w:rsid w:val="00B01199"/>
    <w:rsid w:val="00B047A8"/>
    <w:rsid w:val="00B3055F"/>
    <w:rsid w:val="00B41EAA"/>
    <w:rsid w:val="00B42E00"/>
    <w:rsid w:val="00B45209"/>
    <w:rsid w:val="00B462AB"/>
    <w:rsid w:val="00B51334"/>
    <w:rsid w:val="00B51EFE"/>
    <w:rsid w:val="00B57187"/>
    <w:rsid w:val="00B65D57"/>
    <w:rsid w:val="00B66A15"/>
    <w:rsid w:val="00B706F8"/>
    <w:rsid w:val="00B75156"/>
    <w:rsid w:val="00B81E6D"/>
    <w:rsid w:val="00B82771"/>
    <w:rsid w:val="00B85E52"/>
    <w:rsid w:val="00B86A71"/>
    <w:rsid w:val="00B90301"/>
    <w:rsid w:val="00B908C2"/>
    <w:rsid w:val="00B91826"/>
    <w:rsid w:val="00B96D8B"/>
    <w:rsid w:val="00B96DC9"/>
    <w:rsid w:val="00BA28CD"/>
    <w:rsid w:val="00BA6165"/>
    <w:rsid w:val="00BA70A4"/>
    <w:rsid w:val="00BA72BF"/>
    <w:rsid w:val="00BB4023"/>
    <w:rsid w:val="00BB414D"/>
    <w:rsid w:val="00BB441A"/>
    <w:rsid w:val="00BC17A6"/>
    <w:rsid w:val="00BC2FFC"/>
    <w:rsid w:val="00BC45E6"/>
    <w:rsid w:val="00BC6675"/>
    <w:rsid w:val="00BD54CF"/>
    <w:rsid w:val="00BD5A69"/>
    <w:rsid w:val="00BD5C72"/>
    <w:rsid w:val="00BD6478"/>
    <w:rsid w:val="00BD6556"/>
    <w:rsid w:val="00BD678C"/>
    <w:rsid w:val="00BE5C44"/>
    <w:rsid w:val="00BF46DB"/>
    <w:rsid w:val="00C01FB1"/>
    <w:rsid w:val="00C07E7B"/>
    <w:rsid w:val="00C13F00"/>
    <w:rsid w:val="00C15087"/>
    <w:rsid w:val="00C20AE1"/>
    <w:rsid w:val="00C274F5"/>
    <w:rsid w:val="00C337A4"/>
    <w:rsid w:val="00C34488"/>
    <w:rsid w:val="00C368B4"/>
    <w:rsid w:val="00C41666"/>
    <w:rsid w:val="00C44327"/>
    <w:rsid w:val="00C44399"/>
    <w:rsid w:val="00C4750D"/>
    <w:rsid w:val="00C4765F"/>
    <w:rsid w:val="00C50373"/>
    <w:rsid w:val="00C51F13"/>
    <w:rsid w:val="00C52493"/>
    <w:rsid w:val="00C56078"/>
    <w:rsid w:val="00C67A55"/>
    <w:rsid w:val="00C67E8E"/>
    <w:rsid w:val="00C739B8"/>
    <w:rsid w:val="00C751CF"/>
    <w:rsid w:val="00C77816"/>
    <w:rsid w:val="00C80F15"/>
    <w:rsid w:val="00C8780E"/>
    <w:rsid w:val="00C87CAA"/>
    <w:rsid w:val="00C949A6"/>
    <w:rsid w:val="00C969CC"/>
    <w:rsid w:val="00C96BCB"/>
    <w:rsid w:val="00CA4AC5"/>
    <w:rsid w:val="00CA4F84"/>
    <w:rsid w:val="00CC5E78"/>
    <w:rsid w:val="00CD0514"/>
    <w:rsid w:val="00CD0875"/>
    <w:rsid w:val="00CD1639"/>
    <w:rsid w:val="00CD3EFA"/>
    <w:rsid w:val="00CD4A96"/>
    <w:rsid w:val="00CD4DB0"/>
    <w:rsid w:val="00CD6DA4"/>
    <w:rsid w:val="00CD775B"/>
    <w:rsid w:val="00CE0CF6"/>
    <w:rsid w:val="00CE3D00"/>
    <w:rsid w:val="00CE78D1"/>
    <w:rsid w:val="00CF0E9D"/>
    <w:rsid w:val="00CF404A"/>
    <w:rsid w:val="00CF4D35"/>
    <w:rsid w:val="00CF5F63"/>
    <w:rsid w:val="00CF7BB4"/>
    <w:rsid w:val="00CF7EEC"/>
    <w:rsid w:val="00D05FA1"/>
    <w:rsid w:val="00D07290"/>
    <w:rsid w:val="00D1127C"/>
    <w:rsid w:val="00D11FDC"/>
    <w:rsid w:val="00D1210C"/>
    <w:rsid w:val="00D14240"/>
    <w:rsid w:val="00D1614C"/>
    <w:rsid w:val="00D215ED"/>
    <w:rsid w:val="00D223BF"/>
    <w:rsid w:val="00D27033"/>
    <w:rsid w:val="00D344C1"/>
    <w:rsid w:val="00D3452D"/>
    <w:rsid w:val="00D43B25"/>
    <w:rsid w:val="00D50140"/>
    <w:rsid w:val="00D501F9"/>
    <w:rsid w:val="00D50895"/>
    <w:rsid w:val="00D529BF"/>
    <w:rsid w:val="00D60D19"/>
    <w:rsid w:val="00D6108F"/>
    <w:rsid w:val="00D62C4D"/>
    <w:rsid w:val="00D6613B"/>
    <w:rsid w:val="00D75828"/>
    <w:rsid w:val="00D7638A"/>
    <w:rsid w:val="00D8016C"/>
    <w:rsid w:val="00D80438"/>
    <w:rsid w:val="00D87C96"/>
    <w:rsid w:val="00D905DF"/>
    <w:rsid w:val="00D92A3D"/>
    <w:rsid w:val="00D945DC"/>
    <w:rsid w:val="00DA6B72"/>
    <w:rsid w:val="00DB0A6B"/>
    <w:rsid w:val="00DB28EB"/>
    <w:rsid w:val="00DB6366"/>
    <w:rsid w:val="00DC2E7D"/>
    <w:rsid w:val="00DC491E"/>
    <w:rsid w:val="00DD655F"/>
    <w:rsid w:val="00DE58FF"/>
    <w:rsid w:val="00DF14C7"/>
    <w:rsid w:val="00DF5561"/>
    <w:rsid w:val="00E07B5C"/>
    <w:rsid w:val="00E14DE8"/>
    <w:rsid w:val="00E15168"/>
    <w:rsid w:val="00E25569"/>
    <w:rsid w:val="00E25F42"/>
    <w:rsid w:val="00E3546D"/>
    <w:rsid w:val="00E40A0C"/>
    <w:rsid w:val="00E537F0"/>
    <w:rsid w:val="00E55221"/>
    <w:rsid w:val="00E5577D"/>
    <w:rsid w:val="00E55862"/>
    <w:rsid w:val="00E601A2"/>
    <w:rsid w:val="00E65E93"/>
    <w:rsid w:val="00E72DCB"/>
    <w:rsid w:val="00E77198"/>
    <w:rsid w:val="00E81DBC"/>
    <w:rsid w:val="00E83E23"/>
    <w:rsid w:val="00E8661E"/>
    <w:rsid w:val="00E86D2A"/>
    <w:rsid w:val="00E93D5E"/>
    <w:rsid w:val="00E95E2E"/>
    <w:rsid w:val="00EA077D"/>
    <w:rsid w:val="00EA365A"/>
    <w:rsid w:val="00EA3AD1"/>
    <w:rsid w:val="00EB1248"/>
    <w:rsid w:val="00EB30A3"/>
    <w:rsid w:val="00EB4C59"/>
    <w:rsid w:val="00EB74EC"/>
    <w:rsid w:val="00EC0083"/>
    <w:rsid w:val="00EC08EF"/>
    <w:rsid w:val="00EC09CA"/>
    <w:rsid w:val="00EC1DD2"/>
    <w:rsid w:val="00ED2014"/>
    <w:rsid w:val="00ED236E"/>
    <w:rsid w:val="00ED6E65"/>
    <w:rsid w:val="00EE02AC"/>
    <w:rsid w:val="00EE03CA"/>
    <w:rsid w:val="00EE1918"/>
    <w:rsid w:val="00EE20CE"/>
    <w:rsid w:val="00EE28F6"/>
    <w:rsid w:val="00EE7199"/>
    <w:rsid w:val="00EF08DC"/>
    <w:rsid w:val="00F118B1"/>
    <w:rsid w:val="00F160F5"/>
    <w:rsid w:val="00F16834"/>
    <w:rsid w:val="00F17DFA"/>
    <w:rsid w:val="00F21B47"/>
    <w:rsid w:val="00F2239B"/>
    <w:rsid w:val="00F242BB"/>
    <w:rsid w:val="00F24D87"/>
    <w:rsid w:val="00F3220D"/>
    <w:rsid w:val="00F358D4"/>
    <w:rsid w:val="00F36CD3"/>
    <w:rsid w:val="00F37FE1"/>
    <w:rsid w:val="00F40726"/>
    <w:rsid w:val="00F40E13"/>
    <w:rsid w:val="00F424BA"/>
    <w:rsid w:val="00F507C4"/>
    <w:rsid w:val="00F55311"/>
    <w:rsid w:val="00F569FE"/>
    <w:rsid w:val="00F61231"/>
    <w:rsid w:val="00F7184F"/>
    <w:rsid w:val="00F758FF"/>
    <w:rsid w:val="00F764AD"/>
    <w:rsid w:val="00F8725D"/>
    <w:rsid w:val="00F90E98"/>
    <w:rsid w:val="00F94097"/>
    <w:rsid w:val="00F95A2D"/>
    <w:rsid w:val="00F95FF4"/>
    <w:rsid w:val="00F974EF"/>
    <w:rsid w:val="00F978E2"/>
    <w:rsid w:val="00F97BA9"/>
    <w:rsid w:val="00F97F2D"/>
    <w:rsid w:val="00FA02C8"/>
    <w:rsid w:val="00FA4A52"/>
    <w:rsid w:val="00FA4E25"/>
    <w:rsid w:val="00FB2C84"/>
    <w:rsid w:val="00FB38C1"/>
    <w:rsid w:val="00FB41F0"/>
    <w:rsid w:val="00FB58E0"/>
    <w:rsid w:val="00FC13BC"/>
    <w:rsid w:val="00FC1D58"/>
    <w:rsid w:val="00FC5097"/>
    <w:rsid w:val="00FD20C9"/>
    <w:rsid w:val="00FD2C50"/>
    <w:rsid w:val="00FD3BB5"/>
    <w:rsid w:val="00FD3CDD"/>
    <w:rsid w:val="00FE2B63"/>
    <w:rsid w:val="00FE643A"/>
    <w:rsid w:val="00FF1AAD"/>
    <w:rsid w:val="00FF1C3A"/>
    <w:rsid w:val="00FF2F12"/>
    <w:rsid w:val="00FF44A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B6EE0D"/>
  <w15:docId w15:val="{4E5E9380-C6D6-4809-8F59-C86861B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ED9"/>
    <w:rPr>
      <w:rFonts w:eastAsia="Calibri"/>
      <w:sz w:val="24"/>
      <w:szCs w:val="24"/>
    </w:rPr>
  </w:style>
  <w:style w:type="paragraph" w:styleId="ListParagraph">
    <w:name w:val="List Paragraph"/>
    <w:aliases w:val="Paragraph,List Paragraph Red"/>
    <w:basedOn w:val="Normal"/>
    <w:link w:val="ListParagraphChar"/>
    <w:uiPriority w:val="34"/>
    <w:qFormat/>
    <w:rsid w:val="004A4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5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A88"/>
    <w:rPr>
      <w:color w:val="0000FF"/>
      <w:u w:val="single"/>
    </w:rPr>
  </w:style>
  <w:style w:type="paragraph" w:customStyle="1" w:styleId="li">
    <w:name w:val="li"/>
    <w:basedOn w:val="Normal"/>
    <w:rsid w:val="00805A88"/>
    <w:pPr>
      <w:ind w:left="468"/>
      <w:jc w:val="both"/>
    </w:pPr>
  </w:style>
  <w:style w:type="character" w:customStyle="1" w:styleId="num4">
    <w:name w:val="num4"/>
    <w:basedOn w:val="DefaultParagraphFont"/>
    <w:rsid w:val="00805A88"/>
  </w:style>
  <w:style w:type="paragraph" w:customStyle="1" w:styleId="Normal1">
    <w:name w:val="Normal1"/>
    <w:basedOn w:val="Normal"/>
    <w:rsid w:val="00805A88"/>
    <w:pPr>
      <w:jc w:val="both"/>
    </w:pPr>
  </w:style>
  <w:style w:type="character" w:customStyle="1" w:styleId="tab">
    <w:name w:val="tab"/>
    <w:basedOn w:val="DefaultParagraphFont"/>
    <w:rsid w:val="00805A88"/>
  </w:style>
  <w:style w:type="character" w:customStyle="1" w:styleId="footnotereference">
    <w:name w:val="footnotereference"/>
    <w:basedOn w:val="DefaultParagraphFont"/>
    <w:rsid w:val="00805A88"/>
  </w:style>
  <w:style w:type="paragraph" w:styleId="FootnoteText">
    <w:name w:val="footnote text"/>
    <w:basedOn w:val="Normal"/>
    <w:link w:val="FootnoteTextChar"/>
    <w:uiPriority w:val="99"/>
    <w:semiHidden/>
    <w:unhideWhenUsed/>
    <w:rsid w:val="001934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73"/>
  </w:style>
  <w:style w:type="character" w:styleId="FootnoteReference0">
    <w:name w:val="footnote reference"/>
    <w:basedOn w:val="DefaultParagraphFont"/>
    <w:uiPriority w:val="99"/>
    <w:semiHidden/>
    <w:unhideWhenUsed/>
    <w:rsid w:val="00193473"/>
    <w:rPr>
      <w:vertAlign w:val="superscript"/>
    </w:rPr>
  </w:style>
  <w:style w:type="character" w:customStyle="1" w:styleId="num">
    <w:name w:val="num"/>
    <w:basedOn w:val="DefaultParagraphFont"/>
    <w:rsid w:val="00C368B4"/>
  </w:style>
  <w:style w:type="character" w:customStyle="1" w:styleId="ListParagraphChar">
    <w:name w:val="List Paragraph Char"/>
    <w:aliases w:val="Paragraph Char,List Paragraph Red Char"/>
    <w:link w:val="ListParagraph"/>
    <w:uiPriority w:val="34"/>
    <w:locked/>
    <w:rsid w:val="00C4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4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740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2" w:color="000000"/>
                    <w:bottom w:val="single" w:sz="6" w:space="0" w:color="000000"/>
                    <w:right w:val="single" w:sz="6" w:space="2" w:color="000000"/>
                  </w:divBdr>
                </w:div>
                <w:div w:id="144842798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2" w:color="000000"/>
                    <w:bottom w:val="single" w:sz="6" w:space="0" w:color="000000"/>
                    <w:right w:val="single" w:sz="6" w:space="2" w:color="000000"/>
                  </w:divBdr>
                </w:div>
              </w:divsChild>
            </w:div>
          </w:divsChild>
        </w:div>
      </w:divsChild>
    </w:div>
    <w:div w:id="18155653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AZJMDCZ6QSYZ-1335579144-3847</_dlc_DocId>
    <_dlc_DocIdUrl xmlns="a494813a-d0d8-4dad-94cb-0d196f36ba15">
      <Url>https://ekoordinacije.vlada.hr/_layouts/15/DocIdRedir.aspx?ID=AZJMDCZ6QSYZ-1335579144-3847</Url>
      <Description>AZJMDCZ6QSYZ-1335579144-3847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F5B6-1B80-4FF5-A93A-1544960677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B04C2E-2599-4217-BB53-B2A627367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FF03D-D1FD-43E8-8133-9C95B433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62A8B-8F46-4E8D-9DAF-B4A6B5CBB56F}">
  <ds:schemaRefs>
    <ds:schemaRef ds:uri="http://purl.org/dc/elements/1.1/"/>
    <ds:schemaRef ds:uri="http://purl.org/dc/terms/"/>
    <ds:schemaRef ds:uri="a494813a-d0d8-4dad-94cb-0d196f36ba15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C7368AB-F6A4-43F3-A5DD-05DC330F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Sonja Tučkar</cp:lastModifiedBy>
  <cp:revision>16</cp:revision>
  <cp:lastPrinted>2021-04-26T11:31:00Z</cp:lastPrinted>
  <dcterms:created xsi:type="dcterms:W3CDTF">2021-05-03T09:09:00Z</dcterms:created>
  <dcterms:modified xsi:type="dcterms:W3CDTF">2021-05-12T13:28:00Z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760c4649-ab56-4a86-8908-1485b7615da4</vt:lpwstr>
  </property>
</Properties>
</file>