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84D5" w14:textId="77777777" w:rsidR="00611B91" w:rsidRPr="00611B91" w:rsidRDefault="00611B91" w:rsidP="00611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B9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93DAB4E" wp14:editId="6DE1986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B91">
        <w:rPr>
          <w:rFonts w:ascii="Times New Roman" w:hAnsi="Times New Roman" w:cs="Times New Roman"/>
          <w:sz w:val="24"/>
          <w:szCs w:val="24"/>
        </w:rPr>
        <w:fldChar w:fldCharType="begin"/>
      </w:r>
      <w:r w:rsidRPr="00611B91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11B9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41FC668" w14:textId="77777777" w:rsidR="00611B91" w:rsidRPr="00611B91" w:rsidRDefault="00611B91" w:rsidP="00611B91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611B91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720B5440" w14:textId="6317FA19" w:rsidR="00611B91" w:rsidRPr="00611B91" w:rsidRDefault="00611B91" w:rsidP="00611B9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611B91">
        <w:rPr>
          <w:rFonts w:ascii="Times New Roman" w:hAnsi="Times New Roman" w:cs="Times New Roman"/>
          <w:sz w:val="24"/>
          <w:szCs w:val="24"/>
        </w:rPr>
        <w:t xml:space="preserve">Zagreb, </w:t>
      </w:r>
      <w:r w:rsidR="00B67B04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FA2F9F">
        <w:rPr>
          <w:rFonts w:ascii="Times New Roman" w:hAnsi="Times New Roman" w:cs="Times New Roman"/>
          <w:sz w:val="24"/>
          <w:szCs w:val="24"/>
        </w:rPr>
        <w:t>. svibnja</w:t>
      </w:r>
      <w:r w:rsidR="009B0610">
        <w:rPr>
          <w:rFonts w:ascii="Times New Roman" w:hAnsi="Times New Roman" w:cs="Times New Roman"/>
          <w:sz w:val="24"/>
          <w:szCs w:val="24"/>
        </w:rPr>
        <w:t xml:space="preserve"> 2021</w:t>
      </w:r>
      <w:r w:rsidRPr="00611B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11B91" w:rsidRPr="00611B91" w14:paraId="7356FE3A" w14:textId="77777777" w:rsidTr="00431902">
        <w:tc>
          <w:tcPr>
            <w:tcW w:w="1951" w:type="dxa"/>
          </w:tcPr>
          <w:p w14:paraId="37AC1E9A" w14:textId="77777777" w:rsidR="00611B91" w:rsidRPr="00611B91" w:rsidRDefault="00611B91" w:rsidP="0043190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B9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611B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1EBD74" w14:textId="77777777" w:rsidR="00611B91" w:rsidRPr="00611B91" w:rsidRDefault="00611B91" w:rsidP="00431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B91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611B91" w:rsidRPr="00611B91" w14:paraId="501D40C8" w14:textId="77777777" w:rsidTr="00431902">
        <w:tc>
          <w:tcPr>
            <w:tcW w:w="1951" w:type="dxa"/>
          </w:tcPr>
          <w:p w14:paraId="6B63F745" w14:textId="77777777" w:rsidR="00611B91" w:rsidRPr="00611B91" w:rsidRDefault="00611B91" w:rsidP="0043190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B9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611B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5120A2C" w14:textId="77777777" w:rsidR="00611B91" w:rsidRPr="00611B91" w:rsidRDefault="009B0610" w:rsidP="004319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10">
              <w:rPr>
                <w:rFonts w:ascii="Times New Roman" w:hAnsi="Times New Roman" w:cs="Times New Roman"/>
                <w:sz w:val="24"/>
                <w:szCs w:val="24"/>
              </w:rPr>
              <w:t>Prijedlog odluke o koncesiji na pomorskom dobru u svrhu izgradnje i gospodarskog korištenja luke posebne namjene – luke nautičkog turizma Porto Baroš na dijelu k.o. Stari Grad, Grad Rijeka</w:t>
            </w:r>
          </w:p>
        </w:tc>
      </w:tr>
    </w:tbl>
    <w:p w14:paraId="0D4B09CF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12C3F2D0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0246DA47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7330788F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258DEA95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506D1E6F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05356D08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6DA4842D" w14:textId="77777777" w:rsidR="00611B91" w:rsidRPr="00611B91" w:rsidRDefault="00611B91" w:rsidP="00611B91">
      <w:pPr>
        <w:rPr>
          <w:rFonts w:ascii="Times New Roman" w:hAnsi="Times New Roman" w:cs="Times New Roman"/>
          <w:sz w:val="24"/>
          <w:szCs w:val="24"/>
        </w:rPr>
      </w:pPr>
    </w:p>
    <w:p w14:paraId="5B6F9BFF" w14:textId="77777777" w:rsidR="00611B91" w:rsidRPr="00611B91" w:rsidRDefault="00611B9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C063F8" w14:textId="77777777" w:rsidR="009B0610" w:rsidRPr="00640B5C" w:rsidRDefault="00857A7E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1B91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9B0610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80. stavka 4. točke 2. Zakona o pomorskom dobru i morskim lukama (Narodne novine, br. 158/03, 100/04, 141/06, 38/09, 123/11 – Odluka Ustavnog suda Repu</w:t>
      </w:r>
      <w:r w:rsidR="009B0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blike Hrvatske, 56/16 i 98/19) te </w:t>
      </w:r>
      <w:r w:rsidR="009B0610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9B061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B0610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3B07D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B0610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 w:rsidR="009B0610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9B0610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Zakona o koncesijama (Narodne novine, br. 69/17 i 107/20), Vlada Republike Hrvatske je na sjednici održanoj _____________ 2021. godine donijela</w:t>
      </w:r>
    </w:p>
    <w:p w14:paraId="66C8153B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3671B" w14:textId="77777777" w:rsidR="009B0610" w:rsidRPr="00640B5C" w:rsidRDefault="009B0610" w:rsidP="009B06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73526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20BED171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KONCESIJI NA POMORSKOM DOBRU U SVRHU IZGRADNJE I GOSPODARSKOG KORIŠTENJA LUKE POSEBNE NAMJENE – LUKE NAUTIČKOG TURIZMA PORTO BAROŠ NA DIJELU K.O. STARI GRAD, GRAD RIJEKA</w:t>
      </w:r>
    </w:p>
    <w:p w14:paraId="53759F56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6E846D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44DB2FCD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59C06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Obavijesti o namjeri davanja koncesije na pomorskom dobru u svrhu izgradnje i gospodarskog korištenja luke posebne namjene – luke nautičkog turizma Porto Baroš na dijelu k.o. Stari Grad, Grad Rijeka, objavljenoj u Elektroničkom oglasniku javne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(broj objave: 2021/S 01K-0002182) od 19. siječnja 2021. godine i ponuda pristiglih na Javno otvaranje ponuda za dodjelu koncesije, održano 26. ožujka 2021. godine u prostorijama Ministarstva mora, prometa i infrastrukture, te Nalaza i mišljenja Stručnog tijela za ocjenu ponuda za koncesije na pomorskom dobru, osnovanog i imenovanog Odlukom Vlade Republike Hrvatske („Narodne novine“, br. 44/16, 95/19 i 29/21), Vlada Republike Hrvatske (u daljnjem tekstu: Davatelj koncesije) daje trgovačkom društvu ACI – GITONE d.o.o., OIB: 09993394962 (u daljnjem tekstu: Ovlaštenik koncesije), ovlaštenje za izgradnju i gospodarsko korištenje luke posebne namjene – luke nautičkog turizma Porto Baroš na dijelu k.o. Stari Grad, Grad Rijeka.</w:t>
      </w:r>
    </w:p>
    <w:p w14:paraId="62FF4FC5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41E3E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6E291D04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B2341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pomorskog dobra – lučkog područja koje se daje u koncesiju u svrhu izgradnje i gospodarskog korištenja luke posebne namjene – luke nautičkog turizma Porto Baroš na dijelu k.o. Stari Grad, Grad Rijeka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6BF3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je poligonom karakterističnih koordinatnih točaka izraženih u HTRS96/TM projekciji, kako slijedi:</w:t>
      </w:r>
    </w:p>
    <w:p w14:paraId="6F9457BE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763"/>
        <w:gridCol w:w="1877"/>
      </w:tblGrid>
      <w:tr w:rsidR="009B0610" w:rsidRPr="00640B5C" w14:paraId="5EEE2CF0" w14:textId="77777777" w:rsidTr="00B10F4C">
        <w:trPr>
          <w:trHeight w:hRule="exact" w:val="357"/>
          <w:jc w:val="center"/>
        </w:trPr>
        <w:tc>
          <w:tcPr>
            <w:tcW w:w="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8F6F9C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Točka</w:t>
            </w:r>
          </w:p>
        </w:tc>
        <w:tc>
          <w:tcPr>
            <w:tcW w:w="17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5D9148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18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3F5FCC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</w:p>
        </w:tc>
      </w:tr>
      <w:tr w:rsidR="009B0610" w:rsidRPr="00640B5C" w14:paraId="5201AA90" w14:textId="77777777" w:rsidTr="00B10F4C">
        <w:trPr>
          <w:trHeight w:hRule="exact" w:val="357"/>
          <w:jc w:val="center"/>
        </w:trPr>
        <w:tc>
          <w:tcPr>
            <w:tcW w:w="98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23ECF3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E9FB37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338546,12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FB4B14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5022459,10</w:t>
            </w:r>
          </w:p>
        </w:tc>
      </w:tr>
      <w:tr w:rsidR="009B0610" w:rsidRPr="00640B5C" w14:paraId="0FF6293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4F931F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6FE16B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338554,39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CBB13D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5022477,41</w:t>
            </w:r>
          </w:p>
        </w:tc>
      </w:tr>
      <w:tr w:rsidR="009B0610" w:rsidRPr="00640B5C" w14:paraId="243B1F8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198806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28272D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338555,61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17D6FE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5022477,15</w:t>
            </w:r>
          </w:p>
        </w:tc>
      </w:tr>
      <w:tr w:rsidR="009B0610" w:rsidRPr="00640B5C" w14:paraId="024391D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B346AE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4F543D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338560,90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038132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5022475,08</w:t>
            </w:r>
          </w:p>
        </w:tc>
      </w:tr>
      <w:tr w:rsidR="009B0610" w:rsidRPr="00640B5C" w14:paraId="249C152C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53DBFD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CF4825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338565,47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B38297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5022473,46</w:t>
            </w:r>
          </w:p>
        </w:tc>
      </w:tr>
      <w:tr w:rsidR="009B0610" w:rsidRPr="00640B5C" w14:paraId="73B4F83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2E5096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7A5CA9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338570,81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E5AFD5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5022471,43</w:t>
            </w:r>
          </w:p>
        </w:tc>
      </w:tr>
      <w:tr w:rsidR="009B0610" w:rsidRPr="00640B5C" w14:paraId="3D80700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0A4715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F9CD22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338580,03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E37CB5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5022468,00</w:t>
            </w:r>
          </w:p>
        </w:tc>
      </w:tr>
      <w:tr w:rsidR="009B0610" w:rsidRPr="00640B5C" w14:paraId="68B73CD6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356384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DB9A1B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338580,33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57D732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5022467,88</w:t>
            </w:r>
          </w:p>
        </w:tc>
      </w:tr>
      <w:tr w:rsidR="009B0610" w:rsidRPr="00640B5C" w14:paraId="768A5A1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8A5DB3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DD8E33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338581,41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49295D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5022470,91</w:t>
            </w:r>
          </w:p>
        </w:tc>
      </w:tr>
      <w:tr w:rsidR="009B0610" w:rsidRPr="00640B5C" w14:paraId="02759666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4AF75D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A49274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338582,31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3759F8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5022473,40</w:t>
            </w:r>
          </w:p>
        </w:tc>
      </w:tr>
      <w:tr w:rsidR="009B0610" w:rsidRPr="00640B5C" w14:paraId="0F47DC1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4177BE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3F842C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338590,42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625B2C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5022495,28</w:t>
            </w:r>
          </w:p>
        </w:tc>
      </w:tr>
      <w:tr w:rsidR="009B0610" w:rsidRPr="00640B5C" w14:paraId="0CCFDA7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2D29AB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48577A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338591,84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F4D1FF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5022499,15</w:t>
            </w:r>
          </w:p>
        </w:tc>
      </w:tr>
      <w:tr w:rsidR="009B0610" w:rsidRPr="00640B5C" w14:paraId="2286328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CFBCBC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2C4BFD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338592,76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100B0A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5022501,65</w:t>
            </w:r>
          </w:p>
        </w:tc>
      </w:tr>
      <w:tr w:rsidR="009B0610" w:rsidRPr="00640B5C" w14:paraId="7A086BB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14CCAB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A0ABE3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338592,81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930A3C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5022502,32</w:t>
            </w:r>
          </w:p>
        </w:tc>
      </w:tr>
      <w:tr w:rsidR="009B0610" w:rsidRPr="00640B5C" w14:paraId="340B7F0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019954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0800B5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338594,92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B3F3CC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5022502,07</w:t>
            </w:r>
          </w:p>
        </w:tc>
      </w:tr>
      <w:tr w:rsidR="009B0610" w:rsidRPr="00640B5C" w14:paraId="6214766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814F62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733078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338650,90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BB3F6E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5022481,44</w:t>
            </w:r>
          </w:p>
        </w:tc>
      </w:tr>
      <w:tr w:rsidR="009B0610" w:rsidRPr="00640B5C" w14:paraId="79D2973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60F2FE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FAC71C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338697,44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595AB1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5022463,98</w:t>
            </w:r>
          </w:p>
        </w:tc>
      </w:tr>
      <w:tr w:rsidR="009B0610" w:rsidRPr="00640B5C" w14:paraId="0DE345C3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EFFA90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103D37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338699,32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AD58F3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5022463,27</w:t>
            </w:r>
          </w:p>
        </w:tc>
      </w:tr>
      <w:tr w:rsidR="009B0610" w:rsidRPr="00640B5C" w14:paraId="12B70DB0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2F80016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F28395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338698,92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52B8C6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5022462,30</w:t>
            </w:r>
          </w:p>
        </w:tc>
      </w:tr>
      <w:tr w:rsidR="009B0610" w:rsidRPr="00640B5C" w14:paraId="7A37F23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394D57C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FCEA08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338705,68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4F15AD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5022459,54</w:t>
            </w:r>
          </w:p>
        </w:tc>
      </w:tr>
      <w:tr w:rsidR="009B0610" w:rsidRPr="00640B5C" w14:paraId="09A263CD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F53A2E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69CAAD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338719,29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351F14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5022453,42</w:t>
            </w:r>
          </w:p>
        </w:tc>
      </w:tr>
      <w:tr w:rsidR="009B0610" w:rsidRPr="00640B5C" w14:paraId="54CF4C0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5DB60A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C16B9F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338765,45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EE8D20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5022435,98</w:t>
            </w:r>
          </w:p>
        </w:tc>
      </w:tr>
      <w:tr w:rsidR="009B0610" w:rsidRPr="00640B5C" w14:paraId="461257B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FA5C7A6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5E8E9E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338768,90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360DD3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5022434,60</w:t>
            </w:r>
          </w:p>
        </w:tc>
      </w:tr>
      <w:tr w:rsidR="009B0610" w:rsidRPr="00640B5C" w14:paraId="3A7A60C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8BC338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7112A9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338769,21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89BC25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5022432,56</w:t>
            </w:r>
          </w:p>
        </w:tc>
      </w:tr>
      <w:tr w:rsidR="009B0610" w:rsidRPr="00640B5C" w14:paraId="4A4FA68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3DFE42D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F414E1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338770,00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75CB31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5022427,29</w:t>
            </w:r>
          </w:p>
        </w:tc>
      </w:tr>
      <w:tr w:rsidR="009B0610" w:rsidRPr="00640B5C" w14:paraId="2F7ABAB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CB3E706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CB2BF8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338772,77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06B4D2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5022422,74</w:t>
            </w:r>
          </w:p>
        </w:tc>
      </w:tr>
      <w:tr w:rsidR="009B0610" w:rsidRPr="00640B5C" w14:paraId="4DA7372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259BC2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793CF9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338777,25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C8FA48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5022419,83</w:t>
            </w:r>
          </w:p>
        </w:tc>
      </w:tr>
      <w:tr w:rsidR="009B0610" w:rsidRPr="00640B5C" w14:paraId="251EABB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2FCAC0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2604F4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338782,44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3CE1C4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5022418,71</w:t>
            </w:r>
          </w:p>
        </w:tc>
      </w:tr>
      <w:tr w:rsidR="009B0610" w:rsidRPr="00640B5C" w14:paraId="226ADC6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4ADD3D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BA3879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338787,54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B965C9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5022420,17</w:t>
            </w:r>
          </w:p>
        </w:tc>
      </w:tr>
      <w:tr w:rsidR="009B0610" w:rsidRPr="00640B5C" w14:paraId="0F99027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8973E0D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D346D9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338790,95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F5DE14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5022423,14</w:t>
            </w:r>
          </w:p>
        </w:tc>
      </w:tr>
      <w:tr w:rsidR="009B0610" w:rsidRPr="00640B5C" w14:paraId="7E171010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C00719C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8135A7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338792,62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9827D8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5022425,10</w:t>
            </w:r>
          </w:p>
        </w:tc>
      </w:tr>
      <w:tr w:rsidR="009B0610" w:rsidRPr="00640B5C" w14:paraId="6CA6C50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5D03C7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0AC3E1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338796,72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AD65C7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5022431,91</w:t>
            </w:r>
          </w:p>
        </w:tc>
      </w:tr>
      <w:tr w:rsidR="009B0610" w:rsidRPr="00640B5C" w14:paraId="5995830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4E0ADE6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A7C382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338797,03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A841E9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5022432,54</w:t>
            </w:r>
          </w:p>
        </w:tc>
      </w:tr>
      <w:tr w:rsidR="009B0610" w:rsidRPr="00640B5C" w14:paraId="4DC8588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7D19CE1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F7C5A0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338804,18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097774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5022429,02</w:t>
            </w:r>
          </w:p>
        </w:tc>
      </w:tr>
      <w:tr w:rsidR="009B0610" w:rsidRPr="00640B5C" w14:paraId="39C3CFAA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9F91C8C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4C8DC3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338832,12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8B4C3A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5022412,47</w:t>
            </w:r>
          </w:p>
        </w:tc>
      </w:tr>
      <w:tr w:rsidR="009B0610" w:rsidRPr="00640B5C" w14:paraId="508AFE8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802845A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39C312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338840,71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A15C74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5022408,39</w:t>
            </w:r>
          </w:p>
        </w:tc>
      </w:tr>
      <w:tr w:rsidR="009B0610" w:rsidRPr="00640B5C" w14:paraId="6B582B43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F52838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B8D157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338841,49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E7CF88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5022407,95</w:t>
            </w:r>
          </w:p>
        </w:tc>
      </w:tr>
      <w:tr w:rsidR="009B0610" w:rsidRPr="00640B5C" w14:paraId="681D74D6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08094B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FD5EF3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338841,60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D462C4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5022408,02</w:t>
            </w:r>
          </w:p>
        </w:tc>
      </w:tr>
      <w:tr w:rsidR="009B0610" w:rsidRPr="00640B5C" w14:paraId="095EF25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D1815CD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0092E1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338843,41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B391EC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5022406,93</w:t>
            </w:r>
          </w:p>
        </w:tc>
      </w:tr>
      <w:tr w:rsidR="009B0610" w:rsidRPr="00640B5C" w14:paraId="1A99D07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A83CE0C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D845F0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338843,25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A3F548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5022406,78</w:t>
            </w:r>
          </w:p>
        </w:tc>
      </w:tr>
      <w:tr w:rsidR="009B0610" w:rsidRPr="00640B5C" w14:paraId="06A39D2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9DEA1B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CEEF6C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338857,39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67EB99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5022399,08</w:t>
            </w:r>
          </w:p>
        </w:tc>
      </w:tr>
      <w:tr w:rsidR="009B0610" w:rsidRPr="00640B5C" w14:paraId="0C20655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DD0578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CB9B92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338884,94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C008CA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5022382,57</w:t>
            </w:r>
          </w:p>
        </w:tc>
      </w:tr>
      <w:tr w:rsidR="009B0610" w:rsidRPr="00640B5C" w14:paraId="177418B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1DD8F4E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BCF7A1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338883,06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18C1E5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5022380,52</w:t>
            </w:r>
          </w:p>
        </w:tc>
      </w:tr>
      <w:tr w:rsidR="009B0610" w:rsidRPr="00640B5C" w14:paraId="46D90B4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BE3FD2A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4741D4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338882,43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5952C8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5022379,85</w:t>
            </w:r>
          </w:p>
        </w:tc>
      </w:tr>
      <w:tr w:rsidR="009B0610" w:rsidRPr="00640B5C" w14:paraId="0F0E180C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F93A341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DEAA80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338882,07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E3C6C2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5022379,47</w:t>
            </w:r>
          </w:p>
        </w:tc>
      </w:tr>
      <w:tr w:rsidR="009B0610" w:rsidRPr="00640B5C" w14:paraId="7D2E625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ABD2BD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647F31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338880,57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146336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5022378,21</w:t>
            </w:r>
          </w:p>
        </w:tc>
      </w:tr>
      <w:tr w:rsidR="009B0610" w:rsidRPr="00640B5C" w14:paraId="4B89B543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77F635E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D1408B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338879,38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49ECF7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5022377,17</w:t>
            </w:r>
          </w:p>
        </w:tc>
      </w:tr>
      <w:tr w:rsidR="009B0610" w:rsidRPr="00640B5C" w14:paraId="4566E69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CFBAB8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DF0FC6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338876,18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10F5CC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5022374,44</w:t>
            </w:r>
          </w:p>
        </w:tc>
      </w:tr>
      <w:tr w:rsidR="009B0610" w:rsidRPr="00640B5C" w14:paraId="543DE2D2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7A9978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0263B4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338875,00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5BDFA7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5022373,32</w:t>
            </w:r>
          </w:p>
        </w:tc>
      </w:tr>
      <w:tr w:rsidR="009B0610" w:rsidRPr="00640B5C" w14:paraId="3999211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5337258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1B694E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338874,15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47C24B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5022372,85</w:t>
            </w:r>
          </w:p>
        </w:tc>
      </w:tr>
      <w:tr w:rsidR="009B0610" w:rsidRPr="00640B5C" w14:paraId="299F79F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296C74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D67751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338872,88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503B0B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5022372,09</w:t>
            </w:r>
          </w:p>
        </w:tc>
      </w:tr>
      <w:tr w:rsidR="009B0610" w:rsidRPr="00640B5C" w14:paraId="355AF44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61764D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A84004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338872,52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50B161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5022371,87</w:t>
            </w:r>
          </w:p>
        </w:tc>
      </w:tr>
      <w:tr w:rsidR="009B0610" w:rsidRPr="00640B5C" w14:paraId="4756CB0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D59262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01A478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338871,80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B37662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5022371,63</w:t>
            </w:r>
          </w:p>
        </w:tc>
      </w:tr>
      <w:tr w:rsidR="009B0610" w:rsidRPr="00640B5C" w14:paraId="4B9C29F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7B76B8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2A5561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338870,98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BE56D3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5022371,31</w:t>
            </w:r>
          </w:p>
        </w:tc>
      </w:tr>
      <w:tr w:rsidR="009B0610" w:rsidRPr="00640B5C" w14:paraId="0448B210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1035FD8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980BD4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338870,23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AE9540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5022371,08</w:t>
            </w:r>
          </w:p>
        </w:tc>
      </w:tr>
      <w:tr w:rsidR="009B0610" w:rsidRPr="00640B5C" w14:paraId="25BEE6D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3E3C16A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37FE2C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338868,84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C2C2CC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5022370,66</w:t>
            </w:r>
          </w:p>
        </w:tc>
      </w:tr>
      <w:tr w:rsidR="009B0610" w:rsidRPr="00640B5C" w14:paraId="17C1684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7AAE5C8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23DE00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338867,52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AC94DF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5022370,19</w:t>
            </w:r>
          </w:p>
        </w:tc>
      </w:tr>
      <w:tr w:rsidR="009B0610" w:rsidRPr="00640B5C" w14:paraId="4262465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1CB552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08F54D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338866,35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5B6D6F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5022369,78</w:t>
            </w:r>
          </w:p>
        </w:tc>
      </w:tr>
      <w:tr w:rsidR="009B0610" w:rsidRPr="00640B5C" w14:paraId="04B958D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F30FAFA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519295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338864,62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153538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5022369,16</w:t>
            </w:r>
          </w:p>
        </w:tc>
      </w:tr>
      <w:tr w:rsidR="009B0610" w:rsidRPr="00640B5C" w14:paraId="2F74887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591D2F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656798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338863,54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E806A2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5022368,88</w:t>
            </w:r>
          </w:p>
        </w:tc>
      </w:tr>
      <w:tr w:rsidR="009B0610" w:rsidRPr="00640B5C" w14:paraId="740ADEC6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4A54A6D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4250CB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338862,14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C65AF8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5022368,49</w:t>
            </w:r>
          </w:p>
        </w:tc>
      </w:tr>
      <w:tr w:rsidR="009B0610" w:rsidRPr="00640B5C" w14:paraId="09DF1D9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01135E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F4D04E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338860,49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8C2F28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5022368,08</w:t>
            </w:r>
          </w:p>
        </w:tc>
      </w:tr>
      <w:tr w:rsidR="009B0610" w:rsidRPr="00640B5C" w14:paraId="02C8407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F7F80C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97B1D7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338858,48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327392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5022367,52</w:t>
            </w:r>
          </w:p>
        </w:tc>
      </w:tr>
      <w:tr w:rsidR="009B0610" w:rsidRPr="00640B5C" w14:paraId="4D24420A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75F0BD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4574BA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338857,25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3FDDD6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5022367,21</w:t>
            </w:r>
          </w:p>
        </w:tc>
      </w:tr>
      <w:tr w:rsidR="009B0610" w:rsidRPr="00640B5C" w14:paraId="416D033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3065041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441803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338854,32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FDFA29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5022366,45</w:t>
            </w:r>
          </w:p>
        </w:tc>
      </w:tr>
      <w:tr w:rsidR="009B0610" w:rsidRPr="00640B5C" w14:paraId="01F797ED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E226EE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A05D77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338852,82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D2866A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5022366,12</w:t>
            </w:r>
          </w:p>
        </w:tc>
      </w:tr>
      <w:tr w:rsidR="009B0610" w:rsidRPr="00640B5C" w14:paraId="6423F26D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128BFE7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FAF05B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338851,96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87BE59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5022365,91</w:t>
            </w:r>
          </w:p>
        </w:tc>
      </w:tr>
      <w:tr w:rsidR="009B0610" w:rsidRPr="00640B5C" w14:paraId="2BE2455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2182340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30D3E6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338850,96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E20657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5022365,49</w:t>
            </w:r>
          </w:p>
        </w:tc>
      </w:tr>
      <w:tr w:rsidR="009B0610" w:rsidRPr="00640B5C" w14:paraId="0B4D7EC6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28B6F7B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A4076B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338849,71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617D4D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5022364,94</w:t>
            </w:r>
          </w:p>
        </w:tc>
      </w:tr>
      <w:tr w:rsidR="009B0610" w:rsidRPr="00640B5C" w14:paraId="04E92CE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70521C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AEEDEA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338813,68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8E0D8C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5022319,71</w:t>
            </w:r>
          </w:p>
        </w:tc>
      </w:tr>
      <w:tr w:rsidR="009B0610" w:rsidRPr="00640B5C" w14:paraId="3CF6F61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06C4EE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61B6AC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338804,22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74DC27F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5022307,83</w:t>
            </w:r>
          </w:p>
        </w:tc>
      </w:tr>
      <w:tr w:rsidR="009B0610" w:rsidRPr="00640B5C" w14:paraId="04DB3BD1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94BC0D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A312AC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338801,61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B43031C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5022304,55</w:t>
            </w:r>
          </w:p>
        </w:tc>
      </w:tr>
      <w:tr w:rsidR="009B0610" w:rsidRPr="00640B5C" w14:paraId="04C130B2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992711A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209EAC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338796,11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180C98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5022297,65</w:t>
            </w:r>
          </w:p>
        </w:tc>
      </w:tr>
      <w:tr w:rsidR="009B0610" w:rsidRPr="00640B5C" w14:paraId="00ADE13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275C38E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ADBDC7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338790,46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FA60F8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5022290,56</w:t>
            </w:r>
          </w:p>
        </w:tc>
      </w:tr>
      <w:tr w:rsidR="009B0610" w:rsidRPr="00640B5C" w14:paraId="712763B5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9A6DA6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1152A7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338781,80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40BBB9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5022279,69</w:t>
            </w:r>
          </w:p>
        </w:tc>
      </w:tr>
      <w:tr w:rsidR="009B0610" w:rsidRPr="00640B5C" w14:paraId="24D42A5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F29030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3365E92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338773,92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7AE4D3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5022269,79</w:t>
            </w:r>
          </w:p>
        </w:tc>
      </w:tr>
      <w:tr w:rsidR="009B0610" w:rsidRPr="00640B5C" w14:paraId="7AB29CF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A6927C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F27741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338772,13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79CF01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5022267,68</w:t>
            </w:r>
          </w:p>
        </w:tc>
      </w:tr>
      <w:tr w:rsidR="009B0610" w:rsidRPr="00640B5C" w14:paraId="1FB10B2C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13D3D1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55DC1E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338759,58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48E54C6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5022252,99</w:t>
            </w:r>
          </w:p>
        </w:tc>
      </w:tr>
      <w:tr w:rsidR="009B0610" w:rsidRPr="00640B5C" w14:paraId="3F26B84B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606653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1E65945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338756,35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9F9CC7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5022249,21</w:t>
            </w:r>
          </w:p>
        </w:tc>
      </w:tr>
      <w:tr w:rsidR="009B0610" w:rsidRPr="00640B5C" w14:paraId="774AD8C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B78E9C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8ACD9D8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338754,48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A2E24EA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5022247,01</w:t>
            </w:r>
          </w:p>
        </w:tc>
      </w:tr>
      <w:tr w:rsidR="009B0610" w:rsidRPr="00640B5C" w14:paraId="06192158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D6B5E3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B09B9F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338719,32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F2F569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5022202,55</w:t>
            </w:r>
          </w:p>
        </w:tc>
      </w:tr>
      <w:tr w:rsidR="009B0610" w:rsidRPr="00640B5C" w14:paraId="4A0CA0D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D20DBA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0974F5D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338703,65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7CC776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5022182,72</w:t>
            </w:r>
          </w:p>
        </w:tc>
      </w:tr>
      <w:tr w:rsidR="009B0610" w:rsidRPr="00640B5C" w14:paraId="49FA89A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1839227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F8ABC8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338412,36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86F897E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5022257,64</w:t>
            </w:r>
          </w:p>
        </w:tc>
      </w:tr>
      <w:tr w:rsidR="009B0610" w:rsidRPr="00640B5C" w14:paraId="0BBC458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B80A90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1E27DE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338339,39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9054F3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5022234,00</w:t>
            </w:r>
          </w:p>
        </w:tc>
      </w:tr>
      <w:tr w:rsidR="009B0610" w:rsidRPr="00640B5C" w14:paraId="031BEAF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0C40909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0B9B729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338314,44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586E56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5022224,26</w:t>
            </w:r>
          </w:p>
        </w:tc>
      </w:tr>
      <w:tr w:rsidR="009B0610" w:rsidRPr="00640B5C" w14:paraId="45976FEC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6111452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E966040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338211,08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9F776D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5022178,10</w:t>
            </w:r>
          </w:p>
        </w:tc>
      </w:tr>
      <w:tr w:rsidR="009B0610" w:rsidRPr="00640B5C" w14:paraId="0B757B84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5DAD8BB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5D51922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338187,46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3B3215A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5022231,16</w:t>
            </w:r>
          </w:p>
        </w:tc>
      </w:tr>
      <w:tr w:rsidR="009B0610" w:rsidRPr="00640B5C" w14:paraId="515B0A4F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3510343F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49B11EB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338296,81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AF342E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5022279,71</w:t>
            </w:r>
          </w:p>
        </w:tc>
      </w:tr>
      <w:tr w:rsidR="009B0610" w:rsidRPr="00640B5C" w14:paraId="6F61175A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CA769D8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D944196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338312,31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BA4E139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5022285,79</w:t>
            </w:r>
          </w:p>
        </w:tc>
      </w:tr>
      <w:tr w:rsidR="009B0610" w:rsidRPr="00640B5C" w14:paraId="11BD4F77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7AC9DB1E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CE7FED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338343,97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B276793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5022301,57</w:t>
            </w:r>
          </w:p>
        </w:tc>
      </w:tr>
      <w:tr w:rsidR="009B0610" w:rsidRPr="00640B5C" w14:paraId="5950AC2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269E52A3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22D4F8DB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338378,59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5F5BA18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5022314,09</w:t>
            </w:r>
          </w:p>
        </w:tc>
      </w:tr>
      <w:tr w:rsidR="009B0610" w:rsidRPr="00640B5C" w14:paraId="6994A0B9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6EA4F62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65F420F1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338385,51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61A09C2F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5022373,06</w:t>
            </w:r>
          </w:p>
        </w:tc>
      </w:tr>
      <w:tr w:rsidR="009B0610" w:rsidRPr="00640B5C" w14:paraId="11BE46AC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05E6B765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7F165D87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338418,07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180EFAF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5022369,96</w:t>
            </w:r>
          </w:p>
        </w:tc>
      </w:tr>
      <w:tr w:rsidR="009B0610" w:rsidRPr="00640B5C" w14:paraId="014B964E" w14:textId="77777777" w:rsidTr="00B10F4C">
        <w:trPr>
          <w:trHeight w:hRule="exact" w:val="357"/>
          <w:jc w:val="center"/>
        </w:trPr>
        <w:tc>
          <w:tcPr>
            <w:tcW w:w="985" w:type="dxa"/>
            <w:shd w:val="clear" w:color="auto" w:fill="auto"/>
            <w:vAlign w:val="bottom"/>
          </w:tcPr>
          <w:p w14:paraId="4BA9FAC4" w14:textId="77777777" w:rsidR="009B0610" w:rsidRPr="00640B5C" w:rsidRDefault="009B0610" w:rsidP="00B10F4C">
            <w:pPr>
              <w:spacing w:after="0"/>
              <w:ind w:hanging="1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63" w:type="dxa"/>
            <w:shd w:val="clear" w:color="auto" w:fill="auto"/>
            <w:vAlign w:val="bottom"/>
          </w:tcPr>
          <w:p w14:paraId="53061994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338546,12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2C101D95" w14:textId="77777777" w:rsidR="009B0610" w:rsidRPr="00640B5C" w:rsidRDefault="009B0610" w:rsidP="00B10F4C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0B5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5022459,10</w:t>
            </w:r>
          </w:p>
        </w:tc>
      </w:tr>
    </w:tbl>
    <w:p w14:paraId="4BD1D227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7F544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54090180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8B767F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Površina pomorskog dobra – lučkog područja koje se daje u koncesiju ukupno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105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897 m², a sve kako je prikazano na grafičkoj podlozi, koja čini Prilog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i ne objavljuje se u „Narodnim novinama“.</w:t>
      </w:r>
    </w:p>
    <w:p w14:paraId="194DCEAA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E1238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260DCC9B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F1D1D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Koncesija se daje na vremensko razdoblje od 30 (trideset) godina, računajući od dana sklapanja ugovora o koncesiji pomorskog dobra iz točke VIII. ove Odluke.</w:t>
      </w:r>
    </w:p>
    <w:p w14:paraId="13BCD454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A587B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499148D7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A437FF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Koncesija na pomorskom dobru iz točke II. ove Odluke daje se u svrhu izgradnje i gospodarskog korištenja luke posebne namjene – luke nautičkog turizma Porto Baroš na dijelu k.o. Stari Grad, Grad Rijeka.</w:t>
      </w:r>
    </w:p>
    <w:p w14:paraId="68050DF2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F4F4BA" w14:textId="77777777" w:rsidR="009B0610" w:rsidRPr="00640B5C" w:rsidRDefault="009B0610" w:rsidP="005470BE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dužan je u roku 2 (dvije) godine od dana </w:t>
      </w:r>
      <w:r w:rsidR="00754A49" w:rsidRP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ove Odluke u „Narodnim novinama“</w:t>
      </w:r>
      <w:r w:rsid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ishoditi 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izvršnu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lokacijsku dozvolu i dostaviti je 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hr-HR"/>
        </w:rPr>
        <w:t>Davatelju koncesije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5D480E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A21BAC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dužan je u pomorsko dobro koje se daje u koncesiju uložiti sveukupno 363.721.734,00 kuna kao investicijsko ulaganje, u roku ne dužem od 3 (tri) godine od dana sklapanja ugovora o koncesiji iz točke VIII. ove Odluke, a sve u opsegu i na način opisan u Studiji gospodarske opravdanosti, koja čini Prilog 2. ove Odluke i ne objavljuje se u „Narodnim novinama“.</w:t>
      </w:r>
    </w:p>
    <w:p w14:paraId="0B0C867B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FCCDC" w14:textId="77777777" w:rsidR="009B0610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je ovlašten i dužan u roku ne dužem od 3 (tri) godine od dana sklapanja ugovora o koncesiji iz točke VIII. ove Odluke dovršiti izgradnju i predati Davatelju koncesije uporabnu dozvolu.</w:t>
      </w:r>
    </w:p>
    <w:p w14:paraId="79B30C41" w14:textId="77777777" w:rsidR="009B0610" w:rsidRPr="00640B5C" w:rsidRDefault="009B0610" w:rsidP="003E49C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A0F06" w14:textId="77777777" w:rsidR="009B0610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F4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dužan je za svaku daljnju gradnju ili rekonstrukciju na koncesioniranom pomorskom dobru zatražiti suglasnost Davatelja koncesije te ishoditi dozvole sukladno propisima koji uređuju prostorno uređenje i gradnju.</w:t>
      </w:r>
    </w:p>
    <w:p w14:paraId="024F4B4D" w14:textId="77777777" w:rsidR="003E49C4" w:rsidRDefault="003E49C4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86E96" w14:textId="77777777" w:rsidR="003E49C4" w:rsidRPr="00640B5C" w:rsidRDefault="003E49C4" w:rsidP="003E49C4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dužan je omogućiti nesmetani prolaz svih plovnih objekata kroz pomorsko dobro iz točke II. ove Odluke u i iz </w:t>
      </w:r>
      <w:r w:rsidRPr="003E49C4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B2"/>
      </w:r>
      <w:r w:rsidRPr="003E49C4">
        <w:rPr>
          <w:rFonts w:ascii="Times New Roman" w:eastAsia="Times New Roman" w:hAnsi="Times New Roman" w:cs="Times New Roman"/>
          <w:sz w:val="24"/>
          <w:szCs w:val="24"/>
          <w:lang w:eastAsia="hr-HR"/>
        </w:rPr>
        <w:t>Mrtvog kanala</w:t>
      </w:r>
      <w:r w:rsidRPr="003E49C4">
        <w:rPr>
          <w:rFonts w:ascii="Times New Roman" w:eastAsia="Times New Roman" w:hAnsi="Times New Roman" w:cs="Times New Roman"/>
          <w:sz w:val="24"/>
          <w:szCs w:val="24"/>
          <w:lang w:eastAsia="hr-HR"/>
        </w:rPr>
        <w:sym w:font="Symbol" w:char="F0B2"/>
      </w:r>
      <w:r w:rsidRPr="003E49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875160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9BB66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VI.</w:t>
      </w:r>
    </w:p>
    <w:p w14:paraId="22A704A2" w14:textId="77777777" w:rsidR="009B0610" w:rsidRPr="00640B5C" w:rsidRDefault="009B0610" w:rsidP="009B0610">
      <w:pPr>
        <w:spacing w:after="0"/>
        <w:jc w:val="both"/>
        <w:textAlignment w:val="baseline"/>
        <w:rPr>
          <w:rFonts w:ascii="Calibri" w:hAnsi="Calibri" w:cs="Calibri"/>
          <w:sz w:val="21"/>
          <w:szCs w:val="21"/>
        </w:rPr>
      </w:pPr>
    </w:p>
    <w:p w14:paraId="7C6986C0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F4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se obvezuje da pomorsko dobro koje ovom Odlukom dobiva na gospodarsko korištenje, koristi isključivo za izgradnju i obavljanje djelatnosti za koje je utvrđena namjena koncesije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kako je navedeno u Studiji gospodarske opravdanosti iz točke V. </w:t>
      </w:r>
      <w:r w:rsidR="00117566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Odluke.</w:t>
      </w:r>
    </w:p>
    <w:p w14:paraId="77637406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7092F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F4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dužan je pomorsko dobro koje ovom Odlukom dobiva na gospodarsko korištenje koristiti sukladno Zakonu o pomorskom dobru i morskim lukama i drugim zakonima te podzakonskim aktima iz područja sigurnosti plovidbe i zaštite okoliša, i to na način koji će osigurati zaštitu okoliša.</w:t>
      </w:r>
    </w:p>
    <w:p w14:paraId="34D8256B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204F70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ne može prava stečena koncesijom, niti djelomično, niti u cijelosti prenositi na drugoga, bez izričitog odobrenja Davatelja koncesije.</w:t>
      </w:r>
    </w:p>
    <w:p w14:paraId="69946629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01100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52393299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EC53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Za gospodarsko korištenje pomorskog dobra navedenog u točki II. ove Odluke, Ovlaštenik koncesije obvezuje se da će uredno plaćati Davatelju koncesije godišnju koncesijsku naknadu.</w:t>
      </w:r>
    </w:p>
    <w:p w14:paraId="5CB516B3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4B642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Godišnja koncesijska naknada koju Ovlaštenik koncesije plaća za gospodarsko korištenje pomorskog dobra sastoji se od stalnog i promjenjivog dijela naknade, s tim da:</w:t>
      </w:r>
    </w:p>
    <w:p w14:paraId="4340C4AA" w14:textId="77777777" w:rsidR="009B0610" w:rsidRPr="00640B5C" w:rsidRDefault="009B0610" w:rsidP="009B0610">
      <w:pPr>
        <w:pStyle w:val="ListParagraph"/>
        <w:numPr>
          <w:ilvl w:val="0"/>
          <w:numId w:val="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stalni dio iznosi 5,00 kuna po metru kvadratnom zauzete ukupne površine pomorskog dobra godišnje, plativo u jednom obroku, s time da će se stalni dio koncesijske naknade nakon petnaeste godine povećavati svakih 5 godina za 2,00 kune po metru kvadratnom zauzete ukupne površine pomorskog dobra;</w:t>
      </w:r>
    </w:p>
    <w:p w14:paraId="26C57A90" w14:textId="77777777" w:rsidR="009B0610" w:rsidRPr="007131D8" w:rsidRDefault="009B0610" w:rsidP="009B0610">
      <w:pPr>
        <w:pStyle w:val="ListParagraph"/>
        <w:numPr>
          <w:ilvl w:val="0"/>
          <w:numId w:val="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131D8">
        <w:rPr>
          <w:rFonts w:ascii="Times New Roman" w:eastAsia="Times New Roman" w:hAnsi="Times New Roman" w:cs="Times New Roman"/>
          <w:sz w:val="24"/>
          <w:szCs w:val="24"/>
        </w:rPr>
        <w:t>promjenjivi dio iznosi 4% prihoda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ostvarenog na koncesioniranom pomorskom dobru</w:t>
      </w:r>
      <w:r w:rsidRPr="007131D8">
        <w:rPr>
          <w:rFonts w:ascii="Times New Roman" w:eastAsia="Times New Roman" w:hAnsi="Times New Roman" w:cs="Times New Roman"/>
          <w:sz w:val="24"/>
          <w:szCs w:val="24"/>
        </w:rPr>
        <w:t>, umanjenog za nabavnu vrijednost naftnih derivata.</w:t>
      </w:r>
    </w:p>
    <w:p w14:paraId="00FBA0C3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30007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koncesijska naknada plaća se na sljedeći način:</w:t>
      </w:r>
    </w:p>
    <w:p w14:paraId="1B34E650" w14:textId="77777777" w:rsidR="009B0610" w:rsidRPr="00640B5C" w:rsidRDefault="009B0610" w:rsidP="009B0610">
      <w:pPr>
        <w:pStyle w:val="ListParagraph"/>
        <w:numPr>
          <w:ilvl w:val="0"/>
          <w:numId w:val="7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40B5C">
        <w:rPr>
          <w:rFonts w:ascii="Times New Roman" w:eastAsia="Times New Roman" w:hAnsi="Times New Roman" w:cs="Times New Roman"/>
          <w:sz w:val="24"/>
          <w:szCs w:val="24"/>
        </w:rPr>
        <w:t>talni dio naknade plaća se unaprijed za tekuću godinu, najkasnije do 1. ožujka:</w:t>
      </w:r>
    </w:p>
    <w:p w14:paraId="57743ADE" w14:textId="77777777" w:rsidR="009B0610" w:rsidRPr="00640B5C" w:rsidRDefault="009B0610" w:rsidP="009B061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za godinu u kojoj je dana koncesija i za godinu u kojoj koncesija istječe, naknada se plaća razmjerno mjesecima korištenja;</w:t>
      </w:r>
    </w:p>
    <w:p w14:paraId="21032C25" w14:textId="77777777" w:rsidR="009B0610" w:rsidRPr="00640B5C" w:rsidRDefault="009B0610" w:rsidP="009B061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za početnu godinu koncesijskog perioda naknada se plaća u roku od 45 dana od dana sklapanja ugovora o koncesiji.</w:t>
      </w:r>
    </w:p>
    <w:p w14:paraId="11C14496" w14:textId="77777777" w:rsidR="009B0610" w:rsidRPr="00B30673" w:rsidRDefault="009B0610" w:rsidP="009B0610">
      <w:pPr>
        <w:pStyle w:val="ListParagraph"/>
        <w:numPr>
          <w:ilvl w:val="0"/>
          <w:numId w:val="7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40B5C">
        <w:rPr>
          <w:rFonts w:ascii="Times New Roman" w:eastAsia="Times New Roman" w:hAnsi="Times New Roman" w:cs="Times New Roman"/>
          <w:sz w:val="24"/>
          <w:szCs w:val="24"/>
        </w:rPr>
        <w:t xml:space="preserve">romjenjivi </w:t>
      </w:r>
      <w:r w:rsidRPr="00B30673">
        <w:rPr>
          <w:rFonts w:ascii="Times New Roman" w:eastAsia="Times New Roman" w:hAnsi="Times New Roman" w:cs="Times New Roman"/>
          <w:sz w:val="24"/>
          <w:szCs w:val="24"/>
        </w:rPr>
        <w:t>dio naknade plaća se unatrag u jednom obroku, i to do 30. travnja tekuće godine za ostvareni ukupni godišnji prihod prethodne godine, umanjen za nabavnu vrijednost naftnih derivata.</w:t>
      </w:r>
    </w:p>
    <w:p w14:paraId="3E70EA5C" w14:textId="77777777" w:rsidR="009B0610" w:rsidRPr="00B30673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DBAA49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 naknade za koncesiju (stalnog i promjenjivog dijela) moguće su temeljem:</w:t>
      </w:r>
    </w:p>
    <w:p w14:paraId="62206458" w14:textId="77777777" w:rsidR="009B0610" w:rsidRPr="00640B5C" w:rsidRDefault="009B0610" w:rsidP="009B0610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indeksacije vezane uz promjenu tečaja kune i eura u odnosu na fluktuaciju tečaja</w:t>
      </w:r>
    </w:p>
    <w:p w14:paraId="0FB67C28" w14:textId="77777777" w:rsidR="009B0610" w:rsidRPr="00640B5C" w:rsidRDefault="009B0610" w:rsidP="009B0610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indeksa potrošačkih cijena, odnosno</w:t>
      </w:r>
    </w:p>
    <w:p w14:paraId="66C5CB7E" w14:textId="77777777" w:rsidR="009B0610" w:rsidRPr="00640B5C" w:rsidRDefault="009B0610" w:rsidP="009B0610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t>izmjena posebnog propisa u dijelu kojim se uređuje visina i način plaćanja naknade za koncesiju.</w:t>
      </w:r>
    </w:p>
    <w:p w14:paraId="4D1C8D1F" w14:textId="77777777" w:rsidR="009B0610" w:rsidRPr="00640B5C" w:rsidRDefault="009B0610" w:rsidP="009B0610">
      <w:pPr>
        <w:pStyle w:val="ListParagraph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B5C">
        <w:rPr>
          <w:rFonts w:ascii="Times New Roman" w:eastAsia="Times New Roman" w:hAnsi="Times New Roman" w:cs="Times New Roman"/>
          <w:sz w:val="24"/>
          <w:szCs w:val="24"/>
        </w:rPr>
        <w:lastRenderedPageBreak/>
        <w:t>gospodarskih okolnosti koje značajno utječu na ravnotežu odnosa naknade za koncesiju i procijenjene vrijednosti koncesije koja je bila temelj sklapanja ugovora o koncesiji.</w:t>
      </w:r>
    </w:p>
    <w:p w14:paraId="5B5EAAC3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9C9E623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Promjena naknade za koncesiju u skladu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 4. ovoga članka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se ugovorom o koncesiji i posebnim zakonima, a obavlja se ovisno o nastanku okolnosti i/ili periodično u za to određenim vremenskim razdobljima ovisno u uvjetima fluktuacije tečaja ili promjena potrošačkih cijena.</w:t>
      </w:r>
    </w:p>
    <w:p w14:paraId="318EAAC0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96004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VIII.</w:t>
      </w:r>
    </w:p>
    <w:p w14:paraId="3925523E" w14:textId="77777777" w:rsidR="009B0610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0F7BA" w14:textId="77777777" w:rsidR="009B0610" w:rsidRPr="00076A0F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6A0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ove Odluke ovlašćuje se ministar mora, prometa i infrastrukture da sklopi ugovor o koncesiji pomorskog dobra iz točke II. ove Odluke, kojim će se detaljno urediti ovlaštenja Davatelja koncesije, te prava i obveze Ovlaštenika koncesije, posebno u odnosu na zaštitu okoliša, sigurnost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lovidbe, izgradnju i održavanje</w:t>
      </w:r>
      <w:r w:rsidRPr="00076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nadzor nad gospodarskim korištenjem pomorskog dobra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daje u koncesiju</w:t>
      </w:r>
      <w:r w:rsidRPr="00076A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C874A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F113B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IX.</w:t>
      </w:r>
    </w:p>
    <w:p w14:paraId="0664B4C4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77CBF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koncesije dužan je prije sklapanja ugovora o koncesiji iz točke VIII. ove Odluke Davatelju koncesije dostaviti garanciju banke radi dobrog izvršenja posla u korist Republike Hrvatske – Ministarstva mora, prometa i infrastrukture, na iznos od 18.186.086,70 kuna, a što je 5% od ukupne vrijednosti investicije, koja prema Studiji gospodarske opravdanosti iz točke V. </w:t>
      </w:r>
      <w:r w:rsidR="00117566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 iznosi 363.721.734,00 kuna, s rokom važenja garancije do šest mjeseci od završetka planiranog investicijskog ciklusa, a koja garancija je bezuvjetna, bez prigovora i naplativa na prvi poziv.</w:t>
      </w:r>
    </w:p>
    <w:p w14:paraId="62F99868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58B2A3" w14:textId="77777777" w:rsidR="009B0610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dužan je prije sklapanja ugovora o koncesiji iz točke VIII. ove Odluke Davatelju koncesije dostaviti ovjerene zadužnice na iznos od dvije godišnje naknade za stalni dio koncesijske naknade, u ukupnom iznosu od 1.058.970,00 kuna, kao instrumente osiguranja naplate naknade za koncesiju te za naknadu štete koja može nastati zbog neispunjenja obveza iz ugovora.</w:t>
      </w:r>
    </w:p>
    <w:p w14:paraId="11C9DD6D" w14:textId="77777777" w:rsidR="005470BE" w:rsidRDefault="005470BE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059A5" w14:textId="77777777" w:rsidR="009B0610" w:rsidRDefault="005470BE" w:rsidP="00697C5C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Ovlaštenik koncesije 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</w:t>
      </w:r>
      <w:r w:rsidR="00697C5C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2 (dvije) godine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7C5C"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dana </w:t>
      </w:r>
      <w:r w:rsidR="00754A49" w:rsidRP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ove Odluke u „Narodnim novinama“</w:t>
      </w:r>
      <w:r w:rsid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ne dostavi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Davatelju koncesije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izvršnu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lokacijsku dozvolu iz točke V. stavka 2. ove Odluke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garanciju banke iz 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ove točke,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ovjerene zadužnice iz stavka 2. ove točke, neće se sklopiti ugovor o koncesiji iz točke VIII.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ove Odluke, naplatit će se garancija za ozbiljnost ponude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 gubi sva prava utvrđena ovom Odlukom</w:t>
      </w:r>
      <w:r w:rsid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, a ova Odluka prestaje važiti.</w:t>
      </w:r>
    </w:p>
    <w:p w14:paraId="27BBC784" w14:textId="77777777" w:rsidR="005470BE" w:rsidRDefault="005470BE" w:rsidP="005470BE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1CBBF" w14:textId="77777777" w:rsidR="00D363C5" w:rsidRDefault="00D363C5" w:rsidP="005470BE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525274" w14:textId="77777777" w:rsidR="00D363C5" w:rsidRPr="00640B5C" w:rsidRDefault="00D363C5" w:rsidP="005470BE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1ED7A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69704A25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D94BC7" w14:textId="77777777" w:rsidR="009B0610" w:rsidRPr="00640B5C" w:rsidRDefault="009B0610" w:rsidP="009B0610">
      <w:pPr>
        <w:spacing w:after="0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ove Odluke žalba nije dopuštena, ali se može pokrenuti upravni spor podnošenjem tužbe Upravnom sudu u Zagrebu, u roku od 30 dana od dana objave ove Odluke u „Narodnim novinama“.</w:t>
      </w:r>
    </w:p>
    <w:p w14:paraId="123CDF12" w14:textId="77777777" w:rsidR="009B0610" w:rsidRPr="00640B5C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67DD8" w14:textId="77777777" w:rsidR="009B0610" w:rsidRPr="00640B5C" w:rsidRDefault="009B0610" w:rsidP="009B061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5F56AC2C" w14:textId="77777777" w:rsidR="009B0610" w:rsidRPr="00640B5C" w:rsidRDefault="009B0610" w:rsidP="009B061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7F29F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„Narodnim novinama“.</w:t>
      </w:r>
    </w:p>
    <w:p w14:paraId="00C3810D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A878B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4B6EC5B3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3A34009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58DC9B92" w14:textId="77777777" w:rsidR="009B0610" w:rsidRPr="00640B5C" w:rsidRDefault="009B0610" w:rsidP="009B0610">
      <w:pPr>
        <w:spacing w:after="0"/>
        <w:ind w:left="452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90516" w14:textId="77777777" w:rsidR="009B0610" w:rsidRPr="00640B5C" w:rsidRDefault="009B0610" w:rsidP="009B0610">
      <w:pPr>
        <w:spacing w:after="0"/>
        <w:ind w:left="452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4D6AF" w14:textId="77777777" w:rsidR="009B0610" w:rsidRPr="00640B5C" w:rsidRDefault="009B0610" w:rsidP="009B0610">
      <w:pPr>
        <w:spacing w:after="0"/>
        <w:ind w:left="452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5FBCF288" w14:textId="77777777" w:rsidR="009B0610" w:rsidRPr="00640B5C" w:rsidRDefault="009B0610" w:rsidP="009B0610">
      <w:pPr>
        <w:spacing w:after="0"/>
        <w:ind w:left="45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40B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mr. sc. Andrej Plenković</w:t>
      </w:r>
    </w:p>
    <w:p w14:paraId="6EB12804" w14:textId="77777777" w:rsidR="009B0610" w:rsidRPr="00640B5C" w:rsidRDefault="009B0610" w:rsidP="009B061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590EC7" w14:textId="77777777" w:rsidR="009B0610" w:rsidRPr="00640B5C" w:rsidRDefault="009B0610" w:rsidP="009B061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989C5D" w14:textId="77777777" w:rsidR="009B0610" w:rsidRPr="00640B5C" w:rsidRDefault="009B0610" w:rsidP="009B061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05B3A535" w14:textId="77777777" w:rsidR="009B0610" w:rsidRPr="00640B5C" w:rsidRDefault="009B0610" w:rsidP="009B0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57D59AD3" w14:textId="77777777" w:rsidR="009B0610" w:rsidRPr="00640B5C" w:rsidRDefault="009B0610" w:rsidP="009B06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A16FD0" w14:textId="77777777" w:rsidR="009B0610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Obavijesti Vlade Republike Hrvatske o namjeri davanja koncesije na pomorskom dobru u svrhu izgradnje i gospodarskog korištenja luke posebne namjene – luke nautičkog turizma Porto Baroš na dijelu k.o. Stari Grad, Grad Rijeka, objavljenoj u Elektroničkom oglasniku javne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(broj objave: 2021/S 01K-0002182) od 19. siječnja 2021. godine pristigla je jedna ponuda.</w:t>
      </w:r>
    </w:p>
    <w:p w14:paraId="244B4C44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B98E0A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Stručno tijelo za ocjenu ponuda za koncesije na pomorskom dobru donijelo je Nalaz i mišljenje iz kojega slijedi kako je ponuda trgovačkog društva ACI – GITONE d.o.o. dostavljena u propisanom vremenskom roku, kako sadrži svu dokumentaciju koja je određena kao propisani sadržaj ponude iz Obavijesti Vlade Republike Hrvatske o namjeri davanja koncesije na predmetnom pomorskom dobru i dokumentacije za nadmetanje objavljene u Elektroničkom oglasniku javne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Hrvatske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kako ponuda odgovara svim posebnim propisima i gospodarskom značaju pomorskog dobra koje se daje u koncesiju i da je samim time prihvatljiva.</w:t>
      </w:r>
    </w:p>
    <w:p w14:paraId="248AFE76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0ACD8" w14:textId="77777777" w:rsidR="009B0610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Nalazu i mišljenju Stručnog tijela izrađen je predmetni prijedlog Odluke kojim se koncesija daje trgovačkom društvu ACI – GITONE d.o.o..</w:t>
      </w:r>
    </w:p>
    <w:p w14:paraId="490381E1" w14:textId="77777777" w:rsidR="009B0610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A8369" w14:textId="77777777" w:rsidR="009B0610" w:rsidRDefault="009B061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Površina pomorskog dobra – lučkog područja koje se daje u koncesiju ukupno iznosi 105 897 m²,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k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oncesija se daje na vremensko razdoblje od 30 (trideset) godina, računajući od dana sklapanja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govora o koncesiji.</w:t>
      </w:r>
    </w:p>
    <w:p w14:paraId="10B0287E" w14:textId="77777777" w:rsidR="00917890" w:rsidRDefault="00917890" w:rsidP="009B06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E18FA" w14:textId="77777777" w:rsidR="00D363C5" w:rsidRDefault="00D363C5" w:rsidP="00D363C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je u roku od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2 (dvije)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dana </w:t>
      </w:r>
      <w:r w:rsidR="00754A49" w:rsidRP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ove Odluke u „Narodnim novinama“</w:t>
      </w:r>
      <w:r w:rsidR="00754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 Davatelju koncesije izvršnu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lokacijsku dozvolu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garanciju banke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dobro izvršenje posla i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ovjerene zadužnice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na iznos od dvije godišnje naknade za stalni dio koncesijske naknade,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 protivnom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neće se sklopiti ugovor o koncesiji, naplatit će se garancija za ozbiljnost ponude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 konces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 gubi sva prava utvrđena</w:t>
      </w:r>
      <w:r w:rsidRPr="00697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koncesiji, a sama Odluka o koncesiji prestaje važiti.</w:t>
      </w:r>
    </w:p>
    <w:p w14:paraId="24E1194C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4305B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ponuđenog iznosa stalnog dijela naknade za koncesiju iznosi 5,00 kuna po metru kvadratnom zauzete ukupne površine pomorskog dobra godišnje, odnosno 529.485,00 kuna godišnje, s time da će se stalni dio koncesijske naknade nakon petnaeste godine povećavati svakih 5 godina za 2,00 kune po metru kvadratnom zauzetog pomorskog dobra, što za cjelokupn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 trajanja koncesije iznosi ukupno 22.238.370,00 kuna.</w:t>
      </w:r>
      <w:r w:rsidR="00926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 iznos promjenjivog dijela naknade iznosi 4% prihoda, umanjenog</w:t>
      </w:r>
      <w:r w:rsidRPr="00640B5C">
        <w:rPr>
          <w:rFonts w:ascii="Times New Roman" w:eastAsia="Times New Roman" w:hAnsi="Times New Roman" w:cs="Times New Roman"/>
          <w:sz w:val="24"/>
          <w:szCs w:val="24"/>
        </w:rPr>
        <w:t xml:space="preserve"> za nabavnu vrijednost naftnih derivata, što u apsolutnom iznosu prema </w:t>
      </w:r>
      <w:r w:rsidRPr="00640B5C">
        <w:rPr>
          <w:rFonts w:ascii="Times New Roman" w:eastAsia="Times New Roman" w:hAnsi="Times New Roman" w:cs="Times New Roman"/>
          <w:sz w:val="24"/>
          <w:szCs w:val="24"/>
        </w:rPr>
        <w:lastRenderedPageBreak/>
        <w:t>prikazanim ukupnim prihodima iz Studije gospodarske opravdanosti za vrijeme trajanja koncesije iznosi 116.232.340,00 kuna.</w:t>
      </w:r>
    </w:p>
    <w:p w14:paraId="520FF24B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EFBEA" w14:textId="77777777" w:rsidR="009B0610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investicijsko ulaganje u pomorsko dobro iznosi 363.721.734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kuna, a </w:t>
      </w: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926BA3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zaposliti 128 radnika.</w:t>
      </w:r>
    </w:p>
    <w:p w14:paraId="47A32396" w14:textId="77777777" w:rsidR="00926BA3" w:rsidRDefault="00926BA3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91AB1" w14:textId="77777777" w:rsidR="009B0610" w:rsidRDefault="008C6AD5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6AD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Planirane građevine na kopnu su u funkciji pružanja usluga nautičarima kao i prostori osoblja marine te u istim nije moguć smještaj gostiju marine.</w:t>
      </w:r>
    </w:p>
    <w:p w14:paraId="04A1D30B" w14:textId="77777777" w:rsidR="008C6AD5" w:rsidRPr="00640B5C" w:rsidRDefault="008C6AD5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9FF33" w14:textId="77777777" w:rsidR="009B0610" w:rsidRPr="00640B5C" w:rsidRDefault="009B0610" w:rsidP="009B0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B5C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izrađen je Prijedlog odluke o koncesiji na pomorskom dobru u svrhu izgradnje i gospodarskog korištenja luke posebne namjene – luke nautičkog turizma Porto Baroš na dijelu k.o. Stari Grad, Grad Rijeka.</w:t>
      </w:r>
    </w:p>
    <w:sectPr w:rsidR="009B0610" w:rsidRPr="00640B5C" w:rsidSect="00C10194">
      <w:headerReference w:type="default" r:id="rId13"/>
      <w:footerReference w:type="defaul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1719" w14:textId="77777777" w:rsidR="00465AC6" w:rsidRDefault="00465AC6">
      <w:pPr>
        <w:spacing w:after="0" w:line="240" w:lineRule="auto"/>
      </w:pPr>
      <w:r>
        <w:separator/>
      </w:r>
    </w:p>
  </w:endnote>
  <w:endnote w:type="continuationSeparator" w:id="0">
    <w:p w14:paraId="59E2DFFD" w14:textId="77777777" w:rsidR="00465AC6" w:rsidRDefault="0046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1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9CD88" w14:textId="5D966AA1" w:rsidR="00E06588" w:rsidRPr="00BA5B8E" w:rsidRDefault="003E65C0">
        <w:pPr>
          <w:pStyle w:val="Footer1"/>
          <w:jc w:val="right"/>
          <w:rPr>
            <w:rFonts w:ascii="Times New Roman" w:hAnsi="Times New Roman" w:cs="Times New Roman"/>
          </w:rPr>
        </w:pPr>
        <w:r w:rsidRPr="00BA5B8E">
          <w:rPr>
            <w:rFonts w:ascii="Times New Roman" w:hAnsi="Times New Roman" w:cs="Times New Roman"/>
          </w:rPr>
          <w:fldChar w:fldCharType="begin"/>
        </w:r>
        <w:r w:rsidRPr="00BA5B8E">
          <w:rPr>
            <w:rFonts w:ascii="Times New Roman" w:hAnsi="Times New Roman" w:cs="Times New Roman"/>
          </w:rPr>
          <w:instrText xml:space="preserve"> PAGE   \* MERGEFORMAT </w:instrText>
        </w:r>
        <w:r w:rsidRPr="00BA5B8E">
          <w:rPr>
            <w:rFonts w:ascii="Times New Roman" w:hAnsi="Times New Roman" w:cs="Times New Roman"/>
          </w:rPr>
          <w:fldChar w:fldCharType="separate"/>
        </w:r>
        <w:r w:rsidR="00B67B04">
          <w:rPr>
            <w:rFonts w:ascii="Times New Roman" w:hAnsi="Times New Roman" w:cs="Times New Roman"/>
            <w:noProof/>
          </w:rPr>
          <w:t>2</w:t>
        </w:r>
        <w:r w:rsidRPr="00BA5B8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DEBAD7" w14:textId="77777777" w:rsidR="00E06588" w:rsidRDefault="00B67B04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7FBB8" w14:textId="77777777" w:rsidR="00611B91" w:rsidRPr="00611B91" w:rsidRDefault="00611B91" w:rsidP="00611B9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8AAC" w14:textId="77777777" w:rsidR="00465AC6" w:rsidRDefault="00465AC6">
      <w:pPr>
        <w:spacing w:after="0" w:line="240" w:lineRule="auto"/>
      </w:pPr>
      <w:r>
        <w:separator/>
      </w:r>
    </w:p>
  </w:footnote>
  <w:footnote w:type="continuationSeparator" w:id="0">
    <w:p w14:paraId="5554D79A" w14:textId="77777777" w:rsidR="00465AC6" w:rsidRDefault="0046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845E7" w14:textId="77777777" w:rsidR="00E06588" w:rsidRDefault="00B67B04">
    <w:pPr>
      <w:pStyle w:val="Header1"/>
    </w:pPr>
  </w:p>
  <w:p w14:paraId="624E9BB6" w14:textId="77777777" w:rsidR="00E06588" w:rsidRDefault="00B67B04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239"/>
    <w:multiLevelType w:val="hybridMultilevel"/>
    <w:tmpl w:val="C77A22B8"/>
    <w:lvl w:ilvl="0" w:tplc="27D8F44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4320"/>
    <w:multiLevelType w:val="hybridMultilevel"/>
    <w:tmpl w:val="5AAA9DCE"/>
    <w:lvl w:ilvl="0" w:tplc="BE1A637E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D0715F1"/>
    <w:multiLevelType w:val="hybridMultilevel"/>
    <w:tmpl w:val="7A989FE8"/>
    <w:lvl w:ilvl="0" w:tplc="3C18B0B4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F5C3F3B"/>
    <w:multiLevelType w:val="hybridMultilevel"/>
    <w:tmpl w:val="11D0B874"/>
    <w:lvl w:ilvl="0" w:tplc="377E6E6E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9D34D4A"/>
    <w:multiLevelType w:val="hybridMultilevel"/>
    <w:tmpl w:val="E65E69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C0"/>
    <w:rsid w:val="0000086D"/>
    <w:rsid w:val="000061C4"/>
    <w:rsid w:val="00007420"/>
    <w:rsid w:val="00007ECA"/>
    <w:rsid w:val="00047493"/>
    <w:rsid w:val="00050877"/>
    <w:rsid w:val="00092261"/>
    <w:rsid w:val="00115BDC"/>
    <w:rsid w:val="00117566"/>
    <w:rsid w:val="001253C9"/>
    <w:rsid w:val="0016282B"/>
    <w:rsid w:val="0016685F"/>
    <w:rsid w:val="0017402F"/>
    <w:rsid w:val="00192931"/>
    <w:rsid w:val="00194CF2"/>
    <w:rsid w:val="001A54C2"/>
    <w:rsid w:val="001D472B"/>
    <w:rsid w:val="001D59C7"/>
    <w:rsid w:val="001F72C8"/>
    <w:rsid w:val="00202808"/>
    <w:rsid w:val="00212DE3"/>
    <w:rsid w:val="00220907"/>
    <w:rsid w:val="00231E63"/>
    <w:rsid w:val="002500A8"/>
    <w:rsid w:val="0026546F"/>
    <w:rsid w:val="00273AC9"/>
    <w:rsid w:val="00285534"/>
    <w:rsid w:val="002B1581"/>
    <w:rsid w:val="002D75A6"/>
    <w:rsid w:val="00303CE9"/>
    <w:rsid w:val="00306859"/>
    <w:rsid w:val="003329E2"/>
    <w:rsid w:val="00335A90"/>
    <w:rsid w:val="003373A6"/>
    <w:rsid w:val="0034460A"/>
    <w:rsid w:val="00344626"/>
    <w:rsid w:val="00353352"/>
    <w:rsid w:val="00385866"/>
    <w:rsid w:val="003B07D3"/>
    <w:rsid w:val="003E49C4"/>
    <w:rsid w:val="003E65C0"/>
    <w:rsid w:val="003F7614"/>
    <w:rsid w:val="00407B25"/>
    <w:rsid w:val="004224A2"/>
    <w:rsid w:val="004348C7"/>
    <w:rsid w:val="00443250"/>
    <w:rsid w:val="00456A36"/>
    <w:rsid w:val="00465AC6"/>
    <w:rsid w:val="004734FC"/>
    <w:rsid w:val="00507B34"/>
    <w:rsid w:val="00540500"/>
    <w:rsid w:val="005470BE"/>
    <w:rsid w:val="005837B1"/>
    <w:rsid w:val="005A243E"/>
    <w:rsid w:val="005C6011"/>
    <w:rsid w:val="005D23D8"/>
    <w:rsid w:val="005D29E0"/>
    <w:rsid w:val="005D3449"/>
    <w:rsid w:val="005E7098"/>
    <w:rsid w:val="005E71F1"/>
    <w:rsid w:val="005F71C8"/>
    <w:rsid w:val="00611B91"/>
    <w:rsid w:val="00656647"/>
    <w:rsid w:val="00674770"/>
    <w:rsid w:val="00680BB1"/>
    <w:rsid w:val="006944E5"/>
    <w:rsid w:val="00697C5C"/>
    <w:rsid w:val="006A3EF1"/>
    <w:rsid w:val="006C3C1D"/>
    <w:rsid w:val="006E725A"/>
    <w:rsid w:val="006F02B2"/>
    <w:rsid w:val="00702ED9"/>
    <w:rsid w:val="00731FAE"/>
    <w:rsid w:val="007349C9"/>
    <w:rsid w:val="00740FC2"/>
    <w:rsid w:val="007548B9"/>
    <w:rsid w:val="00754A49"/>
    <w:rsid w:val="007855A5"/>
    <w:rsid w:val="00791219"/>
    <w:rsid w:val="007B7379"/>
    <w:rsid w:val="007D4CFD"/>
    <w:rsid w:val="007D68AD"/>
    <w:rsid w:val="00805DB2"/>
    <w:rsid w:val="008434C3"/>
    <w:rsid w:val="00857A7E"/>
    <w:rsid w:val="0088627A"/>
    <w:rsid w:val="008B3417"/>
    <w:rsid w:val="008C32C0"/>
    <w:rsid w:val="008C6AD5"/>
    <w:rsid w:val="008E570B"/>
    <w:rsid w:val="00917890"/>
    <w:rsid w:val="00926BA3"/>
    <w:rsid w:val="0094431D"/>
    <w:rsid w:val="00967D8C"/>
    <w:rsid w:val="009A11F4"/>
    <w:rsid w:val="009B0610"/>
    <w:rsid w:val="009B088E"/>
    <w:rsid w:val="009B3FFF"/>
    <w:rsid w:val="009C50F4"/>
    <w:rsid w:val="009D279B"/>
    <w:rsid w:val="009E5850"/>
    <w:rsid w:val="009F6031"/>
    <w:rsid w:val="00A0610C"/>
    <w:rsid w:val="00A34320"/>
    <w:rsid w:val="00A5502D"/>
    <w:rsid w:val="00AC4AAB"/>
    <w:rsid w:val="00AD7306"/>
    <w:rsid w:val="00AF112D"/>
    <w:rsid w:val="00B20CAF"/>
    <w:rsid w:val="00B338ED"/>
    <w:rsid w:val="00B3440D"/>
    <w:rsid w:val="00B66C26"/>
    <w:rsid w:val="00B67B04"/>
    <w:rsid w:val="00B72E6E"/>
    <w:rsid w:val="00BA5B8E"/>
    <w:rsid w:val="00BC5075"/>
    <w:rsid w:val="00C24EAB"/>
    <w:rsid w:val="00CC2FD2"/>
    <w:rsid w:val="00CE694E"/>
    <w:rsid w:val="00D024D5"/>
    <w:rsid w:val="00D22E0D"/>
    <w:rsid w:val="00D268F4"/>
    <w:rsid w:val="00D30010"/>
    <w:rsid w:val="00D33554"/>
    <w:rsid w:val="00D363C5"/>
    <w:rsid w:val="00D36D28"/>
    <w:rsid w:val="00D447A4"/>
    <w:rsid w:val="00D90AED"/>
    <w:rsid w:val="00D963CE"/>
    <w:rsid w:val="00D97D77"/>
    <w:rsid w:val="00DD551F"/>
    <w:rsid w:val="00DD6714"/>
    <w:rsid w:val="00E248EB"/>
    <w:rsid w:val="00E3062F"/>
    <w:rsid w:val="00E37864"/>
    <w:rsid w:val="00EB5323"/>
    <w:rsid w:val="00F07D09"/>
    <w:rsid w:val="00F135BF"/>
    <w:rsid w:val="00F26811"/>
    <w:rsid w:val="00F93400"/>
    <w:rsid w:val="00FA2F9F"/>
    <w:rsid w:val="00FD4EA5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CC98"/>
  <w15:docId w15:val="{C2B520F9-ACC3-4C8F-981E-30659D7A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E65C0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E65C0"/>
  </w:style>
  <w:style w:type="table" w:customStyle="1" w:styleId="TableGrid1">
    <w:name w:val="Table Grid1"/>
    <w:basedOn w:val="TableNormal"/>
    <w:next w:val="TableGrid"/>
    <w:uiPriority w:val="59"/>
    <w:rsid w:val="003E65C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E65C0"/>
  </w:style>
  <w:style w:type="paragraph" w:styleId="Footer">
    <w:name w:val="footer"/>
    <w:basedOn w:val="Normal"/>
    <w:link w:val="FooterChar1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E65C0"/>
  </w:style>
  <w:style w:type="table" w:styleId="TableGrid">
    <w:name w:val="Table Grid"/>
    <w:basedOn w:val="TableNormal"/>
    <w:uiPriority w:val="59"/>
    <w:rsid w:val="003E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C0"/>
    <w:rPr>
      <w:rFonts w:ascii="Tahoma" w:hAnsi="Tahoma" w:cs="Tahoma"/>
      <w:sz w:val="16"/>
      <w:szCs w:val="16"/>
    </w:rPr>
  </w:style>
  <w:style w:type="paragraph" w:customStyle="1" w:styleId="box459805">
    <w:name w:val="box_459805"/>
    <w:basedOn w:val="Normal"/>
    <w:rsid w:val="00C2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2">
    <w:name w:val="Table Grid2"/>
    <w:basedOn w:val="TableNormal"/>
    <w:next w:val="TableGrid"/>
    <w:rsid w:val="007D6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iv13">
    <w:name w:val="naziv13"/>
    <w:basedOn w:val="DefaultParagraphFont"/>
    <w:rsid w:val="006C3C1D"/>
    <w:rPr>
      <w:b/>
      <w:bCs/>
      <w:sz w:val="23"/>
      <w:szCs w:val="23"/>
    </w:rPr>
  </w:style>
  <w:style w:type="paragraph" w:customStyle="1" w:styleId="box458690">
    <w:name w:val="box_458690"/>
    <w:basedOn w:val="Normal"/>
    <w:rsid w:val="000061C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F6031"/>
    <w:pPr>
      <w:ind w:left="720"/>
      <w:contextualSpacing/>
    </w:pPr>
    <w:rPr>
      <w:rFonts w:eastAsiaTheme="minorEastAsia"/>
      <w:lang w:eastAsia="hr-HR"/>
    </w:rPr>
  </w:style>
  <w:style w:type="paragraph" w:customStyle="1" w:styleId="t-9-8">
    <w:name w:val="t-9-8"/>
    <w:basedOn w:val="Normal"/>
    <w:rsid w:val="0019293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6355">
    <w:name w:val="box_456355"/>
    <w:basedOn w:val="Normal"/>
    <w:rsid w:val="00D2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348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679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672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4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AZJMDCZ6QSYZ-1849078857-5207</_dlc_DocId>
    <_dlc_DocIdUrl xmlns="a494813a-d0d8-4dad-94cb-0d196f36ba15">
      <Url>https://ekoordinacije.vlada.hr/koordinacija-gospodarstvo/_layouts/15/DocIdRedir.aspx?ID=AZJMDCZ6QSYZ-1849078857-5207</Url>
      <Description>AZJMDCZ6QSYZ-1849078857-5207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2882-03D2-42BC-80A3-BEBD26590C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7FD0AB-4D52-4A37-8DCA-A97AEE65F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70477-093E-414B-95B1-09CF6EF945D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29293D-190A-4150-89EA-C443BDE61A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9F947F-97CF-47A6-BAC5-67BB3C77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2165</Words>
  <Characters>12345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Ines Uglešić</cp:lastModifiedBy>
  <cp:revision>4</cp:revision>
  <cp:lastPrinted>2021-04-27T13:15:00Z</cp:lastPrinted>
  <dcterms:created xsi:type="dcterms:W3CDTF">2021-05-03T12:26:00Z</dcterms:created>
  <dcterms:modified xsi:type="dcterms:W3CDTF">2021-05-13T12:17:00Z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e5b6bb24-a11e-44dd-9614-97028905fb3e</vt:lpwstr>
  </property>
</Properties>
</file>