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55649" w14:textId="77777777" w:rsidR="00641888" w:rsidRPr="00641888" w:rsidRDefault="00641888" w:rsidP="00641888">
      <w:pPr>
        <w:spacing w:after="200" w:line="276" w:lineRule="auto"/>
        <w:jc w:val="center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hr-HR" w:eastAsia="hr-HR"/>
        </w:rPr>
      </w:pPr>
      <w:r w:rsidRPr="00641888"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  <w:drawing>
          <wp:inline distT="0" distB="0" distL="0" distR="0" wp14:anchorId="7316D1B1" wp14:editId="4D7768B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888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hr-HR" w:eastAsia="hr-HR"/>
        </w:rPr>
        <w:fldChar w:fldCharType="begin"/>
      </w:r>
      <w:r w:rsidRPr="00641888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hr-HR" w:eastAsia="hr-HR"/>
        </w:rPr>
        <w:instrText xml:space="preserve"> INCLUDEPICTURE "http://www.inet.hr/~box/images/grb-rh.gif" \* MERGEFORMATINET </w:instrText>
      </w:r>
      <w:r w:rsidRPr="00641888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hr-HR" w:eastAsia="hr-HR"/>
        </w:rPr>
        <w:fldChar w:fldCharType="end"/>
      </w:r>
    </w:p>
    <w:p w14:paraId="125BF7E1" w14:textId="77777777" w:rsidR="00641888" w:rsidRPr="00641888" w:rsidRDefault="00641888" w:rsidP="00641888">
      <w:pPr>
        <w:spacing w:before="60" w:after="168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val="hr-HR" w:eastAsia="hr-HR"/>
        </w:rPr>
      </w:pPr>
      <w:r w:rsidRPr="00641888">
        <w:rPr>
          <w:rFonts w:ascii="Times New Roman" w:eastAsia="Times New Roman" w:hAnsi="Times New Roman" w:cs="Times New Roman"/>
          <w:noProof w:val="0"/>
          <w:sz w:val="28"/>
          <w:szCs w:val="28"/>
          <w:lang w:val="hr-HR" w:eastAsia="hr-HR"/>
        </w:rPr>
        <w:t>VLADA REPUBLIKE HRVATSKE</w:t>
      </w:r>
    </w:p>
    <w:p w14:paraId="6D411F8B" w14:textId="4F12ABE5" w:rsidR="00641888" w:rsidRPr="00641888" w:rsidRDefault="00CF52E3" w:rsidP="00641888">
      <w:pPr>
        <w:spacing w:after="2400" w:line="276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Zagreb, 20</w:t>
      </w:r>
      <w:bookmarkStart w:id="0" w:name="_GoBack"/>
      <w:bookmarkEnd w:id="0"/>
      <w:r w:rsidR="00B43F6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 svi</w:t>
      </w:r>
      <w:r w:rsidR="0017560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bnja</w:t>
      </w:r>
      <w:r w:rsidR="00641888" w:rsidRPr="006418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2021.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41888" w:rsidRPr="00641888" w14:paraId="4C1DF093" w14:textId="77777777" w:rsidTr="00DD3E6C">
        <w:tc>
          <w:tcPr>
            <w:tcW w:w="1951" w:type="dxa"/>
          </w:tcPr>
          <w:p w14:paraId="76640929" w14:textId="77777777" w:rsidR="00641888" w:rsidRPr="00641888" w:rsidRDefault="00641888" w:rsidP="00641888">
            <w:pPr>
              <w:spacing w:line="360" w:lineRule="auto"/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641888">
              <w:rPr>
                <w:rFonts w:ascii="Times New Roman" w:hAnsi="Times New Roman" w:cs="Times New Roman"/>
                <w:b/>
                <w:smallCaps/>
                <w:noProof w:val="0"/>
                <w:sz w:val="24"/>
                <w:szCs w:val="24"/>
                <w:lang w:val="hr-HR"/>
              </w:rPr>
              <w:t>Predlagatelj</w:t>
            </w:r>
            <w:r w:rsidRPr="00641888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14:paraId="76C058DC" w14:textId="77777777" w:rsidR="00641888" w:rsidRPr="00641888" w:rsidRDefault="00641888" w:rsidP="00641888">
            <w:pPr>
              <w:spacing w:line="360" w:lineRule="auto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641888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Ministarstvo mora, prometa i infrastrukture</w:t>
            </w:r>
          </w:p>
        </w:tc>
      </w:tr>
      <w:tr w:rsidR="00641888" w:rsidRPr="00641888" w14:paraId="22CC3756" w14:textId="77777777" w:rsidTr="00DD3E6C">
        <w:tc>
          <w:tcPr>
            <w:tcW w:w="1951" w:type="dxa"/>
          </w:tcPr>
          <w:p w14:paraId="33A30C99" w14:textId="77777777" w:rsidR="00641888" w:rsidRPr="00641888" w:rsidRDefault="00641888" w:rsidP="00641888">
            <w:pPr>
              <w:spacing w:line="360" w:lineRule="auto"/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641888">
              <w:rPr>
                <w:rFonts w:ascii="Times New Roman" w:hAnsi="Times New Roman" w:cs="Times New Roman"/>
                <w:b/>
                <w:smallCaps/>
                <w:noProof w:val="0"/>
                <w:sz w:val="24"/>
                <w:szCs w:val="24"/>
                <w:lang w:val="hr-HR"/>
              </w:rPr>
              <w:t>Predmet</w:t>
            </w:r>
            <w:r w:rsidRPr="00641888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14:paraId="11271137" w14:textId="5A500F77" w:rsidR="00641888" w:rsidRPr="00C0523D" w:rsidRDefault="00C0523D" w:rsidP="00C0523D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C0523D">
              <w:rPr>
                <w:rFonts w:ascii="Times New Roman" w:eastAsia="Calibri" w:hAnsi="Times New Roman" w:cs="Times New Roman"/>
                <w:bCs/>
                <w:noProof w:val="0"/>
                <w:color w:val="000000"/>
                <w:sz w:val="24"/>
                <w:szCs w:val="24"/>
                <w:lang w:val="hr-HR" w:eastAsia="en-GB"/>
              </w:rPr>
              <w:t>Prijedlog odluke o koncesiji u svrhu gospodarskog korištenja pomorskog dobra radi obavljanja djelatnosti uzgoja tune i obavljanja turističko – edukacijske djelatnosti u akvatoriju Iškog kanala</w:t>
            </w:r>
          </w:p>
        </w:tc>
      </w:tr>
    </w:tbl>
    <w:p w14:paraId="0F73953E" w14:textId="77777777" w:rsidR="00641888" w:rsidRPr="00641888" w:rsidRDefault="00641888" w:rsidP="00641888">
      <w:pPr>
        <w:spacing w:after="200" w:line="276" w:lineRule="auto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hr-HR" w:eastAsia="hr-HR"/>
        </w:rPr>
      </w:pPr>
    </w:p>
    <w:p w14:paraId="60312B70" w14:textId="77777777" w:rsidR="00641888" w:rsidRPr="00641888" w:rsidRDefault="00641888" w:rsidP="00641888">
      <w:pPr>
        <w:spacing w:after="200" w:line="276" w:lineRule="auto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hr-HR" w:eastAsia="hr-HR"/>
        </w:rPr>
      </w:pPr>
    </w:p>
    <w:p w14:paraId="595C3F34" w14:textId="77777777" w:rsidR="00641888" w:rsidRPr="00641888" w:rsidRDefault="00641888" w:rsidP="00641888">
      <w:pPr>
        <w:spacing w:after="200" w:line="276" w:lineRule="auto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hr-HR" w:eastAsia="hr-HR"/>
        </w:rPr>
      </w:pPr>
    </w:p>
    <w:p w14:paraId="42F18DB9" w14:textId="77777777" w:rsidR="00641888" w:rsidRPr="00641888" w:rsidRDefault="00641888" w:rsidP="00641888">
      <w:pPr>
        <w:spacing w:after="200" w:line="276" w:lineRule="auto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hr-HR" w:eastAsia="hr-HR"/>
        </w:rPr>
      </w:pPr>
    </w:p>
    <w:p w14:paraId="47D6D842" w14:textId="77777777" w:rsidR="00641888" w:rsidRPr="00641888" w:rsidRDefault="00641888" w:rsidP="00641888">
      <w:pPr>
        <w:spacing w:after="200" w:line="276" w:lineRule="auto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hr-HR" w:eastAsia="hr-HR"/>
        </w:rPr>
      </w:pPr>
    </w:p>
    <w:p w14:paraId="183344F4" w14:textId="77777777" w:rsidR="00641888" w:rsidRPr="00641888" w:rsidRDefault="00641888" w:rsidP="00641888">
      <w:pPr>
        <w:spacing w:after="200" w:line="276" w:lineRule="auto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hr-HR" w:eastAsia="hr-HR"/>
        </w:rPr>
      </w:pPr>
    </w:p>
    <w:p w14:paraId="01E90A7A" w14:textId="77777777" w:rsidR="00641888" w:rsidRPr="00641888" w:rsidRDefault="00641888" w:rsidP="00641888">
      <w:pPr>
        <w:spacing w:after="200" w:line="276" w:lineRule="auto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hr-HR" w:eastAsia="hr-HR"/>
        </w:rPr>
      </w:pPr>
    </w:p>
    <w:p w14:paraId="6443A8E2" w14:textId="77777777" w:rsidR="00641888" w:rsidRPr="00641888" w:rsidRDefault="00641888" w:rsidP="00641888">
      <w:pPr>
        <w:spacing w:after="200" w:line="276" w:lineRule="auto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hr-HR" w:eastAsia="hr-HR"/>
        </w:rPr>
      </w:pPr>
    </w:p>
    <w:p w14:paraId="12B2D9A5" w14:textId="77777777" w:rsidR="00641888" w:rsidRPr="00641888" w:rsidRDefault="00641888" w:rsidP="00641888">
      <w:pPr>
        <w:spacing w:after="200" w:line="276" w:lineRule="auto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hr-HR" w:eastAsia="hr-HR"/>
        </w:rPr>
      </w:pPr>
    </w:p>
    <w:p w14:paraId="72545CDD" w14:textId="77777777" w:rsidR="00641888" w:rsidRPr="00641888" w:rsidRDefault="00641888" w:rsidP="00641888">
      <w:pPr>
        <w:spacing w:after="0" w:line="360" w:lineRule="auto"/>
        <w:jc w:val="both"/>
        <w:rPr>
          <w:rFonts w:ascii="Arial" w:eastAsia="Times New Roman" w:hAnsi="Arial" w:cs="Arial"/>
          <w:noProof w:val="0"/>
          <w:color w:val="FF0000"/>
          <w:sz w:val="24"/>
          <w:szCs w:val="24"/>
          <w:lang w:val="hr-HR" w:eastAsia="hr-HR"/>
        </w:rPr>
      </w:pPr>
    </w:p>
    <w:p w14:paraId="297B86E5" w14:textId="77777777" w:rsidR="00641888" w:rsidRPr="00641888" w:rsidRDefault="00641888" w:rsidP="00641888">
      <w:pPr>
        <w:spacing w:after="0" w:line="240" w:lineRule="auto"/>
        <w:jc w:val="both"/>
        <w:rPr>
          <w:rFonts w:ascii="Arial" w:eastAsia="Times New Roman" w:hAnsi="Arial" w:cs="Arial"/>
          <w:noProof w:val="0"/>
          <w:color w:val="FF0000"/>
          <w:sz w:val="32"/>
          <w:szCs w:val="32"/>
          <w:lang w:val="hr-HR" w:eastAsia="hr-HR"/>
        </w:rPr>
      </w:pPr>
    </w:p>
    <w:p w14:paraId="02F2B55E" w14:textId="77777777" w:rsidR="00641888" w:rsidRDefault="00641888" w:rsidP="00641888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641888">
        <w:rPr>
          <w:rFonts w:ascii="Arial" w:eastAsia="Times New Roman" w:hAnsi="Arial" w:cs="Arial"/>
          <w:noProof w:val="0"/>
          <w:color w:val="FF0000"/>
          <w:sz w:val="32"/>
          <w:szCs w:val="32"/>
          <w:lang w:val="hr-HR" w:eastAsia="hr-HR"/>
        </w:rPr>
        <w:br w:type="page"/>
      </w:r>
    </w:p>
    <w:p w14:paraId="34249723" w14:textId="77777777" w:rsidR="000F14EB" w:rsidRPr="000F14EB" w:rsidRDefault="000F14EB" w:rsidP="000F14EB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0F14EB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lastRenderedPageBreak/>
        <w:t>Prijedlog</w:t>
      </w:r>
    </w:p>
    <w:p w14:paraId="7AC6F833" w14:textId="77777777" w:rsidR="000F14EB" w:rsidRDefault="000F14EB" w:rsidP="0001508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3E2CAF3E" w14:textId="77777777" w:rsidR="000F14EB" w:rsidRDefault="000F14EB" w:rsidP="0001508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534BBAF5" w14:textId="77777777" w:rsidR="000F14EB" w:rsidRDefault="000F14EB" w:rsidP="0001508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1B503640" w14:textId="77777777" w:rsidR="0001508A" w:rsidRPr="0001508A" w:rsidRDefault="0001508A" w:rsidP="0001508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Na</w:t>
      </w:r>
      <w:r w:rsidR="00FC7B51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temelju članka 20. stavka 3.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Zakona o pomorskom dobru i morskim lukama („Narodne novine“, br. 158/03, 100/04, 141/06, 38/09, 123/11 – Odluka Ustavnog suda Republike Hrvatske, 56/16 i 98/19) </w:t>
      </w:r>
      <w:r w:rsidR="00FC7B51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i članka 36. stavka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1. Zakona o koncesijama („Narodne novine“, broj: 69/17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 107/20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), Vlada Republike Hrvatske je na sjed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nici održanoj _____________ 2021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 godine donijela</w:t>
      </w:r>
    </w:p>
    <w:p w14:paraId="6F3E08A5" w14:textId="77777777" w:rsidR="0001508A" w:rsidRPr="0001508A" w:rsidRDefault="0001508A" w:rsidP="0001508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39DE8226" w14:textId="77777777" w:rsidR="0001508A" w:rsidRPr="0001508A" w:rsidRDefault="0001508A" w:rsidP="0001508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2833CE56" w14:textId="77777777" w:rsidR="002F37F1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hr-HR" w:eastAsia="hr-HR"/>
        </w:rPr>
        <w:t xml:space="preserve">ODLUKU </w:t>
      </w:r>
    </w:p>
    <w:p w14:paraId="667F8D9C" w14:textId="77777777" w:rsidR="002F37F1" w:rsidRDefault="002F37F1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hr-HR" w:eastAsia="hr-HR"/>
        </w:rPr>
      </w:pPr>
    </w:p>
    <w:p w14:paraId="313DA2CE" w14:textId="77777777" w:rsidR="00C0523D" w:rsidRPr="00C0523D" w:rsidRDefault="00C0523D" w:rsidP="0001508A">
      <w:pPr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noProof w:val="0"/>
          <w:color w:val="000000"/>
          <w:sz w:val="24"/>
          <w:szCs w:val="24"/>
          <w:lang w:val="hr-HR" w:eastAsia="en-GB"/>
        </w:rPr>
      </w:pPr>
      <w:r w:rsidRPr="00C0523D">
        <w:rPr>
          <w:rFonts w:ascii="Times New Roman" w:eastAsia="Calibri" w:hAnsi="Times New Roman" w:cs="Times New Roman"/>
          <w:b/>
          <w:bCs/>
          <w:noProof w:val="0"/>
          <w:color w:val="000000"/>
          <w:sz w:val="24"/>
          <w:szCs w:val="24"/>
          <w:lang w:val="hr-HR" w:eastAsia="en-GB"/>
        </w:rPr>
        <w:t xml:space="preserve">o koncesiji u svrhu gospodarskog korištenja pomorskog dobra radi obavljanja djelatnosti uzgoja tune i obavljanja turističko – edukacijske djelatnosti </w:t>
      </w:r>
    </w:p>
    <w:p w14:paraId="23EB6BE8" w14:textId="2DEB26D6" w:rsidR="0001508A" w:rsidRPr="00B44C01" w:rsidRDefault="00C0523D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hr-HR" w:eastAsia="hr-HR"/>
        </w:rPr>
      </w:pPr>
      <w:r w:rsidRPr="00C0523D">
        <w:rPr>
          <w:rFonts w:ascii="Times New Roman" w:eastAsia="Calibri" w:hAnsi="Times New Roman" w:cs="Times New Roman"/>
          <w:b/>
          <w:bCs/>
          <w:noProof w:val="0"/>
          <w:color w:val="000000"/>
          <w:sz w:val="24"/>
          <w:szCs w:val="24"/>
          <w:lang w:val="hr-HR" w:eastAsia="en-GB"/>
        </w:rPr>
        <w:t>u akvatoriju Iškog kanala</w:t>
      </w:r>
    </w:p>
    <w:p w14:paraId="19977747" w14:textId="77777777" w:rsidR="0075157F" w:rsidRPr="0001508A" w:rsidRDefault="0075157F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hr-HR" w:eastAsia="hr-HR"/>
        </w:rPr>
      </w:pPr>
    </w:p>
    <w:p w14:paraId="62C7AA05" w14:textId="77777777" w:rsidR="002F37F1" w:rsidRDefault="0001508A" w:rsidP="002F37F1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I.</w:t>
      </w:r>
    </w:p>
    <w:p w14:paraId="20D269BF" w14:textId="77777777" w:rsidR="0075157F" w:rsidRPr="0067655B" w:rsidRDefault="0075157F" w:rsidP="002F37F1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</w:p>
    <w:p w14:paraId="432F7564" w14:textId="77777777" w:rsidR="0001508A" w:rsidRPr="0001508A" w:rsidRDefault="0001508A" w:rsidP="002F37F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Sukladno Obavijesti o namjeri davanja koncesije u svrhu gospodarskog korištenja pomorskog dobra radi obavljanja djelatnosti uzgoja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tune i obavljanja turističko – edukacijske djelatnosti</w:t>
      </w:r>
      <w:r w:rsidR="008B2E2C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u akvatorij</w:t>
      </w:r>
      <w:r w:rsidR="008B2E2C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u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Iškog kanala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 objavljenoj u Elektroničkom oglasniku javne nabave (broj obja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ve: 2021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/S 01K-000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2230</w:t>
      </w:r>
      <w:r w:rsidR="00917E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1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9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siječnja 2021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. godine </w:t>
      </w:r>
      <w:r w:rsidR="00917E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i ponudi otvorenoj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na Javno</w:t>
      </w:r>
      <w:r w:rsidR="00917E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m otvaranju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ponuda za dodjelu koncesije, održano</w:t>
      </w:r>
      <w:r w:rsidR="00917E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m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2. veljače 2021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. godine u prostorijama Ministarstva mora, prometa i infrastrukture, te Nalaza i mišljenja Stručnog tijela za ocjenu ponuda za koncesije na pomorskom dobru, osnovanog i imenovanog Odlukom Vlade Republike Hrvatske („Narodne novine“, broj 44/16, 95/19), Vlada Republike Hrvatske (u daljnjem tekstu: Davatelj koncesije) daje trgovačkom društvu </w:t>
      </w:r>
      <w:r w:rsidR="0029000D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KALI TUNA</w:t>
      </w:r>
      <w:r w:rsidR="0029000D"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d.o.o.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za ulov, uzgoj i preradu ribe 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iz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Kali,</w:t>
      </w:r>
      <w:r w:rsidRPr="0001508A">
        <w:t xml:space="preserve"> 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OIB: 92418838517 (u daljnjem tekstu: Ovlaštenik koncesije), ovlaštenje za gospodarsko korištenje pomorskog dobra radi obavljanja djelatnosti uzgoja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tune i obavljanja turističko – edukacijske djelatnosti 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na lokaciji između otočića Fulija i Kudica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u akvatoriju Iškog kanala.</w:t>
      </w:r>
    </w:p>
    <w:p w14:paraId="0EB74F3A" w14:textId="77777777" w:rsid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760FE439" w14:textId="77777777" w:rsidR="0001508A" w:rsidRP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II.</w:t>
      </w:r>
    </w:p>
    <w:p w14:paraId="5AB351F2" w14:textId="77777777" w:rsidR="0001508A" w:rsidRPr="0001508A" w:rsidRDefault="0001508A" w:rsidP="0001508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2C5B98D7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Područje pomorskog dobra koje se daje u koncesiju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u svrhu gospodarskog korištenja radi obavljanja djelatnosti uzgoja </w:t>
      </w:r>
      <w:r w:rsidR="0029000D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tune i obavljanja turističko – edukativne djelatnosti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u akvatoriju Iškog kanala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omeđeno je poligonom </w:t>
      </w:r>
      <w:r w:rsidR="002F37F1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karakterističnih koordinatnih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toč</w:t>
      </w:r>
      <w:r w:rsidR="002F37F1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aka izraženih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u HTRS96</w:t>
      </w:r>
      <w:r w:rsidR="002F37F1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/TM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projekciji, kako slijedi:</w:t>
      </w:r>
    </w:p>
    <w:p w14:paraId="51034779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05D9BEDC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tbl>
      <w:tblPr>
        <w:tblW w:w="56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2351"/>
        <w:gridCol w:w="2352"/>
      </w:tblGrid>
      <w:tr w:rsidR="0001508A" w:rsidRPr="0001508A" w14:paraId="27028222" w14:textId="77777777" w:rsidTr="0029000D">
        <w:trPr>
          <w:trHeight w:val="370"/>
          <w:jc w:val="center"/>
        </w:trPr>
        <w:tc>
          <w:tcPr>
            <w:tcW w:w="971" w:type="dxa"/>
            <w:vAlign w:val="center"/>
            <w:hideMark/>
          </w:tcPr>
          <w:p w14:paraId="0D7B9F7E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  <w:t>Točka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5AA266A2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  <w:t>E</w:t>
            </w: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14:paraId="23484818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  <w:t>N</w:t>
            </w:r>
          </w:p>
        </w:tc>
      </w:tr>
      <w:tr w:rsidR="0001508A" w:rsidRPr="0001508A" w14:paraId="1631C427" w14:textId="77777777" w:rsidTr="0029000D">
        <w:trPr>
          <w:trHeight w:val="370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26471BC8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1101A1CC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  <w:t>388493,099</w:t>
            </w: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14:paraId="06A8D64C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  <w:t>4877146,136</w:t>
            </w:r>
          </w:p>
        </w:tc>
      </w:tr>
      <w:tr w:rsidR="0001508A" w:rsidRPr="0001508A" w14:paraId="2F80FE44" w14:textId="77777777" w:rsidTr="0029000D">
        <w:trPr>
          <w:trHeight w:val="370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0E3EDBE5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1C869DDC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  <w:t>388711,509</w:t>
            </w: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14:paraId="7362C734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  <w:t>4876941,028</w:t>
            </w:r>
          </w:p>
        </w:tc>
      </w:tr>
      <w:tr w:rsidR="0001508A" w:rsidRPr="0001508A" w14:paraId="2F1BE028" w14:textId="77777777" w:rsidTr="0029000D">
        <w:trPr>
          <w:trHeight w:val="370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02A75198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67F1F45B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  <w:t>388230,679</w:t>
            </w: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14:paraId="4838337B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  <w:t>4876431,538</w:t>
            </w:r>
          </w:p>
        </w:tc>
      </w:tr>
      <w:tr w:rsidR="0001508A" w:rsidRPr="0001508A" w14:paraId="49C2692A" w14:textId="77777777" w:rsidTr="0029000D">
        <w:trPr>
          <w:trHeight w:val="370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5B733CA4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6EEA3ECF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  <w:t>388012,459</w:t>
            </w: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14:paraId="2B78863C" w14:textId="77777777" w:rsidR="0001508A" w:rsidRPr="0001508A" w:rsidRDefault="0001508A" w:rsidP="00015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  <w:t>4876637,992</w:t>
            </w:r>
          </w:p>
        </w:tc>
      </w:tr>
      <w:tr w:rsidR="002F37F1" w:rsidRPr="0001508A" w14:paraId="13084D8F" w14:textId="77777777" w:rsidTr="0029000D">
        <w:trPr>
          <w:trHeight w:val="370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14:paraId="42494108" w14:textId="77777777" w:rsidR="002F37F1" w:rsidRPr="0001508A" w:rsidRDefault="002F37F1" w:rsidP="002F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0F50A268" w14:textId="77777777" w:rsidR="002F37F1" w:rsidRPr="0001508A" w:rsidRDefault="002F37F1" w:rsidP="002F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  <w:t>388493,099</w:t>
            </w:r>
          </w:p>
        </w:tc>
        <w:tc>
          <w:tcPr>
            <w:tcW w:w="2352" w:type="dxa"/>
            <w:shd w:val="clear" w:color="auto" w:fill="auto"/>
            <w:noWrap/>
            <w:vAlign w:val="center"/>
          </w:tcPr>
          <w:p w14:paraId="237322BC" w14:textId="77777777" w:rsidR="002F37F1" w:rsidRPr="0001508A" w:rsidRDefault="002F37F1" w:rsidP="002F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</w:pPr>
            <w:r w:rsidRPr="0001508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val="hr-HR" w:eastAsia="hr-HR"/>
              </w:rPr>
              <w:t>4877146,136</w:t>
            </w:r>
          </w:p>
        </w:tc>
      </w:tr>
    </w:tbl>
    <w:p w14:paraId="40941076" w14:textId="77777777" w:rsidR="002F37F1" w:rsidRDefault="002F37F1" w:rsidP="0001508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6F5DC1FF" w14:textId="77777777" w:rsidR="0001508A" w:rsidRPr="0001508A" w:rsidRDefault="002F37F1" w:rsidP="0001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67655B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 w:rsidR="0001508A" w:rsidRPr="0001508A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</w:t>
      </w:r>
      <w:r w:rsidRPr="0067655B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14:paraId="7AE83CC2" w14:textId="77777777" w:rsidR="0001508A" w:rsidRPr="0001508A" w:rsidRDefault="0001508A" w:rsidP="0001508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3A6FD8AF" w14:textId="77777777" w:rsidR="0001508A" w:rsidRPr="0001508A" w:rsidRDefault="002F37F1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Ukupna p</w:t>
      </w:r>
      <w:r w:rsidR="008B2E2C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ovršina pomorskog dobra – </w:t>
      </w:r>
      <w:r w:rsidR="0001508A"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morskog akvatorija, koje se daje u koncesiju</w:t>
      </w:r>
      <w:r w:rsidR="00917E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iznosi </w:t>
      </w:r>
      <w:r w:rsidR="0001508A"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2</w:t>
      </w:r>
      <w:r w:rsidR="00917E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1</w:t>
      </w:r>
      <w:r w:rsidR="0001508A"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0.000,00 m</w:t>
      </w:r>
      <w:r w:rsidR="0001508A" w:rsidRPr="0001508A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hr-HR" w:eastAsia="hr-HR"/>
        </w:rPr>
        <w:t>2</w:t>
      </w:r>
      <w:r w:rsidR="0001508A"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</w:t>
      </w:r>
      <w:r w:rsidR="00917E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,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a </w:t>
      </w:r>
      <w:r w:rsidR="0001508A"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sve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kako je prikazano na</w:t>
      </w:r>
      <w:r w:rsidR="0001508A"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grafičkoj podlozi koja čini Prilog 1 ove Odluke i ne objavljuje se u „Narodnim novinama“.</w:t>
      </w:r>
    </w:p>
    <w:p w14:paraId="6FD8954D" w14:textId="77777777" w:rsid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782BDED1" w14:textId="77777777" w:rsidR="0001508A" w:rsidRPr="0067655B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IV.</w:t>
      </w:r>
    </w:p>
    <w:p w14:paraId="460FDF2D" w14:textId="77777777" w:rsidR="0067655B" w:rsidRPr="0001508A" w:rsidRDefault="0067655B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69F1A6E0" w14:textId="77777777" w:rsidR="0001508A" w:rsidRPr="0001508A" w:rsidRDefault="0001508A" w:rsidP="002F37F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Davatelj koncesije daje na gospodarsko korištenje pomorsko dobro navedeno u točki II. ove Odluke Ovlašteniku koncesije, na vremensko razdoblje od 20 godina, računajući od dana sklapanja ugovora o koncesiji pomorskog dobra iz točke VIII. ove Odluke.</w:t>
      </w:r>
    </w:p>
    <w:p w14:paraId="769BBDEE" w14:textId="77777777" w:rsid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5433A33E" w14:textId="77777777" w:rsidR="0001508A" w:rsidRP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V.</w:t>
      </w:r>
    </w:p>
    <w:p w14:paraId="5C0A6E51" w14:textId="77777777" w:rsidR="0067655B" w:rsidRDefault="0067655B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17370FBE" w14:textId="77777777" w:rsidR="0001508A" w:rsidRPr="0001508A" w:rsidRDefault="0001508A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Koncesija na pomorskom dobru iz točke II. ove Odluke daje se u svrhu gospodarskog korištenja radi obavljanja djelatnosti uzgoja </w:t>
      </w:r>
      <w:r w:rsidR="006765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tune i obavljanja turističko – edukacijske </w:t>
      </w:r>
      <w:r w:rsidR="00007796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djelatnosti između otoč</w:t>
      </w:r>
      <w:r w:rsidR="006765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ića Fulija i Kudica u akvatoriju Iškog kanala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</w:t>
      </w:r>
    </w:p>
    <w:p w14:paraId="3663983B" w14:textId="77777777" w:rsidR="0001508A" w:rsidRP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25D3EFB8" w14:textId="77777777" w:rsidR="0001508A" w:rsidRPr="0001508A" w:rsidRDefault="0001508A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Dozvoljena godišnja količina uzgoja </w:t>
      </w:r>
      <w:r w:rsidR="00FC7B51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tune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 koju je Ovlaštenik koncesije ovlaš</w:t>
      </w:r>
      <w:r w:rsidR="006765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ten uzgajati ukupno iznosi 5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00 tona godišnje.</w:t>
      </w:r>
    </w:p>
    <w:p w14:paraId="4EA028FB" w14:textId="77777777" w:rsidR="0001508A" w:rsidRP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7150F56E" w14:textId="77777777" w:rsidR="0001508A" w:rsidRPr="0001508A" w:rsidRDefault="0001508A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Ovlaštenik koncesije ovlašten je i dužan u roku od jedne godine od zaključenja ugovora o koncesiji iz točke VIII. ove Odluke postaviti uzgajalište u </w:t>
      </w:r>
      <w:r w:rsidR="006D3A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akvatoriju Iško</w:t>
      </w:r>
      <w:r w:rsidR="00202EF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g</w:t>
      </w:r>
      <w:r w:rsidR="006D3A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kanala, između otočića Fulija i Kudica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, sukladno Lokacijskoj dozvoli izdanoj od Ministarstva graditeljstva i prostornog uređenja, Uprave za </w:t>
      </w:r>
      <w:r w:rsidR="006D3A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prostorno uređenje i dozvole državnog značaja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 Sektor lokacij</w:t>
      </w:r>
      <w:r w:rsidR="00202EF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skih dozvola i investicija od </w:t>
      </w:r>
      <w:r w:rsidR="006D3A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6. ožujka 2020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 godin</w:t>
      </w:r>
      <w:r w:rsidR="006D3A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e, KLASA: UP/I-350-05/19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-01/000</w:t>
      </w:r>
      <w:r w:rsidR="006D3A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091</w:t>
      </w:r>
      <w:r w:rsidR="00202EF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 URBROJ: 531-06-1-1-20-0009</w:t>
      </w:r>
      <w:r w:rsidR="0029000D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 koja čini Prilog 2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ove Odluke i ne objavljuje se u „Narodnim novinama“.</w:t>
      </w:r>
    </w:p>
    <w:p w14:paraId="49E46B68" w14:textId="77777777" w:rsidR="0001508A" w:rsidRP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hr-HR" w:eastAsia="hr-HR"/>
        </w:rPr>
      </w:pPr>
    </w:p>
    <w:p w14:paraId="5AF944BA" w14:textId="77777777" w:rsidR="0001508A" w:rsidRPr="0001508A" w:rsidRDefault="0001508A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Ovlaštenik koncesije dužan je u pomorsko dobro koje se daje u koncesiju uložiti sveukupno </w:t>
      </w:r>
      <w:r w:rsidR="00F16507" w:rsidRPr="00FD26CC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6</w:t>
      </w:r>
      <w:r w:rsidRPr="00FD26CC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</w:t>
      </w:r>
      <w:r w:rsidR="00F16507" w:rsidRPr="00FD26CC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283</w:t>
      </w:r>
      <w:r w:rsidRPr="00FD26CC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</w:t>
      </w:r>
      <w:r w:rsidR="00F16507" w:rsidRPr="00FD26CC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944</w:t>
      </w:r>
      <w:r w:rsidRPr="00FD26CC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,00 kun</w:t>
      </w:r>
      <w:r w:rsidR="003B2A90" w:rsidRPr="00FD26CC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a kao investicijsko ulaganje, </w:t>
      </w:r>
      <w:r w:rsidRPr="00FD26CC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sve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u opsegu i na način opisan 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lastRenderedPageBreak/>
        <w:t xml:space="preserve">u Studiji gospodarske opravdanosti ulaganja, koja čini Prilog 3 ove Odluke i ne objavljuje se u „Narodnim novinama“. </w:t>
      </w:r>
    </w:p>
    <w:p w14:paraId="27CE8C82" w14:textId="77777777" w:rsidR="0001508A" w:rsidRPr="0001508A" w:rsidRDefault="0001508A" w:rsidP="0001508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39F11126" w14:textId="77777777" w:rsidR="00DA773D" w:rsidRPr="0001508A" w:rsidRDefault="0001508A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Ovlaštenik koncesije dužan je za svaku daljnju izmjenu zahvata u prostoru na pomorskom dobru iz točke II. ove Odluke zatražiti suglasnost Davatelja koncesije, te dozvole sukladno propisima koji uređuju prostorno uređenje i gradnju.</w:t>
      </w:r>
    </w:p>
    <w:p w14:paraId="702BA1F0" w14:textId="77777777" w:rsid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06BF2B6B" w14:textId="77777777" w:rsidR="00C0523D" w:rsidRDefault="00C0523D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</w:p>
    <w:p w14:paraId="72EB3BAD" w14:textId="77777777" w:rsidR="00C0523D" w:rsidRDefault="00C0523D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</w:p>
    <w:p w14:paraId="5E609AE8" w14:textId="77777777" w:rsidR="00C0523D" w:rsidRDefault="00C0523D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</w:p>
    <w:p w14:paraId="263E02A1" w14:textId="12D70828" w:rsidR="0001508A" w:rsidRP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VI.</w:t>
      </w:r>
    </w:p>
    <w:p w14:paraId="33F7B142" w14:textId="77777777" w:rsidR="0001508A" w:rsidRP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4057F17D" w14:textId="77777777" w:rsidR="0001508A" w:rsidRPr="007046D3" w:rsidRDefault="0001508A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Ovlaštenik koncesije se obvezuje da pomorsko dobro</w:t>
      </w:r>
      <w:r w:rsidR="000B0E25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koje ovom Odlukom dobiva na gospodarsko korištenje, koristi isključivo za obavljanje djelatnosti za koje je utvrđena namjena koncesije i koje su navedene u Studiji gospodarske opravdanosti ulaganja iz točke V. ove </w:t>
      </w:r>
      <w:r w:rsidRPr="007046D3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Odluke.</w:t>
      </w:r>
    </w:p>
    <w:p w14:paraId="08D83150" w14:textId="77777777" w:rsidR="00DA773D" w:rsidRPr="007046D3" w:rsidRDefault="00DA773D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68E888ED" w14:textId="77777777" w:rsidR="00DA773D" w:rsidRPr="007046D3" w:rsidRDefault="00DA773D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046D3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Ovlaštenik koncesije se obvezuje </w:t>
      </w:r>
      <w:r w:rsidR="007046D3" w:rsidRPr="007046D3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u kavezima obavljati</w:t>
      </w:r>
      <w:r w:rsidR="007046D3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</w:t>
      </w:r>
      <w:r w:rsidR="007046D3" w:rsidRPr="007046D3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isključivo djelatnost uzgoja tune</w:t>
      </w:r>
      <w:r w:rsidR="003E3EBE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 a</w:t>
      </w:r>
      <w:r w:rsidR="007046D3" w:rsidRPr="007046D3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</w:t>
      </w:r>
      <w:r w:rsidRPr="007046D3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turističko – edukacijsk</w:t>
      </w:r>
      <w:r w:rsidR="003E3EBE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u</w:t>
      </w:r>
      <w:r w:rsidRPr="007046D3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djelatnost </w:t>
      </w:r>
      <w:r w:rsidR="007046D3" w:rsidRPr="007046D3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isključivo na za to predviđenom pontonu.</w:t>
      </w:r>
      <w:r w:rsidRPr="007046D3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</w:t>
      </w:r>
    </w:p>
    <w:p w14:paraId="3BD9D526" w14:textId="77777777" w:rsidR="0001508A" w:rsidRP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2ED2DF9C" w14:textId="77777777" w:rsidR="0001508A" w:rsidRPr="0001508A" w:rsidRDefault="0001508A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Ovlaštenik koncesije dužan je gospodarski koristiti pomorsko dobro iz točke II. ove Odluke sukladno Zakonu o pomorskom dobru i morskim lukama te drugim zakonima i podzakonskim aktima iz područja sigurnosti plovidbe i zaštite okoliša, i to na način koji će osigurati zaštitu okoliša.</w:t>
      </w:r>
    </w:p>
    <w:p w14:paraId="6AD91E1D" w14:textId="77777777" w:rsidR="0001508A" w:rsidRP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26653273" w14:textId="77777777" w:rsidR="0001508A" w:rsidRPr="0001508A" w:rsidRDefault="0001508A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Ovlaštenik koncesije ne može prava stečena koncesijom, niti djelomično, niti u cijelosti prenositi na drugoga, bez izričitog odobrenja Davatelja koncesije.</w:t>
      </w:r>
    </w:p>
    <w:p w14:paraId="134D3F9F" w14:textId="77777777" w:rsid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125525EE" w14:textId="77777777" w:rsidR="0001508A" w:rsidRP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VII.</w:t>
      </w:r>
    </w:p>
    <w:p w14:paraId="679CE9AF" w14:textId="77777777" w:rsidR="0001508A" w:rsidRP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09BDD0B2" w14:textId="77777777" w:rsidR="0001508A" w:rsidRPr="0001508A" w:rsidRDefault="0001508A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gospodarsko korištenje pomorskog dobra navedenog u točki II. ove Odluke, Ovlaštenik koncesije obvezuje se da će uredno plaćati Davatelju koncesije godišnju koncesijsku naknadu.</w:t>
      </w:r>
    </w:p>
    <w:p w14:paraId="51FBE247" w14:textId="77777777" w:rsidR="0001508A" w:rsidRP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47249EAD" w14:textId="77777777" w:rsidR="0001508A" w:rsidRDefault="0001508A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Godišnja koncesijska naknada koju Ovlaštenik koncesije plaća za gospodarsko korištenje pomorskog dobra sastoji se od stalnog i promjenjivog dijela naknade, s tim da:</w:t>
      </w:r>
    </w:p>
    <w:p w14:paraId="62E8275D" w14:textId="77777777" w:rsidR="0067655B" w:rsidRPr="0001508A" w:rsidRDefault="0067655B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7F3B16CA" w14:textId="77777777" w:rsidR="0001508A" w:rsidRDefault="003E585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lastRenderedPageBreak/>
        <w:t>a) stalni dio iznosi 1,01</w:t>
      </w:r>
      <w:r w:rsidR="0001508A"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kuna po metru kvadratnom zauzete ukupne površine pomo</w:t>
      </w:r>
      <w:r w:rsidR="00946CA9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rskog dobra godišnje</w:t>
      </w:r>
      <w:r w:rsidR="0001508A"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, plativo u jednom obroku, </w:t>
      </w:r>
      <w:r w:rsidRPr="003E585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s time da će se iznos stalnog dijela povećavati svakih 5 godina za 0,10 kuna po m² zauzetog pomorskog dobra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;</w:t>
      </w:r>
    </w:p>
    <w:p w14:paraId="18E634D4" w14:textId="77777777" w:rsidR="0067655B" w:rsidRPr="0001508A" w:rsidRDefault="0067655B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52855CCA" w14:textId="77777777" w:rsidR="0001508A" w:rsidRPr="0001508A" w:rsidRDefault="004A6F44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b) promjenjivi dio iznosi </w:t>
      </w:r>
      <w:r w:rsidR="00545689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0,</w:t>
      </w:r>
      <w:r w:rsidR="00900719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51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</w:t>
      </w:r>
      <w:r w:rsidR="0001508A"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% od ukupnog godišnjeg prihoda ostvarenog na koncesioniranom pomorskom dobru</w:t>
      </w:r>
      <w:r w:rsidR="003E585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, </w:t>
      </w:r>
      <w:r w:rsidR="0001508A"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s time da će se promjenjivi dio koncesijske naknade povećavati svakih 5 godina za 0,10% prihoda ostvarenog na koncesioniranom području.</w:t>
      </w:r>
    </w:p>
    <w:p w14:paraId="61459EED" w14:textId="77777777" w:rsidR="0001508A" w:rsidRP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46EED95E" w14:textId="77777777" w:rsidR="0001508A" w:rsidRDefault="0001508A" w:rsidP="0067655B">
      <w:pPr>
        <w:tabs>
          <w:tab w:val="left" w:pos="42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Navedena koncesijska naknada plaća se na sljedeći način:</w:t>
      </w:r>
    </w:p>
    <w:p w14:paraId="5415BADF" w14:textId="77777777" w:rsidR="0067655B" w:rsidRPr="0001508A" w:rsidRDefault="0067655B" w:rsidP="0067655B">
      <w:pPr>
        <w:tabs>
          <w:tab w:val="left" w:pos="42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60AEE10A" w14:textId="77777777" w:rsidR="0067655B" w:rsidRDefault="00545689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a) s</w:t>
      </w:r>
      <w:r w:rsidR="0001508A"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talni dio naknade plaća se unaprijed za tekuću godinu, najkasnije do 1. ožujka:</w:t>
      </w:r>
    </w:p>
    <w:p w14:paraId="2FFC2948" w14:textId="77777777" w:rsidR="0075157F" w:rsidRPr="0001508A" w:rsidRDefault="0075157F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77C8712A" w14:textId="77777777" w:rsidR="0001508A" w:rsidRP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– </w:t>
      </w:r>
      <w:r w:rsidR="006765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za godinu u kojoj je dana koncesija i za godinu u kojoj koncesija istječe, naknada se </w:t>
      </w:r>
      <w:r w:rsidR="006765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plaća razmjerno mjesecima korištenja;</w:t>
      </w:r>
    </w:p>
    <w:p w14:paraId="5FAA596F" w14:textId="77777777" w:rsid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– </w:t>
      </w:r>
      <w:r w:rsidR="006765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za početnu godinu koncesijskog perioda naknada se plaća u roku od 45 dana od dana </w:t>
      </w:r>
      <w:r w:rsidR="006765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sklapanja ugovora o koncesiji.</w:t>
      </w:r>
    </w:p>
    <w:p w14:paraId="2535D6DC" w14:textId="77777777" w:rsidR="0067655B" w:rsidRPr="0001508A" w:rsidRDefault="0067655B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1D80801A" w14:textId="77777777" w:rsidR="0001508A" w:rsidRPr="0001508A" w:rsidRDefault="00545689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b) p</w:t>
      </w:r>
      <w:r w:rsidR="0001508A"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romjenjivi dio naknade plaća se unatrag u jednom obroku, i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to do 30. travnja tekuće godine</w:t>
      </w:r>
      <w:r w:rsidR="006765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</w:t>
      </w:r>
      <w:r w:rsidR="0001508A"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ostvareni ukupni godišnji prihod prethodne godine.</w:t>
      </w:r>
    </w:p>
    <w:p w14:paraId="65BF388A" w14:textId="77777777" w:rsidR="0001508A" w:rsidRP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73E8F0D4" w14:textId="77777777" w:rsidR="0001508A" w:rsidRPr="0001508A" w:rsidRDefault="0001508A" w:rsidP="0067655B">
      <w:pPr>
        <w:spacing w:after="200"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hr-HR"/>
        </w:rPr>
      </w:pPr>
      <w:r w:rsidRPr="0001508A">
        <w:rPr>
          <w:rFonts w:ascii="Times New Roman" w:eastAsia="Calibri" w:hAnsi="Times New Roman" w:cs="Times New Roman"/>
          <w:noProof w:val="0"/>
          <w:sz w:val="24"/>
          <w:szCs w:val="24"/>
          <w:lang w:val="hr-HR"/>
        </w:rPr>
        <w:t>Promjene naknade za koncesiju (stalnog i promjenjivog dijela) moguće su temeljem:</w:t>
      </w:r>
    </w:p>
    <w:p w14:paraId="4A6BE808" w14:textId="77777777" w:rsidR="0001508A" w:rsidRPr="0001508A" w:rsidRDefault="0001508A" w:rsidP="0001508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indeksacije vezane uz promjenu tečaja kune i eura u odnosu na fluktuaciju tečaja</w:t>
      </w:r>
    </w:p>
    <w:p w14:paraId="28B14DDB" w14:textId="77777777" w:rsidR="0001508A" w:rsidRPr="0001508A" w:rsidRDefault="0001508A" w:rsidP="0001508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indeksa potrošačkih cijena, odnosno</w:t>
      </w:r>
    </w:p>
    <w:p w14:paraId="350480F5" w14:textId="77777777" w:rsidR="0001508A" w:rsidRPr="0001508A" w:rsidRDefault="0001508A" w:rsidP="0001508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izmjena posebnog propisa u dijelu kojim se uređuje visina i način plaćanja naknade za koncesiju.</w:t>
      </w:r>
    </w:p>
    <w:p w14:paraId="08D40BE7" w14:textId="77777777" w:rsidR="0001508A" w:rsidRPr="0001508A" w:rsidRDefault="0001508A" w:rsidP="0001508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gospodarskih okolnosti koje značajno utječu na ravnotežu odnosa naknade za koncesiju i procijenjene vrijednosti koncesije koja je bila temelj sklapanja ugovora o koncesiji.</w:t>
      </w:r>
    </w:p>
    <w:p w14:paraId="49D948AD" w14:textId="77777777" w:rsidR="0001508A" w:rsidRPr="0001508A" w:rsidRDefault="0001508A" w:rsidP="0001508A">
      <w:pPr>
        <w:spacing w:after="200"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hr-HR"/>
        </w:rPr>
      </w:pPr>
    </w:p>
    <w:p w14:paraId="2FC5F1AF" w14:textId="77777777" w:rsidR="0001508A" w:rsidRPr="0001508A" w:rsidRDefault="0001508A" w:rsidP="0067655B">
      <w:pPr>
        <w:spacing w:after="200"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hr-HR"/>
        </w:rPr>
      </w:pPr>
      <w:r w:rsidRPr="0001508A">
        <w:rPr>
          <w:rFonts w:ascii="Times New Roman" w:eastAsia="Calibri" w:hAnsi="Times New Roman" w:cs="Times New Roman"/>
          <w:noProof w:val="0"/>
          <w:sz w:val="24"/>
          <w:szCs w:val="24"/>
          <w:lang w:val="hr-HR"/>
        </w:rPr>
        <w:t xml:space="preserve">Promjena </w:t>
      </w:r>
      <w:r w:rsidR="00545689">
        <w:rPr>
          <w:rFonts w:ascii="Times New Roman" w:eastAsia="Calibri" w:hAnsi="Times New Roman" w:cs="Times New Roman"/>
          <w:noProof w:val="0"/>
          <w:sz w:val="24"/>
          <w:szCs w:val="24"/>
          <w:lang w:val="hr-HR"/>
        </w:rPr>
        <w:t>naknade za koncesiju u skladu sa</w:t>
      </w:r>
      <w:r w:rsidRPr="0001508A">
        <w:rPr>
          <w:rFonts w:ascii="Times New Roman" w:eastAsia="Calibri" w:hAnsi="Times New Roman" w:cs="Times New Roman"/>
          <w:noProof w:val="0"/>
          <w:sz w:val="24"/>
          <w:szCs w:val="24"/>
          <w:lang w:val="hr-HR"/>
        </w:rPr>
        <w:t xml:space="preserve"> stavkom</w:t>
      </w:r>
      <w:r w:rsidR="00545689">
        <w:rPr>
          <w:rFonts w:ascii="Times New Roman" w:eastAsia="Calibri" w:hAnsi="Times New Roman" w:cs="Times New Roman"/>
          <w:noProof w:val="0"/>
          <w:sz w:val="24"/>
          <w:szCs w:val="24"/>
          <w:lang w:val="hr-HR"/>
        </w:rPr>
        <w:t xml:space="preserve"> 4.</w:t>
      </w:r>
      <w:r w:rsidRPr="0001508A">
        <w:rPr>
          <w:rFonts w:ascii="Times New Roman" w:eastAsia="Calibri" w:hAnsi="Times New Roman" w:cs="Times New Roman"/>
          <w:noProof w:val="0"/>
          <w:sz w:val="24"/>
          <w:szCs w:val="24"/>
          <w:lang w:val="hr-HR"/>
        </w:rPr>
        <w:t xml:space="preserve"> utvrđuje se ugovorom o koncesiji i posebnim zakonima, a obavlja se ovisno o nastanku okolnosti i/ili periodično u za to određenim</w:t>
      </w:r>
      <w:r w:rsidR="00966B36">
        <w:rPr>
          <w:rFonts w:ascii="Times New Roman" w:eastAsia="Calibri" w:hAnsi="Times New Roman" w:cs="Times New Roman"/>
          <w:noProof w:val="0"/>
          <w:sz w:val="24"/>
          <w:szCs w:val="24"/>
          <w:lang w:val="hr-HR"/>
        </w:rPr>
        <w:t xml:space="preserve"> vremenskim razdobljima ovisno o</w:t>
      </w:r>
      <w:r w:rsidRPr="0001508A">
        <w:rPr>
          <w:rFonts w:ascii="Times New Roman" w:eastAsia="Calibri" w:hAnsi="Times New Roman" w:cs="Times New Roman"/>
          <w:noProof w:val="0"/>
          <w:sz w:val="24"/>
          <w:szCs w:val="24"/>
          <w:lang w:val="hr-HR"/>
        </w:rPr>
        <w:t xml:space="preserve"> uvjetima fluktuacije tečaja ili promjena potrošačkih cijena.</w:t>
      </w:r>
    </w:p>
    <w:p w14:paraId="57D5A26F" w14:textId="77777777" w:rsidR="0067655B" w:rsidRDefault="0067655B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6680ED25" w14:textId="77777777" w:rsidR="0001508A" w:rsidRP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VIII.</w:t>
      </w:r>
    </w:p>
    <w:p w14:paraId="7B16A324" w14:textId="77777777" w:rsidR="0001508A" w:rsidRP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2E7DA234" w14:textId="04923187" w:rsidR="00595F03" w:rsidRDefault="0001508A" w:rsidP="00595F0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lastRenderedPageBreak/>
        <w:t>Na temelju ove Odluke ovlašćuje se ministar mora, prometa i infrastrukture da u roku od 90 dana od dana objave ove Odluke u „Narodnim novinama“, sklopi ugovor o koncesiji pomorskog dobra iz točke II. ove Odluke, kojim će se detaljno urediti ovlaštenja Davatelja koncesije, te prava i obveze Ovlaštenika koncesije, posebno u odnosu na zaštitu okoliša, sigurnost plovidbe, izgradnju i održavanje te nadzor nad gospodarskim korištenjem pomorskog dobra koje se daje u koncesiju.</w:t>
      </w:r>
    </w:p>
    <w:p w14:paraId="7782B333" w14:textId="77777777" w:rsidR="00C0523D" w:rsidRDefault="00C0523D" w:rsidP="00595F0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1C4DD683" w14:textId="77777777" w:rsidR="0001508A" w:rsidRP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IX.</w:t>
      </w:r>
    </w:p>
    <w:p w14:paraId="712B1CCE" w14:textId="77777777" w:rsidR="0001508A" w:rsidRP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1DFCF40A" w14:textId="77777777" w:rsidR="0001508A" w:rsidRPr="0001508A" w:rsidRDefault="0001508A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Ovlaštenik koncesije dužan je prije sklapanja ugovora o koncesiji iz točke VIII. ove Odluke Davatelju koncesije dostaviti garanciju banke radi dobrog izvršenja posla u korist Republike Hrvatske – Ministarstva mora, prometa i infrastrukture, na iznos od </w:t>
      </w:r>
      <w:r w:rsidR="003F306C" w:rsidRPr="003F306C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314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</w:t>
      </w:r>
      <w:r w:rsidR="003F306C" w:rsidRPr="003F306C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197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,00 kuna, a što je 5% od ukupne vrijednosti investicije, koja prema Studiji gospodarske opravdanosti ulaganja iz točke V. ove Odluke iznosi </w:t>
      </w:r>
      <w:r w:rsidR="003F306C" w:rsidRPr="003F306C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6.283.944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,00 kuna, s rokom važenja garancije do šest mjeseci od završetka planiranog investicijskog ciklusa, a koja garancija je bezuvjetna, bez prigovora i naplativa na prvi poziv.</w:t>
      </w:r>
    </w:p>
    <w:p w14:paraId="0C2AD803" w14:textId="77777777" w:rsidR="0001508A" w:rsidRP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62AD9D4A" w14:textId="77777777" w:rsidR="0001508A" w:rsidRDefault="0001508A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Ovlaštenik koncesije dužan je prije sklapanja ugovora o koncesiji iz točke VIII. ove Odluke Davatelju koncesije dostaviti ovjerene zadužnice na iznos od dvije godišnje naknade za stalni dio koncesijske</w:t>
      </w:r>
      <w:r w:rsidR="00917E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naknade, u ukupnom iznosu od </w:t>
      </w:r>
      <w:r w:rsidR="00CC273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42</w:t>
      </w:r>
      <w:r w:rsidR="00917E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4.2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00,00 kuna, kao instrumente osiguranja naplate naknade za koncesiju, te za naknadu štete koja može nastati zbog neispunjenja obveza iz ugovora.</w:t>
      </w:r>
    </w:p>
    <w:p w14:paraId="3978148C" w14:textId="77777777" w:rsidR="00FC7B51" w:rsidRDefault="00FC7B51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4EB91194" w14:textId="77777777" w:rsidR="0001508A" w:rsidRP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2CE448FD" w14:textId="77777777" w:rsidR="007A0DAA" w:rsidRDefault="0001508A" w:rsidP="00126B5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Ako Ovlaštenik koncesije </w:t>
      </w:r>
      <w:r w:rsidR="00126B54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ne dostavi </w:t>
      </w:r>
      <w:r w:rsidR="00B1605F" w:rsidRPr="00B160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garanciju banke iz stavka 1. ove točke i ovjerene zadužnice iz stavka 2. ove točke </w:t>
      </w:r>
      <w:r w:rsidR="00126B54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u iznosima i </w:t>
      </w:r>
      <w:r w:rsidR="00F87981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u </w:t>
      </w:r>
      <w:r w:rsidR="00126B54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roku </w:t>
      </w:r>
      <w:r w:rsidR="00F87981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kako je navedeno</w:t>
      </w:r>
      <w:r w:rsidR="00126B54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neće se </w:t>
      </w:r>
      <w:r w:rsidR="00126B54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potpisati ugovor o koncesiji, </w:t>
      </w:r>
      <w:r w:rsidR="00FC7B51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ova Odluka prestaje važiti, </w:t>
      </w:r>
      <w:r w:rsidR="00126B54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a Ovlaštenik koncesije </w:t>
      </w:r>
      <w:r w:rsidR="00F647CD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gubi sva prava utvrđena ovom Odlukom</w:t>
      </w:r>
      <w:r w:rsidR="007A0DA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</w:t>
      </w:r>
      <w:r w:rsidR="00B1605F" w:rsidRPr="00B1605F">
        <w:t xml:space="preserve"> </w:t>
      </w:r>
    </w:p>
    <w:p w14:paraId="4CD0CCCE" w14:textId="77777777" w:rsid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209191C8" w14:textId="77777777" w:rsidR="0001508A" w:rsidRP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X.</w:t>
      </w:r>
    </w:p>
    <w:p w14:paraId="0B92729D" w14:textId="77777777" w:rsidR="0001508A" w:rsidRP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0C439E8F" w14:textId="77777777" w:rsidR="0001508A" w:rsidRPr="0001508A" w:rsidRDefault="0001508A" w:rsidP="0067655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Protiv ove Odluke žalba nije dopuštena, ali se može pokrenuti upravni spor podnošen</w:t>
      </w:r>
      <w:r w:rsidR="009E2952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jem tužbe Upravnom sudu u Zagrebu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 u roku od 30 dana od dana objave ove Odluke u „Narodnim novinama“.</w:t>
      </w:r>
    </w:p>
    <w:p w14:paraId="75448C6B" w14:textId="77777777" w:rsidR="0001508A" w:rsidRPr="0001508A" w:rsidRDefault="0001508A" w:rsidP="0001508A">
      <w:pPr>
        <w:spacing w:after="0" w:line="276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61CBE209" w14:textId="77777777" w:rsidR="0001508A" w:rsidRP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XI.</w:t>
      </w:r>
    </w:p>
    <w:p w14:paraId="65AB70EC" w14:textId="77777777" w:rsidR="0001508A" w:rsidRPr="0001508A" w:rsidRDefault="0001508A" w:rsidP="0001508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7D17FF06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Ova Odluka stupa na snagu danom donošenja, a objavit će se u „Narodnim novinama“.</w:t>
      </w:r>
    </w:p>
    <w:p w14:paraId="1C9F7B99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2D555E25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Klasa: </w:t>
      </w:r>
    </w:p>
    <w:p w14:paraId="3F0988CF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Urbroj: </w:t>
      </w:r>
    </w:p>
    <w:p w14:paraId="6BD23F18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Zagreb, </w:t>
      </w:r>
    </w:p>
    <w:p w14:paraId="7BCB6A03" w14:textId="77777777" w:rsidR="0001508A" w:rsidRPr="0001508A" w:rsidRDefault="0001508A" w:rsidP="0001508A">
      <w:pPr>
        <w:spacing w:after="0" w:line="276" w:lineRule="auto"/>
        <w:ind w:left="4521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45AEDD51" w14:textId="77777777" w:rsidR="0001508A" w:rsidRPr="0001508A" w:rsidRDefault="0001508A" w:rsidP="0001508A">
      <w:pPr>
        <w:spacing w:after="0" w:line="276" w:lineRule="auto"/>
        <w:ind w:left="4521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606D3960" w14:textId="77777777" w:rsidR="0001508A" w:rsidRPr="0001508A" w:rsidRDefault="0001508A" w:rsidP="0001508A">
      <w:pPr>
        <w:spacing w:after="0" w:line="276" w:lineRule="auto"/>
        <w:ind w:left="4521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Predsjednik</w:t>
      </w:r>
    </w:p>
    <w:p w14:paraId="593F069E" w14:textId="77777777" w:rsidR="0001508A" w:rsidRPr="0001508A" w:rsidRDefault="0001508A" w:rsidP="0001508A">
      <w:pPr>
        <w:spacing w:after="0" w:line="276" w:lineRule="auto"/>
        <w:ind w:left="4521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br/>
      </w:r>
      <w:r w:rsidRPr="0001508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hr-HR" w:eastAsia="hr-HR"/>
        </w:rPr>
        <w:t>mr. sc. Andrej Plenković</w:t>
      </w:r>
    </w:p>
    <w:p w14:paraId="61EDC712" w14:textId="77777777" w:rsidR="0001508A" w:rsidRPr="0001508A" w:rsidRDefault="0001508A" w:rsidP="0001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hr-HR" w:eastAsia="hr-HR"/>
        </w:rPr>
      </w:pPr>
    </w:p>
    <w:p w14:paraId="79FAD80D" w14:textId="77777777" w:rsidR="0001508A" w:rsidRPr="0001508A" w:rsidRDefault="0001508A" w:rsidP="0001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hr-HR" w:eastAsia="hr-HR"/>
        </w:rPr>
      </w:pPr>
    </w:p>
    <w:p w14:paraId="273F54BF" w14:textId="77777777" w:rsidR="0001508A" w:rsidRPr="0001508A" w:rsidRDefault="0001508A" w:rsidP="0001508A">
      <w:pPr>
        <w:spacing w:after="0" w:line="276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hr-HR" w:eastAsia="hr-HR"/>
        </w:rPr>
        <w:br w:type="page"/>
      </w:r>
    </w:p>
    <w:p w14:paraId="43A2FE20" w14:textId="77777777" w:rsidR="0001508A" w:rsidRPr="0001508A" w:rsidRDefault="0001508A" w:rsidP="0001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hr-HR" w:eastAsia="hr-HR"/>
        </w:rPr>
        <w:lastRenderedPageBreak/>
        <w:t>OBRAZLOŽENJE</w:t>
      </w:r>
    </w:p>
    <w:p w14:paraId="5EFBEA30" w14:textId="77777777" w:rsidR="0001508A" w:rsidRPr="0001508A" w:rsidRDefault="0001508A" w:rsidP="0001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hr-HR" w:eastAsia="hr-HR"/>
        </w:rPr>
      </w:pPr>
    </w:p>
    <w:p w14:paraId="0154281B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Temeljem Obavijesti Vlade Republike Hrvatske o namjeri davanja koncesije u svrhu gospodarskog korištenja pomorskog dobra radi obavljanja djelatnosti uzgoja </w:t>
      </w:r>
      <w:r w:rsidR="0075157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tune i obavljanja turističko – edukacijske djelatnosti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 na dvadeset godina</w:t>
      </w:r>
      <w:r w:rsidR="0075157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 uzgojnog kapaciteta do 5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00 tona godišnje, </w:t>
      </w:r>
      <w:r w:rsidR="0075157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između otočića Fulija i Kudica u akvatoriju Iškog kanala, ukupne </w:t>
      </w:r>
      <w:r w:rsidR="00917E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površine do 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2</w:t>
      </w:r>
      <w:r w:rsidR="00917E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1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0.000,00 metara kvadratnih, objavljenoj u Elektroničkom oglasniku javne nabave (</w:t>
      </w:r>
      <w:r w:rsidR="00917E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broj objave: 2021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/S 01K-000</w:t>
      </w:r>
      <w:r w:rsidR="00917E8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2230)</w:t>
      </w:r>
      <w:r w:rsidR="00900719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1</w:t>
      </w:r>
      <w:r w:rsidR="00900719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9</w:t>
      </w:r>
      <w:r w:rsidR="00005FB6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 sije</w:t>
      </w:r>
      <w:r w:rsidR="00900719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čnja 2021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. godine pristigla je jedna ponuda i to trgovačkog društva </w:t>
      </w:r>
      <w:r w:rsidR="00900719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Kali tuna d.o.o. iz Općine Kali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. </w:t>
      </w:r>
    </w:p>
    <w:p w14:paraId="1493402B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7011797A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Stručno tijelo za ocjenu ponuda za koncesije na pomorskom dobru donijelo je Nalaz i mišljenje iz kojega slijedi kako je ponuda trgovačkog društva </w:t>
      </w:r>
      <w:r w:rsidR="00900719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Kali tuna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d.o.o. dostavljena u propisanom vremenskom roku, kako sadrži svu dokumentaciju  koja je  određena kao propisani sadržaj ponude iz Obavijesti Vlade Republike Hrvatske o namjeri davanja koncesije na predmetnom pomorskom dobru i dokumentacije za nadmetanje objavljene u Elektroničkom oglasniku javne nabave te kako ponuda odgovara svim posebnim propisima i gospodarskom značaju pomorskog dobra koje se daje u koncesiju i da je samim time prihvatljiva.</w:t>
      </w:r>
    </w:p>
    <w:p w14:paraId="696E2A14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425120F3" w14:textId="77777777" w:rsidR="00900719" w:rsidRPr="0001508A" w:rsidRDefault="00900719" w:rsidP="00900719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Ukupna površina pomorskog dobra koja se daje u koncesiju iznosi 210.000 metara kvadratnih. 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Visina ponuđenog iznosa stalnog dijela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naknade za koncesiju iznosi 1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01 kuna po metru kvadratnom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zauzetog pomorskog do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bra, odnosno 212.1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00,00 kuna godišnje, dok ponuđeni apsolutni iznos promjenjivog dije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la naknade za koncesiju iznosi 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3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.1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6.41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0,00 kuna, </w:t>
      </w:r>
      <w:r w:rsidR="00051D0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to jest, 0,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51 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% od ukupnog godišnjeg prihoda na području koje je dano u koncesiju. Ukupno investicijsko ulaganje u pomorsko dobro iznosi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6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283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944,00 kuna.</w:t>
      </w:r>
    </w:p>
    <w:p w14:paraId="3D69E265" w14:textId="77777777" w:rsidR="00900719" w:rsidRDefault="00900719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221F078C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Sukladno Nalazu i mišljenju Stručnog tijela izrađen je predmetni prijedlog Odluke kojim se koncesija daje trgovačkom društvu </w:t>
      </w:r>
      <w:r w:rsidR="00900719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Kali tuna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d.o.o.</w:t>
      </w:r>
      <w:r w:rsidR="00900719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za ulov, uzgoj i preradu ribe.</w:t>
      </w:r>
    </w:p>
    <w:p w14:paraId="1B714AF2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6454EB85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Slijedom navedenog, izrađen je Prijedlog odluke o koncesiji pomorskog dobra u svrhu obavljanja djelatnosti uzgoja </w:t>
      </w:r>
      <w:r w:rsidR="00900719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tune i obavljanja turističko – edukativne djelatnosti u akvatoriju Iškog kanala</w:t>
      </w:r>
      <w:r w:rsidRPr="0001508A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. </w:t>
      </w:r>
    </w:p>
    <w:p w14:paraId="28DC43B4" w14:textId="77777777" w:rsidR="0001508A" w:rsidRPr="0001508A" w:rsidRDefault="0001508A" w:rsidP="0001508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251E29EF" w14:textId="77777777" w:rsidR="0001508A" w:rsidRPr="0001508A" w:rsidRDefault="0001508A" w:rsidP="0001508A">
      <w:pPr>
        <w:spacing w:after="200" w:line="276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14:paraId="113B6BA0" w14:textId="77777777" w:rsidR="0001508A" w:rsidRPr="0001508A" w:rsidRDefault="0001508A" w:rsidP="0001508A">
      <w:p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  <w:lang w:val="hr-HR"/>
        </w:rPr>
      </w:pPr>
    </w:p>
    <w:p w14:paraId="2F9C9CA3" w14:textId="77777777" w:rsidR="000E4953" w:rsidRDefault="000E4953"/>
    <w:sectPr w:rsidR="000E4953" w:rsidSect="00C10194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174C6" w14:textId="77777777" w:rsidR="00D72842" w:rsidRDefault="00D72842" w:rsidP="00641888">
      <w:pPr>
        <w:spacing w:after="0" w:line="240" w:lineRule="auto"/>
      </w:pPr>
      <w:r>
        <w:separator/>
      </w:r>
    </w:p>
  </w:endnote>
  <w:endnote w:type="continuationSeparator" w:id="0">
    <w:p w14:paraId="4D49BBC0" w14:textId="77777777" w:rsidR="00D72842" w:rsidRDefault="00D72842" w:rsidP="0064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11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B325A2" w14:textId="5BB8ACCE" w:rsidR="00E06588" w:rsidRPr="00BA5B8E" w:rsidRDefault="00902262">
        <w:pPr>
          <w:pStyle w:val="Footer1"/>
          <w:jc w:val="right"/>
          <w:rPr>
            <w:rFonts w:ascii="Times New Roman" w:hAnsi="Times New Roman" w:cs="Times New Roman"/>
          </w:rPr>
        </w:pPr>
        <w:r w:rsidRPr="00BA5B8E">
          <w:rPr>
            <w:rFonts w:ascii="Times New Roman" w:hAnsi="Times New Roman" w:cs="Times New Roman"/>
          </w:rPr>
          <w:fldChar w:fldCharType="begin"/>
        </w:r>
        <w:r w:rsidRPr="00BA5B8E">
          <w:rPr>
            <w:rFonts w:ascii="Times New Roman" w:hAnsi="Times New Roman" w:cs="Times New Roman"/>
          </w:rPr>
          <w:instrText xml:space="preserve"> PAGE   \* MERGEFORMAT </w:instrText>
        </w:r>
        <w:r w:rsidRPr="00BA5B8E">
          <w:rPr>
            <w:rFonts w:ascii="Times New Roman" w:hAnsi="Times New Roman" w:cs="Times New Roman"/>
          </w:rPr>
          <w:fldChar w:fldCharType="separate"/>
        </w:r>
        <w:r w:rsidR="00CF52E3">
          <w:rPr>
            <w:rFonts w:ascii="Times New Roman" w:hAnsi="Times New Roman" w:cs="Times New Roman"/>
            <w:noProof/>
          </w:rPr>
          <w:t>2</w:t>
        </w:r>
        <w:r w:rsidRPr="00BA5B8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BB76436" w14:textId="77777777" w:rsidR="00E06588" w:rsidRDefault="00CF52E3">
    <w:pPr>
      <w:pStyle w:val="Footer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F8A36" w14:textId="77777777" w:rsidR="00641888" w:rsidRPr="00641888" w:rsidRDefault="00641888" w:rsidP="00641888">
    <w:pPr>
      <w:pBdr>
        <w:top w:val="single" w:sz="4" w:space="1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noProof w:val="0"/>
        <w:color w:val="404040"/>
        <w:spacing w:val="20"/>
        <w:sz w:val="20"/>
        <w:lang w:val="hr-HR" w:eastAsia="hr-HR"/>
      </w:rPr>
    </w:pPr>
    <w:r w:rsidRPr="00641888">
      <w:rPr>
        <w:rFonts w:ascii="Times New Roman" w:eastAsia="Times New Roman" w:hAnsi="Times New Roman" w:cs="Times New Roman"/>
        <w:noProof w:val="0"/>
        <w:color w:val="404040"/>
        <w:spacing w:val="20"/>
        <w:sz w:val="20"/>
        <w:lang w:val="hr-HR" w:eastAsia="hr-HR"/>
      </w:rPr>
      <w:t>Banski dvori | Trg Sv. Marka 2  | 10000 Zagreb | tel. 01 4569 222 | vlada.gov.hr</w:t>
    </w:r>
  </w:p>
  <w:p w14:paraId="298630FB" w14:textId="77777777" w:rsidR="00641888" w:rsidRDefault="00641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1CE39" w14:textId="77777777" w:rsidR="00D72842" w:rsidRDefault="00D72842" w:rsidP="00641888">
      <w:pPr>
        <w:spacing w:after="0" w:line="240" w:lineRule="auto"/>
      </w:pPr>
      <w:r>
        <w:separator/>
      </w:r>
    </w:p>
  </w:footnote>
  <w:footnote w:type="continuationSeparator" w:id="0">
    <w:p w14:paraId="72212DA8" w14:textId="77777777" w:rsidR="00D72842" w:rsidRDefault="00D72842" w:rsidP="00641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F2863" w14:textId="77777777" w:rsidR="00E06588" w:rsidRDefault="00CF52E3">
    <w:pPr>
      <w:pStyle w:val="Header1"/>
    </w:pPr>
  </w:p>
  <w:p w14:paraId="6ECD55FF" w14:textId="77777777" w:rsidR="00E06588" w:rsidRDefault="00CF52E3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D1A97"/>
    <w:multiLevelType w:val="hybridMultilevel"/>
    <w:tmpl w:val="BC4C4196"/>
    <w:lvl w:ilvl="0" w:tplc="9800A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9A"/>
    <w:rsid w:val="00005FB6"/>
    <w:rsid w:val="00007796"/>
    <w:rsid w:val="0001508A"/>
    <w:rsid w:val="0002226B"/>
    <w:rsid w:val="00051D08"/>
    <w:rsid w:val="000B0E25"/>
    <w:rsid w:val="000E4953"/>
    <w:rsid w:val="000F14EB"/>
    <w:rsid w:val="00126B54"/>
    <w:rsid w:val="0017560B"/>
    <w:rsid w:val="001C2335"/>
    <w:rsid w:val="001C792B"/>
    <w:rsid w:val="00202EFB"/>
    <w:rsid w:val="0029000D"/>
    <w:rsid w:val="002F37F1"/>
    <w:rsid w:val="00307F3B"/>
    <w:rsid w:val="003B2A90"/>
    <w:rsid w:val="003E3EBE"/>
    <w:rsid w:val="003E585A"/>
    <w:rsid w:val="003F306C"/>
    <w:rsid w:val="004A6F44"/>
    <w:rsid w:val="005046A4"/>
    <w:rsid w:val="00522C86"/>
    <w:rsid w:val="005445A6"/>
    <w:rsid w:val="00545689"/>
    <w:rsid w:val="00545FF2"/>
    <w:rsid w:val="00595F03"/>
    <w:rsid w:val="00641888"/>
    <w:rsid w:val="0067655B"/>
    <w:rsid w:val="006D3A88"/>
    <w:rsid w:val="006F489A"/>
    <w:rsid w:val="007046D3"/>
    <w:rsid w:val="0075157F"/>
    <w:rsid w:val="00777EEE"/>
    <w:rsid w:val="007A0DAA"/>
    <w:rsid w:val="008B2E2C"/>
    <w:rsid w:val="00900719"/>
    <w:rsid w:val="00902262"/>
    <w:rsid w:val="00917E88"/>
    <w:rsid w:val="00946CA9"/>
    <w:rsid w:val="0095742E"/>
    <w:rsid w:val="00966B36"/>
    <w:rsid w:val="009E2952"/>
    <w:rsid w:val="00A83C51"/>
    <w:rsid w:val="00AB3620"/>
    <w:rsid w:val="00B1605F"/>
    <w:rsid w:val="00B43F6F"/>
    <w:rsid w:val="00B44C01"/>
    <w:rsid w:val="00B66290"/>
    <w:rsid w:val="00C0523D"/>
    <w:rsid w:val="00C1380E"/>
    <w:rsid w:val="00CC273F"/>
    <w:rsid w:val="00CF42CC"/>
    <w:rsid w:val="00CF52E3"/>
    <w:rsid w:val="00D30CEF"/>
    <w:rsid w:val="00D37364"/>
    <w:rsid w:val="00D720A0"/>
    <w:rsid w:val="00D72842"/>
    <w:rsid w:val="00D915C5"/>
    <w:rsid w:val="00DA773D"/>
    <w:rsid w:val="00DE2B1B"/>
    <w:rsid w:val="00F16507"/>
    <w:rsid w:val="00F647CD"/>
    <w:rsid w:val="00F87981"/>
    <w:rsid w:val="00FA6FED"/>
    <w:rsid w:val="00FB30FC"/>
    <w:rsid w:val="00FC7B51"/>
    <w:rsid w:val="00FD26CC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F9A912"/>
  <w15:chartTrackingRefBased/>
  <w15:docId w15:val="{B60F42BA-A3E0-436B-91C9-0672584C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01508A"/>
    <w:pPr>
      <w:tabs>
        <w:tab w:val="center" w:pos="4536"/>
        <w:tab w:val="right" w:pos="9072"/>
      </w:tabs>
      <w:spacing w:after="0" w:line="240" w:lineRule="auto"/>
    </w:pPr>
    <w:rPr>
      <w:noProof w:val="0"/>
      <w:lang w:val="hr-HR"/>
    </w:rPr>
  </w:style>
  <w:style w:type="character" w:customStyle="1" w:styleId="HeaderChar">
    <w:name w:val="Header Char"/>
    <w:basedOn w:val="DefaultParagraphFont"/>
    <w:link w:val="Header1"/>
    <w:uiPriority w:val="99"/>
    <w:rsid w:val="0001508A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01508A"/>
    <w:pPr>
      <w:tabs>
        <w:tab w:val="center" w:pos="4536"/>
        <w:tab w:val="right" w:pos="9072"/>
      </w:tabs>
      <w:spacing w:after="0" w:line="240" w:lineRule="auto"/>
    </w:pPr>
    <w:rPr>
      <w:noProof w:val="0"/>
      <w:lang w:val="hr-HR"/>
    </w:rPr>
  </w:style>
  <w:style w:type="character" w:customStyle="1" w:styleId="FooterChar">
    <w:name w:val="Footer Char"/>
    <w:basedOn w:val="DefaultParagraphFont"/>
    <w:link w:val="Footer1"/>
    <w:uiPriority w:val="99"/>
    <w:rsid w:val="0001508A"/>
  </w:style>
  <w:style w:type="paragraph" w:styleId="Header">
    <w:name w:val="header"/>
    <w:basedOn w:val="Normal"/>
    <w:link w:val="HeaderChar1"/>
    <w:uiPriority w:val="99"/>
    <w:unhideWhenUsed/>
    <w:rsid w:val="00015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01508A"/>
    <w:rPr>
      <w:noProof/>
      <w:lang w:val="en-US"/>
    </w:rPr>
  </w:style>
  <w:style w:type="paragraph" w:styleId="Footer">
    <w:name w:val="footer"/>
    <w:basedOn w:val="Normal"/>
    <w:link w:val="FooterChar1"/>
    <w:uiPriority w:val="99"/>
    <w:unhideWhenUsed/>
    <w:rsid w:val="00015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01508A"/>
    <w:rPr>
      <w:noProof/>
      <w:lang w:val="en-US"/>
    </w:rPr>
  </w:style>
  <w:style w:type="table" w:styleId="TableGrid">
    <w:name w:val="Table Grid"/>
    <w:basedOn w:val="TableNormal"/>
    <w:uiPriority w:val="59"/>
    <w:rsid w:val="00641888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0D"/>
    <w:rPr>
      <w:rFonts w:ascii="Segoe UI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1733</Words>
  <Characters>9884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Borić</dc:creator>
  <cp:keywords/>
  <dc:description/>
  <cp:lastModifiedBy>Ines Uglešić</cp:lastModifiedBy>
  <cp:revision>10</cp:revision>
  <cp:lastPrinted>2021-04-08T09:56:00Z</cp:lastPrinted>
  <dcterms:created xsi:type="dcterms:W3CDTF">2021-05-03T10:20:00Z</dcterms:created>
  <dcterms:modified xsi:type="dcterms:W3CDTF">2021-05-13T12:17:00Z</dcterms:modified>
</cp:coreProperties>
</file>