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A93" w:rsidRPr="00F01191" w:rsidRDefault="007D4A93">
      <w:pPr>
        <w:spacing w:after="0" w:line="240" w:lineRule="auto"/>
        <w:jc w:val="right"/>
        <w:rPr>
          <w:rFonts w:eastAsia="Times New Roman" w:cs="Times New Roman"/>
          <w:sz w:val="24"/>
          <w:szCs w:val="24"/>
          <w:lang w:eastAsia="hr-HR"/>
        </w:rPr>
      </w:pPr>
    </w:p>
    <w:p w:rsidR="007D4A93" w:rsidRPr="00F01191" w:rsidRDefault="00EF0BEB">
      <w:pPr>
        <w:spacing w:after="0" w:line="240" w:lineRule="auto"/>
        <w:jc w:val="center"/>
        <w:rPr>
          <w:rFonts w:eastAsia="Times New Roman" w:cs="Times New Roman"/>
          <w:sz w:val="24"/>
          <w:szCs w:val="24"/>
          <w:lang w:eastAsia="hr-HR"/>
        </w:rPr>
      </w:pPr>
      <w:r w:rsidRPr="00F01191">
        <w:rPr>
          <w:rFonts w:eastAsia="Times New Roman" w:cs="Times New Roman"/>
          <w:noProof/>
          <w:sz w:val="24"/>
          <w:szCs w:val="24"/>
          <w:lang w:eastAsia="hr-HR"/>
        </w:rPr>
        <w:drawing>
          <wp:inline distT="0" distB="0" distL="0" distR="0" wp14:anchorId="2CF633A9" wp14:editId="7C28AE76">
            <wp:extent cx="502920" cy="6858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8"/>
                    <a:stretch/>
                  </pic:blipFill>
                  <pic:spPr bwMode="auto">
                    <a:xfrm>
                      <a:off x="0" y="0"/>
                      <a:ext cx="502920" cy="685800"/>
                    </a:xfrm>
                    <a:prstGeom prst="rect">
                      <a:avLst/>
                    </a:prstGeom>
                    <a:noFill/>
                    <a:ln>
                      <a:noFill/>
                    </a:ln>
                  </pic:spPr>
                </pic:pic>
              </a:graphicData>
            </a:graphic>
          </wp:inline>
        </w:drawing>
      </w:r>
    </w:p>
    <w:p w:rsidR="007D4A93" w:rsidRPr="00F01191" w:rsidRDefault="00EF0BEB">
      <w:pPr>
        <w:spacing w:before="60" w:after="1680" w:line="240" w:lineRule="auto"/>
        <w:jc w:val="center"/>
        <w:rPr>
          <w:rFonts w:eastAsia="Times New Roman" w:cs="Times New Roman"/>
          <w:sz w:val="28"/>
          <w:szCs w:val="24"/>
          <w:lang w:eastAsia="hr-HR"/>
        </w:rPr>
      </w:pPr>
      <w:r w:rsidRPr="00F01191">
        <w:rPr>
          <w:rFonts w:eastAsia="Times New Roman" w:cs="Times New Roman"/>
          <w:sz w:val="28"/>
          <w:szCs w:val="24"/>
          <w:lang w:eastAsia="hr-HR"/>
        </w:rPr>
        <w:t>VLADA REPUBLIKE HRVATSKE</w:t>
      </w:r>
    </w:p>
    <w:p w:rsidR="007D4A93" w:rsidRPr="00F01191" w:rsidRDefault="007D4A93">
      <w:pPr>
        <w:spacing w:after="0" w:line="240" w:lineRule="auto"/>
        <w:jc w:val="left"/>
        <w:rPr>
          <w:rFonts w:eastAsia="Times New Roman" w:cs="Times New Roman"/>
          <w:b/>
          <w:sz w:val="24"/>
          <w:szCs w:val="24"/>
          <w:lang w:eastAsia="hr-HR"/>
        </w:rPr>
      </w:pPr>
    </w:p>
    <w:p w:rsidR="00B638E0" w:rsidRPr="00110C95" w:rsidRDefault="00B638E0" w:rsidP="00B638E0">
      <w:pPr>
        <w:spacing w:after="0" w:line="240" w:lineRule="auto"/>
        <w:jc w:val="right"/>
        <w:rPr>
          <w:rFonts w:eastAsia="Times New Roman" w:cs="Times New Roman"/>
          <w:sz w:val="24"/>
          <w:szCs w:val="24"/>
          <w:lang w:eastAsia="hr-HR"/>
        </w:rPr>
      </w:pPr>
      <w:r w:rsidRPr="00110C95">
        <w:rPr>
          <w:rFonts w:eastAsia="Times New Roman" w:cs="Times New Roman"/>
          <w:sz w:val="24"/>
          <w:szCs w:val="24"/>
          <w:lang w:eastAsia="hr-HR"/>
        </w:rPr>
        <w:t>Zagreb,</w:t>
      </w:r>
      <w:r>
        <w:rPr>
          <w:rFonts w:eastAsia="Times New Roman" w:cs="Times New Roman"/>
          <w:sz w:val="24"/>
          <w:szCs w:val="24"/>
          <w:lang w:eastAsia="hr-HR"/>
        </w:rPr>
        <w:t xml:space="preserve"> 22. travnja 2021</w:t>
      </w:r>
      <w:r w:rsidRPr="00110C95">
        <w:rPr>
          <w:rFonts w:eastAsia="Times New Roman" w:cs="Times New Roman"/>
          <w:sz w:val="24"/>
          <w:szCs w:val="24"/>
          <w:lang w:eastAsia="hr-HR"/>
        </w:rPr>
        <w:t>.</w:t>
      </w:r>
    </w:p>
    <w:p w:rsidR="007D4A93" w:rsidRPr="00F01191" w:rsidRDefault="007D4A93">
      <w:pPr>
        <w:spacing w:after="0" w:line="240" w:lineRule="auto"/>
        <w:jc w:val="left"/>
        <w:rPr>
          <w:rFonts w:eastAsia="Times New Roman" w:cs="Times New Roman"/>
          <w:b/>
          <w:sz w:val="24"/>
          <w:szCs w:val="24"/>
          <w:lang w:eastAsia="hr-HR"/>
        </w:rPr>
      </w:pPr>
      <w:bookmarkStart w:id="0" w:name="_GoBack"/>
      <w:bookmarkEnd w:id="0"/>
    </w:p>
    <w:p w:rsidR="007D4A93" w:rsidRPr="00F01191" w:rsidRDefault="007D4A93">
      <w:pPr>
        <w:spacing w:after="0" w:line="240" w:lineRule="auto"/>
        <w:jc w:val="left"/>
        <w:rPr>
          <w:rFonts w:eastAsia="Times New Roman" w:cs="Times New Roman"/>
          <w:b/>
          <w:sz w:val="24"/>
          <w:szCs w:val="24"/>
          <w:lang w:eastAsia="hr-HR"/>
        </w:rPr>
      </w:pPr>
    </w:p>
    <w:p w:rsidR="007D4A93" w:rsidRPr="00F01191" w:rsidRDefault="007D4A93">
      <w:pPr>
        <w:spacing w:after="0" w:line="240" w:lineRule="auto"/>
        <w:jc w:val="left"/>
        <w:rPr>
          <w:rFonts w:eastAsia="Times New Roman" w:cs="Times New Roman"/>
          <w:b/>
          <w:sz w:val="24"/>
          <w:szCs w:val="24"/>
          <w:lang w:eastAsia="hr-HR"/>
        </w:rPr>
      </w:pPr>
    </w:p>
    <w:p w:rsidR="007D4A93" w:rsidRPr="00F01191" w:rsidRDefault="007D4A93">
      <w:pPr>
        <w:spacing w:after="0" w:line="240" w:lineRule="auto"/>
        <w:jc w:val="left"/>
        <w:rPr>
          <w:rFonts w:eastAsia="Times New Roman" w:cs="Times New Roman"/>
          <w:b/>
          <w:sz w:val="24"/>
          <w:szCs w:val="24"/>
          <w:lang w:eastAsia="hr-HR"/>
        </w:rPr>
      </w:pPr>
    </w:p>
    <w:p w:rsidR="007D4A93" w:rsidRPr="00F01191" w:rsidRDefault="007D4A93">
      <w:pPr>
        <w:spacing w:after="0" w:line="240" w:lineRule="auto"/>
        <w:jc w:val="left"/>
        <w:rPr>
          <w:rFonts w:eastAsia="Times New Roman" w:cs="Times New Roman"/>
          <w:b/>
          <w:sz w:val="24"/>
          <w:szCs w:val="24"/>
          <w:lang w:eastAsia="hr-HR"/>
        </w:rPr>
      </w:pPr>
    </w:p>
    <w:p w:rsidR="007D4A93" w:rsidRPr="00F01191" w:rsidRDefault="007D4A93">
      <w:pPr>
        <w:spacing w:after="0" w:line="360" w:lineRule="auto"/>
        <w:jc w:val="left"/>
        <w:rPr>
          <w:rFonts w:eastAsia="Times New Roman" w:cs="Times New Roman"/>
          <w:sz w:val="24"/>
          <w:szCs w:val="24"/>
          <w:lang w:eastAsia="hr-HR"/>
        </w:rPr>
      </w:pPr>
    </w:p>
    <w:p w:rsidR="007D4A93" w:rsidRPr="00F01191" w:rsidRDefault="007D4A93">
      <w:pPr>
        <w:spacing w:after="0" w:line="360" w:lineRule="auto"/>
        <w:jc w:val="left"/>
        <w:rPr>
          <w:rFonts w:eastAsia="Times New Roman" w:cs="Times New Roman"/>
          <w:sz w:val="24"/>
          <w:szCs w:val="24"/>
          <w:lang w:eastAsia="hr-HR"/>
        </w:rPr>
      </w:pPr>
    </w:p>
    <w:p w:rsidR="007D4A93" w:rsidRPr="00F01191" w:rsidRDefault="00EF0BEB">
      <w:pPr>
        <w:spacing w:after="0" w:line="360" w:lineRule="auto"/>
        <w:jc w:val="left"/>
        <w:rPr>
          <w:rFonts w:eastAsia="Times New Roman" w:cs="Times New Roman"/>
          <w:sz w:val="24"/>
          <w:szCs w:val="24"/>
          <w:lang w:eastAsia="hr-HR"/>
        </w:rPr>
      </w:pPr>
      <w:r w:rsidRPr="00F01191">
        <w:rPr>
          <w:rFonts w:eastAsia="Times New Roman" w:cs="Times New Roman"/>
          <w:sz w:val="24"/>
          <w:szCs w:val="24"/>
          <w:lang w:eastAsia="hr-HR"/>
        </w:rPr>
        <w:t>___________________________________________________________________________</w:t>
      </w:r>
    </w:p>
    <w:p w:rsidR="007D4A93" w:rsidRPr="00F01191" w:rsidRDefault="00EF0BEB">
      <w:pPr>
        <w:spacing w:after="0" w:line="360" w:lineRule="auto"/>
        <w:jc w:val="left"/>
        <w:rPr>
          <w:rFonts w:eastAsia="Times New Roman" w:cs="Times New Roman"/>
          <w:b/>
          <w:sz w:val="24"/>
          <w:szCs w:val="24"/>
          <w:lang w:eastAsia="hr-HR"/>
        </w:rPr>
      </w:pPr>
      <w:r w:rsidRPr="00F01191">
        <w:rPr>
          <w:rFonts w:eastAsia="Times New Roman" w:cs="Times New Roman"/>
          <w:b/>
          <w:sz w:val="24"/>
          <w:szCs w:val="24"/>
          <w:lang w:eastAsia="hr-HR"/>
        </w:rPr>
        <w:t xml:space="preserve">Predlagatelj: </w:t>
      </w:r>
      <w:r w:rsidRPr="00F01191">
        <w:rPr>
          <w:rFonts w:eastAsia="Times New Roman" w:cs="Times New Roman"/>
          <w:b/>
          <w:sz w:val="24"/>
          <w:szCs w:val="24"/>
          <w:lang w:eastAsia="hr-HR"/>
        </w:rPr>
        <w:tab/>
      </w:r>
      <w:r w:rsidRPr="00F01191">
        <w:rPr>
          <w:rFonts w:eastAsia="Times New Roman" w:cs="Times New Roman"/>
          <w:sz w:val="24"/>
          <w:szCs w:val="24"/>
          <w:lang w:eastAsia="hr-HR"/>
        </w:rPr>
        <w:t>Ministarstvo gospodarstva i održivog razvoja</w:t>
      </w:r>
    </w:p>
    <w:p w:rsidR="007D4A93" w:rsidRPr="00F01191" w:rsidRDefault="00EF0BEB">
      <w:pPr>
        <w:spacing w:after="0" w:line="360" w:lineRule="auto"/>
        <w:rPr>
          <w:rFonts w:eastAsia="Times New Roman" w:cs="Times New Roman"/>
          <w:sz w:val="24"/>
          <w:szCs w:val="24"/>
          <w:lang w:eastAsia="hr-HR"/>
        </w:rPr>
      </w:pPr>
      <w:r w:rsidRPr="00F01191">
        <w:rPr>
          <w:rFonts w:eastAsia="Times New Roman" w:cs="Times New Roman"/>
          <w:sz w:val="24"/>
          <w:szCs w:val="24"/>
          <w:lang w:eastAsia="hr-HR"/>
        </w:rPr>
        <w:t>__________________________________________________________________________</w:t>
      </w:r>
    </w:p>
    <w:p w:rsidR="007D4A93" w:rsidRPr="00F01191" w:rsidRDefault="00EF0BEB">
      <w:pPr>
        <w:spacing w:after="0" w:line="240" w:lineRule="auto"/>
        <w:ind w:left="1410" w:hanging="1410"/>
        <w:contextualSpacing/>
        <w:jc w:val="left"/>
        <w:rPr>
          <w:rFonts w:eastAsia="Calibri Light" w:cs="Times New Roman"/>
          <w:spacing w:val="-10"/>
          <w:sz w:val="24"/>
          <w:szCs w:val="24"/>
        </w:rPr>
      </w:pPr>
      <w:r w:rsidRPr="00F01191">
        <w:rPr>
          <w:rFonts w:eastAsia="Calibri Light" w:cs="Times New Roman"/>
          <w:b/>
          <w:spacing w:val="-10"/>
          <w:sz w:val="24"/>
          <w:szCs w:val="24"/>
        </w:rPr>
        <w:t>Predmet:</w:t>
      </w:r>
      <w:r w:rsidRPr="00F01191">
        <w:rPr>
          <w:rFonts w:eastAsia="Calibri Light" w:cs="Times New Roman"/>
          <w:spacing w:val="-10"/>
          <w:sz w:val="24"/>
          <w:szCs w:val="24"/>
        </w:rPr>
        <w:t xml:space="preserve"> </w:t>
      </w:r>
      <w:r w:rsidRPr="00F01191">
        <w:rPr>
          <w:rFonts w:eastAsia="Calibri Light" w:cs="Times New Roman"/>
          <w:spacing w:val="-10"/>
          <w:sz w:val="24"/>
          <w:szCs w:val="24"/>
        </w:rPr>
        <w:tab/>
      </w:r>
      <w:r w:rsidR="00953BED" w:rsidRPr="00F01191">
        <w:rPr>
          <w:rFonts w:eastAsia="Calibri Light" w:cs="Times New Roman"/>
          <w:spacing w:val="-10"/>
          <w:sz w:val="24"/>
          <w:szCs w:val="24"/>
        </w:rPr>
        <w:t>P</w:t>
      </w:r>
      <w:r w:rsidRPr="00F01191">
        <w:rPr>
          <w:rFonts w:eastAsia="Calibri Light" w:cs="Times New Roman"/>
          <w:spacing w:val="-10"/>
          <w:sz w:val="24"/>
          <w:szCs w:val="24"/>
        </w:rPr>
        <w:t>rijedlog</w:t>
      </w:r>
      <w:r w:rsidR="00953BED" w:rsidRPr="00F01191">
        <w:rPr>
          <w:rFonts w:eastAsia="Calibri Light" w:cs="Times New Roman"/>
          <w:spacing w:val="-10"/>
          <w:sz w:val="24"/>
          <w:szCs w:val="24"/>
        </w:rPr>
        <w:t xml:space="preserve"> </w:t>
      </w:r>
      <w:r w:rsidRPr="00F01191">
        <w:rPr>
          <w:rFonts w:eastAsia="Calibri Light" w:cs="Times New Roman"/>
          <w:spacing w:val="-10"/>
          <w:sz w:val="24"/>
          <w:szCs w:val="24"/>
        </w:rPr>
        <w:t>strategije niskougljičnog razvoja Republike Hrvatske do 2030. s pogledom na 2050. godinu</w:t>
      </w:r>
    </w:p>
    <w:p w:rsidR="007D4A93" w:rsidRPr="00F01191" w:rsidRDefault="00EF0BEB">
      <w:pPr>
        <w:spacing w:after="0" w:line="240" w:lineRule="auto"/>
        <w:ind w:left="1410" w:hanging="1410"/>
        <w:rPr>
          <w:rFonts w:eastAsia="Times New Roman" w:cs="Times New Roman"/>
          <w:sz w:val="24"/>
          <w:szCs w:val="24"/>
          <w:lang w:eastAsia="hr-HR"/>
        </w:rPr>
      </w:pPr>
      <w:r w:rsidRPr="00F01191">
        <w:rPr>
          <w:rFonts w:eastAsia="Times New Roman" w:cs="Times New Roman"/>
          <w:sz w:val="24"/>
          <w:szCs w:val="24"/>
          <w:lang w:eastAsia="hr-HR"/>
        </w:rPr>
        <w:t>___________________________________________________________________________</w:t>
      </w:r>
    </w:p>
    <w:p w:rsidR="007D4A93" w:rsidRPr="00F01191" w:rsidRDefault="007D4A93">
      <w:pPr>
        <w:spacing w:after="0" w:line="360" w:lineRule="auto"/>
        <w:jc w:val="left"/>
        <w:rPr>
          <w:rFonts w:eastAsia="Times New Roman" w:cs="Times New Roman"/>
          <w:sz w:val="24"/>
          <w:szCs w:val="24"/>
          <w:lang w:eastAsia="hr-HR"/>
        </w:rPr>
      </w:pPr>
    </w:p>
    <w:p w:rsidR="007D4A93" w:rsidRPr="00F01191" w:rsidRDefault="007D4A93">
      <w:pPr>
        <w:spacing w:after="0" w:line="36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spacing w:after="0" w:line="240" w:lineRule="auto"/>
        <w:jc w:val="left"/>
        <w:rPr>
          <w:rFonts w:eastAsia="Times New Roman" w:cs="Times New Roman"/>
          <w:sz w:val="24"/>
          <w:szCs w:val="24"/>
          <w:lang w:eastAsia="hr-HR"/>
        </w:rPr>
      </w:pPr>
    </w:p>
    <w:p w:rsidR="007D4A93" w:rsidRPr="00F01191" w:rsidRDefault="007D4A93">
      <w:pPr>
        <w:tabs>
          <w:tab w:val="center" w:pos="4536"/>
          <w:tab w:val="right" w:pos="9072"/>
        </w:tabs>
        <w:spacing w:after="0" w:line="240" w:lineRule="auto"/>
        <w:jc w:val="left"/>
        <w:rPr>
          <w:rFonts w:eastAsia="Times New Roman" w:cs="Times New Roman"/>
          <w:sz w:val="24"/>
          <w:szCs w:val="20"/>
          <w:lang w:eastAsia="hr-HR"/>
        </w:rPr>
      </w:pPr>
    </w:p>
    <w:p w:rsidR="007D4A93" w:rsidRPr="00F01191" w:rsidRDefault="00EF0BEB">
      <w:pPr>
        <w:pBdr>
          <w:top w:val="single" w:sz="4" w:space="1" w:color="404040"/>
        </w:pBdr>
        <w:tabs>
          <w:tab w:val="center" w:pos="4536"/>
          <w:tab w:val="right" w:pos="9072"/>
        </w:tabs>
        <w:spacing w:after="0" w:line="240" w:lineRule="auto"/>
        <w:jc w:val="center"/>
        <w:rPr>
          <w:rFonts w:eastAsia="Times New Roman" w:cs="Times New Roman"/>
          <w:color w:val="404040"/>
          <w:spacing w:val="20"/>
          <w:sz w:val="20"/>
          <w:szCs w:val="20"/>
          <w:lang w:eastAsia="hr-HR"/>
        </w:rPr>
      </w:pPr>
      <w:r w:rsidRPr="00F01191">
        <w:rPr>
          <w:rFonts w:eastAsia="Times New Roman" w:cs="Times New Roman"/>
          <w:color w:val="404040"/>
          <w:spacing w:val="20"/>
          <w:sz w:val="20"/>
          <w:szCs w:val="20"/>
          <w:lang w:eastAsia="hr-HR"/>
        </w:rPr>
        <w:t>Banski dvori | Trg Sv. Marka 2  | 10000 Zagreb | tel. 01 4569 222 | vlada.gov.hr</w:t>
      </w:r>
    </w:p>
    <w:p w:rsidR="007D4A93" w:rsidRPr="00F01191" w:rsidRDefault="00EF0BEB">
      <w:pPr>
        <w:rPr>
          <w:rFonts w:cs="Times New Roman"/>
          <w:sz w:val="28"/>
          <w:szCs w:val="28"/>
        </w:rPr>
      </w:pPr>
      <w:r w:rsidRPr="00F01191">
        <w:rPr>
          <w:rFonts w:cs="Times New Roman"/>
          <w:sz w:val="28"/>
          <w:szCs w:val="28"/>
        </w:rPr>
        <w:br w:type="page"/>
      </w:r>
    </w:p>
    <w:p w:rsidR="007D4A93" w:rsidRPr="00F01191" w:rsidRDefault="00EF0BEB">
      <w:pPr>
        <w:jc w:val="center"/>
        <w:rPr>
          <w:rFonts w:cs="Times New Roman"/>
          <w:b/>
          <w:sz w:val="24"/>
          <w:szCs w:val="24"/>
        </w:rPr>
      </w:pPr>
      <w:r w:rsidRPr="00F01191">
        <w:rPr>
          <w:rFonts w:cs="Times New Roman"/>
          <w:b/>
          <w:sz w:val="24"/>
          <w:szCs w:val="24"/>
        </w:rPr>
        <w:lastRenderedPageBreak/>
        <w:t>MINISTARSTVO GOSPODARSTVA I ODRŽIVOG RAZVOJA</w:t>
      </w:r>
    </w:p>
    <w:p w:rsidR="007D4A93" w:rsidRPr="00F01191" w:rsidRDefault="0014604B">
      <w:pPr>
        <w:jc w:val="left"/>
        <w:rPr>
          <w:rFonts w:cs="Times New Roman"/>
          <w:sz w:val="24"/>
          <w:szCs w:val="24"/>
        </w:rPr>
      </w:pPr>
      <w:r w:rsidRPr="00F01191">
        <w:rPr>
          <w:rFonts w:cs="Times New Roman"/>
          <w:sz w:val="24"/>
          <w:szCs w:val="24"/>
        </w:rPr>
        <w:t>___________________________________________________________________________</w:t>
      </w:r>
    </w:p>
    <w:p w:rsidR="007D4A93" w:rsidRPr="00F01191" w:rsidRDefault="007D4A93">
      <w:pPr>
        <w:jc w:val="left"/>
        <w:rPr>
          <w:rFonts w:cs="Times New Roman"/>
          <w:sz w:val="24"/>
          <w:szCs w:val="24"/>
        </w:rPr>
      </w:pPr>
    </w:p>
    <w:p w:rsidR="007D4A93" w:rsidRPr="00F01191" w:rsidRDefault="00953BED" w:rsidP="00953BED">
      <w:pPr>
        <w:ind w:left="7080"/>
        <w:jc w:val="left"/>
        <w:rPr>
          <w:rFonts w:cs="Times New Roman"/>
          <w:b/>
          <w:sz w:val="24"/>
          <w:szCs w:val="24"/>
        </w:rPr>
      </w:pPr>
      <w:r w:rsidRPr="00F01191">
        <w:rPr>
          <w:rFonts w:cs="Times New Roman"/>
          <w:b/>
          <w:sz w:val="24"/>
          <w:szCs w:val="24"/>
        </w:rPr>
        <w:t>PRIJEDLOG</w:t>
      </w:r>
    </w:p>
    <w:p w:rsidR="007D4A93" w:rsidRPr="00F01191" w:rsidRDefault="007D4A93">
      <w:pPr>
        <w:jc w:val="left"/>
        <w:rPr>
          <w:rFonts w:cs="Times New Roman"/>
          <w:sz w:val="28"/>
          <w:szCs w:val="28"/>
        </w:rPr>
      </w:pPr>
    </w:p>
    <w:p w:rsidR="007D4A93" w:rsidRPr="00F01191" w:rsidRDefault="007D4A93">
      <w:pPr>
        <w:tabs>
          <w:tab w:val="left" w:pos="5387"/>
        </w:tabs>
        <w:spacing w:line="280" w:lineRule="exact"/>
        <w:rPr>
          <w:rFonts w:cs="Times New Roman"/>
          <w:sz w:val="32"/>
          <w:szCs w:val="32"/>
        </w:rPr>
      </w:pPr>
    </w:p>
    <w:p w:rsidR="007D4A93" w:rsidRPr="00F01191" w:rsidRDefault="007D4A93">
      <w:pPr>
        <w:tabs>
          <w:tab w:val="left" w:pos="5387"/>
        </w:tabs>
        <w:spacing w:line="280" w:lineRule="exact"/>
        <w:rPr>
          <w:rFonts w:cs="Times New Roman"/>
          <w:sz w:val="32"/>
          <w:szCs w:val="32"/>
        </w:rPr>
      </w:pPr>
    </w:p>
    <w:p w:rsidR="007D4A93" w:rsidRPr="00F01191" w:rsidRDefault="007D4A93">
      <w:pPr>
        <w:tabs>
          <w:tab w:val="left" w:pos="5387"/>
        </w:tabs>
        <w:spacing w:line="280" w:lineRule="exact"/>
        <w:rPr>
          <w:rFonts w:cs="Times New Roman"/>
          <w:sz w:val="28"/>
          <w:szCs w:val="28"/>
        </w:rPr>
      </w:pPr>
    </w:p>
    <w:p w:rsidR="007D4A93" w:rsidRPr="00F01191" w:rsidRDefault="00EF0BEB" w:rsidP="00953BED">
      <w:pPr>
        <w:pStyle w:val="Title"/>
        <w:rPr>
          <w:rFonts w:ascii="Times New Roman" w:eastAsia="Calibri" w:hAnsi="Times New Roman" w:cs="Times New Roman"/>
          <w:bCs w:val="0"/>
          <w:spacing w:val="0"/>
          <w:sz w:val="28"/>
          <w:szCs w:val="28"/>
        </w:rPr>
      </w:pPr>
      <w:r w:rsidRPr="00F01191">
        <w:rPr>
          <w:rFonts w:ascii="Times New Roman" w:eastAsia="Calibri" w:hAnsi="Times New Roman" w:cs="Times New Roman"/>
          <w:bCs w:val="0"/>
          <w:spacing w:val="0"/>
          <w:sz w:val="28"/>
          <w:szCs w:val="28"/>
        </w:rPr>
        <w:t>STRATEGIJ</w:t>
      </w:r>
      <w:r w:rsidR="00953BED" w:rsidRPr="00F01191">
        <w:rPr>
          <w:rFonts w:ascii="Times New Roman" w:eastAsia="Calibri" w:hAnsi="Times New Roman" w:cs="Times New Roman"/>
          <w:bCs w:val="0"/>
          <w:spacing w:val="0"/>
          <w:sz w:val="28"/>
          <w:szCs w:val="28"/>
        </w:rPr>
        <w:t>A</w:t>
      </w:r>
      <w:r w:rsidRPr="00F01191">
        <w:rPr>
          <w:rFonts w:ascii="Times New Roman" w:eastAsia="Calibri" w:hAnsi="Times New Roman" w:cs="Times New Roman"/>
          <w:bCs w:val="0"/>
          <w:spacing w:val="0"/>
          <w:sz w:val="28"/>
          <w:szCs w:val="28"/>
        </w:rPr>
        <w:t xml:space="preserve"> NISKOUGLJIČNOG RAZVOJA REPUBLIKE HRVATSKE DO 2030. S POGLEDOM NA 2050. GODINU</w:t>
      </w:r>
    </w:p>
    <w:p w:rsidR="007D4A93" w:rsidRPr="00F01191" w:rsidRDefault="007D4A93">
      <w:pPr>
        <w:rPr>
          <w:rFonts w:cs="Times New Roman"/>
        </w:rPr>
      </w:pPr>
    </w:p>
    <w:p w:rsidR="007D4A93" w:rsidRPr="00F01191" w:rsidRDefault="007D4A93">
      <w:pPr>
        <w:tabs>
          <w:tab w:val="left" w:pos="5387"/>
        </w:tabs>
        <w:spacing w:line="280" w:lineRule="exact"/>
        <w:rPr>
          <w:rFonts w:cs="Times New Roman"/>
          <w:sz w:val="32"/>
          <w:szCs w:val="32"/>
        </w:rPr>
      </w:pPr>
    </w:p>
    <w:p w:rsidR="007D4A93" w:rsidRPr="00F01191" w:rsidRDefault="007D4A93">
      <w:pPr>
        <w:jc w:val="left"/>
        <w:rPr>
          <w:rFonts w:cs="Times New Roman"/>
          <w:sz w:val="28"/>
          <w:szCs w:val="28"/>
        </w:rPr>
      </w:pPr>
    </w:p>
    <w:p w:rsidR="007D4A93" w:rsidRPr="00F01191" w:rsidRDefault="007D4A93">
      <w:pPr>
        <w:jc w:val="left"/>
        <w:rPr>
          <w:rFonts w:cs="Times New Roman"/>
          <w:sz w:val="28"/>
          <w:szCs w:val="28"/>
        </w:rPr>
      </w:pPr>
    </w:p>
    <w:p w:rsidR="007D4A93" w:rsidRPr="00F01191" w:rsidRDefault="007D4A93">
      <w:pPr>
        <w:jc w:val="left"/>
        <w:rPr>
          <w:rFonts w:cs="Times New Roman"/>
          <w:sz w:val="28"/>
          <w:szCs w:val="28"/>
        </w:rPr>
      </w:pPr>
    </w:p>
    <w:p w:rsidR="007D4A93" w:rsidRPr="00F01191" w:rsidRDefault="007D4A93">
      <w:pPr>
        <w:jc w:val="left"/>
        <w:rPr>
          <w:rFonts w:cs="Times New Roman"/>
          <w:sz w:val="28"/>
          <w:szCs w:val="28"/>
        </w:rPr>
      </w:pPr>
    </w:p>
    <w:p w:rsidR="007D4A93" w:rsidRPr="00F01191" w:rsidRDefault="007D4A93">
      <w:pPr>
        <w:jc w:val="left"/>
        <w:rPr>
          <w:rFonts w:cs="Times New Roman"/>
          <w:sz w:val="28"/>
          <w:szCs w:val="28"/>
        </w:rPr>
      </w:pPr>
    </w:p>
    <w:p w:rsidR="007D4A93" w:rsidRPr="00F01191" w:rsidRDefault="007D4A93">
      <w:pPr>
        <w:jc w:val="left"/>
        <w:rPr>
          <w:rFonts w:cs="Times New Roman"/>
          <w:sz w:val="28"/>
          <w:szCs w:val="28"/>
        </w:rPr>
      </w:pPr>
    </w:p>
    <w:p w:rsidR="007D4A93" w:rsidRPr="00F01191" w:rsidRDefault="007D4A93">
      <w:pPr>
        <w:jc w:val="left"/>
        <w:rPr>
          <w:rFonts w:cs="Times New Roman"/>
          <w:sz w:val="28"/>
          <w:szCs w:val="28"/>
        </w:rPr>
      </w:pPr>
    </w:p>
    <w:p w:rsidR="009600FB" w:rsidRPr="00F01191" w:rsidRDefault="009600FB">
      <w:pPr>
        <w:jc w:val="left"/>
        <w:rPr>
          <w:rFonts w:cs="Times New Roman"/>
          <w:sz w:val="28"/>
          <w:szCs w:val="28"/>
        </w:rPr>
      </w:pPr>
    </w:p>
    <w:p w:rsidR="009600FB" w:rsidRPr="00F01191" w:rsidRDefault="009600FB">
      <w:pPr>
        <w:jc w:val="left"/>
        <w:rPr>
          <w:rFonts w:cs="Times New Roman"/>
          <w:sz w:val="28"/>
          <w:szCs w:val="28"/>
        </w:rPr>
      </w:pPr>
    </w:p>
    <w:p w:rsidR="009600FB" w:rsidRPr="00F01191" w:rsidRDefault="009600FB">
      <w:pPr>
        <w:jc w:val="left"/>
        <w:rPr>
          <w:rFonts w:cs="Times New Roman"/>
          <w:sz w:val="28"/>
          <w:szCs w:val="28"/>
        </w:rPr>
      </w:pPr>
    </w:p>
    <w:p w:rsidR="009600FB" w:rsidRPr="00F01191" w:rsidRDefault="009600FB">
      <w:pPr>
        <w:jc w:val="left"/>
        <w:rPr>
          <w:rFonts w:cs="Times New Roman"/>
          <w:sz w:val="28"/>
          <w:szCs w:val="28"/>
        </w:rPr>
      </w:pPr>
    </w:p>
    <w:p w:rsidR="009600FB" w:rsidRPr="00F01191" w:rsidRDefault="009600FB">
      <w:pPr>
        <w:jc w:val="left"/>
        <w:rPr>
          <w:rFonts w:cs="Times New Roman"/>
          <w:sz w:val="28"/>
          <w:szCs w:val="28"/>
        </w:rPr>
      </w:pPr>
    </w:p>
    <w:p w:rsidR="007D4A93" w:rsidRPr="00F01191" w:rsidRDefault="007D4A93">
      <w:pPr>
        <w:jc w:val="left"/>
        <w:rPr>
          <w:rFonts w:cs="Times New Roman"/>
          <w:sz w:val="28"/>
          <w:szCs w:val="28"/>
        </w:rPr>
      </w:pPr>
    </w:p>
    <w:p w:rsidR="007D4A93" w:rsidRPr="00F01191" w:rsidRDefault="007D4A93">
      <w:pPr>
        <w:jc w:val="left"/>
        <w:rPr>
          <w:rFonts w:cs="Times New Roman"/>
          <w:sz w:val="28"/>
          <w:szCs w:val="28"/>
        </w:rPr>
      </w:pPr>
    </w:p>
    <w:p w:rsidR="007D4A93" w:rsidRPr="00F01191" w:rsidRDefault="00EF0BEB">
      <w:pPr>
        <w:jc w:val="center"/>
        <w:rPr>
          <w:rFonts w:cs="Times New Roman"/>
          <w:b/>
          <w:sz w:val="24"/>
          <w:szCs w:val="24"/>
        </w:rPr>
      </w:pPr>
      <w:r w:rsidRPr="00F01191">
        <w:rPr>
          <w:rFonts w:cs="Times New Roman"/>
          <w:b/>
          <w:sz w:val="24"/>
          <w:szCs w:val="24"/>
        </w:rPr>
        <w:t xml:space="preserve">Zagreb, </w:t>
      </w:r>
      <w:r w:rsidR="00DC3C3C" w:rsidRPr="00F01191">
        <w:rPr>
          <w:rFonts w:cs="Times New Roman"/>
          <w:b/>
          <w:sz w:val="24"/>
          <w:szCs w:val="24"/>
        </w:rPr>
        <w:t>travanj</w:t>
      </w:r>
      <w:r w:rsidR="00F711F4" w:rsidRPr="00F01191">
        <w:rPr>
          <w:rFonts w:cs="Times New Roman"/>
          <w:b/>
          <w:sz w:val="24"/>
          <w:szCs w:val="24"/>
        </w:rPr>
        <w:t xml:space="preserve"> </w:t>
      </w:r>
      <w:r w:rsidRPr="00F01191">
        <w:rPr>
          <w:rFonts w:cs="Times New Roman"/>
          <w:b/>
          <w:sz w:val="24"/>
          <w:szCs w:val="24"/>
        </w:rPr>
        <w:t>202</w:t>
      </w:r>
      <w:r w:rsidR="0071178B" w:rsidRPr="00F01191">
        <w:rPr>
          <w:rFonts w:cs="Times New Roman"/>
          <w:b/>
          <w:sz w:val="24"/>
          <w:szCs w:val="24"/>
        </w:rPr>
        <w:t>1</w:t>
      </w:r>
      <w:r w:rsidRPr="00F01191">
        <w:rPr>
          <w:rFonts w:cs="Times New Roman"/>
          <w:b/>
          <w:sz w:val="24"/>
          <w:szCs w:val="24"/>
        </w:rPr>
        <w:t>.</w:t>
      </w:r>
    </w:p>
    <w:p w:rsidR="0014604B" w:rsidRPr="00F01191" w:rsidRDefault="0014604B">
      <w:pPr>
        <w:jc w:val="center"/>
        <w:rPr>
          <w:rFonts w:cs="Times New Roman"/>
          <w:sz w:val="24"/>
          <w:szCs w:val="24"/>
        </w:rPr>
      </w:pPr>
      <w:r w:rsidRPr="00F01191">
        <w:rPr>
          <w:rFonts w:cs="Times New Roman"/>
          <w:sz w:val="24"/>
          <w:szCs w:val="24"/>
        </w:rPr>
        <w:t>___________________________________________________________________________</w:t>
      </w:r>
    </w:p>
    <w:p w:rsidR="007D4A93" w:rsidRPr="00F01191" w:rsidRDefault="00EF0BEB">
      <w:pPr>
        <w:rPr>
          <w:rFonts w:cs="Times New Roman"/>
          <w:b/>
          <w:sz w:val="32"/>
          <w:szCs w:val="32"/>
        </w:rPr>
      </w:pPr>
      <w:r w:rsidRPr="00F01191">
        <w:rPr>
          <w:rFonts w:cs="Times New Roman"/>
          <w:b/>
          <w:sz w:val="32"/>
          <w:szCs w:val="32"/>
        </w:rPr>
        <w:br w:type="page"/>
      </w:r>
    </w:p>
    <w:p w:rsidR="007D4A93" w:rsidRPr="00F01191" w:rsidRDefault="00EF0BEB">
      <w:pPr>
        <w:rPr>
          <w:rFonts w:cs="Times New Roman"/>
          <w:b/>
        </w:rPr>
      </w:pPr>
      <w:bookmarkStart w:id="1" w:name="_Toc21006459"/>
      <w:r w:rsidRPr="00F01191">
        <w:rPr>
          <w:rFonts w:cs="Times New Roman"/>
          <w:b/>
        </w:rPr>
        <w:lastRenderedPageBreak/>
        <w:t>S</w:t>
      </w:r>
      <w:bookmarkEnd w:id="1"/>
      <w:r w:rsidRPr="00F01191">
        <w:rPr>
          <w:rFonts w:cs="Times New Roman"/>
          <w:b/>
        </w:rPr>
        <w:t>ADRŽAJ</w:t>
      </w:r>
    </w:p>
    <w:p w:rsidR="00D27803" w:rsidRDefault="00EF0BEB">
      <w:pPr>
        <w:pStyle w:val="TOC1"/>
        <w:tabs>
          <w:tab w:val="right" w:leader="dot" w:pos="9060"/>
        </w:tabs>
        <w:rPr>
          <w:rFonts w:asciiTheme="minorHAnsi" w:eastAsiaTheme="minorEastAsia" w:hAnsiTheme="minorHAnsi" w:cstheme="minorBidi"/>
          <w:noProof/>
          <w:szCs w:val="22"/>
        </w:rPr>
      </w:pPr>
      <w:r w:rsidRPr="00F01191">
        <w:rPr>
          <w:rFonts w:cs="Times New Roman"/>
          <w:szCs w:val="22"/>
          <w:lang w:val="hr-HR"/>
        </w:rPr>
        <w:fldChar w:fldCharType="begin"/>
      </w:r>
      <w:r w:rsidRPr="00F01191">
        <w:rPr>
          <w:rFonts w:cs="Times New Roman"/>
          <w:szCs w:val="22"/>
          <w:lang w:val="hr-HR"/>
        </w:rPr>
        <w:instrText xml:space="preserve"> TOC \o "1-3" \h \z \u </w:instrText>
      </w:r>
      <w:r w:rsidRPr="00F01191">
        <w:rPr>
          <w:rFonts w:cs="Times New Roman"/>
          <w:szCs w:val="22"/>
          <w:lang w:val="hr-HR"/>
        </w:rPr>
        <w:fldChar w:fldCharType="separate"/>
      </w:r>
      <w:hyperlink w:anchor="_Toc69297719" w:history="1">
        <w:r w:rsidR="00D27803" w:rsidRPr="00CD4BB9">
          <w:rPr>
            <w:rStyle w:val="Hyperlink"/>
            <w:rFonts w:cs="Times New Roman"/>
            <w:noProof/>
          </w:rPr>
          <w:t>POPIS KRATICA</w:t>
        </w:r>
        <w:r w:rsidR="00D27803">
          <w:rPr>
            <w:noProof/>
            <w:webHidden/>
          </w:rPr>
          <w:tab/>
        </w:r>
        <w:r w:rsidR="00D27803">
          <w:rPr>
            <w:noProof/>
            <w:webHidden/>
          </w:rPr>
          <w:fldChar w:fldCharType="begin"/>
        </w:r>
        <w:r w:rsidR="00D27803">
          <w:rPr>
            <w:noProof/>
            <w:webHidden/>
          </w:rPr>
          <w:instrText xml:space="preserve"> PAGEREF _Toc69297719 \h </w:instrText>
        </w:r>
        <w:r w:rsidR="00D27803">
          <w:rPr>
            <w:noProof/>
            <w:webHidden/>
          </w:rPr>
        </w:r>
        <w:r w:rsidR="00D27803">
          <w:rPr>
            <w:noProof/>
            <w:webHidden/>
          </w:rPr>
          <w:fldChar w:fldCharType="separate"/>
        </w:r>
        <w:r w:rsidR="00D27803">
          <w:rPr>
            <w:noProof/>
            <w:webHidden/>
          </w:rPr>
          <w:t>1</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20" w:history="1">
        <w:r w:rsidR="00D27803" w:rsidRPr="00CD4BB9">
          <w:rPr>
            <w:rStyle w:val="Hyperlink"/>
            <w:rFonts w:cs="Times New Roman"/>
            <w:noProof/>
          </w:rPr>
          <w:t>1.</w:t>
        </w:r>
        <w:r w:rsidR="00D27803">
          <w:rPr>
            <w:rFonts w:asciiTheme="minorHAnsi" w:eastAsiaTheme="minorEastAsia" w:hAnsiTheme="minorHAnsi" w:cstheme="minorBidi"/>
            <w:noProof/>
            <w:szCs w:val="22"/>
          </w:rPr>
          <w:tab/>
        </w:r>
        <w:r w:rsidR="00D27803" w:rsidRPr="00CD4BB9">
          <w:rPr>
            <w:rStyle w:val="Hyperlink"/>
            <w:rFonts w:cs="Times New Roman"/>
            <w:noProof/>
          </w:rPr>
          <w:t>PREGLED I PROCES RAZVOJA STRATEGIJE</w:t>
        </w:r>
        <w:r w:rsidR="00D27803">
          <w:rPr>
            <w:noProof/>
            <w:webHidden/>
          </w:rPr>
          <w:tab/>
        </w:r>
        <w:r w:rsidR="00D27803">
          <w:rPr>
            <w:noProof/>
            <w:webHidden/>
          </w:rPr>
          <w:fldChar w:fldCharType="begin"/>
        </w:r>
        <w:r w:rsidR="00D27803">
          <w:rPr>
            <w:noProof/>
            <w:webHidden/>
          </w:rPr>
          <w:instrText xml:space="preserve"> PAGEREF _Toc69297720 \h </w:instrText>
        </w:r>
        <w:r w:rsidR="00D27803">
          <w:rPr>
            <w:noProof/>
            <w:webHidden/>
          </w:rPr>
        </w:r>
        <w:r w:rsidR="00D27803">
          <w:rPr>
            <w:noProof/>
            <w:webHidden/>
          </w:rPr>
          <w:fldChar w:fldCharType="separate"/>
        </w:r>
        <w:r w:rsidR="00D27803">
          <w:rPr>
            <w:noProof/>
            <w:webHidden/>
          </w:rPr>
          <w:t>2</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21" w:history="1">
        <w:r w:rsidR="00D27803" w:rsidRPr="00CD4BB9">
          <w:rPr>
            <w:rStyle w:val="Hyperlink"/>
            <w:rFonts w:cs="Times New Roman"/>
            <w:noProof/>
          </w:rPr>
          <w:t>1.1.</w:t>
        </w:r>
        <w:r w:rsidR="00D27803">
          <w:rPr>
            <w:rFonts w:asciiTheme="minorHAnsi" w:eastAsiaTheme="minorEastAsia" w:hAnsiTheme="minorHAnsi" w:cstheme="minorBidi"/>
            <w:noProof/>
          </w:rPr>
          <w:tab/>
        </w:r>
        <w:r w:rsidR="00D27803" w:rsidRPr="00CD4BB9">
          <w:rPr>
            <w:rStyle w:val="Hyperlink"/>
            <w:rFonts w:cs="Times New Roman"/>
            <w:noProof/>
          </w:rPr>
          <w:t>SAŽETAK</w:t>
        </w:r>
        <w:r w:rsidR="00D27803">
          <w:rPr>
            <w:noProof/>
            <w:webHidden/>
          </w:rPr>
          <w:tab/>
        </w:r>
        <w:r w:rsidR="00D27803">
          <w:rPr>
            <w:noProof/>
            <w:webHidden/>
          </w:rPr>
          <w:fldChar w:fldCharType="begin"/>
        </w:r>
        <w:r w:rsidR="00D27803">
          <w:rPr>
            <w:noProof/>
            <w:webHidden/>
          </w:rPr>
          <w:instrText xml:space="preserve"> PAGEREF _Toc69297721 \h </w:instrText>
        </w:r>
        <w:r w:rsidR="00D27803">
          <w:rPr>
            <w:noProof/>
            <w:webHidden/>
          </w:rPr>
        </w:r>
        <w:r w:rsidR="00D27803">
          <w:rPr>
            <w:noProof/>
            <w:webHidden/>
          </w:rPr>
          <w:fldChar w:fldCharType="separate"/>
        </w:r>
        <w:r w:rsidR="00D27803">
          <w:rPr>
            <w:noProof/>
            <w:webHidden/>
          </w:rPr>
          <w:t>2</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22" w:history="1">
        <w:r w:rsidR="00D27803" w:rsidRPr="00CD4BB9">
          <w:rPr>
            <w:rStyle w:val="Hyperlink"/>
            <w:rFonts w:cs="Times New Roman"/>
            <w:noProof/>
          </w:rPr>
          <w:t>1.2.</w:t>
        </w:r>
        <w:r w:rsidR="00D27803">
          <w:rPr>
            <w:rFonts w:asciiTheme="minorHAnsi" w:eastAsiaTheme="minorEastAsia" w:hAnsiTheme="minorHAnsi" w:cstheme="minorBidi"/>
            <w:noProof/>
          </w:rPr>
          <w:tab/>
        </w:r>
        <w:r w:rsidR="00D27803" w:rsidRPr="00CD4BB9">
          <w:rPr>
            <w:rStyle w:val="Hyperlink"/>
            <w:rFonts w:cs="Times New Roman"/>
            <w:noProof/>
          </w:rPr>
          <w:t>PRAVNI KONTEKST I KONTEKST POLITIKA</w:t>
        </w:r>
        <w:r w:rsidR="00D27803">
          <w:rPr>
            <w:noProof/>
            <w:webHidden/>
          </w:rPr>
          <w:tab/>
        </w:r>
        <w:r w:rsidR="00D27803">
          <w:rPr>
            <w:noProof/>
            <w:webHidden/>
          </w:rPr>
          <w:fldChar w:fldCharType="begin"/>
        </w:r>
        <w:r w:rsidR="00D27803">
          <w:rPr>
            <w:noProof/>
            <w:webHidden/>
          </w:rPr>
          <w:instrText xml:space="preserve"> PAGEREF _Toc69297722 \h </w:instrText>
        </w:r>
        <w:r w:rsidR="00D27803">
          <w:rPr>
            <w:noProof/>
            <w:webHidden/>
          </w:rPr>
        </w:r>
        <w:r w:rsidR="00D27803">
          <w:rPr>
            <w:noProof/>
            <w:webHidden/>
          </w:rPr>
          <w:fldChar w:fldCharType="separate"/>
        </w:r>
        <w:r w:rsidR="00D27803">
          <w:rPr>
            <w:noProof/>
            <w:webHidden/>
          </w:rPr>
          <w:t>10</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23" w:history="1">
        <w:r w:rsidR="00D27803" w:rsidRPr="00CD4BB9">
          <w:rPr>
            <w:rStyle w:val="Hyperlink"/>
            <w:rFonts w:cs="Times New Roman"/>
            <w:noProof/>
          </w:rPr>
          <w:t>1.3.</w:t>
        </w:r>
        <w:r w:rsidR="00D27803">
          <w:rPr>
            <w:rFonts w:asciiTheme="minorHAnsi" w:eastAsiaTheme="minorEastAsia" w:hAnsiTheme="minorHAnsi" w:cstheme="minorBidi"/>
            <w:noProof/>
          </w:rPr>
          <w:tab/>
        </w:r>
        <w:r w:rsidR="00D27803" w:rsidRPr="00CD4BB9">
          <w:rPr>
            <w:rStyle w:val="Hyperlink"/>
            <w:rFonts w:cs="Times New Roman"/>
            <w:noProof/>
          </w:rPr>
          <w:t>KRONOLOGIJA IZRADE NISKOUGLJIČNE STRATEGIJE I JAVNO SAVJETOVANJE</w:t>
        </w:r>
        <w:r w:rsidR="00D27803">
          <w:rPr>
            <w:noProof/>
            <w:webHidden/>
          </w:rPr>
          <w:tab/>
        </w:r>
        <w:r w:rsidR="00D27803">
          <w:rPr>
            <w:noProof/>
            <w:webHidden/>
          </w:rPr>
          <w:fldChar w:fldCharType="begin"/>
        </w:r>
        <w:r w:rsidR="00D27803">
          <w:rPr>
            <w:noProof/>
            <w:webHidden/>
          </w:rPr>
          <w:instrText xml:space="preserve"> PAGEREF _Toc69297723 \h </w:instrText>
        </w:r>
        <w:r w:rsidR="00D27803">
          <w:rPr>
            <w:noProof/>
            <w:webHidden/>
          </w:rPr>
        </w:r>
        <w:r w:rsidR="00D27803">
          <w:rPr>
            <w:noProof/>
            <w:webHidden/>
          </w:rPr>
          <w:fldChar w:fldCharType="separate"/>
        </w:r>
        <w:r w:rsidR="00D27803">
          <w:rPr>
            <w:noProof/>
            <w:webHidden/>
          </w:rPr>
          <w:t>13</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24" w:history="1">
        <w:r w:rsidR="00D27803" w:rsidRPr="00CD4BB9">
          <w:rPr>
            <w:rStyle w:val="Hyperlink"/>
            <w:rFonts w:cs="Times New Roman"/>
            <w:noProof/>
          </w:rPr>
          <w:t>1.3.1. Vizije za 2050. godinu i prepoznate potrebe po sektorima</w:t>
        </w:r>
        <w:r w:rsidR="00D27803">
          <w:rPr>
            <w:noProof/>
            <w:webHidden/>
          </w:rPr>
          <w:tab/>
        </w:r>
        <w:r w:rsidR="00D27803">
          <w:rPr>
            <w:noProof/>
            <w:webHidden/>
          </w:rPr>
          <w:fldChar w:fldCharType="begin"/>
        </w:r>
        <w:r w:rsidR="00D27803">
          <w:rPr>
            <w:noProof/>
            <w:webHidden/>
          </w:rPr>
          <w:instrText xml:space="preserve"> PAGEREF _Toc69297724 \h </w:instrText>
        </w:r>
        <w:r w:rsidR="00D27803">
          <w:rPr>
            <w:noProof/>
            <w:webHidden/>
          </w:rPr>
        </w:r>
        <w:r w:rsidR="00D27803">
          <w:rPr>
            <w:noProof/>
            <w:webHidden/>
          </w:rPr>
          <w:fldChar w:fldCharType="separate"/>
        </w:r>
        <w:r w:rsidR="00D27803">
          <w:rPr>
            <w:noProof/>
            <w:webHidden/>
          </w:rPr>
          <w:t>15</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25" w:history="1">
        <w:r w:rsidR="00D27803" w:rsidRPr="00CD4BB9">
          <w:rPr>
            <w:rStyle w:val="Hyperlink"/>
            <w:rFonts w:cs="Times New Roman"/>
            <w:noProof/>
          </w:rPr>
          <w:t>1.4.</w:t>
        </w:r>
        <w:r w:rsidR="00D27803">
          <w:rPr>
            <w:rFonts w:asciiTheme="minorHAnsi" w:eastAsiaTheme="minorEastAsia" w:hAnsiTheme="minorHAnsi" w:cstheme="minorBidi"/>
            <w:noProof/>
          </w:rPr>
          <w:tab/>
        </w:r>
        <w:r w:rsidR="00D27803" w:rsidRPr="00CD4BB9">
          <w:rPr>
            <w:rStyle w:val="Hyperlink"/>
            <w:rFonts w:cs="Times New Roman"/>
            <w:noProof/>
          </w:rPr>
          <w:t>METODOLOŠKI PRISTUP</w:t>
        </w:r>
        <w:r w:rsidR="00D27803">
          <w:rPr>
            <w:noProof/>
            <w:webHidden/>
          </w:rPr>
          <w:tab/>
        </w:r>
        <w:r w:rsidR="00D27803">
          <w:rPr>
            <w:noProof/>
            <w:webHidden/>
          </w:rPr>
          <w:fldChar w:fldCharType="begin"/>
        </w:r>
        <w:r w:rsidR="00D27803">
          <w:rPr>
            <w:noProof/>
            <w:webHidden/>
          </w:rPr>
          <w:instrText xml:space="preserve"> PAGEREF _Toc69297725 \h </w:instrText>
        </w:r>
        <w:r w:rsidR="00D27803">
          <w:rPr>
            <w:noProof/>
            <w:webHidden/>
          </w:rPr>
        </w:r>
        <w:r w:rsidR="00D27803">
          <w:rPr>
            <w:noProof/>
            <w:webHidden/>
          </w:rPr>
          <w:fldChar w:fldCharType="separate"/>
        </w:r>
        <w:r w:rsidR="00D27803">
          <w:rPr>
            <w:noProof/>
            <w:webHidden/>
          </w:rPr>
          <w:t>17</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26" w:history="1">
        <w:r w:rsidR="00D27803" w:rsidRPr="00CD4BB9">
          <w:rPr>
            <w:rStyle w:val="Hyperlink"/>
            <w:rFonts w:cs="Times New Roman"/>
            <w:noProof/>
          </w:rPr>
          <w:t>2.</w:t>
        </w:r>
        <w:r w:rsidR="00D27803">
          <w:rPr>
            <w:rFonts w:asciiTheme="minorHAnsi" w:eastAsiaTheme="minorEastAsia" w:hAnsiTheme="minorHAnsi" w:cstheme="minorBidi"/>
            <w:noProof/>
            <w:szCs w:val="22"/>
          </w:rPr>
          <w:tab/>
        </w:r>
        <w:r w:rsidR="00D27803" w:rsidRPr="00CD4BB9">
          <w:rPr>
            <w:rStyle w:val="Hyperlink"/>
            <w:rFonts w:cs="Times New Roman"/>
            <w:noProof/>
          </w:rPr>
          <w:t>SITUACIJA U REPUBLICI HRVATSKOJ</w:t>
        </w:r>
        <w:r w:rsidR="00D27803">
          <w:rPr>
            <w:noProof/>
            <w:webHidden/>
          </w:rPr>
          <w:tab/>
        </w:r>
        <w:r w:rsidR="00D27803">
          <w:rPr>
            <w:noProof/>
            <w:webHidden/>
          </w:rPr>
          <w:fldChar w:fldCharType="begin"/>
        </w:r>
        <w:r w:rsidR="00D27803">
          <w:rPr>
            <w:noProof/>
            <w:webHidden/>
          </w:rPr>
          <w:instrText xml:space="preserve"> PAGEREF _Toc69297726 \h </w:instrText>
        </w:r>
        <w:r w:rsidR="00D27803">
          <w:rPr>
            <w:noProof/>
            <w:webHidden/>
          </w:rPr>
        </w:r>
        <w:r w:rsidR="00D27803">
          <w:rPr>
            <w:noProof/>
            <w:webHidden/>
          </w:rPr>
          <w:fldChar w:fldCharType="separate"/>
        </w:r>
        <w:r w:rsidR="00D27803">
          <w:rPr>
            <w:noProof/>
            <w:webHidden/>
          </w:rPr>
          <w:t>18</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27" w:history="1">
        <w:r w:rsidR="00D27803" w:rsidRPr="00CD4BB9">
          <w:rPr>
            <w:rStyle w:val="Hyperlink"/>
            <w:rFonts w:cs="Times New Roman"/>
            <w:noProof/>
          </w:rPr>
          <w:t>2.1.</w:t>
        </w:r>
        <w:r w:rsidR="00D27803">
          <w:rPr>
            <w:rFonts w:asciiTheme="minorHAnsi" w:eastAsiaTheme="minorEastAsia" w:hAnsiTheme="minorHAnsi" w:cstheme="minorBidi"/>
            <w:noProof/>
          </w:rPr>
          <w:tab/>
        </w:r>
        <w:r w:rsidR="00D27803" w:rsidRPr="00CD4BB9">
          <w:rPr>
            <w:rStyle w:val="Hyperlink"/>
            <w:rFonts w:cs="Times New Roman"/>
            <w:noProof/>
          </w:rPr>
          <w:t>GOSPODARSKI POKAZATELJI</w:t>
        </w:r>
        <w:r w:rsidR="00D27803">
          <w:rPr>
            <w:noProof/>
            <w:webHidden/>
          </w:rPr>
          <w:tab/>
        </w:r>
        <w:r w:rsidR="00D27803">
          <w:rPr>
            <w:noProof/>
            <w:webHidden/>
          </w:rPr>
          <w:fldChar w:fldCharType="begin"/>
        </w:r>
        <w:r w:rsidR="00D27803">
          <w:rPr>
            <w:noProof/>
            <w:webHidden/>
          </w:rPr>
          <w:instrText xml:space="preserve"> PAGEREF _Toc69297727 \h </w:instrText>
        </w:r>
        <w:r w:rsidR="00D27803">
          <w:rPr>
            <w:noProof/>
            <w:webHidden/>
          </w:rPr>
        </w:r>
        <w:r w:rsidR="00D27803">
          <w:rPr>
            <w:noProof/>
            <w:webHidden/>
          </w:rPr>
          <w:fldChar w:fldCharType="separate"/>
        </w:r>
        <w:r w:rsidR="00D27803">
          <w:rPr>
            <w:noProof/>
            <w:webHidden/>
          </w:rPr>
          <w:t>18</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28" w:history="1">
        <w:r w:rsidR="00D27803" w:rsidRPr="00CD4BB9">
          <w:rPr>
            <w:rStyle w:val="Hyperlink"/>
            <w:rFonts w:cs="Times New Roman"/>
            <w:noProof/>
          </w:rPr>
          <w:t>2.2.</w:t>
        </w:r>
        <w:r w:rsidR="00D27803">
          <w:rPr>
            <w:rFonts w:asciiTheme="minorHAnsi" w:eastAsiaTheme="minorEastAsia" w:hAnsiTheme="minorHAnsi" w:cstheme="minorBidi"/>
            <w:noProof/>
          </w:rPr>
          <w:tab/>
        </w:r>
        <w:r w:rsidR="00D27803" w:rsidRPr="00CD4BB9">
          <w:rPr>
            <w:rStyle w:val="Hyperlink"/>
            <w:rFonts w:cs="Times New Roman"/>
            <w:noProof/>
          </w:rPr>
          <w:t>SOCIOLOŠKI POKAZATELJI</w:t>
        </w:r>
        <w:r w:rsidR="00D27803">
          <w:rPr>
            <w:noProof/>
            <w:webHidden/>
          </w:rPr>
          <w:tab/>
        </w:r>
        <w:r w:rsidR="00D27803">
          <w:rPr>
            <w:noProof/>
            <w:webHidden/>
          </w:rPr>
          <w:fldChar w:fldCharType="begin"/>
        </w:r>
        <w:r w:rsidR="00D27803">
          <w:rPr>
            <w:noProof/>
            <w:webHidden/>
          </w:rPr>
          <w:instrText xml:space="preserve"> PAGEREF _Toc69297728 \h </w:instrText>
        </w:r>
        <w:r w:rsidR="00D27803">
          <w:rPr>
            <w:noProof/>
            <w:webHidden/>
          </w:rPr>
        </w:r>
        <w:r w:rsidR="00D27803">
          <w:rPr>
            <w:noProof/>
            <w:webHidden/>
          </w:rPr>
          <w:fldChar w:fldCharType="separate"/>
        </w:r>
        <w:r w:rsidR="00D27803">
          <w:rPr>
            <w:noProof/>
            <w:webHidden/>
          </w:rPr>
          <w:t>18</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29" w:history="1">
        <w:r w:rsidR="00D27803" w:rsidRPr="00CD4BB9">
          <w:rPr>
            <w:rStyle w:val="Hyperlink"/>
            <w:rFonts w:cs="Times New Roman"/>
            <w:noProof/>
          </w:rPr>
          <w:t>2.3.</w:t>
        </w:r>
        <w:r w:rsidR="00D27803">
          <w:rPr>
            <w:rFonts w:asciiTheme="minorHAnsi" w:eastAsiaTheme="minorEastAsia" w:hAnsiTheme="minorHAnsi" w:cstheme="minorBidi"/>
            <w:noProof/>
          </w:rPr>
          <w:tab/>
        </w:r>
        <w:r w:rsidR="00D27803" w:rsidRPr="00CD4BB9">
          <w:rPr>
            <w:rStyle w:val="Hyperlink"/>
            <w:rFonts w:cs="Times New Roman"/>
            <w:noProof/>
          </w:rPr>
          <w:t>EMISIJE STAKLENIČKIH PLINOVA</w:t>
        </w:r>
        <w:r w:rsidR="00D27803">
          <w:rPr>
            <w:noProof/>
            <w:webHidden/>
          </w:rPr>
          <w:tab/>
        </w:r>
        <w:r w:rsidR="00D27803">
          <w:rPr>
            <w:noProof/>
            <w:webHidden/>
          </w:rPr>
          <w:fldChar w:fldCharType="begin"/>
        </w:r>
        <w:r w:rsidR="00D27803">
          <w:rPr>
            <w:noProof/>
            <w:webHidden/>
          </w:rPr>
          <w:instrText xml:space="preserve"> PAGEREF _Toc69297729 \h </w:instrText>
        </w:r>
        <w:r w:rsidR="00D27803">
          <w:rPr>
            <w:noProof/>
            <w:webHidden/>
          </w:rPr>
        </w:r>
        <w:r w:rsidR="00D27803">
          <w:rPr>
            <w:noProof/>
            <w:webHidden/>
          </w:rPr>
          <w:fldChar w:fldCharType="separate"/>
        </w:r>
        <w:r w:rsidR="00D27803">
          <w:rPr>
            <w:noProof/>
            <w:webHidden/>
          </w:rPr>
          <w:t>19</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30" w:history="1">
        <w:r w:rsidR="00D27803" w:rsidRPr="00CD4BB9">
          <w:rPr>
            <w:rStyle w:val="Hyperlink"/>
            <w:rFonts w:cs="Times New Roman"/>
            <w:noProof/>
          </w:rPr>
          <w:t>2.3.1. Trend emisija</w:t>
        </w:r>
        <w:r w:rsidR="00D27803">
          <w:rPr>
            <w:noProof/>
            <w:webHidden/>
          </w:rPr>
          <w:tab/>
        </w:r>
        <w:r w:rsidR="00D27803">
          <w:rPr>
            <w:noProof/>
            <w:webHidden/>
          </w:rPr>
          <w:fldChar w:fldCharType="begin"/>
        </w:r>
        <w:r w:rsidR="00D27803">
          <w:rPr>
            <w:noProof/>
            <w:webHidden/>
          </w:rPr>
          <w:instrText xml:space="preserve"> PAGEREF _Toc69297730 \h </w:instrText>
        </w:r>
        <w:r w:rsidR="00D27803">
          <w:rPr>
            <w:noProof/>
            <w:webHidden/>
          </w:rPr>
        </w:r>
        <w:r w:rsidR="00D27803">
          <w:rPr>
            <w:noProof/>
            <w:webHidden/>
          </w:rPr>
          <w:fldChar w:fldCharType="separate"/>
        </w:r>
        <w:r w:rsidR="00D27803">
          <w:rPr>
            <w:noProof/>
            <w:webHidden/>
          </w:rPr>
          <w:t>19</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31" w:history="1">
        <w:r w:rsidR="00D27803" w:rsidRPr="00CD4BB9">
          <w:rPr>
            <w:rStyle w:val="Hyperlink"/>
            <w:rFonts w:cs="Times New Roman"/>
            <w:noProof/>
          </w:rPr>
          <w:t>2.3.2.</w:t>
        </w:r>
        <w:r w:rsidR="00D27803">
          <w:rPr>
            <w:rFonts w:asciiTheme="minorHAnsi" w:eastAsiaTheme="minorEastAsia" w:hAnsiTheme="minorHAnsi" w:cstheme="minorBidi"/>
            <w:noProof/>
          </w:rPr>
          <w:tab/>
        </w:r>
        <w:r w:rsidR="00D27803" w:rsidRPr="00CD4BB9">
          <w:rPr>
            <w:rStyle w:val="Hyperlink"/>
            <w:rFonts w:cs="Times New Roman"/>
            <w:noProof/>
          </w:rPr>
          <w:t>Trend emisija s obzirom na sustav trgovanja emisijskim jedinicama (ETS)</w:t>
        </w:r>
        <w:r w:rsidR="00D27803">
          <w:rPr>
            <w:noProof/>
            <w:webHidden/>
          </w:rPr>
          <w:tab/>
        </w:r>
        <w:r w:rsidR="00D27803">
          <w:rPr>
            <w:noProof/>
            <w:webHidden/>
          </w:rPr>
          <w:fldChar w:fldCharType="begin"/>
        </w:r>
        <w:r w:rsidR="00D27803">
          <w:rPr>
            <w:noProof/>
            <w:webHidden/>
          </w:rPr>
          <w:instrText xml:space="preserve"> PAGEREF _Toc69297731 \h </w:instrText>
        </w:r>
        <w:r w:rsidR="00D27803">
          <w:rPr>
            <w:noProof/>
            <w:webHidden/>
          </w:rPr>
        </w:r>
        <w:r w:rsidR="00D27803">
          <w:rPr>
            <w:noProof/>
            <w:webHidden/>
          </w:rPr>
          <w:fldChar w:fldCharType="separate"/>
        </w:r>
        <w:r w:rsidR="00D27803">
          <w:rPr>
            <w:noProof/>
            <w:webHidden/>
          </w:rPr>
          <w:t>21</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32" w:history="1">
        <w:r w:rsidR="00D27803" w:rsidRPr="00CD4BB9">
          <w:rPr>
            <w:rStyle w:val="Hyperlink"/>
            <w:rFonts w:cs="Times New Roman"/>
            <w:noProof/>
          </w:rPr>
          <w:t>2.3.3. Odvajanje trenda gospodarskog rasta od emisije stakleničkih plinova</w:t>
        </w:r>
        <w:r w:rsidR="00D27803">
          <w:rPr>
            <w:noProof/>
            <w:webHidden/>
          </w:rPr>
          <w:tab/>
        </w:r>
        <w:r w:rsidR="00D27803">
          <w:rPr>
            <w:noProof/>
            <w:webHidden/>
          </w:rPr>
          <w:fldChar w:fldCharType="begin"/>
        </w:r>
        <w:r w:rsidR="00D27803">
          <w:rPr>
            <w:noProof/>
            <w:webHidden/>
          </w:rPr>
          <w:instrText xml:space="preserve"> PAGEREF _Toc69297732 \h </w:instrText>
        </w:r>
        <w:r w:rsidR="00D27803">
          <w:rPr>
            <w:noProof/>
            <w:webHidden/>
          </w:rPr>
        </w:r>
        <w:r w:rsidR="00D27803">
          <w:rPr>
            <w:noProof/>
            <w:webHidden/>
          </w:rPr>
          <w:fldChar w:fldCharType="separate"/>
        </w:r>
        <w:r w:rsidR="00D27803">
          <w:rPr>
            <w:noProof/>
            <w:webHidden/>
          </w:rPr>
          <w:t>22</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33" w:history="1">
        <w:r w:rsidR="00D27803" w:rsidRPr="00CD4BB9">
          <w:rPr>
            <w:rStyle w:val="Hyperlink"/>
            <w:rFonts w:cs="Times New Roman"/>
            <w:noProof/>
          </w:rPr>
          <w:t xml:space="preserve">3. </w:t>
        </w:r>
        <w:r w:rsidR="00D27803">
          <w:rPr>
            <w:rFonts w:asciiTheme="minorHAnsi" w:eastAsiaTheme="minorEastAsia" w:hAnsiTheme="minorHAnsi" w:cstheme="minorBidi"/>
            <w:noProof/>
            <w:szCs w:val="22"/>
          </w:rPr>
          <w:tab/>
        </w:r>
        <w:r w:rsidR="00D27803" w:rsidRPr="00CD4BB9">
          <w:rPr>
            <w:rStyle w:val="Hyperlink"/>
            <w:rFonts w:cs="Times New Roman"/>
            <w:noProof/>
          </w:rPr>
          <w:t>UKUPNO SMANJENJE EMISIJA STAKLENIČKIH PLINOVA</w:t>
        </w:r>
        <w:r w:rsidR="00D27803">
          <w:rPr>
            <w:noProof/>
            <w:webHidden/>
          </w:rPr>
          <w:tab/>
        </w:r>
        <w:r w:rsidR="00D27803">
          <w:rPr>
            <w:noProof/>
            <w:webHidden/>
          </w:rPr>
          <w:fldChar w:fldCharType="begin"/>
        </w:r>
        <w:r w:rsidR="00D27803">
          <w:rPr>
            <w:noProof/>
            <w:webHidden/>
          </w:rPr>
          <w:instrText xml:space="preserve"> PAGEREF _Toc69297733 \h </w:instrText>
        </w:r>
        <w:r w:rsidR="00D27803">
          <w:rPr>
            <w:noProof/>
            <w:webHidden/>
          </w:rPr>
        </w:r>
        <w:r w:rsidR="00D27803">
          <w:rPr>
            <w:noProof/>
            <w:webHidden/>
          </w:rPr>
          <w:fldChar w:fldCharType="separate"/>
        </w:r>
        <w:r w:rsidR="00D27803">
          <w:rPr>
            <w:noProof/>
            <w:webHidden/>
          </w:rPr>
          <w:t>23</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34" w:history="1">
        <w:r w:rsidR="00D27803" w:rsidRPr="00CD4BB9">
          <w:rPr>
            <w:rStyle w:val="Hyperlink"/>
            <w:rFonts w:cs="Times New Roman"/>
            <w:noProof/>
          </w:rPr>
          <w:t>3.1.</w:t>
        </w:r>
        <w:r w:rsidR="00D27803">
          <w:rPr>
            <w:rFonts w:asciiTheme="minorHAnsi" w:eastAsiaTheme="minorEastAsia" w:hAnsiTheme="minorHAnsi" w:cstheme="minorBidi"/>
            <w:noProof/>
          </w:rPr>
          <w:tab/>
        </w:r>
        <w:r w:rsidR="00D27803" w:rsidRPr="00CD4BB9">
          <w:rPr>
            <w:rStyle w:val="Hyperlink"/>
            <w:rFonts w:cs="Times New Roman"/>
            <w:noProof/>
          </w:rPr>
          <w:t>PREDVIĐENA SMANJENJA EMISIJA DO 2050. GODINE</w:t>
        </w:r>
        <w:r w:rsidR="00D27803">
          <w:rPr>
            <w:noProof/>
            <w:webHidden/>
          </w:rPr>
          <w:tab/>
        </w:r>
        <w:r w:rsidR="00D27803">
          <w:rPr>
            <w:noProof/>
            <w:webHidden/>
          </w:rPr>
          <w:fldChar w:fldCharType="begin"/>
        </w:r>
        <w:r w:rsidR="00D27803">
          <w:rPr>
            <w:noProof/>
            <w:webHidden/>
          </w:rPr>
          <w:instrText xml:space="preserve"> PAGEREF _Toc69297734 \h </w:instrText>
        </w:r>
        <w:r w:rsidR="00D27803">
          <w:rPr>
            <w:noProof/>
            <w:webHidden/>
          </w:rPr>
        </w:r>
        <w:r w:rsidR="00D27803">
          <w:rPr>
            <w:noProof/>
            <w:webHidden/>
          </w:rPr>
          <w:fldChar w:fldCharType="separate"/>
        </w:r>
        <w:r w:rsidR="00D27803">
          <w:rPr>
            <w:noProof/>
            <w:webHidden/>
          </w:rPr>
          <w:t>23</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35" w:history="1">
        <w:r w:rsidR="00D27803" w:rsidRPr="00CD4BB9">
          <w:rPr>
            <w:rStyle w:val="Hyperlink"/>
            <w:rFonts w:cs="Times New Roman"/>
            <w:noProof/>
          </w:rPr>
          <w:t>3.2.</w:t>
        </w:r>
        <w:r w:rsidR="00D27803">
          <w:rPr>
            <w:rFonts w:asciiTheme="minorHAnsi" w:eastAsiaTheme="minorEastAsia" w:hAnsiTheme="minorHAnsi" w:cstheme="minorBidi"/>
            <w:noProof/>
          </w:rPr>
          <w:tab/>
        </w:r>
        <w:r w:rsidR="00D27803" w:rsidRPr="00CD4BB9">
          <w:rPr>
            <w:rStyle w:val="Hyperlink"/>
            <w:rFonts w:cs="Times New Roman"/>
            <w:noProof/>
          </w:rPr>
          <w:t>CILJEVI REPUBLIKE HRVATSKE</w:t>
        </w:r>
        <w:r w:rsidR="00D27803">
          <w:rPr>
            <w:noProof/>
            <w:webHidden/>
          </w:rPr>
          <w:tab/>
        </w:r>
        <w:r w:rsidR="00D27803">
          <w:rPr>
            <w:noProof/>
            <w:webHidden/>
          </w:rPr>
          <w:fldChar w:fldCharType="begin"/>
        </w:r>
        <w:r w:rsidR="00D27803">
          <w:rPr>
            <w:noProof/>
            <w:webHidden/>
          </w:rPr>
          <w:instrText xml:space="preserve"> PAGEREF _Toc69297735 \h </w:instrText>
        </w:r>
        <w:r w:rsidR="00D27803">
          <w:rPr>
            <w:noProof/>
            <w:webHidden/>
          </w:rPr>
        </w:r>
        <w:r w:rsidR="00D27803">
          <w:rPr>
            <w:noProof/>
            <w:webHidden/>
          </w:rPr>
          <w:fldChar w:fldCharType="separate"/>
        </w:r>
        <w:r w:rsidR="00D27803">
          <w:rPr>
            <w:noProof/>
            <w:webHidden/>
          </w:rPr>
          <w:t>25</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36" w:history="1">
        <w:r w:rsidR="00D27803" w:rsidRPr="00CD4BB9">
          <w:rPr>
            <w:rStyle w:val="Hyperlink"/>
            <w:rFonts w:cs="Times New Roman"/>
            <w:noProof/>
          </w:rPr>
          <w:t>3.2.2.</w:t>
        </w:r>
        <w:r w:rsidR="00D27803">
          <w:rPr>
            <w:rFonts w:asciiTheme="minorHAnsi" w:eastAsiaTheme="minorEastAsia" w:hAnsiTheme="minorHAnsi" w:cstheme="minorBidi"/>
            <w:noProof/>
          </w:rPr>
          <w:tab/>
        </w:r>
        <w:r w:rsidR="00D27803" w:rsidRPr="00CD4BB9">
          <w:rPr>
            <w:rStyle w:val="Hyperlink"/>
            <w:rFonts w:cs="Times New Roman"/>
            <w:noProof/>
          </w:rPr>
          <w:t>Ciljevi Republike Hrvatske do 2030. godine</w:t>
        </w:r>
        <w:r w:rsidR="00D27803">
          <w:rPr>
            <w:noProof/>
            <w:webHidden/>
          </w:rPr>
          <w:tab/>
        </w:r>
        <w:r w:rsidR="00D27803">
          <w:rPr>
            <w:noProof/>
            <w:webHidden/>
          </w:rPr>
          <w:fldChar w:fldCharType="begin"/>
        </w:r>
        <w:r w:rsidR="00D27803">
          <w:rPr>
            <w:noProof/>
            <w:webHidden/>
          </w:rPr>
          <w:instrText xml:space="preserve"> PAGEREF _Toc69297736 \h </w:instrText>
        </w:r>
        <w:r w:rsidR="00D27803">
          <w:rPr>
            <w:noProof/>
            <w:webHidden/>
          </w:rPr>
        </w:r>
        <w:r w:rsidR="00D27803">
          <w:rPr>
            <w:noProof/>
            <w:webHidden/>
          </w:rPr>
          <w:fldChar w:fldCharType="separate"/>
        </w:r>
        <w:r w:rsidR="00D27803">
          <w:rPr>
            <w:noProof/>
            <w:webHidden/>
          </w:rPr>
          <w:t>25</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37" w:history="1">
        <w:r w:rsidR="00D27803" w:rsidRPr="00CD4BB9">
          <w:rPr>
            <w:rStyle w:val="Hyperlink"/>
            <w:rFonts w:cs="Times New Roman"/>
            <w:noProof/>
          </w:rPr>
          <w:t>3.2.3.</w:t>
        </w:r>
        <w:r w:rsidR="00D27803">
          <w:rPr>
            <w:rFonts w:asciiTheme="minorHAnsi" w:eastAsiaTheme="minorEastAsia" w:hAnsiTheme="minorHAnsi" w:cstheme="minorBidi"/>
            <w:noProof/>
          </w:rPr>
          <w:tab/>
        </w:r>
        <w:r w:rsidR="00D27803" w:rsidRPr="00CD4BB9">
          <w:rPr>
            <w:rStyle w:val="Hyperlink"/>
            <w:rFonts w:cs="Times New Roman"/>
            <w:noProof/>
          </w:rPr>
          <w:t>Ciljevi Republike Hrvatske do 2050. godine</w:t>
        </w:r>
        <w:r w:rsidR="00D27803">
          <w:rPr>
            <w:noProof/>
            <w:webHidden/>
          </w:rPr>
          <w:tab/>
        </w:r>
        <w:r w:rsidR="00D27803">
          <w:rPr>
            <w:noProof/>
            <w:webHidden/>
          </w:rPr>
          <w:fldChar w:fldCharType="begin"/>
        </w:r>
        <w:r w:rsidR="00D27803">
          <w:rPr>
            <w:noProof/>
            <w:webHidden/>
          </w:rPr>
          <w:instrText xml:space="preserve"> PAGEREF _Toc69297737 \h </w:instrText>
        </w:r>
        <w:r w:rsidR="00D27803">
          <w:rPr>
            <w:noProof/>
            <w:webHidden/>
          </w:rPr>
        </w:r>
        <w:r w:rsidR="00D27803">
          <w:rPr>
            <w:noProof/>
            <w:webHidden/>
          </w:rPr>
          <w:fldChar w:fldCharType="separate"/>
        </w:r>
        <w:r w:rsidR="00D27803">
          <w:rPr>
            <w:noProof/>
            <w:webHidden/>
          </w:rPr>
          <w:t>26</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38" w:history="1">
        <w:r w:rsidR="00D27803" w:rsidRPr="00CD4BB9">
          <w:rPr>
            <w:rStyle w:val="Hyperlink"/>
            <w:rFonts w:cs="Times New Roman"/>
            <w:noProof/>
          </w:rPr>
          <w:t>3.3.</w:t>
        </w:r>
        <w:r w:rsidR="00D27803">
          <w:rPr>
            <w:rFonts w:asciiTheme="minorHAnsi" w:eastAsiaTheme="minorEastAsia" w:hAnsiTheme="minorHAnsi" w:cstheme="minorBidi"/>
            <w:noProof/>
          </w:rPr>
          <w:tab/>
        </w:r>
        <w:r w:rsidR="00D27803" w:rsidRPr="00CD4BB9">
          <w:rPr>
            <w:rStyle w:val="Hyperlink"/>
            <w:rFonts w:cs="Times New Roman"/>
            <w:noProof/>
          </w:rPr>
          <w:t>TREND RAZVOJA</w:t>
        </w:r>
        <w:r w:rsidR="00D27803">
          <w:rPr>
            <w:noProof/>
            <w:webHidden/>
          </w:rPr>
          <w:tab/>
        </w:r>
        <w:r w:rsidR="00D27803">
          <w:rPr>
            <w:noProof/>
            <w:webHidden/>
          </w:rPr>
          <w:fldChar w:fldCharType="begin"/>
        </w:r>
        <w:r w:rsidR="00D27803">
          <w:rPr>
            <w:noProof/>
            <w:webHidden/>
          </w:rPr>
          <w:instrText xml:space="preserve"> PAGEREF _Toc69297738 \h </w:instrText>
        </w:r>
        <w:r w:rsidR="00D27803">
          <w:rPr>
            <w:noProof/>
            <w:webHidden/>
          </w:rPr>
        </w:r>
        <w:r w:rsidR="00D27803">
          <w:rPr>
            <w:noProof/>
            <w:webHidden/>
          </w:rPr>
          <w:fldChar w:fldCharType="separate"/>
        </w:r>
        <w:r w:rsidR="00D27803">
          <w:rPr>
            <w:noProof/>
            <w:webHidden/>
          </w:rPr>
          <w:t>26</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39" w:history="1">
        <w:r w:rsidR="00D27803" w:rsidRPr="00CD4BB9">
          <w:rPr>
            <w:rStyle w:val="Hyperlink"/>
            <w:rFonts w:cs="Times New Roman"/>
            <w:noProof/>
          </w:rPr>
          <w:t>3.3.1.</w:t>
        </w:r>
        <w:r w:rsidR="00D27803">
          <w:rPr>
            <w:rFonts w:asciiTheme="minorHAnsi" w:eastAsiaTheme="minorEastAsia" w:hAnsiTheme="minorHAnsi" w:cstheme="minorBidi"/>
            <w:noProof/>
          </w:rPr>
          <w:tab/>
        </w:r>
        <w:r w:rsidR="00D27803" w:rsidRPr="00CD4BB9">
          <w:rPr>
            <w:rStyle w:val="Hyperlink"/>
            <w:rFonts w:cs="Times New Roman"/>
            <w:noProof/>
          </w:rPr>
          <w:t>Makroekonomski parametri</w:t>
        </w:r>
        <w:r w:rsidR="00D27803">
          <w:rPr>
            <w:noProof/>
            <w:webHidden/>
          </w:rPr>
          <w:tab/>
        </w:r>
        <w:r w:rsidR="00D27803">
          <w:rPr>
            <w:noProof/>
            <w:webHidden/>
          </w:rPr>
          <w:fldChar w:fldCharType="begin"/>
        </w:r>
        <w:r w:rsidR="00D27803">
          <w:rPr>
            <w:noProof/>
            <w:webHidden/>
          </w:rPr>
          <w:instrText xml:space="preserve"> PAGEREF _Toc69297739 \h </w:instrText>
        </w:r>
        <w:r w:rsidR="00D27803">
          <w:rPr>
            <w:noProof/>
            <w:webHidden/>
          </w:rPr>
        </w:r>
        <w:r w:rsidR="00D27803">
          <w:rPr>
            <w:noProof/>
            <w:webHidden/>
          </w:rPr>
          <w:fldChar w:fldCharType="separate"/>
        </w:r>
        <w:r w:rsidR="00D27803">
          <w:rPr>
            <w:noProof/>
            <w:webHidden/>
          </w:rPr>
          <w:t>26</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40" w:history="1">
        <w:r w:rsidR="00D27803" w:rsidRPr="00CD4BB9">
          <w:rPr>
            <w:rStyle w:val="Hyperlink"/>
            <w:rFonts w:cs="Times New Roman"/>
            <w:noProof/>
          </w:rPr>
          <w:t>3.3.2.</w:t>
        </w:r>
        <w:r w:rsidR="00D27803">
          <w:rPr>
            <w:rFonts w:asciiTheme="minorHAnsi" w:eastAsiaTheme="minorEastAsia" w:hAnsiTheme="minorHAnsi" w:cstheme="minorBidi"/>
            <w:noProof/>
          </w:rPr>
          <w:tab/>
        </w:r>
        <w:r w:rsidR="00D27803" w:rsidRPr="00CD4BB9">
          <w:rPr>
            <w:rStyle w:val="Hyperlink"/>
            <w:rFonts w:cs="Times New Roman"/>
            <w:noProof/>
          </w:rPr>
          <w:t>Utvrđivanje scenarija</w:t>
        </w:r>
        <w:r w:rsidR="00D27803">
          <w:rPr>
            <w:noProof/>
            <w:webHidden/>
          </w:rPr>
          <w:tab/>
        </w:r>
        <w:r w:rsidR="00D27803">
          <w:rPr>
            <w:noProof/>
            <w:webHidden/>
          </w:rPr>
          <w:fldChar w:fldCharType="begin"/>
        </w:r>
        <w:r w:rsidR="00D27803">
          <w:rPr>
            <w:noProof/>
            <w:webHidden/>
          </w:rPr>
          <w:instrText xml:space="preserve"> PAGEREF _Toc69297740 \h </w:instrText>
        </w:r>
        <w:r w:rsidR="00D27803">
          <w:rPr>
            <w:noProof/>
            <w:webHidden/>
          </w:rPr>
        </w:r>
        <w:r w:rsidR="00D27803">
          <w:rPr>
            <w:noProof/>
            <w:webHidden/>
          </w:rPr>
          <w:fldChar w:fldCharType="separate"/>
        </w:r>
        <w:r w:rsidR="00D27803">
          <w:rPr>
            <w:noProof/>
            <w:webHidden/>
          </w:rPr>
          <w:t>29</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41" w:history="1">
        <w:r w:rsidR="00D27803" w:rsidRPr="00CD4BB9">
          <w:rPr>
            <w:rStyle w:val="Hyperlink"/>
            <w:rFonts w:cs="Times New Roman"/>
            <w:noProof/>
          </w:rPr>
          <w:t>4.</w:t>
        </w:r>
        <w:r w:rsidR="00D27803">
          <w:rPr>
            <w:rFonts w:asciiTheme="minorHAnsi" w:eastAsiaTheme="minorEastAsia" w:hAnsiTheme="minorHAnsi" w:cstheme="minorBidi"/>
            <w:noProof/>
            <w:szCs w:val="22"/>
          </w:rPr>
          <w:tab/>
        </w:r>
        <w:r w:rsidR="00D27803" w:rsidRPr="00CD4BB9">
          <w:rPr>
            <w:rStyle w:val="Hyperlink"/>
            <w:rFonts w:cs="Times New Roman"/>
            <w:noProof/>
          </w:rPr>
          <w:t>ENERGIJA IZ OBNOVLJIVIH IZVORA</w:t>
        </w:r>
        <w:r w:rsidR="00D27803">
          <w:rPr>
            <w:noProof/>
            <w:webHidden/>
          </w:rPr>
          <w:tab/>
        </w:r>
        <w:r w:rsidR="00D27803">
          <w:rPr>
            <w:noProof/>
            <w:webHidden/>
          </w:rPr>
          <w:fldChar w:fldCharType="begin"/>
        </w:r>
        <w:r w:rsidR="00D27803">
          <w:rPr>
            <w:noProof/>
            <w:webHidden/>
          </w:rPr>
          <w:instrText xml:space="preserve"> PAGEREF _Toc69297741 \h </w:instrText>
        </w:r>
        <w:r w:rsidR="00D27803">
          <w:rPr>
            <w:noProof/>
            <w:webHidden/>
          </w:rPr>
        </w:r>
        <w:r w:rsidR="00D27803">
          <w:rPr>
            <w:noProof/>
            <w:webHidden/>
          </w:rPr>
          <w:fldChar w:fldCharType="separate"/>
        </w:r>
        <w:r w:rsidR="00D27803">
          <w:rPr>
            <w:noProof/>
            <w:webHidden/>
          </w:rPr>
          <w:t>30</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42" w:history="1">
        <w:r w:rsidR="00D27803" w:rsidRPr="00CD4BB9">
          <w:rPr>
            <w:rStyle w:val="Hyperlink"/>
            <w:rFonts w:cs="Times New Roman"/>
            <w:noProof/>
          </w:rPr>
          <w:t>5.</w:t>
        </w:r>
        <w:r w:rsidR="00D27803">
          <w:rPr>
            <w:rFonts w:asciiTheme="minorHAnsi" w:eastAsiaTheme="minorEastAsia" w:hAnsiTheme="minorHAnsi" w:cstheme="minorBidi"/>
            <w:noProof/>
            <w:szCs w:val="22"/>
          </w:rPr>
          <w:tab/>
        </w:r>
        <w:r w:rsidR="00D27803" w:rsidRPr="00CD4BB9">
          <w:rPr>
            <w:rStyle w:val="Hyperlink"/>
            <w:rFonts w:cs="Times New Roman"/>
            <w:noProof/>
          </w:rPr>
          <w:t>ENERGETSKA UČINKOVITOST</w:t>
        </w:r>
        <w:r w:rsidR="00D27803">
          <w:rPr>
            <w:noProof/>
            <w:webHidden/>
          </w:rPr>
          <w:tab/>
        </w:r>
        <w:r w:rsidR="00D27803">
          <w:rPr>
            <w:noProof/>
            <w:webHidden/>
          </w:rPr>
          <w:fldChar w:fldCharType="begin"/>
        </w:r>
        <w:r w:rsidR="00D27803">
          <w:rPr>
            <w:noProof/>
            <w:webHidden/>
          </w:rPr>
          <w:instrText xml:space="preserve"> PAGEREF _Toc69297742 \h </w:instrText>
        </w:r>
        <w:r w:rsidR="00D27803">
          <w:rPr>
            <w:noProof/>
            <w:webHidden/>
          </w:rPr>
        </w:r>
        <w:r w:rsidR="00D27803">
          <w:rPr>
            <w:noProof/>
            <w:webHidden/>
          </w:rPr>
          <w:fldChar w:fldCharType="separate"/>
        </w:r>
        <w:r w:rsidR="00D27803">
          <w:rPr>
            <w:noProof/>
            <w:webHidden/>
          </w:rPr>
          <w:t>31</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43" w:history="1">
        <w:r w:rsidR="00D27803" w:rsidRPr="00CD4BB9">
          <w:rPr>
            <w:rStyle w:val="Hyperlink"/>
            <w:rFonts w:cs="Times New Roman"/>
            <w:noProof/>
          </w:rPr>
          <w:t xml:space="preserve">6. </w:t>
        </w:r>
        <w:r w:rsidR="00D27803">
          <w:rPr>
            <w:rFonts w:asciiTheme="minorHAnsi" w:eastAsiaTheme="minorEastAsia" w:hAnsiTheme="minorHAnsi" w:cstheme="minorBidi"/>
            <w:noProof/>
            <w:szCs w:val="22"/>
          </w:rPr>
          <w:tab/>
        </w:r>
        <w:r w:rsidR="00D27803" w:rsidRPr="00CD4BB9">
          <w:rPr>
            <w:rStyle w:val="Hyperlink"/>
            <w:rFonts w:cs="Times New Roman"/>
            <w:noProof/>
          </w:rPr>
          <w:t>SCENARIJI NISKOUGLJIČNOG RAZVOJA PO SEKTORIMA</w:t>
        </w:r>
        <w:r w:rsidR="00D27803">
          <w:rPr>
            <w:noProof/>
            <w:webHidden/>
          </w:rPr>
          <w:tab/>
        </w:r>
        <w:r w:rsidR="00D27803">
          <w:rPr>
            <w:noProof/>
            <w:webHidden/>
          </w:rPr>
          <w:fldChar w:fldCharType="begin"/>
        </w:r>
        <w:r w:rsidR="00D27803">
          <w:rPr>
            <w:noProof/>
            <w:webHidden/>
          </w:rPr>
          <w:instrText xml:space="preserve"> PAGEREF _Toc69297743 \h </w:instrText>
        </w:r>
        <w:r w:rsidR="00D27803">
          <w:rPr>
            <w:noProof/>
            <w:webHidden/>
          </w:rPr>
        </w:r>
        <w:r w:rsidR="00D27803">
          <w:rPr>
            <w:noProof/>
            <w:webHidden/>
          </w:rPr>
          <w:fldChar w:fldCharType="separate"/>
        </w:r>
        <w:r w:rsidR="00D27803">
          <w:rPr>
            <w:noProof/>
            <w:webHidden/>
          </w:rPr>
          <w:t>32</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44" w:history="1">
        <w:r w:rsidR="00D27803" w:rsidRPr="00CD4BB9">
          <w:rPr>
            <w:rStyle w:val="Hyperlink"/>
            <w:rFonts w:cs="Times New Roman"/>
            <w:noProof/>
          </w:rPr>
          <w:t xml:space="preserve">6.1. </w:t>
        </w:r>
        <w:r w:rsidR="00D27803">
          <w:rPr>
            <w:rFonts w:asciiTheme="minorHAnsi" w:eastAsiaTheme="minorEastAsia" w:hAnsiTheme="minorHAnsi" w:cstheme="minorBidi"/>
            <w:noProof/>
          </w:rPr>
          <w:tab/>
        </w:r>
        <w:r w:rsidR="00D27803" w:rsidRPr="00CD4BB9">
          <w:rPr>
            <w:rStyle w:val="Hyperlink"/>
            <w:rFonts w:cs="Times New Roman"/>
            <w:noProof/>
          </w:rPr>
          <w:t>PROIZVODNJA ELEKTRIČNE ENERGIJE I TOPLINE</w:t>
        </w:r>
        <w:r w:rsidR="00D27803">
          <w:rPr>
            <w:noProof/>
            <w:webHidden/>
          </w:rPr>
          <w:tab/>
        </w:r>
        <w:r w:rsidR="00D27803">
          <w:rPr>
            <w:noProof/>
            <w:webHidden/>
          </w:rPr>
          <w:fldChar w:fldCharType="begin"/>
        </w:r>
        <w:r w:rsidR="00D27803">
          <w:rPr>
            <w:noProof/>
            <w:webHidden/>
          </w:rPr>
          <w:instrText xml:space="preserve"> PAGEREF _Toc69297744 \h </w:instrText>
        </w:r>
        <w:r w:rsidR="00D27803">
          <w:rPr>
            <w:noProof/>
            <w:webHidden/>
          </w:rPr>
        </w:r>
        <w:r w:rsidR="00D27803">
          <w:rPr>
            <w:noProof/>
            <w:webHidden/>
          </w:rPr>
          <w:fldChar w:fldCharType="separate"/>
        </w:r>
        <w:r w:rsidR="00D27803">
          <w:rPr>
            <w:noProof/>
            <w:webHidden/>
          </w:rPr>
          <w:t>33</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45" w:history="1">
        <w:r w:rsidR="00D27803" w:rsidRPr="00CD4BB9">
          <w:rPr>
            <w:rStyle w:val="Hyperlink"/>
            <w:rFonts w:cs="Times New Roman"/>
            <w:noProof/>
          </w:rPr>
          <w:t>6.1.1. Emisije stakleničkih plinova</w:t>
        </w:r>
        <w:r w:rsidR="00D27803">
          <w:rPr>
            <w:noProof/>
            <w:webHidden/>
          </w:rPr>
          <w:tab/>
        </w:r>
        <w:r w:rsidR="00D27803">
          <w:rPr>
            <w:noProof/>
            <w:webHidden/>
          </w:rPr>
          <w:fldChar w:fldCharType="begin"/>
        </w:r>
        <w:r w:rsidR="00D27803">
          <w:rPr>
            <w:noProof/>
            <w:webHidden/>
          </w:rPr>
          <w:instrText xml:space="preserve"> PAGEREF _Toc69297745 \h </w:instrText>
        </w:r>
        <w:r w:rsidR="00D27803">
          <w:rPr>
            <w:noProof/>
            <w:webHidden/>
          </w:rPr>
        </w:r>
        <w:r w:rsidR="00D27803">
          <w:rPr>
            <w:noProof/>
            <w:webHidden/>
          </w:rPr>
          <w:fldChar w:fldCharType="separate"/>
        </w:r>
        <w:r w:rsidR="00D27803">
          <w:rPr>
            <w:noProof/>
            <w:webHidden/>
          </w:rPr>
          <w:t>33</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46" w:history="1">
        <w:r w:rsidR="00D27803" w:rsidRPr="00CD4BB9">
          <w:rPr>
            <w:rStyle w:val="Hyperlink"/>
            <w:rFonts w:cs="Times New Roman"/>
            <w:noProof/>
          </w:rPr>
          <w:t>6.1.2.</w:t>
        </w:r>
        <w:r w:rsidR="00D27803">
          <w:rPr>
            <w:rFonts w:asciiTheme="minorHAnsi" w:eastAsiaTheme="minorEastAsia" w:hAnsiTheme="minorHAnsi" w:cstheme="minorBidi"/>
            <w:noProof/>
          </w:rPr>
          <w:tab/>
        </w:r>
        <w:r w:rsidR="00D27803" w:rsidRPr="00CD4BB9">
          <w:rPr>
            <w:rStyle w:val="Hyperlink"/>
            <w:rFonts w:cs="Times New Roman"/>
            <w:noProof/>
          </w:rPr>
          <w:t>Politike i mjere za niskougljični razvoj</w:t>
        </w:r>
        <w:r w:rsidR="00D27803">
          <w:rPr>
            <w:noProof/>
            <w:webHidden/>
          </w:rPr>
          <w:tab/>
        </w:r>
        <w:r w:rsidR="00D27803">
          <w:rPr>
            <w:noProof/>
            <w:webHidden/>
          </w:rPr>
          <w:fldChar w:fldCharType="begin"/>
        </w:r>
        <w:r w:rsidR="00D27803">
          <w:rPr>
            <w:noProof/>
            <w:webHidden/>
          </w:rPr>
          <w:instrText xml:space="preserve"> PAGEREF _Toc69297746 \h </w:instrText>
        </w:r>
        <w:r w:rsidR="00D27803">
          <w:rPr>
            <w:noProof/>
            <w:webHidden/>
          </w:rPr>
        </w:r>
        <w:r w:rsidR="00D27803">
          <w:rPr>
            <w:noProof/>
            <w:webHidden/>
          </w:rPr>
          <w:fldChar w:fldCharType="separate"/>
        </w:r>
        <w:r w:rsidR="00D27803">
          <w:rPr>
            <w:noProof/>
            <w:webHidden/>
          </w:rPr>
          <w:t>33</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47" w:history="1">
        <w:r w:rsidR="00D27803" w:rsidRPr="00CD4BB9">
          <w:rPr>
            <w:rStyle w:val="Hyperlink"/>
            <w:rFonts w:cs="Times New Roman"/>
            <w:noProof/>
          </w:rPr>
          <w:t xml:space="preserve">6.2. </w:t>
        </w:r>
        <w:r w:rsidR="00D27803">
          <w:rPr>
            <w:rFonts w:asciiTheme="minorHAnsi" w:eastAsiaTheme="minorEastAsia" w:hAnsiTheme="minorHAnsi" w:cstheme="minorBidi"/>
            <w:noProof/>
          </w:rPr>
          <w:tab/>
        </w:r>
        <w:r w:rsidR="00D27803" w:rsidRPr="00CD4BB9">
          <w:rPr>
            <w:rStyle w:val="Hyperlink"/>
            <w:rFonts w:cs="Times New Roman"/>
            <w:noProof/>
          </w:rPr>
          <w:t>PROIZVODNJA I PRERADA GORIVA</w:t>
        </w:r>
        <w:r w:rsidR="00D27803">
          <w:rPr>
            <w:noProof/>
            <w:webHidden/>
          </w:rPr>
          <w:tab/>
        </w:r>
        <w:r w:rsidR="00D27803">
          <w:rPr>
            <w:noProof/>
            <w:webHidden/>
          </w:rPr>
          <w:fldChar w:fldCharType="begin"/>
        </w:r>
        <w:r w:rsidR="00D27803">
          <w:rPr>
            <w:noProof/>
            <w:webHidden/>
          </w:rPr>
          <w:instrText xml:space="preserve"> PAGEREF _Toc69297747 \h </w:instrText>
        </w:r>
        <w:r w:rsidR="00D27803">
          <w:rPr>
            <w:noProof/>
            <w:webHidden/>
          </w:rPr>
        </w:r>
        <w:r w:rsidR="00D27803">
          <w:rPr>
            <w:noProof/>
            <w:webHidden/>
          </w:rPr>
          <w:fldChar w:fldCharType="separate"/>
        </w:r>
        <w:r w:rsidR="00D27803">
          <w:rPr>
            <w:noProof/>
            <w:webHidden/>
          </w:rPr>
          <w:t>36</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48" w:history="1">
        <w:r w:rsidR="00D27803" w:rsidRPr="00CD4BB9">
          <w:rPr>
            <w:rStyle w:val="Hyperlink"/>
            <w:rFonts w:cs="Times New Roman"/>
            <w:noProof/>
          </w:rPr>
          <w:t>6.2.1. Emisije stakleničkih plinova</w:t>
        </w:r>
        <w:r w:rsidR="00D27803">
          <w:rPr>
            <w:noProof/>
            <w:webHidden/>
          </w:rPr>
          <w:tab/>
        </w:r>
        <w:r w:rsidR="00D27803">
          <w:rPr>
            <w:noProof/>
            <w:webHidden/>
          </w:rPr>
          <w:fldChar w:fldCharType="begin"/>
        </w:r>
        <w:r w:rsidR="00D27803">
          <w:rPr>
            <w:noProof/>
            <w:webHidden/>
          </w:rPr>
          <w:instrText xml:space="preserve"> PAGEREF _Toc69297748 \h </w:instrText>
        </w:r>
        <w:r w:rsidR="00D27803">
          <w:rPr>
            <w:noProof/>
            <w:webHidden/>
          </w:rPr>
        </w:r>
        <w:r w:rsidR="00D27803">
          <w:rPr>
            <w:noProof/>
            <w:webHidden/>
          </w:rPr>
          <w:fldChar w:fldCharType="separate"/>
        </w:r>
        <w:r w:rsidR="00D27803">
          <w:rPr>
            <w:noProof/>
            <w:webHidden/>
          </w:rPr>
          <w:t>36</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49" w:history="1">
        <w:r w:rsidR="00D27803" w:rsidRPr="00CD4BB9">
          <w:rPr>
            <w:rStyle w:val="Hyperlink"/>
            <w:rFonts w:cs="Times New Roman"/>
            <w:noProof/>
          </w:rPr>
          <w:t>6.2.2. Politike i mjere za niskougljični razvoj</w:t>
        </w:r>
        <w:r w:rsidR="00D27803">
          <w:rPr>
            <w:noProof/>
            <w:webHidden/>
          </w:rPr>
          <w:tab/>
        </w:r>
        <w:r w:rsidR="00D27803">
          <w:rPr>
            <w:noProof/>
            <w:webHidden/>
          </w:rPr>
          <w:fldChar w:fldCharType="begin"/>
        </w:r>
        <w:r w:rsidR="00D27803">
          <w:rPr>
            <w:noProof/>
            <w:webHidden/>
          </w:rPr>
          <w:instrText xml:space="preserve"> PAGEREF _Toc69297749 \h </w:instrText>
        </w:r>
        <w:r w:rsidR="00D27803">
          <w:rPr>
            <w:noProof/>
            <w:webHidden/>
          </w:rPr>
        </w:r>
        <w:r w:rsidR="00D27803">
          <w:rPr>
            <w:noProof/>
            <w:webHidden/>
          </w:rPr>
          <w:fldChar w:fldCharType="separate"/>
        </w:r>
        <w:r w:rsidR="00D27803">
          <w:rPr>
            <w:noProof/>
            <w:webHidden/>
          </w:rPr>
          <w:t>37</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50" w:history="1">
        <w:r w:rsidR="00D27803" w:rsidRPr="00CD4BB9">
          <w:rPr>
            <w:rStyle w:val="Hyperlink"/>
            <w:rFonts w:cs="Times New Roman"/>
            <w:noProof/>
          </w:rPr>
          <w:t>6.2.3. Smjernice za niskougljični razvoj</w:t>
        </w:r>
        <w:r w:rsidR="00D27803">
          <w:rPr>
            <w:noProof/>
            <w:webHidden/>
          </w:rPr>
          <w:tab/>
        </w:r>
        <w:r w:rsidR="00D27803">
          <w:rPr>
            <w:noProof/>
            <w:webHidden/>
          </w:rPr>
          <w:fldChar w:fldCharType="begin"/>
        </w:r>
        <w:r w:rsidR="00D27803">
          <w:rPr>
            <w:noProof/>
            <w:webHidden/>
          </w:rPr>
          <w:instrText xml:space="preserve"> PAGEREF _Toc69297750 \h </w:instrText>
        </w:r>
        <w:r w:rsidR="00D27803">
          <w:rPr>
            <w:noProof/>
            <w:webHidden/>
          </w:rPr>
        </w:r>
        <w:r w:rsidR="00D27803">
          <w:rPr>
            <w:noProof/>
            <w:webHidden/>
          </w:rPr>
          <w:fldChar w:fldCharType="separate"/>
        </w:r>
        <w:r w:rsidR="00D27803">
          <w:rPr>
            <w:noProof/>
            <w:webHidden/>
          </w:rPr>
          <w:t>38</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51" w:history="1">
        <w:r w:rsidR="00D27803" w:rsidRPr="00CD4BB9">
          <w:rPr>
            <w:rStyle w:val="Hyperlink"/>
            <w:rFonts w:cs="Times New Roman"/>
            <w:noProof/>
          </w:rPr>
          <w:t>6.3.</w:t>
        </w:r>
        <w:r w:rsidR="00D27803">
          <w:rPr>
            <w:rFonts w:asciiTheme="minorHAnsi" w:eastAsiaTheme="minorEastAsia" w:hAnsiTheme="minorHAnsi" w:cstheme="minorBidi"/>
            <w:noProof/>
          </w:rPr>
          <w:tab/>
        </w:r>
        <w:r w:rsidR="00D27803" w:rsidRPr="00CD4BB9">
          <w:rPr>
            <w:rStyle w:val="Hyperlink"/>
            <w:rFonts w:cs="Times New Roman"/>
            <w:noProof/>
          </w:rPr>
          <w:t>PROMET</w:t>
        </w:r>
        <w:r w:rsidR="00D27803">
          <w:rPr>
            <w:noProof/>
            <w:webHidden/>
          </w:rPr>
          <w:tab/>
        </w:r>
        <w:r w:rsidR="00D27803">
          <w:rPr>
            <w:noProof/>
            <w:webHidden/>
          </w:rPr>
          <w:fldChar w:fldCharType="begin"/>
        </w:r>
        <w:r w:rsidR="00D27803">
          <w:rPr>
            <w:noProof/>
            <w:webHidden/>
          </w:rPr>
          <w:instrText xml:space="preserve"> PAGEREF _Toc69297751 \h </w:instrText>
        </w:r>
        <w:r w:rsidR="00D27803">
          <w:rPr>
            <w:noProof/>
            <w:webHidden/>
          </w:rPr>
        </w:r>
        <w:r w:rsidR="00D27803">
          <w:rPr>
            <w:noProof/>
            <w:webHidden/>
          </w:rPr>
          <w:fldChar w:fldCharType="separate"/>
        </w:r>
        <w:r w:rsidR="00D27803">
          <w:rPr>
            <w:noProof/>
            <w:webHidden/>
          </w:rPr>
          <w:t>39</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52" w:history="1">
        <w:r w:rsidR="00D27803" w:rsidRPr="00CD4BB9">
          <w:rPr>
            <w:rStyle w:val="Hyperlink"/>
            <w:rFonts w:cs="Times New Roman"/>
            <w:noProof/>
          </w:rPr>
          <w:t>6.3.1.</w:t>
        </w:r>
        <w:r w:rsidR="00D27803">
          <w:rPr>
            <w:rFonts w:asciiTheme="minorHAnsi" w:eastAsiaTheme="minorEastAsia" w:hAnsiTheme="minorHAnsi" w:cstheme="minorBidi"/>
            <w:noProof/>
          </w:rPr>
          <w:tab/>
        </w:r>
        <w:r w:rsidR="00D27803" w:rsidRPr="00CD4BB9">
          <w:rPr>
            <w:rStyle w:val="Hyperlink"/>
            <w:rFonts w:cs="Times New Roman"/>
            <w:noProof/>
          </w:rPr>
          <w:t>Emisije stakleničkih plinova</w:t>
        </w:r>
        <w:r w:rsidR="00D27803">
          <w:rPr>
            <w:noProof/>
            <w:webHidden/>
          </w:rPr>
          <w:tab/>
        </w:r>
        <w:r w:rsidR="00D27803">
          <w:rPr>
            <w:noProof/>
            <w:webHidden/>
          </w:rPr>
          <w:fldChar w:fldCharType="begin"/>
        </w:r>
        <w:r w:rsidR="00D27803">
          <w:rPr>
            <w:noProof/>
            <w:webHidden/>
          </w:rPr>
          <w:instrText xml:space="preserve"> PAGEREF _Toc69297752 \h </w:instrText>
        </w:r>
        <w:r w:rsidR="00D27803">
          <w:rPr>
            <w:noProof/>
            <w:webHidden/>
          </w:rPr>
        </w:r>
        <w:r w:rsidR="00D27803">
          <w:rPr>
            <w:noProof/>
            <w:webHidden/>
          </w:rPr>
          <w:fldChar w:fldCharType="separate"/>
        </w:r>
        <w:r w:rsidR="00D27803">
          <w:rPr>
            <w:noProof/>
            <w:webHidden/>
          </w:rPr>
          <w:t>39</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53" w:history="1">
        <w:r w:rsidR="00D27803" w:rsidRPr="00CD4BB9">
          <w:rPr>
            <w:rStyle w:val="Hyperlink"/>
            <w:rFonts w:cs="Times New Roman"/>
            <w:noProof/>
          </w:rPr>
          <w:t>6.3.2.</w:t>
        </w:r>
        <w:r w:rsidR="00D27803">
          <w:rPr>
            <w:rFonts w:asciiTheme="minorHAnsi" w:eastAsiaTheme="minorEastAsia" w:hAnsiTheme="minorHAnsi" w:cstheme="minorBidi"/>
            <w:noProof/>
          </w:rPr>
          <w:tab/>
        </w:r>
        <w:r w:rsidR="00D27803" w:rsidRPr="00CD4BB9">
          <w:rPr>
            <w:rStyle w:val="Hyperlink"/>
            <w:rFonts w:cs="Times New Roman"/>
            <w:noProof/>
          </w:rPr>
          <w:t>Politike i mjere za niskougljični razvoj</w:t>
        </w:r>
        <w:r w:rsidR="00D27803">
          <w:rPr>
            <w:noProof/>
            <w:webHidden/>
          </w:rPr>
          <w:tab/>
        </w:r>
        <w:r w:rsidR="00D27803">
          <w:rPr>
            <w:noProof/>
            <w:webHidden/>
          </w:rPr>
          <w:fldChar w:fldCharType="begin"/>
        </w:r>
        <w:r w:rsidR="00D27803">
          <w:rPr>
            <w:noProof/>
            <w:webHidden/>
          </w:rPr>
          <w:instrText xml:space="preserve"> PAGEREF _Toc69297753 \h </w:instrText>
        </w:r>
        <w:r w:rsidR="00D27803">
          <w:rPr>
            <w:noProof/>
            <w:webHidden/>
          </w:rPr>
        </w:r>
        <w:r w:rsidR="00D27803">
          <w:rPr>
            <w:noProof/>
            <w:webHidden/>
          </w:rPr>
          <w:fldChar w:fldCharType="separate"/>
        </w:r>
        <w:r w:rsidR="00D27803">
          <w:rPr>
            <w:noProof/>
            <w:webHidden/>
          </w:rPr>
          <w:t>39</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54" w:history="1">
        <w:r w:rsidR="00D27803" w:rsidRPr="00CD4BB9">
          <w:rPr>
            <w:rStyle w:val="Hyperlink"/>
            <w:rFonts w:cs="Times New Roman"/>
            <w:noProof/>
          </w:rPr>
          <w:t>6.3.3.</w:t>
        </w:r>
        <w:r w:rsidR="00D27803">
          <w:rPr>
            <w:rFonts w:asciiTheme="minorHAnsi" w:eastAsiaTheme="minorEastAsia" w:hAnsiTheme="minorHAnsi" w:cstheme="minorBidi"/>
            <w:noProof/>
          </w:rPr>
          <w:tab/>
        </w:r>
        <w:r w:rsidR="00D27803" w:rsidRPr="00CD4BB9">
          <w:rPr>
            <w:rStyle w:val="Hyperlink"/>
            <w:rFonts w:cs="Times New Roman"/>
            <w:noProof/>
          </w:rPr>
          <w:t>Smjernice za niskougljični razvoj</w:t>
        </w:r>
        <w:r w:rsidR="00D27803">
          <w:rPr>
            <w:noProof/>
            <w:webHidden/>
          </w:rPr>
          <w:tab/>
        </w:r>
        <w:r w:rsidR="00D27803">
          <w:rPr>
            <w:noProof/>
            <w:webHidden/>
          </w:rPr>
          <w:fldChar w:fldCharType="begin"/>
        </w:r>
        <w:r w:rsidR="00D27803">
          <w:rPr>
            <w:noProof/>
            <w:webHidden/>
          </w:rPr>
          <w:instrText xml:space="preserve"> PAGEREF _Toc69297754 \h </w:instrText>
        </w:r>
        <w:r w:rsidR="00D27803">
          <w:rPr>
            <w:noProof/>
            <w:webHidden/>
          </w:rPr>
        </w:r>
        <w:r w:rsidR="00D27803">
          <w:rPr>
            <w:noProof/>
            <w:webHidden/>
          </w:rPr>
          <w:fldChar w:fldCharType="separate"/>
        </w:r>
        <w:r w:rsidR="00D27803">
          <w:rPr>
            <w:noProof/>
            <w:webHidden/>
          </w:rPr>
          <w:t>40</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55" w:history="1">
        <w:r w:rsidR="00D27803" w:rsidRPr="00CD4BB9">
          <w:rPr>
            <w:rStyle w:val="Hyperlink"/>
            <w:rFonts w:cs="Times New Roman"/>
            <w:noProof/>
          </w:rPr>
          <w:t>6.4.</w:t>
        </w:r>
        <w:r w:rsidR="00D27803">
          <w:rPr>
            <w:rFonts w:asciiTheme="minorHAnsi" w:eastAsiaTheme="minorEastAsia" w:hAnsiTheme="minorHAnsi" w:cstheme="minorBidi"/>
            <w:noProof/>
          </w:rPr>
          <w:tab/>
        </w:r>
        <w:r w:rsidR="00D27803" w:rsidRPr="00CD4BB9">
          <w:rPr>
            <w:rStyle w:val="Hyperlink"/>
            <w:rFonts w:cs="Times New Roman"/>
            <w:noProof/>
          </w:rPr>
          <w:t>SEKTOR OPĆE POTROŠNJE</w:t>
        </w:r>
        <w:r w:rsidR="00D27803">
          <w:rPr>
            <w:noProof/>
            <w:webHidden/>
          </w:rPr>
          <w:tab/>
        </w:r>
        <w:r w:rsidR="00D27803">
          <w:rPr>
            <w:noProof/>
            <w:webHidden/>
          </w:rPr>
          <w:fldChar w:fldCharType="begin"/>
        </w:r>
        <w:r w:rsidR="00D27803">
          <w:rPr>
            <w:noProof/>
            <w:webHidden/>
          </w:rPr>
          <w:instrText xml:space="preserve"> PAGEREF _Toc69297755 \h </w:instrText>
        </w:r>
        <w:r w:rsidR="00D27803">
          <w:rPr>
            <w:noProof/>
            <w:webHidden/>
          </w:rPr>
        </w:r>
        <w:r w:rsidR="00D27803">
          <w:rPr>
            <w:noProof/>
            <w:webHidden/>
          </w:rPr>
          <w:fldChar w:fldCharType="separate"/>
        </w:r>
        <w:r w:rsidR="00D27803">
          <w:rPr>
            <w:noProof/>
            <w:webHidden/>
          </w:rPr>
          <w:t>41</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56" w:history="1">
        <w:r w:rsidR="00D27803" w:rsidRPr="00CD4BB9">
          <w:rPr>
            <w:rStyle w:val="Hyperlink"/>
            <w:rFonts w:cs="Times New Roman"/>
            <w:noProof/>
          </w:rPr>
          <w:t>6.4.1.</w:t>
        </w:r>
        <w:r w:rsidR="00D27803">
          <w:rPr>
            <w:rFonts w:asciiTheme="minorHAnsi" w:eastAsiaTheme="minorEastAsia" w:hAnsiTheme="minorHAnsi" w:cstheme="minorBidi"/>
            <w:noProof/>
          </w:rPr>
          <w:tab/>
        </w:r>
        <w:r w:rsidR="00D27803" w:rsidRPr="00CD4BB9">
          <w:rPr>
            <w:rStyle w:val="Hyperlink"/>
            <w:rFonts w:cs="Times New Roman"/>
            <w:noProof/>
          </w:rPr>
          <w:t>Emisije stakleničkih plinova</w:t>
        </w:r>
        <w:r w:rsidR="00D27803">
          <w:rPr>
            <w:noProof/>
            <w:webHidden/>
          </w:rPr>
          <w:tab/>
        </w:r>
        <w:r w:rsidR="00D27803">
          <w:rPr>
            <w:noProof/>
            <w:webHidden/>
          </w:rPr>
          <w:fldChar w:fldCharType="begin"/>
        </w:r>
        <w:r w:rsidR="00D27803">
          <w:rPr>
            <w:noProof/>
            <w:webHidden/>
          </w:rPr>
          <w:instrText xml:space="preserve"> PAGEREF _Toc69297756 \h </w:instrText>
        </w:r>
        <w:r w:rsidR="00D27803">
          <w:rPr>
            <w:noProof/>
            <w:webHidden/>
          </w:rPr>
        </w:r>
        <w:r w:rsidR="00D27803">
          <w:rPr>
            <w:noProof/>
            <w:webHidden/>
          </w:rPr>
          <w:fldChar w:fldCharType="separate"/>
        </w:r>
        <w:r w:rsidR="00D27803">
          <w:rPr>
            <w:noProof/>
            <w:webHidden/>
          </w:rPr>
          <w:t>41</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57" w:history="1">
        <w:r w:rsidR="00D27803" w:rsidRPr="00CD4BB9">
          <w:rPr>
            <w:rStyle w:val="Hyperlink"/>
            <w:rFonts w:cs="Times New Roman"/>
            <w:noProof/>
          </w:rPr>
          <w:t>6.4.2. Politike i mjere za niskougljični razvoj</w:t>
        </w:r>
        <w:r w:rsidR="00D27803">
          <w:rPr>
            <w:noProof/>
            <w:webHidden/>
          </w:rPr>
          <w:tab/>
        </w:r>
        <w:r w:rsidR="00D27803">
          <w:rPr>
            <w:noProof/>
            <w:webHidden/>
          </w:rPr>
          <w:fldChar w:fldCharType="begin"/>
        </w:r>
        <w:r w:rsidR="00D27803">
          <w:rPr>
            <w:noProof/>
            <w:webHidden/>
          </w:rPr>
          <w:instrText xml:space="preserve"> PAGEREF _Toc69297757 \h </w:instrText>
        </w:r>
        <w:r w:rsidR="00D27803">
          <w:rPr>
            <w:noProof/>
            <w:webHidden/>
          </w:rPr>
        </w:r>
        <w:r w:rsidR="00D27803">
          <w:rPr>
            <w:noProof/>
            <w:webHidden/>
          </w:rPr>
          <w:fldChar w:fldCharType="separate"/>
        </w:r>
        <w:r w:rsidR="00D27803">
          <w:rPr>
            <w:noProof/>
            <w:webHidden/>
          </w:rPr>
          <w:t>42</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58" w:history="1">
        <w:r w:rsidR="00D27803" w:rsidRPr="00CD4BB9">
          <w:rPr>
            <w:rStyle w:val="Hyperlink"/>
            <w:rFonts w:cs="Times New Roman"/>
            <w:noProof/>
          </w:rPr>
          <w:t>6.4.3. Smjernice za niskougljični razvoj</w:t>
        </w:r>
        <w:r w:rsidR="00D27803">
          <w:rPr>
            <w:noProof/>
            <w:webHidden/>
          </w:rPr>
          <w:tab/>
        </w:r>
        <w:r w:rsidR="00D27803">
          <w:rPr>
            <w:noProof/>
            <w:webHidden/>
          </w:rPr>
          <w:fldChar w:fldCharType="begin"/>
        </w:r>
        <w:r w:rsidR="00D27803">
          <w:rPr>
            <w:noProof/>
            <w:webHidden/>
          </w:rPr>
          <w:instrText xml:space="preserve"> PAGEREF _Toc69297758 \h </w:instrText>
        </w:r>
        <w:r w:rsidR="00D27803">
          <w:rPr>
            <w:noProof/>
            <w:webHidden/>
          </w:rPr>
        </w:r>
        <w:r w:rsidR="00D27803">
          <w:rPr>
            <w:noProof/>
            <w:webHidden/>
          </w:rPr>
          <w:fldChar w:fldCharType="separate"/>
        </w:r>
        <w:r w:rsidR="00D27803">
          <w:rPr>
            <w:noProof/>
            <w:webHidden/>
          </w:rPr>
          <w:t>43</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59" w:history="1">
        <w:r w:rsidR="00D27803" w:rsidRPr="00CD4BB9">
          <w:rPr>
            <w:rStyle w:val="Hyperlink"/>
            <w:rFonts w:cs="Times New Roman"/>
            <w:noProof/>
          </w:rPr>
          <w:t>6.5.</w:t>
        </w:r>
        <w:r w:rsidR="00D27803">
          <w:rPr>
            <w:rFonts w:asciiTheme="minorHAnsi" w:eastAsiaTheme="minorEastAsia" w:hAnsiTheme="minorHAnsi" w:cstheme="minorBidi"/>
            <w:noProof/>
          </w:rPr>
          <w:tab/>
        </w:r>
        <w:r w:rsidR="00D27803" w:rsidRPr="00CD4BB9">
          <w:rPr>
            <w:rStyle w:val="Hyperlink"/>
            <w:rFonts w:cs="Times New Roman"/>
            <w:noProof/>
          </w:rPr>
          <w:t>INDUSTRIJA</w:t>
        </w:r>
        <w:r w:rsidR="00D27803">
          <w:rPr>
            <w:noProof/>
            <w:webHidden/>
          </w:rPr>
          <w:tab/>
        </w:r>
        <w:r w:rsidR="00D27803">
          <w:rPr>
            <w:noProof/>
            <w:webHidden/>
          </w:rPr>
          <w:fldChar w:fldCharType="begin"/>
        </w:r>
        <w:r w:rsidR="00D27803">
          <w:rPr>
            <w:noProof/>
            <w:webHidden/>
          </w:rPr>
          <w:instrText xml:space="preserve"> PAGEREF _Toc69297759 \h </w:instrText>
        </w:r>
        <w:r w:rsidR="00D27803">
          <w:rPr>
            <w:noProof/>
            <w:webHidden/>
          </w:rPr>
        </w:r>
        <w:r w:rsidR="00D27803">
          <w:rPr>
            <w:noProof/>
            <w:webHidden/>
          </w:rPr>
          <w:fldChar w:fldCharType="separate"/>
        </w:r>
        <w:r w:rsidR="00D27803">
          <w:rPr>
            <w:noProof/>
            <w:webHidden/>
          </w:rPr>
          <w:t>44</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60" w:history="1">
        <w:r w:rsidR="00D27803" w:rsidRPr="00CD4BB9">
          <w:rPr>
            <w:rStyle w:val="Hyperlink"/>
            <w:rFonts w:cs="Times New Roman"/>
            <w:noProof/>
          </w:rPr>
          <w:t>6.5.1.</w:t>
        </w:r>
        <w:r w:rsidR="00D27803">
          <w:rPr>
            <w:rFonts w:asciiTheme="minorHAnsi" w:eastAsiaTheme="minorEastAsia" w:hAnsiTheme="minorHAnsi" w:cstheme="minorBidi"/>
            <w:noProof/>
          </w:rPr>
          <w:tab/>
        </w:r>
        <w:r w:rsidR="00D27803" w:rsidRPr="00CD4BB9">
          <w:rPr>
            <w:rStyle w:val="Hyperlink"/>
            <w:rFonts w:cs="Times New Roman"/>
            <w:noProof/>
          </w:rPr>
          <w:t>Emisije stakleničkih plinova</w:t>
        </w:r>
        <w:r w:rsidR="00D27803">
          <w:rPr>
            <w:noProof/>
            <w:webHidden/>
          </w:rPr>
          <w:tab/>
        </w:r>
        <w:r w:rsidR="00D27803">
          <w:rPr>
            <w:noProof/>
            <w:webHidden/>
          </w:rPr>
          <w:fldChar w:fldCharType="begin"/>
        </w:r>
        <w:r w:rsidR="00D27803">
          <w:rPr>
            <w:noProof/>
            <w:webHidden/>
          </w:rPr>
          <w:instrText xml:space="preserve"> PAGEREF _Toc69297760 \h </w:instrText>
        </w:r>
        <w:r w:rsidR="00D27803">
          <w:rPr>
            <w:noProof/>
            <w:webHidden/>
          </w:rPr>
        </w:r>
        <w:r w:rsidR="00D27803">
          <w:rPr>
            <w:noProof/>
            <w:webHidden/>
          </w:rPr>
          <w:fldChar w:fldCharType="separate"/>
        </w:r>
        <w:r w:rsidR="00D27803">
          <w:rPr>
            <w:noProof/>
            <w:webHidden/>
          </w:rPr>
          <w:t>44</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61" w:history="1">
        <w:r w:rsidR="00D27803" w:rsidRPr="00CD4BB9">
          <w:rPr>
            <w:rStyle w:val="Hyperlink"/>
            <w:rFonts w:cs="Times New Roman"/>
            <w:noProof/>
          </w:rPr>
          <w:t>6.5.2.</w:t>
        </w:r>
        <w:r w:rsidR="00D27803">
          <w:rPr>
            <w:rFonts w:asciiTheme="minorHAnsi" w:eastAsiaTheme="minorEastAsia" w:hAnsiTheme="minorHAnsi" w:cstheme="minorBidi"/>
            <w:noProof/>
          </w:rPr>
          <w:tab/>
        </w:r>
        <w:r w:rsidR="00D27803" w:rsidRPr="00CD4BB9">
          <w:rPr>
            <w:rStyle w:val="Hyperlink"/>
            <w:rFonts w:cs="Times New Roman"/>
            <w:noProof/>
          </w:rPr>
          <w:t>Politike i mjere za niskougljični razvoj</w:t>
        </w:r>
        <w:r w:rsidR="00D27803">
          <w:rPr>
            <w:noProof/>
            <w:webHidden/>
          </w:rPr>
          <w:tab/>
        </w:r>
        <w:r w:rsidR="00D27803">
          <w:rPr>
            <w:noProof/>
            <w:webHidden/>
          </w:rPr>
          <w:fldChar w:fldCharType="begin"/>
        </w:r>
        <w:r w:rsidR="00D27803">
          <w:rPr>
            <w:noProof/>
            <w:webHidden/>
          </w:rPr>
          <w:instrText xml:space="preserve"> PAGEREF _Toc69297761 \h </w:instrText>
        </w:r>
        <w:r w:rsidR="00D27803">
          <w:rPr>
            <w:noProof/>
            <w:webHidden/>
          </w:rPr>
        </w:r>
        <w:r w:rsidR="00D27803">
          <w:rPr>
            <w:noProof/>
            <w:webHidden/>
          </w:rPr>
          <w:fldChar w:fldCharType="separate"/>
        </w:r>
        <w:r w:rsidR="00D27803">
          <w:rPr>
            <w:noProof/>
            <w:webHidden/>
          </w:rPr>
          <w:t>44</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62" w:history="1">
        <w:r w:rsidR="00D27803" w:rsidRPr="00CD4BB9">
          <w:rPr>
            <w:rStyle w:val="Hyperlink"/>
            <w:rFonts w:cs="Times New Roman"/>
            <w:noProof/>
          </w:rPr>
          <w:t>6.5.3.</w:t>
        </w:r>
        <w:r w:rsidR="00D27803">
          <w:rPr>
            <w:rFonts w:asciiTheme="minorHAnsi" w:eastAsiaTheme="minorEastAsia" w:hAnsiTheme="minorHAnsi" w:cstheme="minorBidi"/>
            <w:noProof/>
          </w:rPr>
          <w:tab/>
        </w:r>
        <w:r w:rsidR="00D27803" w:rsidRPr="00CD4BB9">
          <w:rPr>
            <w:rStyle w:val="Hyperlink"/>
            <w:rFonts w:cs="Times New Roman"/>
            <w:noProof/>
          </w:rPr>
          <w:t>Smjernice za niskougljični razvoj</w:t>
        </w:r>
        <w:r w:rsidR="00D27803">
          <w:rPr>
            <w:noProof/>
            <w:webHidden/>
          </w:rPr>
          <w:tab/>
        </w:r>
        <w:r w:rsidR="00D27803">
          <w:rPr>
            <w:noProof/>
            <w:webHidden/>
          </w:rPr>
          <w:fldChar w:fldCharType="begin"/>
        </w:r>
        <w:r w:rsidR="00D27803">
          <w:rPr>
            <w:noProof/>
            <w:webHidden/>
          </w:rPr>
          <w:instrText xml:space="preserve"> PAGEREF _Toc69297762 \h </w:instrText>
        </w:r>
        <w:r w:rsidR="00D27803">
          <w:rPr>
            <w:noProof/>
            <w:webHidden/>
          </w:rPr>
        </w:r>
        <w:r w:rsidR="00D27803">
          <w:rPr>
            <w:noProof/>
            <w:webHidden/>
          </w:rPr>
          <w:fldChar w:fldCharType="separate"/>
        </w:r>
        <w:r w:rsidR="00D27803">
          <w:rPr>
            <w:noProof/>
            <w:webHidden/>
          </w:rPr>
          <w:t>45</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63" w:history="1">
        <w:r w:rsidR="00D27803" w:rsidRPr="00CD4BB9">
          <w:rPr>
            <w:rStyle w:val="Hyperlink"/>
            <w:rFonts w:cs="Times New Roman"/>
            <w:noProof/>
          </w:rPr>
          <w:t xml:space="preserve">6.6. </w:t>
        </w:r>
        <w:r w:rsidR="00D27803">
          <w:rPr>
            <w:rFonts w:asciiTheme="minorHAnsi" w:eastAsiaTheme="minorEastAsia" w:hAnsiTheme="minorHAnsi" w:cstheme="minorBidi"/>
            <w:noProof/>
          </w:rPr>
          <w:tab/>
        </w:r>
        <w:r w:rsidR="00D27803" w:rsidRPr="00CD4BB9">
          <w:rPr>
            <w:rStyle w:val="Hyperlink"/>
            <w:rFonts w:cs="Times New Roman"/>
            <w:noProof/>
          </w:rPr>
          <w:t>POLJOPRIVREDA</w:t>
        </w:r>
        <w:r w:rsidR="00D27803">
          <w:rPr>
            <w:noProof/>
            <w:webHidden/>
          </w:rPr>
          <w:tab/>
        </w:r>
        <w:r w:rsidR="00D27803">
          <w:rPr>
            <w:noProof/>
            <w:webHidden/>
          </w:rPr>
          <w:fldChar w:fldCharType="begin"/>
        </w:r>
        <w:r w:rsidR="00D27803">
          <w:rPr>
            <w:noProof/>
            <w:webHidden/>
          </w:rPr>
          <w:instrText xml:space="preserve"> PAGEREF _Toc69297763 \h </w:instrText>
        </w:r>
        <w:r w:rsidR="00D27803">
          <w:rPr>
            <w:noProof/>
            <w:webHidden/>
          </w:rPr>
        </w:r>
        <w:r w:rsidR="00D27803">
          <w:rPr>
            <w:noProof/>
            <w:webHidden/>
          </w:rPr>
          <w:fldChar w:fldCharType="separate"/>
        </w:r>
        <w:r w:rsidR="00D27803">
          <w:rPr>
            <w:noProof/>
            <w:webHidden/>
          </w:rPr>
          <w:t>46</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64" w:history="1">
        <w:r w:rsidR="00D27803" w:rsidRPr="00CD4BB9">
          <w:rPr>
            <w:rStyle w:val="Hyperlink"/>
            <w:rFonts w:cs="Times New Roman"/>
            <w:noProof/>
          </w:rPr>
          <w:t>6.6.1. Emisije stakleničkih plinova</w:t>
        </w:r>
        <w:r w:rsidR="00D27803">
          <w:rPr>
            <w:noProof/>
            <w:webHidden/>
          </w:rPr>
          <w:tab/>
        </w:r>
        <w:r w:rsidR="00D27803">
          <w:rPr>
            <w:noProof/>
            <w:webHidden/>
          </w:rPr>
          <w:fldChar w:fldCharType="begin"/>
        </w:r>
        <w:r w:rsidR="00D27803">
          <w:rPr>
            <w:noProof/>
            <w:webHidden/>
          </w:rPr>
          <w:instrText xml:space="preserve"> PAGEREF _Toc69297764 \h </w:instrText>
        </w:r>
        <w:r w:rsidR="00D27803">
          <w:rPr>
            <w:noProof/>
            <w:webHidden/>
          </w:rPr>
        </w:r>
        <w:r w:rsidR="00D27803">
          <w:rPr>
            <w:noProof/>
            <w:webHidden/>
          </w:rPr>
          <w:fldChar w:fldCharType="separate"/>
        </w:r>
        <w:r w:rsidR="00D27803">
          <w:rPr>
            <w:noProof/>
            <w:webHidden/>
          </w:rPr>
          <w:t>46</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65" w:history="1">
        <w:r w:rsidR="00D27803" w:rsidRPr="00CD4BB9">
          <w:rPr>
            <w:rStyle w:val="Hyperlink"/>
            <w:rFonts w:cs="Times New Roman"/>
            <w:noProof/>
          </w:rPr>
          <w:t>6.6.2. Politike i mjere za niskougljični razvoj</w:t>
        </w:r>
        <w:r w:rsidR="00D27803">
          <w:rPr>
            <w:noProof/>
            <w:webHidden/>
          </w:rPr>
          <w:tab/>
        </w:r>
        <w:r w:rsidR="00D27803">
          <w:rPr>
            <w:noProof/>
            <w:webHidden/>
          </w:rPr>
          <w:fldChar w:fldCharType="begin"/>
        </w:r>
        <w:r w:rsidR="00D27803">
          <w:rPr>
            <w:noProof/>
            <w:webHidden/>
          </w:rPr>
          <w:instrText xml:space="preserve"> PAGEREF _Toc69297765 \h </w:instrText>
        </w:r>
        <w:r w:rsidR="00D27803">
          <w:rPr>
            <w:noProof/>
            <w:webHidden/>
          </w:rPr>
        </w:r>
        <w:r w:rsidR="00D27803">
          <w:rPr>
            <w:noProof/>
            <w:webHidden/>
          </w:rPr>
          <w:fldChar w:fldCharType="separate"/>
        </w:r>
        <w:r w:rsidR="00D27803">
          <w:rPr>
            <w:noProof/>
            <w:webHidden/>
          </w:rPr>
          <w:t>46</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66" w:history="1">
        <w:r w:rsidR="00D27803" w:rsidRPr="00CD4BB9">
          <w:rPr>
            <w:rStyle w:val="Hyperlink"/>
            <w:rFonts w:cs="Times New Roman"/>
            <w:noProof/>
          </w:rPr>
          <w:t>6.6.3. Smjernice za niskougljični razvoj</w:t>
        </w:r>
        <w:r w:rsidR="00D27803">
          <w:rPr>
            <w:noProof/>
            <w:webHidden/>
          </w:rPr>
          <w:tab/>
        </w:r>
        <w:r w:rsidR="00D27803">
          <w:rPr>
            <w:noProof/>
            <w:webHidden/>
          </w:rPr>
          <w:fldChar w:fldCharType="begin"/>
        </w:r>
        <w:r w:rsidR="00D27803">
          <w:rPr>
            <w:noProof/>
            <w:webHidden/>
          </w:rPr>
          <w:instrText xml:space="preserve"> PAGEREF _Toc69297766 \h </w:instrText>
        </w:r>
        <w:r w:rsidR="00D27803">
          <w:rPr>
            <w:noProof/>
            <w:webHidden/>
          </w:rPr>
        </w:r>
        <w:r w:rsidR="00D27803">
          <w:rPr>
            <w:noProof/>
            <w:webHidden/>
          </w:rPr>
          <w:fldChar w:fldCharType="separate"/>
        </w:r>
        <w:r w:rsidR="00D27803">
          <w:rPr>
            <w:noProof/>
            <w:webHidden/>
          </w:rPr>
          <w:t>48</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67" w:history="1">
        <w:r w:rsidR="00D27803" w:rsidRPr="00CD4BB9">
          <w:rPr>
            <w:rStyle w:val="Hyperlink"/>
            <w:rFonts w:cs="Times New Roman"/>
            <w:noProof/>
          </w:rPr>
          <w:t xml:space="preserve">6.7. </w:t>
        </w:r>
        <w:r w:rsidR="00D27803">
          <w:rPr>
            <w:rFonts w:asciiTheme="minorHAnsi" w:eastAsiaTheme="minorEastAsia" w:hAnsiTheme="minorHAnsi" w:cstheme="minorBidi"/>
            <w:noProof/>
          </w:rPr>
          <w:tab/>
        </w:r>
        <w:r w:rsidR="00D27803" w:rsidRPr="00CD4BB9">
          <w:rPr>
            <w:rStyle w:val="Hyperlink"/>
            <w:rFonts w:cs="Times New Roman"/>
            <w:noProof/>
          </w:rPr>
          <w:t>OTPAD</w:t>
        </w:r>
        <w:r w:rsidR="00D27803">
          <w:rPr>
            <w:noProof/>
            <w:webHidden/>
          </w:rPr>
          <w:tab/>
        </w:r>
        <w:r w:rsidR="00D27803">
          <w:rPr>
            <w:noProof/>
            <w:webHidden/>
          </w:rPr>
          <w:fldChar w:fldCharType="begin"/>
        </w:r>
        <w:r w:rsidR="00D27803">
          <w:rPr>
            <w:noProof/>
            <w:webHidden/>
          </w:rPr>
          <w:instrText xml:space="preserve"> PAGEREF _Toc69297767 \h </w:instrText>
        </w:r>
        <w:r w:rsidR="00D27803">
          <w:rPr>
            <w:noProof/>
            <w:webHidden/>
          </w:rPr>
        </w:r>
        <w:r w:rsidR="00D27803">
          <w:rPr>
            <w:noProof/>
            <w:webHidden/>
          </w:rPr>
          <w:fldChar w:fldCharType="separate"/>
        </w:r>
        <w:r w:rsidR="00D27803">
          <w:rPr>
            <w:noProof/>
            <w:webHidden/>
          </w:rPr>
          <w:t>49</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68" w:history="1">
        <w:r w:rsidR="00D27803" w:rsidRPr="00CD4BB9">
          <w:rPr>
            <w:rStyle w:val="Hyperlink"/>
            <w:rFonts w:cs="Times New Roman"/>
            <w:noProof/>
          </w:rPr>
          <w:t>6.7.1. Emisije stakleničkih plinova</w:t>
        </w:r>
        <w:r w:rsidR="00D27803">
          <w:rPr>
            <w:noProof/>
            <w:webHidden/>
          </w:rPr>
          <w:tab/>
        </w:r>
        <w:r w:rsidR="00D27803">
          <w:rPr>
            <w:noProof/>
            <w:webHidden/>
          </w:rPr>
          <w:fldChar w:fldCharType="begin"/>
        </w:r>
        <w:r w:rsidR="00D27803">
          <w:rPr>
            <w:noProof/>
            <w:webHidden/>
          </w:rPr>
          <w:instrText xml:space="preserve"> PAGEREF _Toc69297768 \h </w:instrText>
        </w:r>
        <w:r w:rsidR="00D27803">
          <w:rPr>
            <w:noProof/>
            <w:webHidden/>
          </w:rPr>
        </w:r>
        <w:r w:rsidR="00D27803">
          <w:rPr>
            <w:noProof/>
            <w:webHidden/>
          </w:rPr>
          <w:fldChar w:fldCharType="separate"/>
        </w:r>
        <w:r w:rsidR="00D27803">
          <w:rPr>
            <w:noProof/>
            <w:webHidden/>
          </w:rPr>
          <w:t>49</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69" w:history="1">
        <w:r w:rsidR="00D27803" w:rsidRPr="00CD4BB9">
          <w:rPr>
            <w:rStyle w:val="Hyperlink"/>
            <w:rFonts w:cs="Times New Roman"/>
            <w:noProof/>
          </w:rPr>
          <w:t>6.7.2. Politike i mjere za niskougljični razvoj</w:t>
        </w:r>
        <w:r w:rsidR="00D27803">
          <w:rPr>
            <w:noProof/>
            <w:webHidden/>
          </w:rPr>
          <w:tab/>
        </w:r>
        <w:r w:rsidR="00D27803">
          <w:rPr>
            <w:noProof/>
            <w:webHidden/>
          </w:rPr>
          <w:fldChar w:fldCharType="begin"/>
        </w:r>
        <w:r w:rsidR="00D27803">
          <w:rPr>
            <w:noProof/>
            <w:webHidden/>
          </w:rPr>
          <w:instrText xml:space="preserve"> PAGEREF _Toc69297769 \h </w:instrText>
        </w:r>
        <w:r w:rsidR="00D27803">
          <w:rPr>
            <w:noProof/>
            <w:webHidden/>
          </w:rPr>
        </w:r>
        <w:r w:rsidR="00D27803">
          <w:rPr>
            <w:noProof/>
            <w:webHidden/>
          </w:rPr>
          <w:fldChar w:fldCharType="separate"/>
        </w:r>
        <w:r w:rsidR="00D27803">
          <w:rPr>
            <w:noProof/>
            <w:webHidden/>
          </w:rPr>
          <w:t>49</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70" w:history="1">
        <w:r w:rsidR="00D27803" w:rsidRPr="00CD4BB9">
          <w:rPr>
            <w:rStyle w:val="Hyperlink"/>
            <w:rFonts w:cs="Times New Roman"/>
            <w:noProof/>
          </w:rPr>
          <w:t>6.7.3. Smjernice za niskougljični razvoj</w:t>
        </w:r>
        <w:r w:rsidR="00D27803">
          <w:rPr>
            <w:noProof/>
            <w:webHidden/>
          </w:rPr>
          <w:tab/>
        </w:r>
        <w:r w:rsidR="00D27803">
          <w:rPr>
            <w:noProof/>
            <w:webHidden/>
          </w:rPr>
          <w:fldChar w:fldCharType="begin"/>
        </w:r>
        <w:r w:rsidR="00D27803">
          <w:rPr>
            <w:noProof/>
            <w:webHidden/>
          </w:rPr>
          <w:instrText xml:space="preserve"> PAGEREF _Toc69297770 \h </w:instrText>
        </w:r>
        <w:r w:rsidR="00D27803">
          <w:rPr>
            <w:noProof/>
            <w:webHidden/>
          </w:rPr>
        </w:r>
        <w:r w:rsidR="00D27803">
          <w:rPr>
            <w:noProof/>
            <w:webHidden/>
          </w:rPr>
          <w:fldChar w:fldCharType="separate"/>
        </w:r>
        <w:r w:rsidR="00D27803">
          <w:rPr>
            <w:noProof/>
            <w:webHidden/>
          </w:rPr>
          <w:t>51</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71" w:history="1">
        <w:r w:rsidR="00D27803" w:rsidRPr="00CD4BB9">
          <w:rPr>
            <w:rStyle w:val="Hyperlink"/>
            <w:rFonts w:cs="Times New Roman"/>
            <w:noProof/>
          </w:rPr>
          <w:t xml:space="preserve">6.8. </w:t>
        </w:r>
        <w:r w:rsidR="00D27803">
          <w:rPr>
            <w:rFonts w:asciiTheme="minorHAnsi" w:eastAsiaTheme="minorEastAsia" w:hAnsiTheme="minorHAnsi" w:cstheme="minorBidi"/>
            <w:noProof/>
          </w:rPr>
          <w:tab/>
        </w:r>
        <w:r w:rsidR="00D27803" w:rsidRPr="00CD4BB9">
          <w:rPr>
            <w:rStyle w:val="Hyperlink"/>
            <w:rFonts w:cs="Times New Roman"/>
            <w:noProof/>
          </w:rPr>
          <w:t>Korištenje zemljišta, prenamjena u korištenju zemljišta i šumarstvo (LULUCF)</w:t>
        </w:r>
        <w:r w:rsidR="00D27803">
          <w:rPr>
            <w:noProof/>
            <w:webHidden/>
          </w:rPr>
          <w:tab/>
        </w:r>
        <w:r w:rsidR="00D27803">
          <w:rPr>
            <w:noProof/>
            <w:webHidden/>
          </w:rPr>
          <w:fldChar w:fldCharType="begin"/>
        </w:r>
        <w:r w:rsidR="00D27803">
          <w:rPr>
            <w:noProof/>
            <w:webHidden/>
          </w:rPr>
          <w:instrText xml:space="preserve"> PAGEREF _Toc69297771 \h </w:instrText>
        </w:r>
        <w:r w:rsidR="00D27803">
          <w:rPr>
            <w:noProof/>
            <w:webHidden/>
          </w:rPr>
        </w:r>
        <w:r w:rsidR="00D27803">
          <w:rPr>
            <w:noProof/>
            <w:webHidden/>
          </w:rPr>
          <w:fldChar w:fldCharType="separate"/>
        </w:r>
        <w:r w:rsidR="00D27803">
          <w:rPr>
            <w:noProof/>
            <w:webHidden/>
          </w:rPr>
          <w:t>51</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72" w:history="1">
        <w:r w:rsidR="00D27803" w:rsidRPr="00CD4BB9">
          <w:rPr>
            <w:rStyle w:val="Hyperlink"/>
            <w:rFonts w:cs="Times New Roman"/>
            <w:noProof/>
          </w:rPr>
          <w:t>6.8.1. Emisije ugljikova dioksida i ponori</w:t>
        </w:r>
        <w:r w:rsidR="00D27803">
          <w:rPr>
            <w:noProof/>
            <w:webHidden/>
          </w:rPr>
          <w:tab/>
        </w:r>
        <w:r w:rsidR="00D27803">
          <w:rPr>
            <w:noProof/>
            <w:webHidden/>
          </w:rPr>
          <w:fldChar w:fldCharType="begin"/>
        </w:r>
        <w:r w:rsidR="00D27803">
          <w:rPr>
            <w:noProof/>
            <w:webHidden/>
          </w:rPr>
          <w:instrText xml:space="preserve"> PAGEREF _Toc69297772 \h </w:instrText>
        </w:r>
        <w:r w:rsidR="00D27803">
          <w:rPr>
            <w:noProof/>
            <w:webHidden/>
          </w:rPr>
        </w:r>
        <w:r w:rsidR="00D27803">
          <w:rPr>
            <w:noProof/>
            <w:webHidden/>
          </w:rPr>
          <w:fldChar w:fldCharType="separate"/>
        </w:r>
        <w:r w:rsidR="00D27803">
          <w:rPr>
            <w:noProof/>
            <w:webHidden/>
          </w:rPr>
          <w:t>51</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73" w:history="1">
        <w:r w:rsidR="00D27803" w:rsidRPr="00CD4BB9">
          <w:rPr>
            <w:rStyle w:val="Hyperlink"/>
            <w:rFonts w:cs="Times New Roman"/>
            <w:noProof/>
          </w:rPr>
          <w:t>6.8.2. Politike i mjere za niskougljični razvoj</w:t>
        </w:r>
        <w:r w:rsidR="00D27803">
          <w:rPr>
            <w:noProof/>
            <w:webHidden/>
          </w:rPr>
          <w:tab/>
        </w:r>
        <w:r w:rsidR="00D27803">
          <w:rPr>
            <w:noProof/>
            <w:webHidden/>
          </w:rPr>
          <w:fldChar w:fldCharType="begin"/>
        </w:r>
        <w:r w:rsidR="00D27803">
          <w:rPr>
            <w:noProof/>
            <w:webHidden/>
          </w:rPr>
          <w:instrText xml:space="preserve"> PAGEREF _Toc69297773 \h </w:instrText>
        </w:r>
        <w:r w:rsidR="00D27803">
          <w:rPr>
            <w:noProof/>
            <w:webHidden/>
          </w:rPr>
        </w:r>
        <w:r w:rsidR="00D27803">
          <w:rPr>
            <w:noProof/>
            <w:webHidden/>
          </w:rPr>
          <w:fldChar w:fldCharType="separate"/>
        </w:r>
        <w:r w:rsidR="00D27803">
          <w:rPr>
            <w:noProof/>
            <w:webHidden/>
          </w:rPr>
          <w:t>52</w:t>
        </w:r>
        <w:r w:rsidR="00D27803">
          <w:rPr>
            <w:noProof/>
            <w:webHidden/>
          </w:rPr>
          <w:fldChar w:fldCharType="end"/>
        </w:r>
      </w:hyperlink>
    </w:p>
    <w:p w:rsidR="00D27803" w:rsidRDefault="00BF1A86">
      <w:pPr>
        <w:pStyle w:val="TOC3"/>
        <w:rPr>
          <w:rFonts w:asciiTheme="minorHAnsi" w:eastAsiaTheme="minorEastAsia" w:hAnsiTheme="minorHAnsi" w:cstheme="minorBidi"/>
          <w:noProof/>
        </w:rPr>
      </w:pPr>
      <w:hyperlink w:anchor="_Toc69297774" w:history="1">
        <w:r w:rsidR="00D27803" w:rsidRPr="00CD4BB9">
          <w:rPr>
            <w:rStyle w:val="Hyperlink"/>
            <w:rFonts w:cs="Times New Roman"/>
            <w:noProof/>
          </w:rPr>
          <w:t>6.8.3. Smjernice za niskougljični razvoj</w:t>
        </w:r>
        <w:r w:rsidR="00D27803">
          <w:rPr>
            <w:noProof/>
            <w:webHidden/>
          </w:rPr>
          <w:tab/>
        </w:r>
        <w:r w:rsidR="00D27803">
          <w:rPr>
            <w:noProof/>
            <w:webHidden/>
          </w:rPr>
          <w:fldChar w:fldCharType="begin"/>
        </w:r>
        <w:r w:rsidR="00D27803">
          <w:rPr>
            <w:noProof/>
            <w:webHidden/>
          </w:rPr>
          <w:instrText xml:space="preserve"> PAGEREF _Toc69297774 \h </w:instrText>
        </w:r>
        <w:r w:rsidR="00D27803">
          <w:rPr>
            <w:noProof/>
            <w:webHidden/>
          </w:rPr>
        </w:r>
        <w:r w:rsidR="00D27803">
          <w:rPr>
            <w:noProof/>
            <w:webHidden/>
          </w:rPr>
          <w:fldChar w:fldCharType="separate"/>
        </w:r>
        <w:r w:rsidR="00D27803">
          <w:rPr>
            <w:noProof/>
            <w:webHidden/>
          </w:rPr>
          <w:t>54</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75" w:history="1">
        <w:r w:rsidR="00D27803" w:rsidRPr="00CD4BB9">
          <w:rPr>
            <w:rStyle w:val="Hyperlink"/>
            <w:rFonts w:cs="Times New Roman"/>
            <w:noProof/>
          </w:rPr>
          <w:t xml:space="preserve">7. </w:t>
        </w:r>
        <w:r w:rsidR="00D27803">
          <w:rPr>
            <w:rFonts w:asciiTheme="minorHAnsi" w:eastAsiaTheme="minorEastAsia" w:hAnsiTheme="minorHAnsi" w:cstheme="minorBidi"/>
            <w:noProof/>
            <w:szCs w:val="22"/>
          </w:rPr>
          <w:tab/>
        </w:r>
        <w:r w:rsidR="00D27803" w:rsidRPr="00CD4BB9">
          <w:rPr>
            <w:rStyle w:val="Hyperlink"/>
            <w:rFonts w:cs="Times New Roman"/>
            <w:noProof/>
          </w:rPr>
          <w:t>FINANCIRANJE</w:t>
        </w:r>
        <w:r w:rsidR="00D27803">
          <w:rPr>
            <w:noProof/>
            <w:webHidden/>
          </w:rPr>
          <w:tab/>
        </w:r>
        <w:r w:rsidR="00D27803">
          <w:rPr>
            <w:noProof/>
            <w:webHidden/>
          </w:rPr>
          <w:fldChar w:fldCharType="begin"/>
        </w:r>
        <w:r w:rsidR="00D27803">
          <w:rPr>
            <w:noProof/>
            <w:webHidden/>
          </w:rPr>
          <w:instrText xml:space="preserve"> PAGEREF _Toc69297775 \h </w:instrText>
        </w:r>
        <w:r w:rsidR="00D27803">
          <w:rPr>
            <w:noProof/>
            <w:webHidden/>
          </w:rPr>
        </w:r>
        <w:r w:rsidR="00D27803">
          <w:rPr>
            <w:noProof/>
            <w:webHidden/>
          </w:rPr>
          <w:fldChar w:fldCharType="separate"/>
        </w:r>
        <w:r w:rsidR="00D27803">
          <w:rPr>
            <w:noProof/>
            <w:webHidden/>
          </w:rPr>
          <w:t>55</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76" w:history="1">
        <w:r w:rsidR="00D27803" w:rsidRPr="00CD4BB9">
          <w:rPr>
            <w:rStyle w:val="Hyperlink"/>
            <w:rFonts w:cs="Times New Roman"/>
            <w:noProof/>
          </w:rPr>
          <w:t xml:space="preserve">7.1. </w:t>
        </w:r>
        <w:r w:rsidR="00D27803">
          <w:rPr>
            <w:rFonts w:asciiTheme="minorHAnsi" w:eastAsiaTheme="minorEastAsia" w:hAnsiTheme="minorHAnsi" w:cstheme="minorBidi"/>
            <w:noProof/>
          </w:rPr>
          <w:tab/>
        </w:r>
        <w:r w:rsidR="00D27803" w:rsidRPr="00CD4BB9">
          <w:rPr>
            <w:rStyle w:val="Hyperlink"/>
            <w:rFonts w:cs="Times New Roman"/>
            <w:noProof/>
          </w:rPr>
          <w:t>PROCJENA POTREBNIH ULAGANJA</w:t>
        </w:r>
        <w:r w:rsidR="00D27803">
          <w:rPr>
            <w:noProof/>
            <w:webHidden/>
          </w:rPr>
          <w:tab/>
        </w:r>
        <w:r w:rsidR="00D27803">
          <w:rPr>
            <w:noProof/>
            <w:webHidden/>
          </w:rPr>
          <w:fldChar w:fldCharType="begin"/>
        </w:r>
        <w:r w:rsidR="00D27803">
          <w:rPr>
            <w:noProof/>
            <w:webHidden/>
          </w:rPr>
          <w:instrText xml:space="preserve"> PAGEREF _Toc69297776 \h </w:instrText>
        </w:r>
        <w:r w:rsidR="00D27803">
          <w:rPr>
            <w:noProof/>
            <w:webHidden/>
          </w:rPr>
        </w:r>
        <w:r w:rsidR="00D27803">
          <w:rPr>
            <w:noProof/>
            <w:webHidden/>
          </w:rPr>
          <w:fldChar w:fldCharType="separate"/>
        </w:r>
        <w:r w:rsidR="00D27803">
          <w:rPr>
            <w:noProof/>
            <w:webHidden/>
          </w:rPr>
          <w:t>55</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77" w:history="1">
        <w:r w:rsidR="00D27803" w:rsidRPr="00CD4BB9">
          <w:rPr>
            <w:rStyle w:val="Hyperlink"/>
            <w:rFonts w:cs="Times New Roman"/>
            <w:noProof/>
          </w:rPr>
          <w:t xml:space="preserve">7.2. </w:t>
        </w:r>
        <w:r w:rsidR="00D27803">
          <w:rPr>
            <w:rFonts w:asciiTheme="minorHAnsi" w:eastAsiaTheme="minorEastAsia" w:hAnsiTheme="minorHAnsi" w:cstheme="minorBidi"/>
            <w:noProof/>
          </w:rPr>
          <w:tab/>
        </w:r>
        <w:r w:rsidR="00D27803" w:rsidRPr="00CD4BB9">
          <w:rPr>
            <w:rStyle w:val="Hyperlink"/>
            <w:rFonts w:cs="Times New Roman"/>
            <w:noProof/>
          </w:rPr>
          <w:t>IZVORI FINANCIRANJA</w:t>
        </w:r>
        <w:r w:rsidR="00D27803">
          <w:rPr>
            <w:noProof/>
            <w:webHidden/>
          </w:rPr>
          <w:tab/>
        </w:r>
        <w:r w:rsidR="00D27803">
          <w:rPr>
            <w:noProof/>
            <w:webHidden/>
          </w:rPr>
          <w:fldChar w:fldCharType="begin"/>
        </w:r>
        <w:r w:rsidR="00D27803">
          <w:rPr>
            <w:noProof/>
            <w:webHidden/>
          </w:rPr>
          <w:instrText xml:space="preserve"> PAGEREF _Toc69297777 \h </w:instrText>
        </w:r>
        <w:r w:rsidR="00D27803">
          <w:rPr>
            <w:noProof/>
            <w:webHidden/>
          </w:rPr>
        </w:r>
        <w:r w:rsidR="00D27803">
          <w:rPr>
            <w:noProof/>
            <w:webHidden/>
          </w:rPr>
          <w:fldChar w:fldCharType="separate"/>
        </w:r>
        <w:r w:rsidR="00D27803">
          <w:rPr>
            <w:noProof/>
            <w:webHidden/>
          </w:rPr>
          <w:t>56</w:t>
        </w:r>
        <w:r w:rsidR="00D27803">
          <w:rPr>
            <w:noProof/>
            <w:webHidden/>
          </w:rPr>
          <w:fldChar w:fldCharType="end"/>
        </w:r>
      </w:hyperlink>
    </w:p>
    <w:p w:rsidR="00D27803" w:rsidRDefault="00BF1A86">
      <w:pPr>
        <w:pStyle w:val="TOC3"/>
        <w:tabs>
          <w:tab w:val="left" w:pos="1400"/>
        </w:tabs>
        <w:rPr>
          <w:rFonts w:asciiTheme="minorHAnsi" w:eastAsiaTheme="minorEastAsia" w:hAnsiTheme="minorHAnsi" w:cstheme="minorBidi"/>
          <w:noProof/>
        </w:rPr>
      </w:pPr>
      <w:hyperlink w:anchor="_Toc69297778" w:history="1">
        <w:r w:rsidR="00D27803" w:rsidRPr="00CD4BB9">
          <w:rPr>
            <w:rStyle w:val="Hyperlink"/>
            <w:rFonts w:cs="Times New Roman"/>
            <w:noProof/>
          </w:rPr>
          <w:t xml:space="preserve">7.2.1. </w:t>
        </w:r>
        <w:r w:rsidR="00D27803">
          <w:rPr>
            <w:rFonts w:asciiTheme="minorHAnsi" w:eastAsiaTheme="minorEastAsia" w:hAnsiTheme="minorHAnsi" w:cstheme="minorBidi"/>
            <w:noProof/>
          </w:rPr>
          <w:tab/>
        </w:r>
        <w:r w:rsidR="00D27803" w:rsidRPr="00CD4BB9">
          <w:rPr>
            <w:rStyle w:val="Hyperlink"/>
            <w:rFonts w:cs="Times New Roman"/>
            <w:noProof/>
          </w:rPr>
          <w:t>Nove financijske perspektive Europskog zelenog plana</w:t>
        </w:r>
        <w:r w:rsidR="00D27803">
          <w:rPr>
            <w:noProof/>
            <w:webHidden/>
          </w:rPr>
          <w:tab/>
        </w:r>
        <w:r w:rsidR="00D27803">
          <w:rPr>
            <w:noProof/>
            <w:webHidden/>
          </w:rPr>
          <w:fldChar w:fldCharType="begin"/>
        </w:r>
        <w:r w:rsidR="00D27803">
          <w:rPr>
            <w:noProof/>
            <w:webHidden/>
          </w:rPr>
          <w:instrText xml:space="preserve"> PAGEREF _Toc69297778 \h </w:instrText>
        </w:r>
        <w:r w:rsidR="00D27803">
          <w:rPr>
            <w:noProof/>
            <w:webHidden/>
          </w:rPr>
        </w:r>
        <w:r w:rsidR="00D27803">
          <w:rPr>
            <w:noProof/>
            <w:webHidden/>
          </w:rPr>
          <w:fldChar w:fldCharType="separate"/>
        </w:r>
        <w:r w:rsidR="00D27803">
          <w:rPr>
            <w:noProof/>
            <w:webHidden/>
          </w:rPr>
          <w:t>61</w:t>
        </w:r>
        <w:r w:rsidR="00D27803">
          <w:rPr>
            <w:noProof/>
            <w:webHidden/>
          </w:rPr>
          <w:fldChar w:fldCharType="end"/>
        </w:r>
      </w:hyperlink>
    </w:p>
    <w:p w:rsidR="00D27803" w:rsidRDefault="00BF1A86">
      <w:pPr>
        <w:pStyle w:val="TOC3"/>
        <w:tabs>
          <w:tab w:val="left" w:pos="1600"/>
        </w:tabs>
        <w:rPr>
          <w:rFonts w:asciiTheme="minorHAnsi" w:eastAsiaTheme="minorEastAsia" w:hAnsiTheme="minorHAnsi" w:cstheme="minorBidi"/>
          <w:noProof/>
        </w:rPr>
      </w:pPr>
      <w:hyperlink w:anchor="_Toc69297779" w:history="1">
        <w:r w:rsidR="00D27803" w:rsidRPr="00CD4BB9">
          <w:rPr>
            <w:rStyle w:val="Hyperlink"/>
            <w:rFonts w:cs="Times New Roman"/>
            <w:noProof/>
          </w:rPr>
          <w:t xml:space="preserve">7.2.2. </w:t>
        </w:r>
        <w:r w:rsidR="00D27803">
          <w:rPr>
            <w:rFonts w:asciiTheme="minorHAnsi" w:eastAsiaTheme="minorEastAsia" w:hAnsiTheme="minorHAnsi" w:cstheme="minorBidi"/>
            <w:noProof/>
          </w:rPr>
          <w:tab/>
        </w:r>
        <w:r w:rsidR="00D27803" w:rsidRPr="00CD4BB9">
          <w:rPr>
            <w:rStyle w:val="Hyperlink"/>
            <w:rFonts w:cs="Times New Roman"/>
            <w:noProof/>
          </w:rPr>
          <w:t>Sredstva vezano za solidarnu pomoć državama vezano za posljedice COVID-19 pandemije</w:t>
        </w:r>
        <w:r w:rsidR="00D27803">
          <w:rPr>
            <w:noProof/>
            <w:webHidden/>
          </w:rPr>
          <w:tab/>
        </w:r>
        <w:r w:rsidR="00D27803">
          <w:rPr>
            <w:noProof/>
            <w:webHidden/>
          </w:rPr>
          <w:fldChar w:fldCharType="begin"/>
        </w:r>
        <w:r w:rsidR="00D27803">
          <w:rPr>
            <w:noProof/>
            <w:webHidden/>
          </w:rPr>
          <w:instrText xml:space="preserve"> PAGEREF _Toc69297779 \h </w:instrText>
        </w:r>
        <w:r w:rsidR="00D27803">
          <w:rPr>
            <w:noProof/>
            <w:webHidden/>
          </w:rPr>
        </w:r>
        <w:r w:rsidR="00D27803">
          <w:rPr>
            <w:noProof/>
            <w:webHidden/>
          </w:rPr>
          <w:fldChar w:fldCharType="separate"/>
        </w:r>
        <w:r w:rsidR="00D27803">
          <w:rPr>
            <w:noProof/>
            <w:webHidden/>
          </w:rPr>
          <w:t>63</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80" w:history="1">
        <w:r w:rsidR="00D27803" w:rsidRPr="00CD4BB9">
          <w:rPr>
            <w:rStyle w:val="Hyperlink"/>
            <w:rFonts w:cs="Times New Roman"/>
            <w:noProof/>
          </w:rPr>
          <w:t xml:space="preserve">8. </w:t>
        </w:r>
        <w:r w:rsidR="00D27803">
          <w:rPr>
            <w:rFonts w:asciiTheme="minorHAnsi" w:eastAsiaTheme="minorEastAsia" w:hAnsiTheme="minorHAnsi" w:cstheme="minorBidi"/>
            <w:noProof/>
            <w:szCs w:val="22"/>
          </w:rPr>
          <w:tab/>
        </w:r>
        <w:r w:rsidR="00D27803" w:rsidRPr="00CD4BB9">
          <w:rPr>
            <w:rStyle w:val="Hyperlink"/>
            <w:rFonts w:cs="Times New Roman"/>
            <w:noProof/>
          </w:rPr>
          <w:t>UTJECAJ SCENARIJA NA OKOLIŠ, GOSPODARSTVO I DRUŠTVO</w:t>
        </w:r>
        <w:r w:rsidR="00D27803">
          <w:rPr>
            <w:noProof/>
            <w:webHidden/>
          </w:rPr>
          <w:tab/>
        </w:r>
        <w:r w:rsidR="00D27803">
          <w:rPr>
            <w:noProof/>
            <w:webHidden/>
          </w:rPr>
          <w:fldChar w:fldCharType="begin"/>
        </w:r>
        <w:r w:rsidR="00D27803">
          <w:rPr>
            <w:noProof/>
            <w:webHidden/>
          </w:rPr>
          <w:instrText xml:space="preserve"> PAGEREF _Toc69297780 \h </w:instrText>
        </w:r>
        <w:r w:rsidR="00D27803">
          <w:rPr>
            <w:noProof/>
            <w:webHidden/>
          </w:rPr>
        </w:r>
        <w:r w:rsidR="00D27803">
          <w:rPr>
            <w:noProof/>
            <w:webHidden/>
          </w:rPr>
          <w:fldChar w:fldCharType="separate"/>
        </w:r>
        <w:r w:rsidR="00D27803">
          <w:rPr>
            <w:noProof/>
            <w:webHidden/>
          </w:rPr>
          <w:t>63</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81" w:history="1">
        <w:r w:rsidR="00D27803" w:rsidRPr="00CD4BB9">
          <w:rPr>
            <w:rStyle w:val="Hyperlink"/>
            <w:rFonts w:cs="Times New Roman"/>
            <w:noProof/>
          </w:rPr>
          <w:t xml:space="preserve">8.1. </w:t>
        </w:r>
        <w:r w:rsidR="00D27803">
          <w:rPr>
            <w:rFonts w:asciiTheme="minorHAnsi" w:eastAsiaTheme="minorEastAsia" w:hAnsiTheme="minorHAnsi" w:cstheme="minorBidi"/>
            <w:noProof/>
          </w:rPr>
          <w:tab/>
        </w:r>
        <w:r w:rsidR="00D27803" w:rsidRPr="00CD4BB9">
          <w:rPr>
            <w:rStyle w:val="Hyperlink"/>
            <w:rFonts w:cs="Times New Roman"/>
            <w:noProof/>
          </w:rPr>
          <w:t>UTJECAJ NA OKOLIŠ I PRIRODU</w:t>
        </w:r>
        <w:r w:rsidR="00D27803">
          <w:rPr>
            <w:noProof/>
            <w:webHidden/>
          </w:rPr>
          <w:tab/>
        </w:r>
        <w:r w:rsidR="00D27803">
          <w:rPr>
            <w:noProof/>
            <w:webHidden/>
          </w:rPr>
          <w:fldChar w:fldCharType="begin"/>
        </w:r>
        <w:r w:rsidR="00D27803">
          <w:rPr>
            <w:noProof/>
            <w:webHidden/>
          </w:rPr>
          <w:instrText xml:space="preserve"> PAGEREF _Toc69297781 \h </w:instrText>
        </w:r>
        <w:r w:rsidR="00D27803">
          <w:rPr>
            <w:noProof/>
            <w:webHidden/>
          </w:rPr>
        </w:r>
        <w:r w:rsidR="00D27803">
          <w:rPr>
            <w:noProof/>
            <w:webHidden/>
          </w:rPr>
          <w:fldChar w:fldCharType="separate"/>
        </w:r>
        <w:r w:rsidR="00D27803">
          <w:rPr>
            <w:noProof/>
            <w:webHidden/>
          </w:rPr>
          <w:t>63</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82" w:history="1">
        <w:r w:rsidR="00D27803" w:rsidRPr="00CD4BB9">
          <w:rPr>
            <w:rStyle w:val="Hyperlink"/>
            <w:rFonts w:cs="Times New Roman"/>
            <w:noProof/>
          </w:rPr>
          <w:t>8.2.</w:t>
        </w:r>
        <w:r w:rsidR="00D27803">
          <w:rPr>
            <w:rFonts w:asciiTheme="minorHAnsi" w:eastAsiaTheme="minorEastAsia" w:hAnsiTheme="minorHAnsi" w:cstheme="minorBidi"/>
            <w:noProof/>
          </w:rPr>
          <w:tab/>
        </w:r>
        <w:r w:rsidR="00D27803" w:rsidRPr="00CD4BB9">
          <w:rPr>
            <w:rStyle w:val="Hyperlink"/>
            <w:rFonts w:cs="Times New Roman"/>
            <w:noProof/>
          </w:rPr>
          <w:t>UTJECAJ NA GOSPODARSTVO</w:t>
        </w:r>
        <w:r w:rsidR="00D27803">
          <w:rPr>
            <w:noProof/>
            <w:webHidden/>
          </w:rPr>
          <w:tab/>
        </w:r>
        <w:r w:rsidR="00D27803">
          <w:rPr>
            <w:noProof/>
            <w:webHidden/>
          </w:rPr>
          <w:fldChar w:fldCharType="begin"/>
        </w:r>
        <w:r w:rsidR="00D27803">
          <w:rPr>
            <w:noProof/>
            <w:webHidden/>
          </w:rPr>
          <w:instrText xml:space="preserve"> PAGEREF _Toc69297782 \h </w:instrText>
        </w:r>
        <w:r w:rsidR="00D27803">
          <w:rPr>
            <w:noProof/>
            <w:webHidden/>
          </w:rPr>
        </w:r>
        <w:r w:rsidR="00D27803">
          <w:rPr>
            <w:noProof/>
            <w:webHidden/>
          </w:rPr>
          <w:fldChar w:fldCharType="separate"/>
        </w:r>
        <w:r w:rsidR="00D27803">
          <w:rPr>
            <w:noProof/>
            <w:webHidden/>
          </w:rPr>
          <w:t>64</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83" w:history="1">
        <w:r w:rsidR="00D27803" w:rsidRPr="00CD4BB9">
          <w:rPr>
            <w:rStyle w:val="Hyperlink"/>
            <w:rFonts w:cs="Times New Roman"/>
            <w:noProof/>
          </w:rPr>
          <w:t>8.3.</w:t>
        </w:r>
        <w:r w:rsidR="00D27803">
          <w:rPr>
            <w:rFonts w:asciiTheme="minorHAnsi" w:eastAsiaTheme="minorEastAsia" w:hAnsiTheme="minorHAnsi" w:cstheme="minorBidi"/>
            <w:noProof/>
          </w:rPr>
          <w:tab/>
        </w:r>
        <w:r w:rsidR="00D27803" w:rsidRPr="00CD4BB9">
          <w:rPr>
            <w:rStyle w:val="Hyperlink"/>
            <w:rFonts w:cs="Times New Roman"/>
            <w:noProof/>
          </w:rPr>
          <w:t>UTJECAJ NA DRUŠTVO</w:t>
        </w:r>
        <w:r w:rsidR="00D27803">
          <w:rPr>
            <w:noProof/>
            <w:webHidden/>
          </w:rPr>
          <w:tab/>
        </w:r>
        <w:r w:rsidR="00D27803">
          <w:rPr>
            <w:noProof/>
            <w:webHidden/>
          </w:rPr>
          <w:fldChar w:fldCharType="begin"/>
        </w:r>
        <w:r w:rsidR="00D27803">
          <w:rPr>
            <w:noProof/>
            <w:webHidden/>
          </w:rPr>
          <w:instrText xml:space="preserve"> PAGEREF _Toc69297783 \h </w:instrText>
        </w:r>
        <w:r w:rsidR="00D27803">
          <w:rPr>
            <w:noProof/>
            <w:webHidden/>
          </w:rPr>
        </w:r>
        <w:r w:rsidR="00D27803">
          <w:rPr>
            <w:noProof/>
            <w:webHidden/>
          </w:rPr>
          <w:fldChar w:fldCharType="separate"/>
        </w:r>
        <w:r w:rsidR="00D27803">
          <w:rPr>
            <w:noProof/>
            <w:webHidden/>
          </w:rPr>
          <w:t>65</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84" w:history="1">
        <w:r w:rsidR="00D27803" w:rsidRPr="00CD4BB9">
          <w:rPr>
            <w:rStyle w:val="Hyperlink"/>
            <w:rFonts w:cs="Times New Roman"/>
            <w:noProof/>
          </w:rPr>
          <w:t>8.4.</w:t>
        </w:r>
        <w:r w:rsidR="00D27803">
          <w:rPr>
            <w:rFonts w:asciiTheme="minorHAnsi" w:eastAsiaTheme="minorEastAsia" w:hAnsiTheme="minorHAnsi" w:cstheme="minorBidi"/>
            <w:noProof/>
          </w:rPr>
          <w:tab/>
        </w:r>
        <w:r w:rsidR="00D27803" w:rsidRPr="00CD4BB9">
          <w:rPr>
            <w:rStyle w:val="Hyperlink"/>
            <w:rFonts w:cs="Times New Roman"/>
            <w:noProof/>
          </w:rPr>
          <w:t>PROCJENA KORISTI NISKOUGLJIČNOG RAZVOJA</w:t>
        </w:r>
        <w:r w:rsidR="00D27803">
          <w:rPr>
            <w:noProof/>
            <w:webHidden/>
          </w:rPr>
          <w:tab/>
        </w:r>
        <w:r w:rsidR="00D27803">
          <w:rPr>
            <w:noProof/>
            <w:webHidden/>
          </w:rPr>
          <w:fldChar w:fldCharType="begin"/>
        </w:r>
        <w:r w:rsidR="00D27803">
          <w:rPr>
            <w:noProof/>
            <w:webHidden/>
          </w:rPr>
          <w:instrText xml:space="preserve"> PAGEREF _Toc69297784 \h </w:instrText>
        </w:r>
        <w:r w:rsidR="00D27803">
          <w:rPr>
            <w:noProof/>
            <w:webHidden/>
          </w:rPr>
        </w:r>
        <w:r w:rsidR="00D27803">
          <w:rPr>
            <w:noProof/>
            <w:webHidden/>
          </w:rPr>
          <w:fldChar w:fldCharType="separate"/>
        </w:r>
        <w:r w:rsidR="00D27803">
          <w:rPr>
            <w:noProof/>
            <w:webHidden/>
          </w:rPr>
          <w:t>66</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85" w:history="1">
        <w:r w:rsidR="00D27803" w:rsidRPr="00CD4BB9">
          <w:rPr>
            <w:rStyle w:val="Hyperlink"/>
            <w:rFonts w:cs="Times New Roman"/>
            <w:noProof/>
          </w:rPr>
          <w:t xml:space="preserve">9. </w:t>
        </w:r>
        <w:r w:rsidR="00D27803">
          <w:rPr>
            <w:rFonts w:asciiTheme="minorHAnsi" w:eastAsiaTheme="minorEastAsia" w:hAnsiTheme="minorHAnsi" w:cstheme="minorBidi"/>
            <w:noProof/>
            <w:szCs w:val="22"/>
          </w:rPr>
          <w:tab/>
        </w:r>
        <w:r w:rsidR="00D27803" w:rsidRPr="00CD4BB9">
          <w:rPr>
            <w:rStyle w:val="Hyperlink"/>
            <w:rFonts w:cs="Times New Roman"/>
            <w:noProof/>
          </w:rPr>
          <w:t>OBRAZOVANJE I AKTIVNO UKLJUČIVANJE GRAĐANA U NISKOUGLJIČNI RAZVOJ</w:t>
        </w:r>
        <w:r w:rsidR="00D27803">
          <w:rPr>
            <w:noProof/>
            <w:webHidden/>
          </w:rPr>
          <w:tab/>
        </w:r>
        <w:r w:rsidR="00D27803">
          <w:rPr>
            <w:noProof/>
            <w:webHidden/>
          </w:rPr>
          <w:fldChar w:fldCharType="begin"/>
        </w:r>
        <w:r w:rsidR="00D27803">
          <w:rPr>
            <w:noProof/>
            <w:webHidden/>
          </w:rPr>
          <w:instrText xml:space="preserve"> PAGEREF _Toc69297785 \h </w:instrText>
        </w:r>
        <w:r w:rsidR="00D27803">
          <w:rPr>
            <w:noProof/>
            <w:webHidden/>
          </w:rPr>
        </w:r>
        <w:r w:rsidR="00D27803">
          <w:rPr>
            <w:noProof/>
            <w:webHidden/>
          </w:rPr>
          <w:fldChar w:fldCharType="separate"/>
        </w:r>
        <w:r w:rsidR="00D27803">
          <w:rPr>
            <w:noProof/>
            <w:webHidden/>
          </w:rPr>
          <w:t>67</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86" w:history="1">
        <w:r w:rsidR="00D27803" w:rsidRPr="00CD4BB9">
          <w:rPr>
            <w:rStyle w:val="Hyperlink"/>
            <w:rFonts w:cs="Times New Roman"/>
            <w:noProof/>
          </w:rPr>
          <w:t>10.</w:t>
        </w:r>
        <w:r w:rsidR="00D27803">
          <w:rPr>
            <w:rFonts w:asciiTheme="minorHAnsi" w:eastAsiaTheme="minorEastAsia" w:hAnsiTheme="minorHAnsi" w:cstheme="minorBidi"/>
            <w:noProof/>
            <w:szCs w:val="22"/>
          </w:rPr>
          <w:tab/>
        </w:r>
        <w:r w:rsidR="00D27803" w:rsidRPr="00CD4BB9">
          <w:rPr>
            <w:rStyle w:val="Hyperlink"/>
            <w:rFonts w:cs="Times New Roman"/>
            <w:noProof/>
          </w:rPr>
          <w:t>ISTRAŽIVANJA, TEHNOLOŠKI RAZVOJ I INOVACIJE</w:t>
        </w:r>
        <w:r w:rsidR="00D27803">
          <w:rPr>
            <w:noProof/>
            <w:webHidden/>
          </w:rPr>
          <w:tab/>
        </w:r>
        <w:r w:rsidR="00D27803">
          <w:rPr>
            <w:noProof/>
            <w:webHidden/>
          </w:rPr>
          <w:fldChar w:fldCharType="begin"/>
        </w:r>
        <w:r w:rsidR="00D27803">
          <w:rPr>
            <w:noProof/>
            <w:webHidden/>
          </w:rPr>
          <w:instrText xml:space="preserve"> PAGEREF _Toc69297786 \h </w:instrText>
        </w:r>
        <w:r w:rsidR="00D27803">
          <w:rPr>
            <w:noProof/>
            <w:webHidden/>
          </w:rPr>
        </w:r>
        <w:r w:rsidR="00D27803">
          <w:rPr>
            <w:noProof/>
            <w:webHidden/>
          </w:rPr>
          <w:fldChar w:fldCharType="separate"/>
        </w:r>
        <w:r w:rsidR="00D27803">
          <w:rPr>
            <w:noProof/>
            <w:webHidden/>
          </w:rPr>
          <w:t>68</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87" w:history="1">
        <w:r w:rsidR="00D27803" w:rsidRPr="00CD4BB9">
          <w:rPr>
            <w:rStyle w:val="Hyperlink"/>
            <w:rFonts w:cs="Times New Roman"/>
            <w:noProof/>
          </w:rPr>
          <w:t>11.</w:t>
        </w:r>
        <w:r w:rsidR="00D27803">
          <w:rPr>
            <w:rFonts w:asciiTheme="minorHAnsi" w:eastAsiaTheme="minorEastAsia" w:hAnsiTheme="minorHAnsi" w:cstheme="minorBidi"/>
            <w:noProof/>
            <w:szCs w:val="22"/>
          </w:rPr>
          <w:tab/>
        </w:r>
        <w:r w:rsidR="00D27803" w:rsidRPr="00CD4BB9">
          <w:rPr>
            <w:rStyle w:val="Hyperlink"/>
            <w:rFonts w:cs="Times New Roman"/>
            <w:noProof/>
          </w:rPr>
          <w:t>NISKOUGLJIČNI RAZVOJ NA LOKALNOJ I REGIONALNOJ RAZINI</w:t>
        </w:r>
        <w:r w:rsidR="00D27803">
          <w:rPr>
            <w:noProof/>
            <w:webHidden/>
          </w:rPr>
          <w:tab/>
        </w:r>
        <w:r w:rsidR="00D27803">
          <w:rPr>
            <w:noProof/>
            <w:webHidden/>
          </w:rPr>
          <w:fldChar w:fldCharType="begin"/>
        </w:r>
        <w:r w:rsidR="00D27803">
          <w:rPr>
            <w:noProof/>
            <w:webHidden/>
          </w:rPr>
          <w:instrText xml:space="preserve"> PAGEREF _Toc69297787 \h </w:instrText>
        </w:r>
        <w:r w:rsidR="00D27803">
          <w:rPr>
            <w:noProof/>
            <w:webHidden/>
          </w:rPr>
        </w:r>
        <w:r w:rsidR="00D27803">
          <w:rPr>
            <w:noProof/>
            <w:webHidden/>
          </w:rPr>
          <w:fldChar w:fldCharType="separate"/>
        </w:r>
        <w:r w:rsidR="00D27803">
          <w:rPr>
            <w:noProof/>
            <w:webHidden/>
          </w:rPr>
          <w:t>70</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88" w:history="1">
        <w:r w:rsidR="00D27803" w:rsidRPr="00CD4BB9">
          <w:rPr>
            <w:rStyle w:val="Hyperlink"/>
            <w:rFonts w:cs="Times New Roman"/>
            <w:noProof/>
          </w:rPr>
          <w:t>12.</w:t>
        </w:r>
        <w:r w:rsidR="00D27803">
          <w:rPr>
            <w:rFonts w:asciiTheme="minorHAnsi" w:eastAsiaTheme="minorEastAsia" w:hAnsiTheme="minorHAnsi" w:cstheme="minorBidi"/>
            <w:noProof/>
            <w:szCs w:val="22"/>
          </w:rPr>
          <w:tab/>
        </w:r>
        <w:r w:rsidR="00D27803" w:rsidRPr="00CD4BB9">
          <w:rPr>
            <w:rStyle w:val="Hyperlink"/>
            <w:rFonts w:cs="Times New Roman"/>
            <w:noProof/>
          </w:rPr>
          <w:t>NISKOUGLJIČNO GOSPODARSTVO I OBRASCI POSLOVANJA</w:t>
        </w:r>
        <w:r w:rsidR="00D27803">
          <w:rPr>
            <w:noProof/>
            <w:webHidden/>
          </w:rPr>
          <w:tab/>
        </w:r>
        <w:r w:rsidR="00D27803">
          <w:rPr>
            <w:noProof/>
            <w:webHidden/>
          </w:rPr>
          <w:fldChar w:fldCharType="begin"/>
        </w:r>
        <w:r w:rsidR="00D27803">
          <w:rPr>
            <w:noProof/>
            <w:webHidden/>
          </w:rPr>
          <w:instrText xml:space="preserve"> PAGEREF _Toc69297788 \h </w:instrText>
        </w:r>
        <w:r w:rsidR="00D27803">
          <w:rPr>
            <w:noProof/>
            <w:webHidden/>
          </w:rPr>
        </w:r>
        <w:r w:rsidR="00D27803">
          <w:rPr>
            <w:noProof/>
            <w:webHidden/>
          </w:rPr>
          <w:fldChar w:fldCharType="separate"/>
        </w:r>
        <w:r w:rsidR="00D27803">
          <w:rPr>
            <w:noProof/>
            <w:webHidden/>
          </w:rPr>
          <w:t>73</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89" w:history="1">
        <w:r w:rsidR="00D27803" w:rsidRPr="00CD4BB9">
          <w:rPr>
            <w:rStyle w:val="Hyperlink"/>
            <w:rFonts w:cs="Times New Roman"/>
            <w:noProof/>
          </w:rPr>
          <w:t>13.</w:t>
        </w:r>
        <w:r w:rsidR="00D27803">
          <w:rPr>
            <w:rFonts w:asciiTheme="minorHAnsi" w:eastAsiaTheme="minorEastAsia" w:hAnsiTheme="minorHAnsi" w:cstheme="minorBidi"/>
            <w:noProof/>
            <w:szCs w:val="22"/>
          </w:rPr>
          <w:tab/>
        </w:r>
        <w:r w:rsidR="00D27803" w:rsidRPr="00CD4BB9">
          <w:rPr>
            <w:rStyle w:val="Hyperlink"/>
            <w:rFonts w:cs="Times New Roman"/>
            <w:noProof/>
          </w:rPr>
          <w:t>MEĐUNARODNA SURADNJA</w:t>
        </w:r>
        <w:r w:rsidR="00D27803">
          <w:rPr>
            <w:noProof/>
            <w:webHidden/>
          </w:rPr>
          <w:tab/>
        </w:r>
        <w:r w:rsidR="00D27803">
          <w:rPr>
            <w:noProof/>
            <w:webHidden/>
          </w:rPr>
          <w:fldChar w:fldCharType="begin"/>
        </w:r>
        <w:r w:rsidR="00D27803">
          <w:rPr>
            <w:noProof/>
            <w:webHidden/>
          </w:rPr>
          <w:instrText xml:space="preserve"> PAGEREF _Toc69297789 \h </w:instrText>
        </w:r>
        <w:r w:rsidR="00D27803">
          <w:rPr>
            <w:noProof/>
            <w:webHidden/>
          </w:rPr>
        </w:r>
        <w:r w:rsidR="00D27803">
          <w:rPr>
            <w:noProof/>
            <w:webHidden/>
          </w:rPr>
          <w:fldChar w:fldCharType="separate"/>
        </w:r>
        <w:r w:rsidR="00D27803">
          <w:rPr>
            <w:noProof/>
            <w:webHidden/>
          </w:rPr>
          <w:t>75</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90" w:history="1">
        <w:r w:rsidR="00D27803" w:rsidRPr="00CD4BB9">
          <w:rPr>
            <w:rStyle w:val="Hyperlink"/>
            <w:rFonts w:cs="Times New Roman"/>
            <w:noProof/>
          </w:rPr>
          <w:t>14.</w:t>
        </w:r>
        <w:r w:rsidR="00D27803">
          <w:rPr>
            <w:rFonts w:asciiTheme="minorHAnsi" w:eastAsiaTheme="minorEastAsia" w:hAnsiTheme="minorHAnsi" w:cstheme="minorBidi"/>
            <w:noProof/>
            <w:szCs w:val="22"/>
          </w:rPr>
          <w:tab/>
        </w:r>
        <w:r w:rsidR="00D27803" w:rsidRPr="00CD4BB9">
          <w:rPr>
            <w:rStyle w:val="Hyperlink"/>
            <w:rFonts w:cs="Times New Roman"/>
            <w:noProof/>
          </w:rPr>
          <w:t>PROVEDBA NISKOUGLJIČNE STRATEGIJE</w:t>
        </w:r>
        <w:r w:rsidR="00D27803">
          <w:rPr>
            <w:noProof/>
            <w:webHidden/>
          </w:rPr>
          <w:tab/>
        </w:r>
        <w:r w:rsidR="00D27803">
          <w:rPr>
            <w:noProof/>
            <w:webHidden/>
          </w:rPr>
          <w:fldChar w:fldCharType="begin"/>
        </w:r>
        <w:r w:rsidR="00D27803">
          <w:rPr>
            <w:noProof/>
            <w:webHidden/>
          </w:rPr>
          <w:instrText xml:space="preserve"> PAGEREF _Toc69297790 \h </w:instrText>
        </w:r>
        <w:r w:rsidR="00D27803">
          <w:rPr>
            <w:noProof/>
            <w:webHidden/>
          </w:rPr>
        </w:r>
        <w:r w:rsidR="00D27803">
          <w:rPr>
            <w:noProof/>
            <w:webHidden/>
          </w:rPr>
          <w:fldChar w:fldCharType="separate"/>
        </w:r>
        <w:r w:rsidR="00D27803">
          <w:rPr>
            <w:noProof/>
            <w:webHidden/>
          </w:rPr>
          <w:t>75</w:t>
        </w:r>
        <w:r w:rsidR="00D27803">
          <w:rPr>
            <w:noProof/>
            <w:webHidden/>
          </w:rPr>
          <w:fldChar w:fldCharType="end"/>
        </w:r>
      </w:hyperlink>
    </w:p>
    <w:p w:rsidR="00D27803" w:rsidRDefault="00BF1A86">
      <w:pPr>
        <w:pStyle w:val="TOC2"/>
        <w:rPr>
          <w:rFonts w:asciiTheme="minorHAnsi" w:eastAsiaTheme="minorEastAsia" w:hAnsiTheme="minorHAnsi" w:cstheme="minorBidi"/>
          <w:noProof/>
        </w:rPr>
      </w:pPr>
      <w:hyperlink w:anchor="_Toc69297791" w:history="1">
        <w:r w:rsidR="00D27803" w:rsidRPr="00CD4BB9">
          <w:rPr>
            <w:rStyle w:val="Hyperlink"/>
            <w:rFonts w:cs="Times New Roman"/>
            <w:noProof/>
          </w:rPr>
          <w:t>14.1. INSTITUCIONALNI OKVIR ZA PROVOĐENJE NISKOUGLJIČNE STRATEGIJE</w:t>
        </w:r>
        <w:r w:rsidR="00D27803">
          <w:rPr>
            <w:noProof/>
            <w:webHidden/>
          </w:rPr>
          <w:tab/>
        </w:r>
        <w:r w:rsidR="00D27803">
          <w:rPr>
            <w:noProof/>
            <w:webHidden/>
          </w:rPr>
          <w:fldChar w:fldCharType="begin"/>
        </w:r>
        <w:r w:rsidR="00D27803">
          <w:rPr>
            <w:noProof/>
            <w:webHidden/>
          </w:rPr>
          <w:instrText xml:space="preserve"> PAGEREF _Toc69297791 \h </w:instrText>
        </w:r>
        <w:r w:rsidR="00D27803">
          <w:rPr>
            <w:noProof/>
            <w:webHidden/>
          </w:rPr>
        </w:r>
        <w:r w:rsidR="00D27803">
          <w:rPr>
            <w:noProof/>
            <w:webHidden/>
          </w:rPr>
          <w:fldChar w:fldCharType="separate"/>
        </w:r>
        <w:r w:rsidR="00D27803">
          <w:rPr>
            <w:noProof/>
            <w:webHidden/>
          </w:rPr>
          <w:t>75</w:t>
        </w:r>
        <w:r w:rsidR="00D27803">
          <w:rPr>
            <w:noProof/>
            <w:webHidden/>
          </w:rPr>
          <w:fldChar w:fldCharType="end"/>
        </w:r>
      </w:hyperlink>
    </w:p>
    <w:p w:rsidR="00D27803" w:rsidRDefault="00BF1A86">
      <w:pPr>
        <w:pStyle w:val="TOC2"/>
        <w:rPr>
          <w:rFonts w:asciiTheme="minorHAnsi" w:eastAsiaTheme="minorEastAsia" w:hAnsiTheme="minorHAnsi" w:cstheme="minorBidi"/>
          <w:noProof/>
        </w:rPr>
      </w:pPr>
      <w:hyperlink w:anchor="_Toc69297792" w:history="1">
        <w:r w:rsidR="00D27803" w:rsidRPr="00CD4BB9">
          <w:rPr>
            <w:rStyle w:val="Hyperlink"/>
            <w:rFonts w:cs="Times New Roman"/>
            <w:noProof/>
          </w:rPr>
          <w:t>14.2. POKAZATELJI PROVEDBE NISKOUGLJIČNE STRATEGIJE</w:t>
        </w:r>
        <w:r w:rsidR="00D27803">
          <w:rPr>
            <w:noProof/>
            <w:webHidden/>
          </w:rPr>
          <w:tab/>
        </w:r>
        <w:r w:rsidR="00D27803">
          <w:rPr>
            <w:noProof/>
            <w:webHidden/>
          </w:rPr>
          <w:fldChar w:fldCharType="begin"/>
        </w:r>
        <w:r w:rsidR="00D27803">
          <w:rPr>
            <w:noProof/>
            <w:webHidden/>
          </w:rPr>
          <w:instrText xml:space="preserve"> PAGEREF _Toc69297792 \h </w:instrText>
        </w:r>
        <w:r w:rsidR="00D27803">
          <w:rPr>
            <w:noProof/>
            <w:webHidden/>
          </w:rPr>
        </w:r>
        <w:r w:rsidR="00D27803">
          <w:rPr>
            <w:noProof/>
            <w:webHidden/>
          </w:rPr>
          <w:fldChar w:fldCharType="separate"/>
        </w:r>
        <w:r w:rsidR="00D27803">
          <w:rPr>
            <w:noProof/>
            <w:webHidden/>
          </w:rPr>
          <w:t>77</w:t>
        </w:r>
        <w:r w:rsidR="00D27803">
          <w:rPr>
            <w:noProof/>
            <w:webHidden/>
          </w:rPr>
          <w:fldChar w:fldCharType="end"/>
        </w:r>
      </w:hyperlink>
    </w:p>
    <w:p w:rsidR="00D27803" w:rsidRDefault="00BF1A86">
      <w:pPr>
        <w:pStyle w:val="TOC2"/>
        <w:rPr>
          <w:rFonts w:asciiTheme="minorHAnsi" w:eastAsiaTheme="minorEastAsia" w:hAnsiTheme="minorHAnsi" w:cstheme="minorBidi"/>
          <w:noProof/>
        </w:rPr>
      </w:pPr>
      <w:hyperlink w:anchor="_Toc69297793" w:history="1">
        <w:r w:rsidR="00D27803" w:rsidRPr="00CD4BB9">
          <w:rPr>
            <w:rStyle w:val="Hyperlink"/>
            <w:rFonts w:cs="Times New Roman"/>
            <w:noProof/>
          </w:rPr>
          <w:t>14.3. PRAĆENJE, IZVJEŠTAVANJE I VERIFIKACIJA</w:t>
        </w:r>
        <w:r w:rsidR="00D27803">
          <w:rPr>
            <w:noProof/>
            <w:webHidden/>
          </w:rPr>
          <w:tab/>
        </w:r>
        <w:r w:rsidR="00D27803">
          <w:rPr>
            <w:noProof/>
            <w:webHidden/>
          </w:rPr>
          <w:fldChar w:fldCharType="begin"/>
        </w:r>
        <w:r w:rsidR="00D27803">
          <w:rPr>
            <w:noProof/>
            <w:webHidden/>
          </w:rPr>
          <w:instrText xml:space="preserve"> PAGEREF _Toc69297793 \h </w:instrText>
        </w:r>
        <w:r w:rsidR="00D27803">
          <w:rPr>
            <w:noProof/>
            <w:webHidden/>
          </w:rPr>
        </w:r>
        <w:r w:rsidR="00D27803">
          <w:rPr>
            <w:noProof/>
            <w:webHidden/>
          </w:rPr>
          <w:fldChar w:fldCharType="separate"/>
        </w:r>
        <w:r w:rsidR="00D27803">
          <w:rPr>
            <w:noProof/>
            <w:webHidden/>
          </w:rPr>
          <w:t>78</w:t>
        </w:r>
        <w:r w:rsidR="00D27803">
          <w:rPr>
            <w:noProof/>
            <w:webHidden/>
          </w:rPr>
          <w:fldChar w:fldCharType="end"/>
        </w:r>
      </w:hyperlink>
    </w:p>
    <w:p w:rsidR="00D27803" w:rsidRDefault="00BF1A86">
      <w:pPr>
        <w:pStyle w:val="TOC2"/>
        <w:rPr>
          <w:rFonts w:asciiTheme="minorHAnsi" w:eastAsiaTheme="minorEastAsia" w:hAnsiTheme="minorHAnsi" w:cstheme="minorBidi"/>
          <w:noProof/>
        </w:rPr>
      </w:pPr>
      <w:hyperlink w:anchor="_Toc69297794" w:history="1">
        <w:r w:rsidR="00D27803" w:rsidRPr="00CD4BB9">
          <w:rPr>
            <w:rStyle w:val="Hyperlink"/>
            <w:rFonts w:cs="Times New Roman"/>
            <w:noProof/>
          </w:rPr>
          <w:t>14.4. STRATEŠKA PROCJENA UTJECAJA NISKOUGLJIČNE STRATEGIJE NA OKOLIŠ</w:t>
        </w:r>
        <w:r w:rsidR="00D27803">
          <w:rPr>
            <w:noProof/>
            <w:webHidden/>
          </w:rPr>
          <w:tab/>
        </w:r>
        <w:r w:rsidR="00D27803">
          <w:rPr>
            <w:noProof/>
            <w:webHidden/>
          </w:rPr>
          <w:fldChar w:fldCharType="begin"/>
        </w:r>
        <w:r w:rsidR="00D27803">
          <w:rPr>
            <w:noProof/>
            <w:webHidden/>
          </w:rPr>
          <w:instrText xml:space="preserve"> PAGEREF _Toc69297794 \h </w:instrText>
        </w:r>
        <w:r w:rsidR="00D27803">
          <w:rPr>
            <w:noProof/>
            <w:webHidden/>
          </w:rPr>
        </w:r>
        <w:r w:rsidR="00D27803">
          <w:rPr>
            <w:noProof/>
            <w:webHidden/>
          </w:rPr>
          <w:fldChar w:fldCharType="separate"/>
        </w:r>
        <w:r w:rsidR="00D27803">
          <w:rPr>
            <w:noProof/>
            <w:webHidden/>
          </w:rPr>
          <w:t>79</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95" w:history="1">
        <w:r w:rsidR="00D27803" w:rsidRPr="00CD4BB9">
          <w:rPr>
            <w:rStyle w:val="Hyperlink"/>
            <w:rFonts w:cs="Times New Roman"/>
            <w:noProof/>
          </w:rPr>
          <w:t>15.</w:t>
        </w:r>
        <w:r w:rsidR="00D27803">
          <w:rPr>
            <w:rFonts w:asciiTheme="minorHAnsi" w:eastAsiaTheme="minorEastAsia" w:hAnsiTheme="minorHAnsi" w:cstheme="minorBidi"/>
            <w:noProof/>
            <w:szCs w:val="22"/>
          </w:rPr>
          <w:tab/>
        </w:r>
        <w:r w:rsidR="00D27803" w:rsidRPr="00CD4BB9">
          <w:rPr>
            <w:rStyle w:val="Hyperlink"/>
            <w:rFonts w:cs="Times New Roman"/>
            <w:noProof/>
          </w:rPr>
          <w:t>INFORMACIJA O SCENARIJU KLIMATSKE NEUTRALNOSTI</w:t>
        </w:r>
        <w:r w:rsidR="00D27803">
          <w:rPr>
            <w:noProof/>
            <w:webHidden/>
          </w:rPr>
          <w:tab/>
        </w:r>
        <w:r w:rsidR="00D27803">
          <w:rPr>
            <w:noProof/>
            <w:webHidden/>
          </w:rPr>
          <w:fldChar w:fldCharType="begin"/>
        </w:r>
        <w:r w:rsidR="00D27803">
          <w:rPr>
            <w:noProof/>
            <w:webHidden/>
          </w:rPr>
          <w:instrText xml:space="preserve"> PAGEREF _Toc69297795 \h </w:instrText>
        </w:r>
        <w:r w:rsidR="00D27803">
          <w:rPr>
            <w:noProof/>
            <w:webHidden/>
          </w:rPr>
        </w:r>
        <w:r w:rsidR="00D27803">
          <w:rPr>
            <w:noProof/>
            <w:webHidden/>
          </w:rPr>
          <w:fldChar w:fldCharType="separate"/>
        </w:r>
        <w:r w:rsidR="00D27803">
          <w:rPr>
            <w:noProof/>
            <w:webHidden/>
          </w:rPr>
          <w:t>84</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796" w:history="1">
        <w:r w:rsidR="00D27803" w:rsidRPr="00CD4BB9">
          <w:rPr>
            <w:rStyle w:val="Hyperlink"/>
            <w:rFonts w:cs="Times New Roman"/>
            <w:noProof/>
          </w:rPr>
          <w:t>PRILOG I. - OPIS REFERENTNOG SCENARIJA (NUR)</w:t>
        </w:r>
        <w:r w:rsidR="00D27803">
          <w:rPr>
            <w:noProof/>
            <w:webHidden/>
          </w:rPr>
          <w:tab/>
        </w:r>
        <w:r w:rsidR="00D27803">
          <w:rPr>
            <w:noProof/>
            <w:webHidden/>
          </w:rPr>
          <w:fldChar w:fldCharType="begin"/>
        </w:r>
        <w:r w:rsidR="00D27803">
          <w:rPr>
            <w:noProof/>
            <w:webHidden/>
          </w:rPr>
          <w:instrText xml:space="preserve"> PAGEREF _Toc69297796 \h </w:instrText>
        </w:r>
        <w:r w:rsidR="00D27803">
          <w:rPr>
            <w:noProof/>
            <w:webHidden/>
          </w:rPr>
        </w:r>
        <w:r w:rsidR="00D27803">
          <w:rPr>
            <w:noProof/>
            <w:webHidden/>
          </w:rPr>
          <w:fldChar w:fldCharType="separate"/>
        </w:r>
        <w:r w:rsidR="00D27803">
          <w:rPr>
            <w:noProof/>
            <w:webHidden/>
          </w:rPr>
          <w:t>86</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97" w:history="1">
        <w:r w:rsidR="00D27803" w:rsidRPr="00CD4BB9">
          <w:rPr>
            <w:rStyle w:val="Hyperlink"/>
            <w:rFonts w:cs="Times New Roman"/>
            <w:noProof/>
          </w:rPr>
          <w:t xml:space="preserve">I.1. </w:t>
        </w:r>
        <w:r w:rsidR="00D27803">
          <w:rPr>
            <w:rFonts w:asciiTheme="minorHAnsi" w:eastAsiaTheme="minorEastAsia" w:hAnsiTheme="minorHAnsi" w:cstheme="minorBidi"/>
            <w:noProof/>
          </w:rPr>
          <w:tab/>
        </w:r>
        <w:r w:rsidR="00D27803" w:rsidRPr="00CD4BB9">
          <w:rPr>
            <w:rStyle w:val="Hyperlink"/>
            <w:rFonts w:cs="Times New Roman"/>
            <w:noProof/>
          </w:rPr>
          <w:t>PROIZVODNJA, POTROŠNJA, UVOZ I IZVOZ ENERGIJE</w:t>
        </w:r>
        <w:r w:rsidR="00D27803">
          <w:rPr>
            <w:noProof/>
            <w:webHidden/>
          </w:rPr>
          <w:tab/>
        </w:r>
        <w:r w:rsidR="00D27803">
          <w:rPr>
            <w:noProof/>
            <w:webHidden/>
          </w:rPr>
          <w:fldChar w:fldCharType="begin"/>
        </w:r>
        <w:r w:rsidR="00D27803">
          <w:rPr>
            <w:noProof/>
            <w:webHidden/>
          </w:rPr>
          <w:instrText xml:space="preserve"> PAGEREF _Toc69297797 \h </w:instrText>
        </w:r>
        <w:r w:rsidR="00D27803">
          <w:rPr>
            <w:noProof/>
            <w:webHidden/>
          </w:rPr>
        </w:r>
        <w:r w:rsidR="00D27803">
          <w:rPr>
            <w:noProof/>
            <w:webHidden/>
          </w:rPr>
          <w:fldChar w:fldCharType="separate"/>
        </w:r>
        <w:r w:rsidR="00D27803">
          <w:rPr>
            <w:noProof/>
            <w:webHidden/>
          </w:rPr>
          <w:t>86</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98" w:history="1">
        <w:r w:rsidR="00D27803" w:rsidRPr="00CD4BB9">
          <w:rPr>
            <w:rStyle w:val="Hyperlink"/>
            <w:rFonts w:cs="Times New Roman"/>
            <w:noProof/>
          </w:rPr>
          <w:t xml:space="preserve">I.2. </w:t>
        </w:r>
        <w:r w:rsidR="00D27803">
          <w:rPr>
            <w:rFonts w:asciiTheme="minorHAnsi" w:eastAsiaTheme="minorEastAsia" w:hAnsiTheme="minorHAnsi" w:cstheme="minorBidi"/>
            <w:noProof/>
          </w:rPr>
          <w:tab/>
        </w:r>
        <w:r w:rsidR="00D27803" w:rsidRPr="00CD4BB9">
          <w:rPr>
            <w:rStyle w:val="Hyperlink"/>
            <w:rFonts w:cs="Times New Roman"/>
            <w:noProof/>
          </w:rPr>
          <w:t>INDUSTRIJA</w:t>
        </w:r>
        <w:r w:rsidR="00D27803">
          <w:rPr>
            <w:noProof/>
            <w:webHidden/>
          </w:rPr>
          <w:tab/>
        </w:r>
        <w:r w:rsidR="00D27803">
          <w:rPr>
            <w:noProof/>
            <w:webHidden/>
          </w:rPr>
          <w:fldChar w:fldCharType="begin"/>
        </w:r>
        <w:r w:rsidR="00D27803">
          <w:rPr>
            <w:noProof/>
            <w:webHidden/>
          </w:rPr>
          <w:instrText xml:space="preserve"> PAGEREF _Toc69297798 \h </w:instrText>
        </w:r>
        <w:r w:rsidR="00D27803">
          <w:rPr>
            <w:noProof/>
            <w:webHidden/>
          </w:rPr>
        </w:r>
        <w:r w:rsidR="00D27803">
          <w:rPr>
            <w:noProof/>
            <w:webHidden/>
          </w:rPr>
          <w:fldChar w:fldCharType="separate"/>
        </w:r>
        <w:r w:rsidR="00D27803">
          <w:rPr>
            <w:noProof/>
            <w:webHidden/>
          </w:rPr>
          <w:t>89</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799" w:history="1">
        <w:r w:rsidR="00D27803" w:rsidRPr="00CD4BB9">
          <w:rPr>
            <w:rStyle w:val="Hyperlink"/>
            <w:rFonts w:cs="Times New Roman"/>
            <w:noProof/>
          </w:rPr>
          <w:t xml:space="preserve">I.3. </w:t>
        </w:r>
        <w:r w:rsidR="00D27803">
          <w:rPr>
            <w:rFonts w:asciiTheme="minorHAnsi" w:eastAsiaTheme="minorEastAsia" w:hAnsiTheme="minorHAnsi" w:cstheme="minorBidi"/>
            <w:noProof/>
          </w:rPr>
          <w:tab/>
        </w:r>
        <w:r w:rsidR="00D27803" w:rsidRPr="00CD4BB9">
          <w:rPr>
            <w:rStyle w:val="Hyperlink"/>
            <w:rFonts w:cs="Times New Roman"/>
            <w:noProof/>
          </w:rPr>
          <w:t>PROMET</w:t>
        </w:r>
        <w:r w:rsidR="00D27803">
          <w:rPr>
            <w:noProof/>
            <w:webHidden/>
          </w:rPr>
          <w:tab/>
        </w:r>
        <w:r w:rsidR="00D27803">
          <w:rPr>
            <w:noProof/>
            <w:webHidden/>
          </w:rPr>
          <w:fldChar w:fldCharType="begin"/>
        </w:r>
        <w:r w:rsidR="00D27803">
          <w:rPr>
            <w:noProof/>
            <w:webHidden/>
          </w:rPr>
          <w:instrText xml:space="preserve"> PAGEREF _Toc69297799 \h </w:instrText>
        </w:r>
        <w:r w:rsidR="00D27803">
          <w:rPr>
            <w:noProof/>
            <w:webHidden/>
          </w:rPr>
        </w:r>
        <w:r w:rsidR="00D27803">
          <w:rPr>
            <w:noProof/>
            <w:webHidden/>
          </w:rPr>
          <w:fldChar w:fldCharType="separate"/>
        </w:r>
        <w:r w:rsidR="00D27803">
          <w:rPr>
            <w:noProof/>
            <w:webHidden/>
          </w:rPr>
          <w:t>90</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00" w:history="1">
        <w:r w:rsidR="00D27803" w:rsidRPr="00CD4BB9">
          <w:rPr>
            <w:rStyle w:val="Hyperlink"/>
            <w:rFonts w:cs="Times New Roman"/>
            <w:noProof/>
          </w:rPr>
          <w:t xml:space="preserve">I.4. </w:t>
        </w:r>
        <w:r w:rsidR="00D27803">
          <w:rPr>
            <w:rFonts w:asciiTheme="minorHAnsi" w:eastAsiaTheme="minorEastAsia" w:hAnsiTheme="minorHAnsi" w:cstheme="minorBidi"/>
            <w:noProof/>
          </w:rPr>
          <w:tab/>
        </w:r>
        <w:r w:rsidR="00D27803" w:rsidRPr="00CD4BB9">
          <w:rPr>
            <w:rStyle w:val="Hyperlink"/>
            <w:rFonts w:cs="Times New Roman"/>
            <w:noProof/>
          </w:rPr>
          <w:t>SEKTOR OPĆE POTROŠNJE</w:t>
        </w:r>
        <w:r w:rsidR="00D27803">
          <w:rPr>
            <w:noProof/>
            <w:webHidden/>
          </w:rPr>
          <w:tab/>
        </w:r>
        <w:r w:rsidR="00D27803">
          <w:rPr>
            <w:noProof/>
            <w:webHidden/>
          </w:rPr>
          <w:fldChar w:fldCharType="begin"/>
        </w:r>
        <w:r w:rsidR="00D27803">
          <w:rPr>
            <w:noProof/>
            <w:webHidden/>
          </w:rPr>
          <w:instrText xml:space="preserve"> PAGEREF _Toc69297800 \h </w:instrText>
        </w:r>
        <w:r w:rsidR="00D27803">
          <w:rPr>
            <w:noProof/>
            <w:webHidden/>
          </w:rPr>
        </w:r>
        <w:r w:rsidR="00D27803">
          <w:rPr>
            <w:noProof/>
            <w:webHidden/>
          </w:rPr>
          <w:fldChar w:fldCharType="separate"/>
        </w:r>
        <w:r w:rsidR="00D27803">
          <w:rPr>
            <w:noProof/>
            <w:webHidden/>
          </w:rPr>
          <w:t>90</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01" w:history="1">
        <w:r w:rsidR="00D27803" w:rsidRPr="00CD4BB9">
          <w:rPr>
            <w:rStyle w:val="Hyperlink"/>
            <w:rFonts w:cs="Times New Roman"/>
            <w:noProof/>
          </w:rPr>
          <w:t xml:space="preserve">I.5. </w:t>
        </w:r>
        <w:r w:rsidR="00D27803">
          <w:rPr>
            <w:rFonts w:asciiTheme="minorHAnsi" w:eastAsiaTheme="minorEastAsia" w:hAnsiTheme="minorHAnsi" w:cstheme="minorBidi"/>
            <w:noProof/>
          </w:rPr>
          <w:tab/>
        </w:r>
        <w:r w:rsidR="00D27803" w:rsidRPr="00CD4BB9">
          <w:rPr>
            <w:rStyle w:val="Hyperlink"/>
            <w:rFonts w:cs="Times New Roman"/>
            <w:noProof/>
          </w:rPr>
          <w:t>POLJOPRIVREDA</w:t>
        </w:r>
        <w:r w:rsidR="00D27803">
          <w:rPr>
            <w:noProof/>
            <w:webHidden/>
          </w:rPr>
          <w:tab/>
        </w:r>
        <w:r w:rsidR="00D27803">
          <w:rPr>
            <w:noProof/>
            <w:webHidden/>
          </w:rPr>
          <w:fldChar w:fldCharType="begin"/>
        </w:r>
        <w:r w:rsidR="00D27803">
          <w:rPr>
            <w:noProof/>
            <w:webHidden/>
          </w:rPr>
          <w:instrText xml:space="preserve"> PAGEREF _Toc69297801 \h </w:instrText>
        </w:r>
        <w:r w:rsidR="00D27803">
          <w:rPr>
            <w:noProof/>
            <w:webHidden/>
          </w:rPr>
        </w:r>
        <w:r w:rsidR="00D27803">
          <w:rPr>
            <w:noProof/>
            <w:webHidden/>
          </w:rPr>
          <w:fldChar w:fldCharType="separate"/>
        </w:r>
        <w:r w:rsidR="00D27803">
          <w:rPr>
            <w:noProof/>
            <w:webHidden/>
          </w:rPr>
          <w:t>90</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02" w:history="1">
        <w:r w:rsidR="00D27803" w:rsidRPr="00CD4BB9">
          <w:rPr>
            <w:rStyle w:val="Hyperlink"/>
            <w:rFonts w:cs="Times New Roman"/>
            <w:noProof/>
          </w:rPr>
          <w:t xml:space="preserve">I.6. </w:t>
        </w:r>
        <w:r w:rsidR="00D27803">
          <w:rPr>
            <w:rFonts w:asciiTheme="minorHAnsi" w:eastAsiaTheme="minorEastAsia" w:hAnsiTheme="minorHAnsi" w:cstheme="minorBidi"/>
            <w:noProof/>
          </w:rPr>
          <w:tab/>
        </w:r>
        <w:r w:rsidR="00D27803" w:rsidRPr="00CD4BB9">
          <w:rPr>
            <w:rStyle w:val="Hyperlink"/>
            <w:rFonts w:cs="Times New Roman"/>
            <w:noProof/>
          </w:rPr>
          <w:t>OTPAD</w:t>
        </w:r>
        <w:r w:rsidR="00D27803">
          <w:rPr>
            <w:noProof/>
            <w:webHidden/>
          </w:rPr>
          <w:tab/>
        </w:r>
        <w:r w:rsidR="00D27803">
          <w:rPr>
            <w:noProof/>
            <w:webHidden/>
          </w:rPr>
          <w:fldChar w:fldCharType="begin"/>
        </w:r>
        <w:r w:rsidR="00D27803">
          <w:rPr>
            <w:noProof/>
            <w:webHidden/>
          </w:rPr>
          <w:instrText xml:space="preserve"> PAGEREF _Toc69297802 \h </w:instrText>
        </w:r>
        <w:r w:rsidR="00D27803">
          <w:rPr>
            <w:noProof/>
            <w:webHidden/>
          </w:rPr>
        </w:r>
        <w:r w:rsidR="00D27803">
          <w:rPr>
            <w:noProof/>
            <w:webHidden/>
          </w:rPr>
          <w:fldChar w:fldCharType="separate"/>
        </w:r>
        <w:r w:rsidR="00D27803">
          <w:rPr>
            <w:noProof/>
            <w:webHidden/>
          </w:rPr>
          <w:t>91</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803" w:history="1">
        <w:r w:rsidR="00D27803" w:rsidRPr="00CD4BB9">
          <w:rPr>
            <w:rStyle w:val="Hyperlink"/>
            <w:rFonts w:cs="Times New Roman"/>
            <w:noProof/>
          </w:rPr>
          <w:t>PRILOG II.  -  OPIS NISKOUGLJIČNOG SCENARIJA POSTUPNE TRANZICIJE (NU1)</w:t>
        </w:r>
        <w:r w:rsidR="00D27803">
          <w:rPr>
            <w:noProof/>
            <w:webHidden/>
          </w:rPr>
          <w:tab/>
        </w:r>
        <w:r w:rsidR="00D27803">
          <w:rPr>
            <w:noProof/>
            <w:webHidden/>
          </w:rPr>
          <w:fldChar w:fldCharType="begin"/>
        </w:r>
        <w:r w:rsidR="00D27803">
          <w:rPr>
            <w:noProof/>
            <w:webHidden/>
          </w:rPr>
          <w:instrText xml:space="preserve"> PAGEREF _Toc69297803 \h </w:instrText>
        </w:r>
        <w:r w:rsidR="00D27803">
          <w:rPr>
            <w:noProof/>
            <w:webHidden/>
          </w:rPr>
        </w:r>
        <w:r w:rsidR="00D27803">
          <w:rPr>
            <w:noProof/>
            <w:webHidden/>
          </w:rPr>
          <w:fldChar w:fldCharType="separate"/>
        </w:r>
        <w:r w:rsidR="00D27803">
          <w:rPr>
            <w:noProof/>
            <w:webHidden/>
          </w:rPr>
          <w:t>92</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04" w:history="1">
        <w:r w:rsidR="00D27803" w:rsidRPr="00CD4BB9">
          <w:rPr>
            <w:rStyle w:val="Hyperlink"/>
            <w:rFonts w:cs="Times New Roman"/>
            <w:noProof/>
          </w:rPr>
          <w:t xml:space="preserve">II.1. </w:t>
        </w:r>
        <w:r w:rsidR="00D27803">
          <w:rPr>
            <w:rFonts w:asciiTheme="minorHAnsi" w:eastAsiaTheme="minorEastAsia" w:hAnsiTheme="minorHAnsi" w:cstheme="minorBidi"/>
            <w:noProof/>
          </w:rPr>
          <w:tab/>
        </w:r>
        <w:r w:rsidR="00D27803" w:rsidRPr="00CD4BB9">
          <w:rPr>
            <w:rStyle w:val="Hyperlink"/>
            <w:rFonts w:cs="Times New Roman"/>
            <w:noProof/>
          </w:rPr>
          <w:t>PROIZVODNJA, POTROŠNJA, UVOZ I IZVOZ ENERGIJE</w:t>
        </w:r>
        <w:r w:rsidR="00D27803">
          <w:rPr>
            <w:noProof/>
            <w:webHidden/>
          </w:rPr>
          <w:tab/>
        </w:r>
        <w:r w:rsidR="00D27803">
          <w:rPr>
            <w:noProof/>
            <w:webHidden/>
          </w:rPr>
          <w:fldChar w:fldCharType="begin"/>
        </w:r>
        <w:r w:rsidR="00D27803">
          <w:rPr>
            <w:noProof/>
            <w:webHidden/>
          </w:rPr>
          <w:instrText xml:space="preserve"> PAGEREF _Toc69297804 \h </w:instrText>
        </w:r>
        <w:r w:rsidR="00D27803">
          <w:rPr>
            <w:noProof/>
            <w:webHidden/>
          </w:rPr>
        </w:r>
        <w:r w:rsidR="00D27803">
          <w:rPr>
            <w:noProof/>
            <w:webHidden/>
          </w:rPr>
          <w:fldChar w:fldCharType="separate"/>
        </w:r>
        <w:r w:rsidR="00D27803">
          <w:rPr>
            <w:noProof/>
            <w:webHidden/>
          </w:rPr>
          <w:t>92</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05" w:history="1">
        <w:r w:rsidR="00D27803" w:rsidRPr="00CD4BB9">
          <w:rPr>
            <w:rStyle w:val="Hyperlink"/>
            <w:rFonts w:cs="Times New Roman"/>
            <w:noProof/>
          </w:rPr>
          <w:t xml:space="preserve">II.2. </w:t>
        </w:r>
        <w:r w:rsidR="00D27803">
          <w:rPr>
            <w:rFonts w:asciiTheme="minorHAnsi" w:eastAsiaTheme="minorEastAsia" w:hAnsiTheme="minorHAnsi" w:cstheme="minorBidi"/>
            <w:noProof/>
          </w:rPr>
          <w:tab/>
        </w:r>
        <w:r w:rsidR="00D27803" w:rsidRPr="00CD4BB9">
          <w:rPr>
            <w:rStyle w:val="Hyperlink"/>
            <w:rFonts w:cs="Times New Roman"/>
            <w:noProof/>
          </w:rPr>
          <w:t>INDUSTRIJA</w:t>
        </w:r>
        <w:r w:rsidR="00D27803">
          <w:rPr>
            <w:noProof/>
            <w:webHidden/>
          </w:rPr>
          <w:tab/>
        </w:r>
        <w:r w:rsidR="00D27803">
          <w:rPr>
            <w:noProof/>
            <w:webHidden/>
          </w:rPr>
          <w:fldChar w:fldCharType="begin"/>
        </w:r>
        <w:r w:rsidR="00D27803">
          <w:rPr>
            <w:noProof/>
            <w:webHidden/>
          </w:rPr>
          <w:instrText xml:space="preserve"> PAGEREF _Toc69297805 \h </w:instrText>
        </w:r>
        <w:r w:rsidR="00D27803">
          <w:rPr>
            <w:noProof/>
            <w:webHidden/>
          </w:rPr>
        </w:r>
        <w:r w:rsidR="00D27803">
          <w:rPr>
            <w:noProof/>
            <w:webHidden/>
          </w:rPr>
          <w:fldChar w:fldCharType="separate"/>
        </w:r>
        <w:r w:rsidR="00D27803">
          <w:rPr>
            <w:noProof/>
            <w:webHidden/>
          </w:rPr>
          <w:t>95</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06" w:history="1">
        <w:r w:rsidR="00D27803" w:rsidRPr="00CD4BB9">
          <w:rPr>
            <w:rStyle w:val="Hyperlink"/>
            <w:rFonts w:cs="Times New Roman"/>
            <w:noProof/>
          </w:rPr>
          <w:t xml:space="preserve">II.3. </w:t>
        </w:r>
        <w:r w:rsidR="00D27803">
          <w:rPr>
            <w:rFonts w:asciiTheme="minorHAnsi" w:eastAsiaTheme="minorEastAsia" w:hAnsiTheme="minorHAnsi" w:cstheme="minorBidi"/>
            <w:noProof/>
          </w:rPr>
          <w:tab/>
        </w:r>
        <w:r w:rsidR="00D27803" w:rsidRPr="00CD4BB9">
          <w:rPr>
            <w:rStyle w:val="Hyperlink"/>
            <w:rFonts w:cs="Times New Roman"/>
            <w:noProof/>
          </w:rPr>
          <w:t>PROMET</w:t>
        </w:r>
        <w:r w:rsidR="00D27803">
          <w:rPr>
            <w:noProof/>
            <w:webHidden/>
          </w:rPr>
          <w:tab/>
        </w:r>
        <w:r w:rsidR="00D27803">
          <w:rPr>
            <w:noProof/>
            <w:webHidden/>
          </w:rPr>
          <w:fldChar w:fldCharType="begin"/>
        </w:r>
        <w:r w:rsidR="00D27803">
          <w:rPr>
            <w:noProof/>
            <w:webHidden/>
          </w:rPr>
          <w:instrText xml:space="preserve"> PAGEREF _Toc69297806 \h </w:instrText>
        </w:r>
        <w:r w:rsidR="00D27803">
          <w:rPr>
            <w:noProof/>
            <w:webHidden/>
          </w:rPr>
        </w:r>
        <w:r w:rsidR="00D27803">
          <w:rPr>
            <w:noProof/>
            <w:webHidden/>
          </w:rPr>
          <w:fldChar w:fldCharType="separate"/>
        </w:r>
        <w:r w:rsidR="00D27803">
          <w:rPr>
            <w:noProof/>
            <w:webHidden/>
          </w:rPr>
          <w:t>96</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07" w:history="1">
        <w:r w:rsidR="00D27803" w:rsidRPr="00CD4BB9">
          <w:rPr>
            <w:rStyle w:val="Hyperlink"/>
            <w:rFonts w:cs="Times New Roman"/>
            <w:noProof/>
          </w:rPr>
          <w:t xml:space="preserve">II.4. </w:t>
        </w:r>
        <w:r w:rsidR="00D27803">
          <w:rPr>
            <w:rFonts w:asciiTheme="minorHAnsi" w:eastAsiaTheme="minorEastAsia" w:hAnsiTheme="minorHAnsi" w:cstheme="minorBidi"/>
            <w:noProof/>
          </w:rPr>
          <w:tab/>
        </w:r>
        <w:r w:rsidR="00D27803" w:rsidRPr="00CD4BB9">
          <w:rPr>
            <w:rStyle w:val="Hyperlink"/>
            <w:rFonts w:cs="Times New Roman"/>
            <w:noProof/>
          </w:rPr>
          <w:t>SEKTOR OPĆE POTROŠNJE</w:t>
        </w:r>
        <w:r w:rsidR="00D27803">
          <w:rPr>
            <w:noProof/>
            <w:webHidden/>
          </w:rPr>
          <w:tab/>
        </w:r>
        <w:r w:rsidR="00D27803">
          <w:rPr>
            <w:noProof/>
            <w:webHidden/>
          </w:rPr>
          <w:fldChar w:fldCharType="begin"/>
        </w:r>
        <w:r w:rsidR="00D27803">
          <w:rPr>
            <w:noProof/>
            <w:webHidden/>
          </w:rPr>
          <w:instrText xml:space="preserve"> PAGEREF _Toc69297807 \h </w:instrText>
        </w:r>
        <w:r w:rsidR="00D27803">
          <w:rPr>
            <w:noProof/>
            <w:webHidden/>
          </w:rPr>
        </w:r>
        <w:r w:rsidR="00D27803">
          <w:rPr>
            <w:noProof/>
            <w:webHidden/>
          </w:rPr>
          <w:fldChar w:fldCharType="separate"/>
        </w:r>
        <w:r w:rsidR="00D27803">
          <w:rPr>
            <w:noProof/>
            <w:webHidden/>
          </w:rPr>
          <w:t>96</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08" w:history="1">
        <w:r w:rsidR="00D27803" w:rsidRPr="00CD4BB9">
          <w:rPr>
            <w:rStyle w:val="Hyperlink"/>
            <w:rFonts w:cs="Times New Roman"/>
            <w:noProof/>
          </w:rPr>
          <w:t xml:space="preserve">II.5. </w:t>
        </w:r>
        <w:r w:rsidR="00D27803">
          <w:rPr>
            <w:rFonts w:asciiTheme="minorHAnsi" w:eastAsiaTheme="minorEastAsia" w:hAnsiTheme="minorHAnsi" w:cstheme="minorBidi"/>
            <w:noProof/>
          </w:rPr>
          <w:tab/>
        </w:r>
        <w:r w:rsidR="00D27803" w:rsidRPr="00CD4BB9">
          <w:rPr>
            <w:rStyle w:val="Hyperlink"/>
            <w:rFonts w:cs="Times New Roman"/>
            <w:noProof/>
          </w:rPr>
          <w:t>POLJOPRIVREDA</w:t>
        </w:r>
        <w:r w:rsidR="00D27803">
          <w:rPr>
            <w:noProof/>
            <w:webHidden/>
          </w:rPr>
          <w:tab/>
        </w:r>
        <w:r w:rsidR="00D27803">
          <w:rPr>
            <w:noProof/>
            <w:webHidden/>
          </w:rPr>
          <w:fldChar w:fldCharType="begin"/>
        </w:r>
        <w:r w:rsidR="00D27803">
          <w:rPr>
            <w:noProof/>
            <w:webHidden/>
          </w:rPr>
          <w:instrText xml:space="preserve"> PAGEREF _Toc69297808 \h </w:instrText>
        </w:r>
        <w:r w:rsidR="00D27803">
          <w:rPr>
            <w:noProof/>
            <w:webHidden/>
          </w:rPr>
        </w:r>
        <w:r w:rsidR="00D27803">
          <w:rPr>
            <w:noProof/>
            <w:webHidden/>
          </w:rPr>
          <w:fldChar w:fldCharType="separate"/>
        </w:r>
        <w:r w:rsidR="00D27803">
          <w:rPr>
            <w:noProof/>
            <w:webHidden/>
          </w:rPr>
          <w:t>96</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09" w:history="1">
        <w:r w:rsidR="00D27803" w:rsidRPr="00CD4BB9">
          <w:rPr>
            <w:rStyle w:val="Hyperlink"/>
            <w:rFonts w:cs="Times New Roman"/>
            <w:noProof/>
          </w:rPr>
          <w:t xml:space="preserve">II.6. </w:t>
        </w:r>
        <w:r w:rsidR="00D27803">
          <w:rPr>
            <w:rFonts w:asciiTheme="minorHAnsi" w:eastAsiaTheme="minorEastAsia" w:hAnsiTheme="minorHAnsi" w:cstheme="minorBidi"/>
            <w:noProof/>
          </w:rPr>
          <w:tab/>
        </w:r>
        <w:r w:rsidR="00D27803" w:rsidRPr="00CD4BB9">
          <w:rPr>
            <w:rStyle w:val="Hyperlink"/>
            <w:rFonts w:cs="Times New Roman"/>
            <w:noProof/>
          </w:rPr>
          <w:t>OTPAD</w:t>
        </w:r>
        <w:r w:rsidR="00D27803">
          <w:rPr>
            <w:noProof/>
            <w:webHidden/>
          </w:rPr>
          <w:tab/>
        </w:r>
        <w:r w:rsidR="00D27803">
          <w:rPr>
            <w:noProof/>
            <w:webHidden/>
          </w:rPr>
          <w:fldChar w:fldCharType="begin"/>
        </w:r>
        <w:r w:rsidR="00D27803">
          <w:rPr>
            <w:noProof/>
            <w:webHidden/>
          </w:rPr>
          <w:instrText xml:space="preserve"> PAGEREF _Toc69297809 \h </w:instrText>
        </w:r>
        <w:r w:rsidR="00D27803">
          <w:rPr>
            <w:noProof/>
            <w:webHidden/>
          </w:rPr>
        </w:r>
        <w:r w:rsidR="00D27803">
          <w:rPr>
            <w:noProof/>
            <w:webHidden/>
          </w:rPr>
          <w:fldChar w:fldCharType="separate"/>
        </w:r>
        <w:r w:rsidR="00D27803">
          <w:rPr>
            <w:noProof/>
            <w:webHidden/>
          </w:rPr>
          <w:t>97</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810" w:history="1">
        <w:r w:rsidR="00D27803" w:rsidRPr="00CD4BB9">
          <w:rPr>
            <w:rStyle w:val="Hyperlink"/>
            <w:rFonts w:cs="Times New Roman"/>
            <w:noProof/>
          </w:rPr>
          <w:t>PRILOG III.  -  OPIS NISKOUGLJIČNOG SCENARIJA SNAŽNE TRANZICIJE (NU2)</w:t>
        </w:r>
        <w:r w:rsidR="00D27803">
          <w:rPr>
            <w:noProof/>
            <w:webHidden/>
          </w:rPr>
          <w:tab/>
        </w:r>
        <w:r w:rsidR="00D27803">
          <w:rPr>
            <w:noProof/>
            <w:webHidden/>
          </w:rPr>
          <w:fldChar w:fldCharType="begin"/>
        </w:r>
        <w:r w:rsidR="00D27803">
          <w:rPr>
            <w:noProof/>
            <w:webHidden/>
          </w:rPr>
          <w:instrText xml:space="preserve"> PAGEREF _Toc69297810 \h </w:instrText>
        </w:r>
        <w:r w:rsidR="00D27803">
          <w:rPr>
            <w:noProof/>
            <w:webHidden/>
          </w:rPr>
        </w:r>
        <w:r w:rsidR="00D27803">
          <w:rPr>
            <w:noProof/>
            <w:webHidden/>
          </w:rPr>
          <w:fldChar w:fldCharType="separate"/>
        </w:r>
        <w:r w:rsidR="00D27803">
          <w:rPr>
            <w:noProof/>
            <w:webHidden/>
          </w:rPr>
          <w:t>98</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11" w:history="1">
        <w:r w:rsidR="00D27803" w:rsidRPr="00CD4BB9">
          <w:rPr>
            <w:rStyle w:val="Hyperlink"/>
            <w:rFonts w:cs="Times New Roman"/>
            <w:noProof/>
          </w:rPr>
          <w:t xml:space="preserve">III.1. </w:t>
        </w:r>
        <w:r w:rsidR="00D27803">
          <w:rPr>
            <w:rFonts w:asciiTheme="minorHAnsi" w:eastAsiaTheme="minorEastAsia" w:hAnsiTheme="minorHAnsi" w:cstheme="minorBidi"/>
            <w:noProof/>
          </w:rPr>
          <w:tab/>
        </w:r>
        <w:r w:rsidR="00D27803" w:rsidRPr="00CD4BB9">
          <w:rPr>
            <w:rStyle w:val="Hyperlink"/>
            <w:rFonts w:cs="Times New Roman"/>
            <w:noProof/>
          </w:rPr>
          <w:t>PROIZVODNJA, POTROŠNJA, UVOZ I IZVOZ ENERGIJE</w:t>
        </w:r>
        <w:r w:rsidR="00D27803">
          <w:rPr>
            <w:noProof/>
            <w:webHidden/>
          </w:rPr>
          <w:tab/>
        </w:r>
        <w:r w:rsidR="00D27803">
          <w:rPr>
            <w:noProof/>
            <w:webHidden/>
          </w:rPr>
          <w:fldChar w:fldCharType="begin"/>
        </w:r>
        <w:r w:rsidR="00D27803">
          <w:rPr>
            <w:noProof/>
            <w:webHidden/>
          </w:rPr>
          <w:instrText xml:space="preserve"> PAGEREF _Toc69297811 \h </w:instrText>
        </w:r>
        <w:r w:rsidR="00D27803">
          <w:rPr>
            <w:noProof/>
            <w:webHidden/>
          </w:rPr>
        </w:r>
        <w:r w:rsidR="00D27803">
          <w:rPr>
            <w:noProof/>
            <w:webHidden/>
          </w:rPr>
          <w:fldChar w:fldCharType="separate"/>
        </w:r>
        <w:r w:rsidR="00D27803">
          <w:rPr>
            <w:noProof/>
            <w:webHidden/>
          </w:rPr>
          <w:t>98</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12" w:history="1">
        <w:r w:rsidR="00D27803" w:rsidRPr="00CD4BB9">
          <w:rPr>
            <w:rStyle w:val="Hyperlink"/>
            <w:rFonts w:cs="Times New Roman"/>
            <w:noProof/>
          </w:rPr>
          <w:t xml:space="preserve">III.2. </w:t>
        </w:r>
        <w:r w:rsidR="00D27803">
          <w:rPr>
            <w:rFonts w:asciiTheme="minorHAnsi" w:eastAsiaTheme="minorEastAsia" w:hAnsiTheme="minorHAnsi" w:cstheme="minorBidi"/>
            <w:noProof/>
          </w:rPr>
          <w:tab/>
        </w:r>
        <w:r w:rsidR="00D27803" w:rsidRPr="00CD4BB9">
          <w:rPr>
            <w:rStyle w:val="Hyperlink"/>
            <w:rFonts w:cs="Times New Roman"/>
            <w:noProof/>
          </w:rPr>
          <w:t>INDUSTRIJA</w:t>
        </w:r>
        <w:r w:rsidR="00D27803">
          <w:rPr>
            <w:noProof/>
            <w:webHidden/>
          </w:rPr>
          <w:tab/>
        </w:r>
        <w:r w:rsidR="00D27803">
          <w:rPr>
            <w:noProof/>
            <w:webHidden/>
          </w:rPr>
          <w:fldChar w:fldCharType="begin"/>
        </w:r>
        <w:r w:rsidR="00D27803">
          <w:rPr>
            <w:noProof/>
            <w:webHidden/>
          </w:rPr>
          <w:instrText xml:space="preserve"> PAGEREF _Toc69297812 \h </w:instrText>
        </w:r>
        <w:r w:rsidR="00D27803">
          <w:rPr>
            <w:noProof/>
            <w:webHidden/>
          </w:rPr>
        </w:r>
        <w:r w:rsidR="00D27803">
          <w:rPr>
            <w:noProof/>
            <w:webHidden/>
          </w:rPr>
          <w:fldChar w:fldCharType="separate"/>
        </w:r>
        <w:r w:rsidR="00D27803">
          <w:rPr>
            <w:noProof/>
            <w:webHidden/>
          </w:rPr>
          <w:t>101</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13" w:history="1">
        <w:r w:rsidR="00D27803" w:rsidRPr="00CD4BB9">
          <w:rPr>
            <w:rStyle w:val="Hyperlink"/>
            <w:rFonts w:cs="Times New Roman"/>
            <w:noProof/>
          </w:rPr>
          <w:t xml:space="preserve">III.3. </w:t>
        </w:r>
        <w:r w:rsidR="00D27803">
          <w:rPr>
            <w:rFonts w:asciiTheme="minorHAnsi" w:eastAsiaTheme="minorEastAsia" w:hAnsiTheme="minorHAnsi" w:cstheme="minorBidi"/>
            <w:noProof/>
          </w:rPr>
          <w:tab/>
        </w:r>
        <w:r w:rsidR="00D27803" w:rsidRPr="00CD4BB9">
          <w:rPr>
            <w:rStyle w:val="Hyperlink"/>
            <w:rFonts w:cs="Times New Roman"/>
            <w:noProof/>
          </w:rPr>
          <w:t>PROMET</w:t>
        </w:r>
        <w:r w:rsidR="00D27803">
          <w:rPr>
            <w:noProof/>
            <w:webHidden/>
          </w:rPr>
          <w:tab/>
        </w:r>
        <w:r w:rsidR="00D27803">
          <w:rPr>
            <w:noProof/>
            <w:webHidden/>
          </w:rPr>
          <w:fldChar w:fldCharType="begin"/>
        </w:r>
        <w:r w:rsidR="00D27803">
          <w:rPr>
            <w:noProof/>
            <w:webHidden/>
          </w:rPr>
          <w:instrText xml:space="preserve"> PAGEREF _Toc69297813 \h </w:instrText>
        </w:r>
        <w:r w:rsidR="00D27803">
          <w:rPr>
            <w:noProof/>
            <w:webHidden/>
          </w:rPr>
        </w:r>
        <w:r w:rsidR="00D27803">
          <w:rPr>
            <w:noProof/>
            <w:webHidden/>
          </w:rPr>
          <w:fldChar w:fldCharType="separate"/>
        </w:r>
        <w:r w:rsidR="00D27803">
          <w:rPr>
            <w:noProof/>
            <w:webHidden/>
          </w:rPr>
          <w:t>101</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14" w:history="1">
        <w:r w:rsidR="00D27803" w:rsidRPr="00CD4BB9">
          <w:rPr>
            <w:rStyle w:val="Hyperlink"/>
            <w:rFonts w:cs="Times New Roman"/>
            <w:noProof/>
          </w:rPr>
          <w:t xml:space="preserve">III.4. </w:t>
        </w:r>
        <w:r w:rsidR="00D27803">
          <w:rPr>
            <w:rFonts w:asciiTheme="minorHAnsi" w:eastAsiaTheme="minorEastAsia" w:hAnsiTheme="minorHAnsi" w:cstheme="minorBidi"/>
            <w:noProof/>
          </w:rPr>
          <w:tab/>
        </w:r>
        <w:r w:rsidR="00D27803" w:rsidRPr="00CD4BB9">
          <w:rPr>
            <w:rStyle w:val="Hyperlink"/>
            <w:rFonts w:cs="Times New Roman"/>
            <w:noProof/>
          </w:rPr>
          <w:t>SEKTOR OPĆE POTROŠNJE</w:t>
        </w:r>
        <w:r w:rsidR="00D27803">
          <w:rPr>
            <w:noProof/>
            <w:webHidden/>
          </w:rPr>
          <w:tab/>
        </w:r>
        <w:r w:rsidR="00D27803">
          <w:rPr>
            <w:noProof/>
            <w:webHidden/>
          </w:rPr>
          <w:fldChar w:fldCharType="begin"/>
        </w:r>
        <w:r w:rsidR="00D27803">
          <w:rPr>
            <w:noProof/>
            <w:webHidden/>
          </w:rPr>
          <w:instrText xml:space="preserve"> PAGEREF _Toc69297814 \h </w:instrText>
        </w:r>
        <w:r w:rsidR="00D27803">
          <w:rPr>
            <w:noProof/>
            <w:webHidden/>
          </w:rPr>
        </w:r>
        <w:r w:rsidR="00D27803">
          <w:rPr>
            <w:noProof/>
            <w:webHidden/>
          </w:rPr>
          <w:fldChar w:fldCharType="separate"/>
        </w:r>
        <w:r w:rsidR="00D27803">
          <w:rPr>
            <w:noProof/>
            <w:webHidden/>
          </w:rPr>
          <w:t>101</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15" w:history="1">
        <w:r w:rsidR="00D27803" w:rsidRPr="00CD4BB9">
          <w:rPr>
            <w:rStyle w:val="Hyperlink"/>
            <w:rFonts w:cs="Times New Roman"/>
            <w:noProof/>
          </w:rPr>
          <w:t xml:space="preserve">III.5. </w:t>
        </w:r>
        <w:r w:rsidR="00D27803">
          <w:rPr>
            <w:rFonts w:asciiTheme="minorHAnsi" w:eastAsiaTheme="minorEastAsia" w:hAnsiTheme="minorHAnsi" w:cstheme="minorBidi"/>
            <w:noProof/>
          </w:rPr>
          <w:tab/>
        </w:r>
        <w:r w:rsidR="00D27803" w:rsidRPr="00CD4BB9">
          <w:rPr>
            <w:rStyle w:val="Hyperlink"/>
            <w:rFonts w:cs="Times New Roman"/>
            <w:noProof/>
          </w:rPr>
          <w:t>POLJOPRIVREDA</w:t>
        </w:r>
        <w:r w:rsidR="00D27803">
          <w:rPr>
            <w:noProof/>
            <w:webHidden/>
          </w:rPr>
          <w:tab/>
        </w:r>
        <w:r w:rsidR="00D27803">
          <w:rPr>
            <w:noProof/>
            <w:webHidden/>
          </w:rPr>
          <w:fldChar w:fldCharType="begin"/>
        </w:r>
        <w:r w:rsidR="00D27803">
          <w:rPr>
            <w:noProof/>
            <w:webHidden/>
          </w:rPr>
          <w:instrText xml:space="preserve"> PAGEREF _Toc69297815 \h </w:instrText>
        </w:r>
        <w:r w:rsidR="00D27803">
          <w:rPr>
            <w:noProof/>
            <w:webHidden/>
          </w:rPr>
        </w:r>
        <w:r w:rsidR="00D27803">
          <w:rPr>
            <w:noProof/>
            <w:webHidden/>
          </w:rPr>
          <w:fldChar w:fldCharType="separate"/>
        </w:r>
        <w:r w:rsidR="00D27803">
          <w:rPr>
            <w:noProof/>
            <w:webHidden/>
          </w:rPr>
          <w:t>102</w:t>
        </w:r>
        <w:r w:rsidR="00D27803">
          <w:rPr>
            <w:noProof/>
            <w:webHidden/>
          </w:rPr>
          <w:fldChar w:fldCharType="end"/>
        </w:r>
      </w:hyperlink>
    </w:p>
    <w:p w:rsidR="00D27803" w:rsidRDefault="00BF1A86">
      <w:pPr>
        <w:pStyle w:val="TOC2"/>
        <w:tabs>
          <w:tab w:val="left" w:pos="1128"/>
        </w:tabs>
        <w:rPr>
          <w:rFonts w:asciiTheme="minorHAnsi" w:eastAsiaTheme="minorEastAsia" w:hAnsiTheme="minorHAnsi" w:cstheme="minorBidi"/>
          <w:noProof/>
        </w:rPr>
      </w:pPr>
      <w:hyperlink w:anchor="_Toc69297816" w:history="1">
        <w:r w:rsidR="00D27803" w:rsidRPr="00CD4BB9">
          <w:rPr>
            <w:rStyle w:val="Hyperlink"/>
            <w:rFonts w:cs="Times New Roman"/>
            <w:noProof/>
          </w:rPr>
          <w:t xml:space="preserve">III.6. </w:t>
        </w:r>
        <w:r w:rsidR="00D27803">
          <w:rPr>
            <w:rFonts w:asciiTheme="minorHAnsi" w:eastAsiaTheme="minorEastAsia" w:hAnsiTheme="minorHAnsi" w:cstheme="minorBidi"/>
            <w:noProof/>
          </w:rPr>
          <w:tab/>
        </w:r>
        <w:r w:rsidR="00D27803" w:rsidRPr="00CD4BB9">
          <w:rPr>
            <w:rStyle w:val="Hyperlink"/>
            <w:rFonts w:cs="Times New Roman"/>
            <w:noProof/>
          </w:rPr>
          <w:t>OTPAD</w:t>
        </w:r>
        <w:r w:rsidR="00D27803">
          <w:rPr>
            <w:noProof/>
            <w:webHidden/>
          </w:rPr>
          <w:tab/>
        </w:r>
        <w:r w:rsidR="00D27803">
          <w:rPr>
            <w:noProof/>
            <w:webHidden/>
          </w:rPr>
          <w:fldChar w:fldCharType="begin"/>
        </w:r>
        <w:r w:rsidR="00D27803">
          <w:rPr>
            <w:noProof/>
            <w:webHidden/>
          </w:rPr>
          <w:instrText xml:space="preserve"> PAGEREF _Toc69297816 \h </w:instrText>
        </w:r>
        <w:r w:rsidR="00D27803">
          <w:rPr>
            <w:noProof/>
            <w:webHidden/>
          </w:rPr>
        </w:r>
        <w:r w:rsidR="00D27803">
          <w:rPr>
            <w:noProof/>
            <w:webHidden/>
          </w:rPr>
          <w:fldChar w:fldCharType="separate"/>
        </w:r>
        <w:r w:rsidR="00D27803">
          <w:rPr>
            <w:noProof/>
            <w:webHidden/>
          </w:rPr>
          <w:t>102</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817" w:history="1">
        <w:r w:rsidR="00D27803" w:rsidRPr="00CD4BB9">
          <w:rPr>
            <w:rStyle w:val="Hyperlink"/>
            <w:rFonts w:cs="Times New Roman"/>
            <w:noProof/>
          </w:rPr>
          <w:t>PRILOG IV.  -  REZULTATI ANALIZE OSJETLJIVOSTI</w:t>
        </w:r>
        <w:r w:rsidR="00D27803">
          <w:rPr>
            <w:noProof/>
            <w:webHidden/>
          </w:rPr>
          <w:tab/>
        </w:r>
        <w:r w:rsidR="00D27803">
          <w:rPr>
            <w:noProof/>
            <w:webHidden/>
          </w:rPr>
          <w:fldChar w:fldCharType="begin"/>
        </w:r>
        <w:r w:rsidR="00D27803">
          <w:rPr>
            <w:noProof/>
            <w:webHidden/>
          </w:rPr>
          <w:instrText xml:space="preserve"> PAGEREF _Toc69297817 \h </w:instrText>
        </w:r>
        <w:r w:rsidR="00D27803">
          <w:rPr>
            <w:noProof/>
            <w:webHidden/>
          </w:rPr>
        </w:r>
        <w:r w:rsidR="00D27803">
          <w:rPr>
            <w:noProof/>
            <w:webHidden/>
          </w:rPr>
          <w:fldChar w:fldCharType="separate"/>
        </w:r>
        <w:r w:rsidR="00D27803">
          <w:rPr>
            <w:noProof/>
            <w:webHidden/>
          </w:rPr>
          <w:t>103</w:t>
        </w:r>
        <w:r w:rsidR="00D27803">
          <w:rPr>
            <w:noProof/>
            <w:webHidden/>
          </w:rPr>
          <w:fldChar w:fldCharType="end"/>
        </w:r>
      </w:hyperlink>
    </w:p>
    <w:p w:rsidR="00D27803" w:rsidRDefault="00BF1A86">
      <w:pPr>
        <w:pStyle w:val="TOC1"/>
        <w:tabs>
          <w:tab w:val="right" w:leader="dot" w:pos="9060"/>
        </w:tabs>
        <w:rPr>
          <w:rFonts w:asciiTheme="minorHAnsi" w:eastAsiaTheme="minorEastAsia" w:hAnsiTheme="minorHAnsi" w:cstheme="minorBidi"/>
          <w:noProof/>
          <w:szCs w:val="22"/>
        </w:rPr>
      </w:pPr>
      <w:hyperlink w:anchor="_Toc69297818" w:history="1">
        <w:r w:rsidR="00D27803" w:rsidRPr="00CD4BB9">
          <w:rPr>
            <w:rStyle w:val="Hyperlink"/>
            <w:rFonts w:cs="Times New Roman"/>
            <w:noProof/>
          </w:rPr>
          <w:t>PRILOG V. - MJERE NA OSNOVU KOJIH SU SE IZRADILI SCENARIJI</w:t>
        </w:r>
        <w:r w:rsidR="00D27803">
          <w:rPr>
            <w:noProof/>
            <w:webHidden/>
          </w:rPr>
          <w:tab/>
        </w:r>
        <w:r w:rsidR="00D27803">
          <w:rPr>
            <w:noProof/>
            <w:webHidden/>
          </w:rPr>
          <w:fldChar w:fldCharType="begin"/>
        </w:r>
        <w:r w:rsidR="00D27803">
          <w:rPr>
            <w:noProof/>
            <w:webHidden/>
          </w:rPr>
          <w:instrText xml:space="preserve"> PAGEREF _Toc69297818 \h </w:instrText>
        </w:r>
        <w:r w:rsidR="00D27803">
          <w:rPr>
            <w:noProof/>
            <w:webHidden/>
          </w:rPr>
        </w:r>
        <w:r w:rsidR="00D27803">
          <w:rPr>
            <w:noProof/>
            <w:webHidden/>
          </w:rPr>
          <w:fldChar w:fldCharType="separate"/>
        </w:r>
        <w:r w:rsidR="00D27803">
          <w:rPr>
            <w:noProof/>
            <w:webHidden/>
          </w:rPr>
          <w:t>105</w:t>
        </w:r>
        <w:r w:rsidR="00D27803">
          <w:rPr>
            <w:noProof/>
            <w:webHidden/>
          </w:rPr>
          <w:fldChar w:fldCharType="end"/>
        </w:r>
      </w:hyperlink>
    </w:p>
    <w:p w:rsidR="007D4A93" w:rsidRPr="00F01191" w:rsidRDefault="00EF0BEB">
      <w:pPr>
        <w:rPr>
          <w:rFonts w:cs="Times New Roman"/>
        </w:rPr>
        <w:sectPr w:rsidR="007D4A93" w:rsidRPr="00F01191">
          <w:headerReference w:type="default" r:id="rId9"/>
          <w:footerReference w:type="default" r:id="rId10"/>
          <w:pgSz w:w="11906" w:h="16838"/>
          <w:pgMar w:top="568" w:right="1418" w:bottom="1418" w:left="1418" w:header="624" w:footer="624" w:gutter="0"/>
          <w:cols w:space="720"/>
          <w:docGrid w:linePitch="360"/>
        </w:sectPr>
      </w:pPr>
      <w:r w:rsidRPr="00F01191">
        <w:rPr>
          <w:rFonts w:cs="Times New Roman"/>
        </w:rPr>
        <w:fldChar w:fldCharType="end"/>
      </w:r>
    </w:p>
    <w:p w:rsidR="007D4A93" w:rsidRPr="00654E3B" w:rsidRDefault="00EF0BEB">
      <w:pPr>
        <w:pStyle w:val="Heading1"/>
        <w:rPr>
          <w:rFonts w:ascii="Times New Roman" w:hAnsi="Times New Roman" w:cs="Times New Roman"/>
        </w:rPr>
      </w:pPr>
      <w:bookmarkStart w:id="2" w:name="_Toc20841325"/>
      <w:bookmarkStart w:id="3" w:name="_Toc20841431"/>
      <w:bookmarkStart w:id="4" w:name="_Toc69297719"/>
      <w:r w:rsidRPr="00F01191">
        <w:rPr>
          <w:rFonts w:ascii="Times New Roman" w:hAnsi="Times New Roman" w:cs="Times New Roman"/>
        </w:rPr>
        <w:lastRenderedPageBreak/>
        <w:t>POPIS KRATICA</w:t>
      </w:r>
      <w:bookmarkEnd w:id="2"/>
      <w:bookmarkEnd w:id="3"/>
      <w:bookmarkEnd w:id="4"/>
    </w:p>
    <w:p w:rsidR="007D4A93" w:rsidRPr="00654E3B" w:rsidRDefault="007D4A93">
      <w:pPr>
        <w:rPr>
          <w:rFonts w:cs="Times New Roman"/>
        </w:rPr>
      </w:pPr>
    </w:p>
    <w:tbl>
      <w:tblPr>
        <w:tblStyle w:val="TableGridNew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3776"/>
        <w:gridCol w:w="3788"/>
      </w:tblGrid>
      <w:tr w:rsidR="007D4A93" w:rsidRPr="00654E3B" w:rsidTr="007D4A9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bottom w:val="single" w:sz="4" w:space="0" w:color="auto"/>
              <w:right w:val="single" w:sz="4" w:space="0" w:color="auto"/>
            </w:tcBorders>
            <w:shd w:val="clear" w:color="auto" w:fill="auto"/>
          </w:tcPr>
          <w:p w:rsidR="007D4A93" w:rsidRPr="00654E3B" w:rsidRDefault="00EF0BEB">
            <w:pPr>
              <w:rPr>
                <w:rFonts w:cs="Times New Roman"/>
                <w:b/>
                <w:sz w:val="22"/>
              </w:rPr>
            </w:pPr>
            <w:r w:rsidRPr="00654E3B">
              <w:rPr>
                <w:rFonts w:cs="Times New Roman"/>
                <w:b/>
                <w:sz w:val="22"/>
              </w:rPr>
              <w:t>Kratica</w:t>
            </w:r>
          </w:p>
          <w:p w:rsidR="007D4A93" w:rsidRPr="00654E3B" w:rsidRDefault="007D4A93">
            <w:pPr>
              <w:rPr>
                <w:rFonts w:cs="Times New Roman"/>
                <w:b/>
                <w:sz w:val="22"/>
              </w:rPr>
            </w:pPr>
          </w:p>
        </w:tc>
        <w:tc>
          <w:tcPr>
            <w:tcW w:w="7564" w:type="dxa"/>
            <w:gridSpan w:val="2"/>
            <w:tcBorders>
              <w:left w:val="single" w:sz="4" w:space="0" w:color="auto"/>
            </w:tcBorders>
            <w:shd w:val="clear" w:color="auto" w:fill="auto"/>
          </w:tcPr>
          <w:p w:rsidR="007D4A93" w:rsidRPr="00654E3B" w:rsidRDefault="00EF0BEB">
            <w:pPr>
              <w:cnfStyle w:val="100000000000" w:firstRow="1" w:lastRow="0" w:firstColumn="0" w:lastColumn="0" w:oddVBand="0" w:evenVBand="0" w:oddHBand="0" w:evenHBand="0" w:firstRowFirstColumn="0" w:firstRowLastColumn="0" w:lastRowFirstColumn="0" w:lastRowLastColumn="0"/>
              <w:rPr>
                <w:rFonts w:cs="Times New Roman"/>
                <w:b/>
                <w:sz w:val="22"/>
              </w:rPr>
            </w:pPr>
            <w:r w:rsidRPr="00654E3B">
              <w:rPr>
                <w:rFonts w:cs="Times New Roman"/>
                <w:b/>
                <w:sz w:val="22"/>
              </w:rPr>
              <w:t>Značenje / opis</w:t>
            </w:r>
          </w:p>
          <w:p w:rsidR="007D4A93" w:rsidRPr="00654E3B" w:rsidRDefault="007D4A93">
            <w:pPr>
              <w:cnfStyle w:val="100000000000" w:firstRow="1" w:lastRow="0" w:firstColumn="0" w:lastColumn="0" w:oddVBand="0" w:evenVBand="0" w:oddHBand="0" w:evenHBand="0" w:firstRowFirstColumn="0" w:firstRowLastColumn="0" w:lastRowFirstColumn="0" w:lastRowLastColumn="0"/>
              <w:rPr>
                <w:rFonts w:cs="Times New Roman"/>
                <w:b/>
                <w:sz w:val="22"/>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tcBorders>
            <w:shd w:val="clear" w:color="auto" w:fill="auto"/>
          </w:tcPr>
          <w:p w:rsidR="007D4A93" w:rsidRPr="00654E3B" w:rsidRDefault="00EF0BEB">
            <w:pPr>
              <w:rPr>
                <w:rFonts w:cs="Times New Roman"/>
                <w:sz w:val="22"/>
              </w:rPr>
            </w:pPr>
            <w:r w:rsidRPr="00654E3B">
              <w:rPr>
                <w:rFonts w:cs="Times New Roman"/>
                <w:sz w:val="22"/>
              </w:rPr>
              <w:t xml:space="preserve">BDP </w:t>
            </w:r>
          </w:p>
        </w:tc>
        <w:tc>
          <w:tcPr>
            <w:tcW w:w="3776" w:type="dxa"/>
            <w:tcBorders>
              <w:right w:val="none" w:sz="4" w:space="0" w:color="000000"/>
            </w:tcBorders>
            <w:shd w:val="clear" w:color="auto" w:fill="auto"/>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Bruto domaći proizvod</w:t>
            </w:r>
          </w:p>
        </w:tc>
        <w:tc>
          <w:tcPr>
            <w:tcW w:w="3788" w:type="dxa"/>
            <w:tcBorders>
              <w:left w:val="none" w:sz="4" w:space="0" w:color="000000"/>
            </w:tcBorders>
            <w:shd w:val="clear" w:color="auto" w:fill="auto"/>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CCS</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Hvatanje i skladištenje ugljikovog dioksida</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654E3B">
              <w:rPr>
                <w:rFonts w:cs="Times New Roman"/>
                <w:sz w:val="22"/>
                <w:lang w:val="en-GB"/>
              </w:rPr>
              <w:t>Carbon Capture and Storage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EK</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Europska komisija</w:t>
            </w:r>
          </w:p>
        </w:tc>
        <w:tc>
          <w:tcPr>
            <w:tcW w:w="3788" w:type="dxa"/>
            <w:tcBorders>
              <w:left w:val="none" w:sz="4" w:space="0" w:color="000000"/>
            </w:tcBorders>
            <w:shd w:val="clear" w:color="auto" w:fill="auto"/>
            <w:vAlign w:val="center"/>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rsidR="007D4A93" w:rsidRPr="00654E3B" w:rsidRDefault="00EF0BEB">
            <w:pPr>
              <w:rPr>
                <w:rFonts w:cs="Times New Roman"/>
                <w:sz w:val="24"/>
                <w:szCs w:val="24"/>
              </w:rPr>
            </w:pPr>
            <w:r w:rsidRPr="00654E3B">
              <w:rPr>
                <w:rFonts w:cs="Times New Roman"/>
                <w:sz w:val="24"/>
                <w:szCs w:val="24"/>
              </w:rPr>
              <w:t>ESCO</w:t>
            </w:r>
          </w:p>
        </w:tc>
        <w:tc>
          <w:tcPr>
            <w:tcW w:w="3776" w:type="dxa"/>
            <w:tcBorders>
              <w:righ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54E3B">
              <w:rPr>
                <w:rFonts w:cs="Times New Roman"/>
                <w:sz w:val="24"/>
                <w:szCs w:val="24"/>
                <w:lang w:val="en-GB"/>
              </w:rPr>
              <w:t>Energy Service Company</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4"/>
                <w:szCs w:val="24"/>
              </w:rPr>
            </w:pPr>
            <w:r w:rsidRPr="00654E3B">
              <w:rPr>
                <w:rFonts w:cs="Times New Roman"/>
                <w:sz w:val="24"/>
                <w:szCs w:val="24"/>
              </w:rPr>
              <w:t>ETS</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54E3B">
              <w:rPr>
                <w:rFonts w:cs="Times New Roman"/>
                <w:sz w:val="24"/>
                <w:szCs w:val="24"/>
              </w:rPr>
              <w:t>Sustav trgovanja emisijskim jedinicama</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54E3B">
              <w:rPr>
                <w:rFonts w:cs="Times New Roman"/>
                <w:sz w:val="24"/>
                <w:szCs w:val="24"/>
                <w:lang w:val="en-GB"/>
              </w:rPr>
              <w:t>Emissions Trading System</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4"/>
                <w:szCs w:val="24"/>
              </w:rPr>
            </w:pPr>
            <w:r w:rsidRPr="00654E3B">
              <w:rPr>
                <w:rFonts w:cs="Times New Roman"/>
                <w:sz w:val="24"/>
                <w:szCs w:val="24"/>
              </w:rPr>
              <w:t>EU</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54E3B">
              <w:rPr>
                <w:rFonts w:cs="Times New Roman"/>
                <w:sz w:val="24"/>
                <w:szCs w:val="24"/>
              </w:rPr>
              <w:t>Europska unija</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54E3B">
              <w:rPr>
                <w:rFonts w:cs="Times New Roman"/>
                <w:sz w:val="24"/>
                <w:szCs w:val="24"/>
                <w:lang w:val="en-GB"/>
              </w:rPr>
              <w:t>European Union</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rsidR="007D4A93" w:rsidRPr="00654E3B" w:rsidRDefault="00EF0BEB">
            <w:pPr>
              <w:rPr>
                <w:rFonts w:cs="Times New Roman"/>
                <w:sz w:val="22"/>
              </w:rPr>
            </w:pPr>
            <w:r w:rsidRPr="00654E3B">
              <w:rPr>
                <w:rFonts w:cs="Times New Roman"/>
                <w:sz w:val="22"/>
              </w:rPr>
              <w:t>FRL</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Referentna razina za šume</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Forest Reference Level</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FZOEU</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Fond za zaštitu okoliša i energetsku učinkovitost</w:t>
            </w:r>
          </w:p>
        </w:tc>
        <w:tc>
          <w:tcPr>
            <w:tcW w:w="3788" w:type="dxa"/>
            <w:tcBorders>
              <w:lef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ICT</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Informacijska i komunikacijska tehnologija</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Information and Communications Technology</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IPCC</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Međuvladin panel o klimatskim promjenama</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654E3B">
              <w:rPr>
                <w:rFonts w:cs="Times New Roman"/>
                <w:sz w:val="22"/>
                <w:lang w:val="en-GB"/>
              </w:rPr>
              <w:t>Intergovernmental Panel on Climate Change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LULUCF</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Korištenje zemljišta, promjena korištenja zemljišta i šumarstvo</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Land Use, Land Use Change and Forestry</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rsidR="007D4A93" w:rsidRPr="00654E3B" w:rsidRDefault="00173BBF" w:rsidP="00173BBF">
            <w:pPr>
              <w:rPr>
                <w:rFonts w:cs="Times New Roman"/>
                <w:sz w:val="22"/>
              </w:rPr>
            </w:pPr>
            <w:r w:rsidRPr="00654E3B">
              <w:rPr>
                <w:rFonts w:cs="Times New Roman"/>
                <w:sz w:val="22"/>
              </w:rPr>
              <w:t>MPGI</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Ministarstvo prostornoga uređenja, graditeljstva i državne imovine</w:t>
            </w:r>
          </w:p>
        </w:tc>
        <w:tc>
          <w:tcPr>
            <w:tcW w:w="3788" w:type="dxa"/>
            <w:tcBorders>
              <w:lef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MINGOR</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Ministarstvo gospodarstva i održivog razvoja</w:t>
            </w:r>
          </w:p>
        </w:tc>
        <w:tc>
          <w:tcPr>
            <w:tcW w:w="3788" w:type="dxa"/>
            <w:tcBorders>
              <w:left w:val="none" w:sz="4" w:space="0" w:color="000000"/>
            </w:tcBorders>
            <w:shd w:val="clear" w:color="auto" w:fill="auto"/>
            <w:vAlign w:val="center"/>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bottom w:val="single" w:sz="4" w:space="0" w:color="auto"/>
            </w:tcBorders>
            <w:shd w:val="clear" w:color="auto" w:fill="auto"/>
            <w:vAlign w:val="center"/>
          </w:tcPr>
          <w:p w:rsidR="007D4A93" w:rsidRPr="00654E3B" w:rsidRDefault="00EF0BEB">
            <w:pPr>
              <w:rPr>
                <w:rFonts w:cs="Times New Roman"/>
                <w:sz w:val="22"/>
              </w:rPr>
            </w:pPr>
            <w:r w:rsidRPr="00654E3B">
              <w:rPr>
                <w:rFonts w:cs="Times New Roman"/>
                <w:sz w:val="22"/>
              </w:rPr>
              <w:t>NECP</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Integrirani nacionalni energetsko klimatski plan</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654E3B">
              <w:rPr>
                <w:rFonts w:cs="Times New Roman"/>
                <w:sz w:val="22"/>
                <w:lang w:val="en-GB"/>
              </w:rPr>
              <w:t>National Energy and Climate Plan</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tcBorders>
            <w:shd w:val="clear" w:color="auto" w:fill="auto"/>
            <w:vAlign w:val="center"/>
          </w:tcPr>
          <w:p w:rsidR="007D4A93" w:rsidRPr="00654E3B" w:rsidRDefault="00EF0BEB">
            <w:pPr>
              <w:rPr>
                <w:rFonts w:cs="Times New Roman"/>
                <w:sz w:val="22"/>
              </w:rPr>
            </w:pPr>
            <w:r w:rsidRPr="00654E3B">
              <w:rPr>
                <w:rFonts w:cs="Times New Roman"/>
                <w:sz w:val="22"/>
              </w:rPr>
              <w:t xml:space="preserve">nZEB </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Zgrade gotovo nulte energije</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Nearly Zero Energy Building</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OIE</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Obnovljivi izvori energije</w:t>
            </w:r>
          </w:p>
        </w:tc>
        <w:tc>
          <w:tcPr>
            <w:tcW w:w="3788" w:type="dxa"/>
            <w:tcBorders>
              <w:lef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SPP</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Stlačeni prirodni plin</w:t>
            </w:r>
          </w:p>
        </w:tc>
        <w:tc>
          <w:tcPr>
            <w:tcW w:w="3788" w:type="dxa"/>
            <w:tcBorders>
              <w:left w:val="none" w:sz="4" w:space="0" w:color="000000"/>
            </w:tcBorders>
            <w:shd w:val="clear" w:color="auto" w:fill="auto"/>
            <w:vAlign w:val="center"/>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UNDP</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Program Ujedinjenih naroda za razvoj</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654E3B">
              <w:rPr>
                <w:rFonts w:cs="Times New Roman"/>
                <w:sz w:val="22"/>
                <w:lang w:val="en-GB"/>
              </w:rPr>
              <w:t>United Nations Development Programme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UNFCCC</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Okvirna konvencija Ujedinjenih naroda o promjeni klime</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United Nations Framework - Convention on Climate Change</w:t>
            </w:r>
            <w:r w:rsidRPr="00654E3B">
              <w:rPr>
                <w:rFonts w:cs="Times New Roman"/>
                <w:sz w:val="22"/>
                <w:cs/>
                <w:lang w:val="en-GB"/>
              </w:rPr>
              <w:t>‎</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UNP</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Ukapljeni naftni plin</w:t>
            </w:r>
          </w:p>
        </w:tc>
        <w:tc>
          <w:tcPr>
            <w:tcW w:w="3788" w:type="dxa"/>
            <w:tcBorders>
              <w:lef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single" w:sz="4" w:space="0" w:color="auto"/>
            </w:tcBorders>
            <w:shd w:val="clear" w:color="auto" w:fill="auto"/>
            <w:vAlign w:val="center"/>
          </w:tcPr>
          <w:p w:rsidR="007D4A93" w:rsidRPr="00654E3B" w:rsidRDefault="00EF0BEB">
            <w:pPr>
              <w:rPr>
                <w:rFonts w:cs="Times New Roman"/>
                <w:sz w:val="22"/>
              </w:rPr>
            </w:pPr>
            <w:r w:rsidRPr="00654E3B">
              <w:rPr>
                <w:rFonts w:cs="Times New Roman"/>
                <w:sz w:val="22"/>
              </w:rPr>
              <w:t>UPP</w:t>
            </w:r>
          </w:p>
        </w:tc>
        <w:tc>
          <w:tcPr>
            <w:tcW w:w="3776" w:type="dxa"/>
            <w:tcBorders>
              <w:bottom w:val="single" w:sz="4" w:space="0" w:color="auto"/>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Ukapljeni prirodni plin</w:t>
            </w:r>
          </w:p>
        </w:tc>
        <w:tc>
          <w:tcPr>
            <w:tcW w:w="3788" w:type="dxa"/>
            <w:tcBorders>
              <w:left w:val="none" w:sz="4" w:space="0" w:color="000000"/>
              <w:bottom w:val="single" w:sz="4" w:space="0" w:color="auto"/>
            </w:tcBorders>
            <w:shd w:val="clear" w:color="auto" w:fill="auto"/>
            <w:vAlign w:val="center"/>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left w:val="single" w:sz="4" w:space="0" w:color="auto"/>
              <w:right w:val="single" w:sz="4" w:space="0" w:color="auto"/>
            </w:tcBorders>
            <w:shd w:val="clear" w:color="auto" w:fill="auto"/>
            <w:vAlign w:val="center"/>
          </w:tcPr>
          <w:p w:rsidR="007D4A93" w:rsidRPr="00654E3B" w:rsidRDefault="00EF0BEB">
            <w:pPr>
              <w:rPr>
                <w:rFonts w:cs="Times New Roman"/>
                <w:sz w:val="22"/>
              </w:rPr>
            </w:pPr>
            <w:r w:rsidRPr="00654E3B">
              <w:rPr>
                <w:rFonts w:cs="Times New Roman"/>
                <w:sz w:val="22"/>
              </w:rPr>
              <w:t>VFO</w:t>
            </w:r>
          </w:p>
        </w:tc>
        <w:tc>
          <w:tcPr>
            <w:tcW w:w="7564" w:type="dxa"/>
            <w:gridSpan w:val="2"/>
            <w:tcBorders>
              <w:top w:val="single" w:sz="4" w:space="0" w:color="auto"/>
              <w:left w:val="single" w:sz="4" w:space="0" w:color="auto"/>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bCs/>
                <w:sz w:val="22"/>
                <w:shd w:val="clear" w:color="auto" w:fill="FFFFFF"/>
              </w:rPr>
            </w:pPr>
            <w:r w:rsidRPr="00654E3B">
              <w:rPr>
                <w:rFonts w:cs="Times New Roman"/>
                <w:bCs/>
                <w:sz w:val="22"/>
                <w:shd w:val="clear" w:color="auto" w:fill="FFFFFF"/>
              </w:rPr>
              <w:t>Višegodišnji financijski okvir</w:t>
            </w:r>
          </w:p>
        </w:tc>
      </w:tr>
    </w:tbl>
    <w:p w:rsidR="007D4A93" w:rsidRPr="00654E3B" w:rsidRDefault="00EF0BEB">
      <w:pPr>
        <w:rPr>
          <w:rFonts w:eastAsia="Calibri Light" w:cs="Times New Roman"/>
          <w:b/>
          <w:bCs/>
          <w:caps/>
          <w:spacing w:val="4"/>
          <w:sz w:val="28"/>
          <w:szCs w:val="28"/>
        </w:rPr>
      </w:pPr>
      <w:bookmarkStart w:id="5" w:name="_Toc431295827"/>
      <w:bookmarkStart w:id="6" w:name="_Toc431296296"/>
      <w:bookmarkStart w:id="7" w:name="_Toc431296390"/>
      <w:bookmarkStart w:id="8" w:name="_Toc431893685"/>
      <w:bookmarkStart w:id="9" w:name="_Toc433184562"/>
      <w:bookmarkStart w:id="10" w:name="_Toc433197386"/>
      <w:bookmarkStart w:id="11" w:name="_Toc433607976"/>
      <w:bookmarkStart w:id="12" w:name="_Toc433608145"/>
      <w:bookmarkStart w:id="13" w:name="_Toc433612040"/>
      <w:bookmarkStart w:id="14" w:name="_Toc433612206"/>
      <w:bookmarkStart w:id="15" w:name="_Toc433612372"/>
      <w:bookmarkStart w:id="16" w:name="_Toc433612562"/>
      <w:bookmarkStart w:id="17" w:name="_Toc433612728"/>
      <w:bookmarkStart w:id="18" w:name="_Toc433717024"/>
      <w:bookmarkStart w:id="19" w:name="_Toc433717227"/>
      <w:bookmarkStart w:id="20" w:name="_Toc433749770"/>
      <w:bookmarkStart w:id="21" w:name="_Toc433750039"/>
      <w:bookmarkStart w:id="22" w:name="_Toc433791557"/>
      <w:bookmarkStart w:id="23" w:name="_Toc433791852"/>
      <w:bookmarkStart w:id="24" w:name="_Toc433800111"/>
      <w:bookmarkStart w:id="25" w:name="_Toc433802903"/>
      <w:bookmarkStart w:id="26" w:name="_Toc433896702"/>
      <w:bookmarkStart w:id="27" w:name="_Toc433897126"/>
      <w:bookmarkStart w:id="28" w:name="_Toc433900608"/>
      <w:bookmarkStart w:id="29" w:name="_Toc433901032"/>
      <w:bookmarkStart w:id="30" w:name="_Toc433902670"/>
      <w:bookmarkStart w:id="31" w:name="_Toc433903095"/>
      <w:bookmarkStart w:id="32" w:name="_Toc433903521"/>
      <w:bookmarkStart w:id="33" w:name="_Toc433923170"/>
      <w:bookmarkStart w:id="34" w:name="_Toc433926921"/>
      <w:bookmarkStart w:id="35" w:name="_Toc433927353"/>
      <w:bookmarkStart w:id="36" w:name="_Toc445809518"/>
      <w:bookmarkStart w:id="37" w:name="_Toc445809956"/>
      <w:bookmarkStart w:id="38" w:name="_Toc445810783"/>
      <w:bookmarkStart w:id="39" w:name="_Toc445811173"/>
      <w:bookmarkStart w:id="40" w:name="_Toc445813456"/>
      <w:bookmarkStart w:id="41" w:name="_Toc445813848"/>
      <w:bookmarkStart w:id="42" w:name="_Toc445814552"/>
      <w:bookmarkStart w:id="43" w:name="_Toc445814982"/>
      <w:bookmarkStart w:id="44" w:name="_Toc445815850"/>
      <w:bookmarkStart w:id="45" w:name="_Toc445816279"/>
      <w:bookmarkStart w:id="46" w:name="_Toc445816709"/>
      <w:bookmarkStart w:id="47" w:name="_Toc445817140"/>
      <w:bookmarkStart w:id="48" w:name="_Toc445817572"/>
      <w:bookmarkStart w:id="49" w:name="_Toc445819579"/>
      <w:bookmarkStart w:id="50" w:name="_Toc445820169"/>
      <w:bookmarkStart w:id="51" w:name="_Toc445900615"/>
      <w:bookmarkStart w:id="52" w:name="_Toc445901537"/>
      <w:bookmarkStart w:id="53" w:name="_Toc445902012"/>
      <w:bookmarkStart w:id="54" w:name="_Toc445902486"/>
      <w:bookmarkStart w:id="55" w:name="_Toc445903638"/>
      <w:bookmarkStart w:id="56" w:name="_Toc445987725"/>
      <w:bookmarkStart w:id="57" w:name="_Toc446073611"/>
      <w:bookmarkStart w:id="58" w:name="_Toc446319445"/>
      <w:bookmarkStart w:id="59" w:name="_Toc446320053"/>
      <w:bookmarkStart w:id="60" w:name="_Toc450897584"/>
      <w:bookmarkStart w:id="61" w:name="_Toc450904968"/>
      <w:bookmarkStart w:id="62" w:name="_Toc450905444"/>
      <w:bookmarkStart w:id="63" w:name="_Toc450906116"/>
      <w:bookmarkStart w:id="64" w:name="_Toc450906592"/>
      <w:bookmarkStart w:id="65" w:name="_Toc450907240"/>
      <w:bookmarkStart w:id="66" w:name="_Toc450907953"/>
      <w:bookmarkStart w:id="67" w:name="_Toc450908387"/>
      <w:bookmarkStart w:id="68" w:name="_Toc450908824"/>
      <w:bookmarkStart w:id="69" w:name="_Toc450909272"/>
      <w:bookmarkStart w:id="70" w:name="_Toc450909724"/>
      <w:bookmarkStart w:id="71" w:name="_Toc450910177"/>
      <w:bookmarkStart w:id="72" w:name="_Toc451152451"/>
      <w:bookmarkStart w:id="73" w:name="_Toc451158459"/>
      <w:bookmarkStart w:id="74" w:name="_Toc451161184"/>
      <w:bookmarkStart w:id="75" w:name="_Toc451161941"/>
      <w:bookmarkStart w:id="76" w:name="_Toc451167243"/>
      <w:bookmarkStart w:id="77" w:name="_Toc451168000"/>
      <w:bookmarkStart w:id="78" w:name="_Toc451168477"/>
      <w:bookmarkStart w:id="79" w:name="_Toc451168954"/>
      <w:bookmarkStart w:id="80" w:name="_Toc451776654"/>
      <w:bookmarkStart w:id="81" w:name="_Toc474822617"/>
      <w:bookmarkStart w:id="82" w:name="_Toc474831449"/>
      <w:bookmarkStart w:id="83" w:name="_Toc474857811"/>
      <w:bookmarkStart w:id="84" w:name="_Toc474929463"/>
      <w:bookmarkStart w:id="85" w:name="_Toc476733711"/>
      <w:bookmarkStart w:id="86" w:name="_Toc481656765"/>
      <w:bookmarkStart w:id="87" w:name="_Toc506208663"/>
      <w:bookmarkStart w:id="88" w:name="_Toc506278885"/>
      <w:bookmarkStart w:id="89" w:name="_Toc506359959"/>
      <w:bookmarkStart w:id="90" w:name="_Toc506378357"/>
      <w:bookmarkStart w:id="91" w:name="_Toc506450102"/>
      <w:bookmarkStart w:id="92" w:name="_Toc506462168"/>
      <w:bookmarkStart w:id="93" w:name="_Toc512425452"/>
      <w:bookmarkStart w:id="94" w:name="_Toc512435002"/>
      <w:bookmarkStart w:id="95" w:name="_Toc512851066"/>
      <w:bookmarkStart w:id="96" w:name="_Toc512852021"/>
      <w:bookmarkStart w:id="97" w:name="_Toc512868494"/>
      <w:bookmarkStart w:id="98" w:name="_Toc513443274"/>
      <w:bookmarkStart w:id="99" w:name="_Toc513461243"/>
      <w:bookmarkStart w:id="100" w:name="_Toc533155596"/>
      <w:bookmarkStart w:id="101" w:name="_Toc533402046"/>
      <w:bookmarkStart w:id="102" w:name="_Toc533155597"/>
      <w:bookmarkStart w:id="103" w:name="_Toc533402047"/>
      <w:bookmarkStart w:id="104" w:name="_Toc20841282"/>
      <w:bookmarkStart w:id="105" w:name="_Toc2084138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654E3B">
        <w:rPr>
          <w:rFonts w:cs="Times New Roman"/>
        </w:rPr>
        <w:br w:type="page"/>
      </w:r>
    </w:p>
    <w:p w:rsidR="007D4A93" w:rsidRPr="00654E3B" w:rsidRDefault="00EF0BEB">
      <w:pPr>
        <w:pStyle w:val="Heading1"/>
        <w:rPr>
          <w:rFonts w:ascii="Times New Roman" w:hAnsi="Times New Roman" w:cs="Times New Roman"/>
        </w:rPr>
      </w:pPr>
      <w:bookmarkStart w:id="106" w:name="_Toc69297720"/>
      <w:r w:rsidRPr="00654E3B">
        <w:rPr>
          <w:rFonts w:ascii="Times New Roman" w:hAnsi="Times New Roman" w:cs="Times New Roman"/>
        </w:rPr>
        <w:lastRenderedPageBreak/>
        <w:t>1.</w:t>
      </w:r>
      <w:r w:rsidRPr="00654E3B">
        <w:rPr>
          <w:rFonts w:ascii="Times New Roman" w:hAnsi="Times New Roman" w:cs="Times New Roman"/>
        </w:rPr>
        <w:tab/>
        <w:t>PREGLED I PROCES RAZVOJA STRATEGIJE</w:t>
      </w:r>
      <w:bookmarkEnd w:id="104"/>
      <w:bookmarkEnd w:id="105"/>
      <w:bookmarkEnd w:id="106"/>
      <w:r w:rsidRPr="00654E3B">
        <w:rPr>
          <w:rFonts w:ascii="Times New Roman" w:hAnsi="Times New Roman" w:cs="Times New Roman"/>
        </w:rPr>
        <w:t xml:space="preserve"> </w:t>
      </w:r>
    </w:p>
    <w:p w:rsidR="007D4A93" w:rsidRPr="00654E3B" w:rsidRDefault="00EF0BEB">
      <w:pPr>
        <w:pStyle w:val="Heading2"/>
        <w:rPr>
          <w:rFonts w:ascii="Times New Roman" w:hAnsi="Times New Roman" w:cs="Times New Roman"/>
        </w:rPr>
      </w:pPr>
      <w:bookmarkStart w:id="107" w:name="_Toc20841283"/>
      <w:bookmarkStart w:id="108" w:name="_Toc20841389"/>
      <w:bookmarkStart w:id="109" w:name="_Toc69297721"/>
      <w:r w:rsidRPr="00654E3B">
        <w:rPr>
          <w:rFonts w:ascii="Times New Roman" w:hAnsi="Times New Roman" w:cs="Times New Roman"/>
        </w:rPr>
        <w:t>1.1.</w:t>
      </w:r>
      <w:r w:rsidRPr="00654E3B">
        <w:rPr>
          <w:rFonts w:ascii="Times New Roman" w:hAnsi="Times New Roman" w:cs="Times New Roman"/>
        </w:rPr>
        <w:tab/>
        <w:t>SAŽETAK</w:t>
      </w:r>
      <w:bookmarkEnd w:id="107"/>
      <w:bookmarkEnd w:id="108"/>
      <w:bookmarkEnd w:id="109"/>
    </w:p>
    <w:p w:rsidR="007D4A93" w:rsidRPr="00654E3B" w:rsidRDefault="007D4A93">
      <w:pPr>
        <w:rPr>
          <w:rFonts w:cs="Times New Roman"/>
        </w:rPr>
      </w:pPr>
    </w:p>
    <w:p w:rsidR="007D4A93" w:rsidRPr="00654E3B" w:rsidRDefault="00EF0BEB">
      <w:pPr>
        <w:rPr>
          <w:rFonts w:cs="Times New Roman"/>
          <w:i/>
          <w:u w:val="single"/>
        </w:rPr>
      </w:pPr>
      <w:r w:rsidRPr="00654E3B">
        <w:rPr>
          <w:rFonts w:cs="Times New Roman"/>
          <w:i/>
          <w:u w:val="single"/>
        </w:rPr>
        <w:t xml:space="preserve">Pravna osnova za izradu Strategije niskougljičnog razvoja Republike Hrvatske </w:t>
      </w:r>
    </w:p>
    <w:p w:rsidR="007D4A93" w:rsidRPr="00654E3B" w:rsidRDefault="00EF0BEB">
      <w:pPr>
        <w:rPr>
          <w:rFonts w:cs="Times New Roman"/>
        </w:rPr>
      </w:pPr>
      <w:r w:rsidRPr="00654E3B">
        <w:rPr>
          <w:rFonts w:cs="Times New Roman"/>
        </w:rPr>
        <w:t>Globalna promjena klime danas je jedan od najvećih izazova čovječanstva. Znanstveno je utvrđeno da su vodeći uzroci promjene klime povećana emisija stakleničkih plinova, najviše kao posljedica izgaranja fosilnih goriva i intenzivne poljoprivrede te sječ</w:t>
      </w:r>
      <w:r w:rsidR="00C31465" w:rsidRPr="00654E3B">
        <w:rPr>
          <w:rFonts w:cs="Times New Roman"/>
        </w:rPr>
        <w:t>e</w:t>
      </w:r>
      <w:r w:rsidRPr="00654E3B">
        <w:rPr>
          <w:rFonts w:cs="Times New Roman"/>
        </w:rPr>
        <w:t xml:space="preserve"> prašuma. </w:t>
      </w:r>
    </w:p>
    <w:p w:rsidR="007D4A93" w:rsidRPr="00654E3B" w:rsidRDefault="00EF0BEB">
      <w:pPr>
        <w:rPr>
          <w:rFonts w:cs="Times New Roman"/>
        </w:rPr>
      </w:pPr>
      <w:r w:rsidRPr="00654E3B">
        <w:rPr>
          <w:rFonts w:cs="Times New Roman"/>
        </w:rPr>
        <w:t>Žurna potreba djelovanja na ublažavanju klimatskih promjena prepoznata je na globalnoj razini i Republika Hrvatska treba pridonijeti u najvećoj mogućoj mjeri smanjenjem emisije stakleničkih plinova. Cilj Pariškog sporazuma o zadržavanja porasta temperature</w:t>
      </w:r>
      <w:r w:rsidR="00C31465" w:rsidRPr="00654E3B">
        <w:rPr>
          <w:rFonts w:cs="Times New Roman"/>
        </w:rPr>
        <w:t xml:space="preserve"> do najviše</w:t>
      </w:r>
      <w:r w:rsidRPr="00654E3B">
        <w:rPr>
          <w:rFonts w:cs="Times New Roman"/>
        </w:rPr>
        <w:t xml:space="preserve"> 2 °C, </w:t>
      </w:r>
      <w:r w:rsidR="00C31465" w:rsidRPr="00654E3B">
        <w:rPr>
          <w:rFonts w:cs="Times New Roman"/>
        </w:rPr>
        <w:t>te</w:t>
      </w:r>
      <w:r w:rsidR="00BC081B" w:rsidRPr="00654E3B">
        <w:rPr>
          <w:rFonts w:cs="Times New Roman"/>
        </w:rPr>
        <w:t xml:space="preserve"> s dodatnim naporima za zadržavanje </w:t>
      </w:r>
      <w:r w:rsidR="00DC3C3C" w:rsidRPr="00654E3B">
        <w:rPr>
          <w:rFonts w:cs="Times New Roman"/>
        </w:rPr>
        <w:t>temperature</w:t>
      </w:r>
      <w:r w:rsidR="00C31465" w:rsidRPr="00654E3B">
        <w:rPr>
          <w:rFonts w:cs="Times New Roman"/>
        </w:rPr>
        <w:t xml:space="preserve"> </w:t>
      </w:r>
      <w:r w:rsidRPr="00654E3B">
        <w:rPr>
          <w:rFonts w:cs="Times New Roman"/>
        </w:rPr>
        <w:t>unutar 1.5 °C, Republika Hrvatska ostvaruje kolektivno u okviru politike Europske unije. Uredba (EU) 2018/1999 Europskog parlamenta i Vijeća o upravljanju energetskom unijom i djelovanjem u području klime</w:t>
      </w:r>
      <w:r w:rsidR="00111FED" w:rsidRPr="00654E3B">
        <w:rPr>
          <w:rFonts w:cs="Times New Roman"/>
        </w:rPr>
        <w:t>, izmjeni uredaba (EZ) br. 663/2009 i (EZ) br. 715/2009 Europskog parlamenta i Vijeća, direktiva 94/22/EZ, 98/70/EZ, 2009/31/EZ, 2009/119/EZ i (EU) 2015/652 te stavljanju izvan snage Uredbe (EU) br. 525/2013 Europskog parlamenta i Vijeća (SL L</w:t>
      </w:r>
      <w:r w:rsidR="001323D0" w:rsidRPr="00654E3B">
        <w:rPr>
          <w:rFonts w:cs="Times New Roman"/>
        </w:rPr>
        <w:t xml:space="preserve"> 328, 21.</w:t>
      </w:r>
      <w:r w:rsidR="00061786" w:rsidRPr="00654E3B">
        <w:rPr>
          <w:rFonts w:cs="Times New Roman"/>
        </w:rPr>
        <w:t xml:space="preserve"> </w:t>
      </w:r>
      <w:r w:rsidR="001323D0" w:rsidRPr="00654E3B">
        <w:rPr>
          <w:rFonts w:cs="Times New Roman"/>
        </w:rPr>
        <w:t>12.</w:t>
      </w:r>
      <w:r w:rsidR="00061786" w:rsidRPr="00654E3B">
        <w:rPr>
          <w:rFonts w:cs="Times New Roman"/>
        </w:rPr>
        <w:t xml:space="preserve"> </w:t>
      </w:r>
      <w:r w:rsidR="001323D0" w:rsidRPr="00654E3B">
        <w:rPr>
          <w:rFonts w:cs="Times New Roman"/>
        </w:rPr>
        <w:t>2018.)</w:t>
      </w:r>
      <w:r w:rsidR="00061786" w:rsidRPr="00654E3B">
        <w:rPr>
          <w:rFonts w:cs="Times New Roman"/>
        </w:rPr>
        <w:t>,</w:t>
      </w:r>
      <w:r w:rsidRPr="00654E3B">
        <w:rPr>
          <w:rFonts w:cs="Times New Roman"/>
        </w:rPr>
        <w:t xml:space="preserve"> </w:t>
      </w:r>
      <w:r w:rsidR="00060992" w:rsidRPr="00654E3B">
        <w:rPr>
          <w:rFonts w:cs="Times New Roman"/>
        </w:rPr>
        <w:t>u daljnjem tekstu</w:t>
      </w:r>
      <w:r w:rsidRPr="00654E3B">
        <w:rPr>
          <w:rFonts w:cs="Times New Roman"/>
        </w:rPr>
        <w:t>: EU Uredba o upravljanju</w:t>
      </w:r>
      <w:r w:rsidR="00A50241" w:rsidRPr="00654E3B">
        <w:rPr>
          <w:rFonts w:cs="Times New Roman"/>
        </w:rPr>
        <w:t>,</w:t>
      </w:r>
      <w:r w:rsidRPr="00654E3B">
        <w:rPr>
          <w:rFonts w:cs="Times New Roman"/>
        </w:rPr>
        <w:t xml:space="preserve"> propisuje državama članicama izradu integriranog nacionalnog energetsko klimatskog plana do 2030. godine i dugoročne niskougljične strategije do 2050. godine. Republika Hrvatska je obvezna dostaviti niskougljičnu strategiju u Europsku komisiju temeljem čl</w:t>
      </w:r>
      <w:r w:rsidR="0057705E" w:rsidRPr="00654E3B">
        <w:rPr>
          <w:rFonts w:cs="Times New Roman"/>
        </w:rPr>
        <w:t>anka</w:t>
      </w:r>
      <w:r w:rsidRPr="00654E3B">
        <w:rPr>
          <w:rFonts w:cs="Times New Roman"/>
        </w:rPr>
        <w:t xml:space="preserve"> 15. EU </w:t>
      </w:r>
      <w:r w:rsidR="00540EA0" w:rsidRPr="00654E3B">
        <w:rPr>
          <w:rFonts w:cs="Times New Roman"/>
        </w:rPr>
        <w:t xml:space="preserve">Uredbe </w:t>
      </w:r>
      <w:r w:rsidRPr="00654E3B">
        <w:rPr>
          <w:rFonts w:cs="Times New Roman"/>
        </w:rPr>
        <w:t>o upravljanju. Sve stranke Pariškog sporazuma pa tako i Republika Hrvatska trebaju izraditi i dostaviti Tajništvu UNFCCC svoje dugoročne niskougljične strategije.</w:t>
      </w:r>
    </w:p>
    <w:p w:rsidR="007D4A93" w:rsidRPr="00654E3B" w:rsidRDefault="00EF0BEB">
      <w:pPr>
        <w:rPr>
          <w:rFonts w:cs="Times New Roman"/>
        </w:rPr>
      </w:pPr>
      <w:r w:rsidRPr="00654E3B">
        <w:rPr>
          <w:rFonts w:cs="Times New Roman"/>
        </w:rPr>
        <w:t>Zakon o klimatskim promjenama i zaštiti ozonskog sloja (</w:t>
      </w:r>
      <w:r w:rsidR="0097190B" w:rsidRPr="00654E3B">
        <w:rPr>
          <w:rFonts w:cs="Times New Roman"/>
        </w:rPr>
        <w:t>Narodne novine</w:t>
      </w:r>
      <w:r w:rsidRPr="00654E3B">
        <w:rPr>
          <w:rFonts w:cs="Times New Roman"/>
        </w:rPr>
        <w:t>, broj 127/2019) prenosi obvezu iz EU Uredbe o upravljanju</w:t>
      </w:r>
      <w:r w:rsidR="00BD3784" w:rsidRPr="00654E3B">
        <w:rPr>
          <w:rFonts w:cs="Times New Roman"/>
        </w:rPr>
        <w:t xml:space="preserve">, </w:t>
      </w:r>
      <w:r w:rsidRPr="00654E3B">
        <w:rPr>
          <w:rFonts w:cs="Times New Roman"/>
        </w:rPr>
        <w:t>na način da definira obvezu izrade Strategije niskougljičnog razvoja Republike Hrvatske do 2030. s pogledom na 2050. godinu (dalje u testu: Niskougljična strategija) i Akcijskog plana za provedbu Niskougljične strategije za razdoblje od pet godina. Ovo je prva dugoročna strategija Republike Hrvatske, koja sukladno propisanoj strukturi iz EU Uredbe o upravljanju, daje analizu mogućnosti razvoja društva prema društvu s niskim emisijama stakleničkih plinova. Prikazana su tri scenarija</w:t>
      </w:r>
      <w:r w:rsidR="00BD3784" w:rsidRPr="00654E3B">
        <w:rPr>
          <w:rFonts w:cs="Times New Roman"/>
        </w:rPr>
        <w:t>,</w:t>
      </w:r>
      <w:r w:rsidRPr="00654E3B">
        <w:rPr>
          <w:rFonts w:cs="Times New Roman"/>
        </w:rPr>
        <w:t xml:space="preserve"> koji pomažu sagledati napore potrebne za smanjenje emisija stakleničkih plinova u Hrvatskoj.</w:t>
      </w:r>
    </w:p>
    <w:p w:rsidR="007D4A93" w:rsidRPr="00654E3B" w:rsidRDefault="00EF0BEB">
      <w:pPr>
        <w:rPr>
          <w:rFonts w:cs="Times New Roman"/>
        </w:rPr>
      </w:pPr>
      <w:r w:rsidRPr="00654E3B">
        <w:rPr>
          <w:rFonts w:cs="Times New Roman"/>
        </w:rPr>
        <w:t xml:space="preserve">Svrha je ove Niskougljične strategije pokrenuti promjene u hrvatskom društvu koje će doprinijeti smanjenju emisije stakleničkih plinova i koje će omogućiti razdvajanje gospodarskog rasta od emisije stakleničkih plinova. </w:t>
      </w:r>
      <w:r w:rsidR="00500F34" w:rsidRPr="00654E3B">
        <w:rPr>
          <w:rFonts w:cs="Times New Roman"/>
        </w:rPr>
        <w:t>Republika Hrvatska može i treba dati svoj doprinos smanjenju emisija stakleničkih plinova, sukladno ratificiranim međunarodnim sporazumima, premda je njezin udio na globalnoj razini u ukupnim emisijama stakleničkih plinova mali</w:t>
      </w:r>
      <w:r w:rsidRPr="00654E3B">
        <w:rPr>
          <w:rFonts w:cs="Times New Roman"/>
        </w:rPr>
        <w:t>. No, ovo je svakako i prilika da se uz pomoć fondova EU napravi zaokret u svim sektorima</w:t>
      </w:r>
      <w:r w:rsidR="00641868" w:rsidRPr="00654E3B">
        <w:rPr>
          <w:rFonts w:cs="Times New Roman"/>
        </w:rPr>
        <w:t xml:space="preserve">, u čemu trebaju sudjelovati sve razine </w:t>
      </w:r>
      <w:r w:rsidRPr="00654E3B">
        <w:rPr>
          <w:rFonts w:cs="Times New Roman"/>
        </w:rPr>
        <w:t xml:space="preserve">vlasti, </w:t>
      </w:r>
      <w:r w:rsidR="00641868" w:rsidRPr="00654E3B">
        <w:rPr>
          <w:rFonts w:cs="Times New Roman"/>
        </w:rPr>
        <w:t xml:space="preserve">te poslovni svijet. Promjenu hrvatskog društva i gospodarstva u niskougljično, treba ostvariti kroz </w:t>
      </w:r>
      <w:r w:rsidRPr="00654E3B">
        <w:rPr>
          <w:rFonts w:cs="Times New Roman"/>
        </w:rPr>
        <w:t>ulaganje u zeleno poslovanje i tehnologije, u inovacije i razvoj</w:t>
      </w:r>
      <w:r w:rsidR="00641868" w:rsidRPr="00654E3B">
        <w:rPr>
          <w:rFonts w:cs="Times New Roman"/>
        </w:rPr>
        <w:t>,</w:t>
      </w:r>
      <w:r w:rsidRPr="00654E3B">
        <w:rPr>
          <w:rFonts w:cs="Times New Roman"/>
        </w:rPr>
        <w:t xml:space="preserve"> koje će doprinijeti jačanju konkurentnost</w:t>
      </w:r>
      <w:r w:rsidR="00D943F6" w:rsidRPr="00654E3B">
        <w:rPr>
          <w:rFonts w:cs="Times New Roman"/>
        </w:rPr>
        <w:t>i</w:t>
      </w:r>
      <w:r w:rsidRPr="00654E3B">
        <w:rPr>
          <w:rFonts w:cs="Times New Roman"/>
        </w:rPr>
        <w:t xml:space="preserve"> na zajedničkom europskom tržištu</w:t>
      </w:r>
      <w:r w:rsidR="00D943F6" w:rsidRPr="00654E3B">
        <w:rPr>
          <w:rFonts w:cs="Times New Roman"/>
        </w:rPr>
        <w:t>,</w:t>
      </w:r>
      <w:r w:rsidRPr="00654E3B">
        <w:rPr>
          <w:rFonts w:cs="Times New Roman"/>
        </w:rPr>
        <w:t xml:space="preserve"> koje sve više traži zelene proizvode i usluge.</w:t>
      </w:r>
    </w:p>
    <w:p w:rsidR="007D4A93" w:rsidRPr="00654E3B" w:rsidRDefault="00EF0BEB">
      <w:pPr>
        <w:rPr>
          <w:rFonts w:cs="Times New Roman"/>
        </w:rPr>
      </w:pPr>
      <w:r w:rsidRPr="00654E3B">
        <w:rPr>
          <w:rFonts w:cs="Times New Roman"/>
        </w:rPr>
        <w:t>Hrvatska kao dio EU-a dijeli klimatsku ambiciju iskazanu u Europskom zelenom planu Europske komisije (2019.)</w:t>
      </w:r>
      <w:r w:rsidR="00D943F6" w:rsidRPr="00654E3B">
        <w:rPr>
          <w:rFonts w:cs="Times New Roman"/>
        </w:rPr>
        <w:t>,</w:t>
      </w:r>
      <w:r w:rsidRPr="00654E3B">
        <w:rPr>
          <w:rFonts w:cs="Times New Roman"/>
        </w:rPr>
        <w:t xml:space="preserve"> o tome da EU bude klimatski neutralna do 2050. godine. Kada budu poznate sve implikacije zajedničkog cilja EU</w:t>
      </w:r>
      <w:r w:rsidR="00D943F6" w:rsidRPr="00654E3B">
        <w:rPr>
          <w:rFonts w:cs="Times New Roman"/>
        </w:rPr>
        <w:t>-a,</w:t>
      </w:r>
      <w:r w:rsidRPr="00654E3B">
        <w:rPr>
          <w:rFonts w:cs="Times New Roman"/>
        </w:rPr>
        <w:t xml:space="preserve"> o smanjenju emisije stakleničkih plinova od -55</w:t>
      </w:r>
      <w:r w:rsidR="00060992" w:rsidRPr="00654E3B">
        <w:rPr>
          <w:rFonts w:cs="Times New Roman"/>
        </w:rPr>
        <w:t xml:space="preserve"> %  %</w:t>
      </w:r>
      <w:r w:rsidRPr="00654E3B">
        <w:rPr>
          <w:rFonts w:cs="Times New Roman"/>
        </w:rPr>
        <w:t xml:space="preserve"> do 2030. godine i cilja klimatske neutralnosti do 2050. godine na sektorske politike, biti će moguće završiti scenarij nulte emisije za Hrvatsku.</w:t>
      </w:r>
    </w:p>
    <w:p w:rsidR="007D4A93" w:rsidRPr="00654E3B" w:rsidRDefault="00EF0BEB">
      <w:pPr>
        <w:rPr>
          <w:rFonts w:cs="Times New Roman"/>
        </w:rPr>
      </w:pPr>
      <w:r w:rsidRPr="00654E3B">
        <w:rPr>
          <w:rFonts w:cs="Times New Roman"/>
        </w:rPr>
        <w:t>Niskougljičnu strategiju donosi Hrvatski sabor, na prijedlog Vlade Republike Hrvatske. Akcijski plan za provedbu Niskougljične strategije za razdoblje od pet godina donosi Vlada Republike Hrvatske, na prijedlog tijela državne uprave nadležnog za zaštitu okoliša.</w:t>
      </w:r>
    </w:p>
    <w:p w:rsidR="007D4A93" w:rsidRPr="00654E3B" w:rsidRDefault="00EF0BEB">
      <w:pPr>
        <w:rPr>
          <w:rFonts w:cs="Times New Roman"/>
        </w:rPr>
      </w:pPr>
      <w:r w:rsidRPr="00654E3B">
        <w:rPr>
          <w:rFonts w:cs="Times New Roman"/>
        </w:rPr>
        <w:lastRenderedPageBreak/>
        <w:t>Prema Zakonu o sustavu strateškog planiranja i upravljanju razvojem Republike Hrvatske (</w:t>
      </w:r>
      <w:r w:rsidR="0097190B" w:rsidRPr="00654E3B">
        <w:rPr>
          <w:rFonts w:cs="Times New Roman"/>
        </w:rPr>
        <w:t>Narodne novine</w:t>
      </w:r>
      <w:r w:rsidRPr="00654E3B">
        <w:rPr>
          <w:rFonts w:cs="Times New Roman"/>
        </w:rPr>
        <w:t>, broj 123/2017), Niskougljična strategija je nacionalna, dugoročna i višesektorska strategija, koja doprinosi definiranju krovne Nacionalne razvojne strategije Republike Hrvatske. Harmonizacija strateških i planskih dokumenata propisana je i Zakonom o zaštiti klime i ozonskog sloja</w:t>
      </w:r>
      <w:r w:rsidR="00D943F6" w:rsidRPr="00654E3B">
        <w:rPr>
          <w:rFonts w:cs="Times New Roman"/>
        </w:rPr>
        <w:t>,</w:t>
      </w:r>
      <w:r w:rsidRPr="00654E3B">
        <w:rPr>
          <w:rFonts w:cs="Times New Roman"/>
        </w:rPr>
        <w:t xml:space="preserve"> koji propisuje da nacionalni razvojni dokumenti i razvojni dokumenti pojedinih područja i djelatnosti moraju biti usklađeni s načelima, osnovnim ciljevima, prioritetima i mjerama utvrđenim u Niskougljičnoj strategiji.</w:t>
      </w:r>
    </w:p>
    <w:p w:rsidR="007D4A93" w:rsidRPr="00654E3B" w:rsidRDefault="00EF0BEB">
      <w:pPr>
        <w:rPr>
          <w:rFonts w:cs="Times New Roman"/>
        </w:rPr>
      </w:pPr>
      <w:bookmarkStart w:id="110" w:name="_Hlk44008607"/>
      <w:r w:rsidRPr="00654E3B">
        <w:rPr>
          <w:rFonts w:cs="Times New Roman"/>
        </w:rPr>
        <w:t xml:space="preserve">Pandemija COVID-19 koja se pojavila 2020. godine </w:t>
      </w:r>
      <w:r w:rsidR="00540EA0" w:rsidRPr="00654E3B">
        <w:rPr>
          <w:rFonts w:cs="Times New Roman"/>
        </w:rPr>
        <w:t xml:space="preserve">ima značajan utjecaj na gospodarstvo i društvo i </w:t>
      </w:r>
      <w:r w:rsidRPr="00654E3B">
        <w:rPr>
          <w:rFonts w:cs="Times New Roman"/>
        </w:rPr>
        <w:t xml:space="preserve">postavlja nove neizvjesne okolnosti za razvoj. </w:t>
      </w:r>
      <w:bookmarkEnd w:id="110"/>
      <w:r w:rsidRPr="00654E3B">
        <w:rPr>
          <w:rFonts w:cs="Times New Roman"/>
        </w:rPr>
        <w:t xml:space="preserve">Niskougljična strategija dobiva još veći značaj jer dodatna financijska sredstva za </w:t>
      </w:r>
      <w:r w:rsidR="00540EA0" w:rsidRPr="00654E3B">
        <w:rPr>
          <w:rFonts w:cs="Times New Roman"/>
        </w:rPr>
        <w:t xml:space="preserve">oporavak </w:t>
      </w:r>
      <w:r w:rsidRPr="00654E3B">
        <w:rPr>
          <w:rFonts w:cs="Times New Roman"/>
        </w:rPr>
        <w:t xml:space="preserve">mogu ubrzati tranziciju, otvaranje zelenih radnih mjesta, ostvarivanje resursno učinkovitog gospodarstva temeljenog na niskoj emisiji ugljika i </w:t>
      </w:r>
      <w:r w:rsidR="00D943F6" w:rsidRPr="00654E3B">
        <w:rPr>
          <w:rFonts w:cs="Times New Roman"/>
        </w:rPr>
        <w:t xml:space="preserve">otpornog </w:t>
      </w:r>
      <w:r w:rsidRPr="00654E3B">
        <w:rPr>
          <w:rFonts w:cs="Times New Roman"/>
        </w:rPr>
        <w:t>na klimatske promjene. Utjecaji pandemije COVID-19 uzet će se u obzir u planskom dokumentu</w:t>
      </w:r>
      <w:r w:rsidR="00D943F6" w:rsidRPr="00654E3B">
        <w:rPr>
          <w:rFonts w:cs="Times New Roman"/>
        </w:rPr>
        <w:t>,</w:t>
      </w:r>
      <w:r w:rsidRPr="00654E3B">
        <w:rPr>
          <w:rFonts w:cs="Times New Roman"/>
        </w:rPr>
        <w:t xml:space="preserve"> Akcijskom planu provedbe Niskougljične strategije</w:t>
      </w:r>
      <w:r w:rsidR="005F1F72" w:rsidRPr="00654E3B">
        <w:rPr>
          <w:rFonts w:cs="Times New Roman"/>
        </w:rPr>
        <w:t>.</w:t>
      </w:r>
      <w:r w:rsidRPr="00654E3B">
        <w:rPr>
          <w:rFonts w:cs="Times New Roman"/>
        </w:rPr>
        <w:t xml:space="preserve"> </w:t>
      </w:r>
    </w:p>
    <w:p w:rsidR="007D4A93" w:rsidRPr="00654E3B" w:rsidRDefault="00EF0BEB">
      <w:pPr>
        <w:rPr>
          <w:rFonts w:cs="Times New Roman"/>
        </w:rPr>
      </w:pPr>
      <w:r w:rsidRPr="00654E3B">
        <w:rPr>
          <w:rFonts w:cs="Times New Roman"/>
        </w:rPr>
        <w:t xml:space="preserve">Niskougljična strategija ima u fokusu smanjiti emisije stakleničkih plinova i spriječiti porast koncentracije istih u atmosferi i posljedično </w:t>
      </w:r>
      <w:r w:rsidR="005F1F72" w:rsidRPr="00654E3B">
        <w:rPr>
          <w:rFonts w:cs="Times New Roman"/>
        </w:rPr>
        <w:t>ograniči</w:t>
      </w:r>
      <w:r w:rsidRPr="00654E3B">
        <w:rPr>
          <w:rFonts w:cs="Times New Roman"/>
        </w:rPr>
        <w:t xml:space="preserve">ti globalni porast temperature. Međutim, klimatske promjene se već događaju iz razloga što su staklenički plinovi u atmosferi dugoživući, ali i zbog toga što se međunarodni sporazumi o klimi ne provode odgovarajućom dinamikom. </w:t>
      </w:r>
    </w:p>
    <w:p w:rsidR="007D4A93" w:rsidRPr="00654E3B" w:rsidRDefault="00EF0BEB">
      <w:pPr>
        <w:rPr>
          <w:rFonts w:cs="Times New Roman"/>
        </w:rPr>
      </w:pPr>
      <w:r w:rsidRPr="00654E3B">
        <w:rPr>
          <w:rFonts w:cs="Times New Roman"/>
        </w:rPr>
        <w:t>Klimatske promjene su najveći izazov s kojim se svijet suočava te uzrokuju velike štete po gospodarstvo, društvo i ekosustave. Stoga je važno da se istovremeno radi na jačanju otpornosti na klimatske promjene i na provedbi mjera prilagodbe</w:t>
      </w:r>
      <w:r w:rsidR="0072615A" w:rsidRPr="00654E3B">
        <w:rPr>
          <w:rFonts w:cs="Times New Roman"/>
        </w:rPr>
        <w:t>,</w:t>
      </w:r>
      <w:r w:rsidRPr="00654E3B">
        <w:rPr>
          <w:rFonts w:cs="Times New Roman"/>
        </w:rPr>
        <w:t xml:space="preserve"> kako bi se štete minimizirale i iskoristile prilike. Pri odabiru odgovarajućih mjera niskougljičnog razvoja</w:t>
      </w:r>
      <w:r w:rsidR="0072615A" w:rsidRPr="00654E3B">
        <w:rPr>
          <w:rFonts w:cs="Times New Roman"/>
        </w:rPr>
        <w:t>,</w:t>
      </w:r>
      <w:r w:rsidRPr="00654E3B">
        <w:rPr>
          <w:rFonts w:cs="Times New Roman"/>
        </w:rPr>
        <w:t xml:space="preserve"> treba u tom smislu voditi računa </w:t>
      </w:r>
      <w:r w:rsidR="0072615A" w:rsidRPr="00654E3B">
        <w:rPr>
          <w:rFonts w:cs="Times New Roman"/>
        </w:rPr>
        <w:t xml:space="preserve">o rizicima </w:t>
      </w:r>
      <w:r w:rsidRPr="00654E3B">
        <w:rPr>
          <w:rFonts w:cs="Times New Roman"/>
        </w:rPr>
        <w:t xml:space="preserve">od klimatskih promjena, kao i </w:t>
      </w:r>
      <w:r w:rsidR="0072615A" w:rsidRPr="00654E3B">
        <w:rPr>
          <w:rFonts w:cs="Times New Roman"/>
        </w:rPr>
        <w:t>o tome</w:t>
      </w:r>
      <w:r w:rsidRPr="00654E3B">
        <w:rPr>
          <w:rFonts w:cs="Times New Roman"/>
        </w:rPr>
        <w:t xml:space="preserve"> da odabrane mjere doprinose prilagodbi klimatskim promjenama, što važi i obrnuto. Izvješće Međuvladinog panela za klimatske promjene iz 2019. godine</w:t>
      </w:r>
      <w:r w:rsidR="0072615A" w:rsidRPr="00654E3B">
        <w:rPr>
          <w:rFonts w:cs="Times New Roman"/>
        </w:rPr>
        <w:t>,</w:t>
      </w:r>
      <w:r w:rsidRPr="00654E3B">
        <w:rPr>
          <w:rFonts w:cs="Times New Roman"/>
        </w:rPr>
        <w:t xml:space="preserve"> daje podatak da je globalni trend porasta temperature već na + 1,1 °C te ako se nastavi povećavati koncentracija stakleničkih plinova sadašnjom brzinom, globalno zagrijavanje će vjerojatno dosegnuti + 1,5 °C između 2030. i 2052. godine. </w:t>
      </w:r>
    </w:p>
    <w:p w:rsidR="007D4A93" w:rsidRPr="00654E3B" w:rsidRDefault="00EF0BEB">
      <w:pPr>
        <w:rPr>
          <w:rFonts w:cs="Times New Roman"/>
        </w:rPr>
      </w:pPr>
      <w:r w:rsidRPr="00654E3B">
        <w:rPr>
          <w:rFonts w:cs="Times New Roman"/>
        </w:rPr>
        <w:t>Sve je više dokaza da je Hrvatska pod utjecajima klimatskih promjena te da Hrvatska već sada trpi velike štete od ekstremnih vremenskih nepogoda</w:t>
      </w:r>
      <w:r w:rsidR="0072615A" w:rsidRPr="00654E3B">
        <w:rPr>
          <w:rFonts w:cs="Times New Roman"/>
        </w:rPr>
        <w:t>,</w:t>
      </w:r>
      <w:r w:rsidRPr="00654E3B">
        <w:rPr>
          <w:rFonts w:cs="Times New Roman"/>
        </w:rPr>
        <w:t xml:space="preserve"> </w:t>
      </w:r>
      <w:r w:rsidR="0072615A" w:rsidRPr="00654E3B">
        <w:rPr>
          <w:rFonts w:cs="Times New Roman"/>
        </w:rPr>
        <w:t xml:space="preserve">koje </w:t>
      </w:r>
      <w:r w:rsidRPr="00654E3B">
        <w:rPr>
          <w:rFonts w:cs="Times New Roman"/>
        </w:rPr>
        <w:t>su potenciran</w:t>
      </w:r>
      <w:r w:rsidR="0072615A" w:rsidRPr="00654E3B">
        <w:rPr>
          <w:rFonts w:cs="Times New Roman"/>
        </w:rPr>
        <w:t>e</w:t>
      </w:r>
      <w:r w:rsidRPr="00654E3B">
        <w:rPr>
          <w:rFonts w:cs="Times New Roman"/>
        </w:rPr>
        <w:t xml:space="preserve"> klimatskim promjenama. Prema Strategiji prilagodbe </w:t>
      </w:r>
      <w:r w:rsidR="0072615A" w:rsidRPr="00654E3B">
        <w:rPr>
          <w:rFonts w:cs="Times New Roman"/>
        </w:rPr>
        <w:t xml:space="preserve">klimatskim </w:t>
      </w:r>
      <w:r w:rsidRPr="00654E3B">
        <w:rPr>
          <w:rFonts w:cs="Times New Roman"/>
        </w:rPr>
        <w:t>promjena</w:t>
      </w:r>
      <w:r w:rsidR="0072615A" w:rsidRPr="00654E3B">
        <w:rPr>
          <w:rFonts w:cs="Times New Roman"/>
        </w:rPr>
        <w:t>ma</w:t>
      </w:r>
      <w:r w:rsidRPr="00654E3B">
        <w:rPr>
          <w:rFonts w:cs="Times New Roman"/>
        </w:rPr>
        <w:t xml:space="preserve"> za razdoblje do 2040. godine s pogledom do 2070. godine (</w:t>
      </w:r>
      <w:r w:rsidR="0097190B" w:rsidRPr="00654E3B">
        <w:rPr>
          <w:rFonts w:cs="Times New Roman"/>
        </w:rPr>
        <w:t>Narodne novine</w:t>
      </w:r>
      <w:r w:rsidRPr="00654E3B">
        <w:rPr>
          <w:rFonts w:cs="Times New Roman"/>
        </w:rPr>
        <w:t>, broj 46/2020)</w:t>
      </w:r>
      <w:r w:rsidR="0072615A" w:rsidRPr="00654E3B">
        <w:rPr>
          <w:rFonts w:cs="Times New Roman"/>
        </w:rPr>
        <w:t>,</w:t>
      </w:r>
      <w:r w:rsidRPr="00654E3B">
        <w:rPr>
          <w:rFonts w:cs="Times New Roman"/>
        </w:rPr>
        <w:t xml:space="preserve"> za očekivati je da će temperatura zraka u Hrvatskoj porast</w:t>
      </w:r>
      <w:r w:rsidR="0072615A" w:rsidRPr="00654E3B">
        <w:rPr>
          <w:rFonts w:cs="Times New Roman"/>
        </w:rPr>
        <w:t>i</w:t>
      </w:r>
      <w:r w:rsidRPr="00654E3B">
        <w:rPr>
          <w:rFonts w:cs="Times New Roman"/>
        </w:rPr>
        <w:t xml:space="preserve"> od 1,3 i 1,5 °C do 2040., odnosno od 2,2 – 2,5 °C do 2070. godine</w:t>
      </w:r>
      <w:r w:rsidR="0072615A" w:rsidRPr="00654E3B">
        <w:rPr>
          <w:rFonts w:cs="Times New Roman"/>
        </w:rPr>
        <w:t>,</w:t>
      </w:r>
      <w:r w:rsidRPr="00654E3B">
        <w:rPr>
          <w:rFonts w:cs="Times New Roman"/>
        </w:rPr>
        <w:t xml:space="preserve"> što posljedično utječe na niz klimatskih parametara. </w:t>
      </w:r>
    </w:p>
    <w:p w:rsidR="007D4A93" w:rsidRPr="00654E3B" w:rsidRDefault="00EF0BEB">
      <w:pPr>
        <w:rPr>
          <w:rFonts w:cs="Times New Roman"/>
          <w:b/>
          <w:i/>
          <w:u w:val="single"/>
        </w:rPr>
      </w:pPr>
      <w:r w:rsidRPr="00654E3B">
        <w:rPr>
          <w:rFonts w:cs="Times New Roman"/>
          <w:b/>
          <w:i/>
          <w:u w:val="single"/>
        </w:rPr>
        <w:t xml:space="preserve">Postupak izrade strategije </w:t>
      </w:r>
    </w:p>
    <w:p w:rsidR="007D4A93" w:rsidRPr="00654E3B" w:rsidRDefault="00EF0BEB">
      <w:pPr>
        <w:rPr>
          <w:rFonts w:cs="Times New Roman"/>
        </w:rPr>
      </w:pPr>
      <w:r w:rsidRPr="00654E3B">
        <w:rPr>
          <w:rFonts w:cs="Times New Roman"/>
        </w:rPr>
        <w:t xml:space="preserve">Niskougljična strategija izrađena je na uključiv i transparentan način u čemu su sudjelovali brojni dionici iz svih glavnih skupina, kroz četiri koraka. </w:t>
      </w:r>
    </w:p>
    <w:p w:rsidR="007D4A93" w:rsidRPr="00654E3B" w:rsidRDefault="00EF0BEB">
      <w:pPr>
        <w:rPr>
          <w:rFonts w:cs="Times New Roman"/>
        </w:rPr>
      </w:pPr>
      <w:r w:rsidRPr="00654E3B">
        <w:rPr>
          <w:rFonts w:cs="Times New Roman"/>
          <w:b/>
        </w:rPr>
        <w:t>Prvi korak</w:t>
      </w:r>
      <w:r w:rsidRPr="00654E3B">
        <w:rPr>
          <w:rFonts w:cs="Times New Roman"/>
        </w:rPr>
        <w:t xml:space="preserve"> započeo je 2012. godine kroz LEDS projekt (eng. </w:t>
      </w:r>
      <w:r w:rsidRPr="00654E3B">
        <w:rPr>
          <w:rFonts w:cs="Times New Roman"/>
          <w:i/>
        </w:rPr>
        <w:t>Low Emission Development Strategies</w:t>
      </w:r>
      <w:r w:rsidRPr="00654E3B">
        <w:rPr>
          <w:rFonts w:cs="Times New Roman"/>
        </w:rPr>
        <w:t xml:space="preserve">) Ministarstva zaštite okoliša i prirode u partnerstvu s Programom Ujedinjenih naroda za razvoj (UNDP), čime je kroz niz sektorskih radionica izrađen Okvir za izradu Strategije niskougljičnog razvoja </w:t>
      </w:r>
      <w:r w:rsidR="0072615A" w:rsidRPr="00654E3B">
        <w:rPr>
          <w:rFonts w:cs="Times New Roman"/>
        </w:rPr>
        <w:t xml:space="preserve">Republike </w:t>
      </w:r>
      <w:r w:rsidRPr="00654E3B">
        <w:rPr>
          <w:rFonts w:cs="Times New Roman"/>
        </w:rPr>
        <w:t xml:space="preserve">Hrvatske (LEDS). </w:t>
      </w:r>
    </w:p>
    <w:p w:rsidR="007D4A93" w:rsidRPr="00654E3B" w:rsidRDefault="00EF0BEB">
      <w:pPr>
        <w:rPr>
          <w:rFonts w:cs="Times New Roman"/>
        </w:rPr>
      </w:pPr>
      <w:r w:rsidRPr="00654E3B">
        <w:rPr>
          <w:rFonts w:cs="Times New Roman"/>
        </w:rPr>
        <w:t>U</w:t>
      </w:r>
      <w:r w:rsidRPr="00654E3B">
        <w:rPr>
          <w:rFonts w:cs="Times New Roman"/>
          <w:b/>
        </w:rPr>
        <w:t xml:space="preserve"> drugom koraku</w:t>
      </w:r>
      <w:r w:rsidRPr="00654E3B">
        <w:rPr>
          <w:rFonts w:cs="Times New Roman"/>
        </w:rPr>
        <w:t>, od 2014. do 2015. godine, uz sudjelovanje mnogobrojnih institucija izrađene su stručne podloge čiji su rezultat bile Zelena knjiga (detaljne tehničke analize ciljeva, mjera, scenarija i utjecaja) i Bijela knjiga (</w:t>
      </w:r>
      <w:r w:rsidR="0057705E" w:rsidRPr="00654E3B">
        <w:rPr>
          <w:rFonts w:cs="Times New Roman"/>
        </w:rPr>
        <w:t>N</w:t>
      </w:r>
      <w:r w:rsidRPr="00654E3B">
        <w:rPr>
          <w:rFonts w:cs="Times New Roman"/>
        </w:rPr>
        <w:t xml:space="preserve">acrt </w:t>
      </w:r>
      <w:r w:rsidR="0057705E" w:rsidRPr="00654E3B">
        <w:rPr>
          <w:rFonts w:cs="Times New Roman"/>
        </w:rPr>
        <w:t>n</w:t>
      </w:r>
      <w:r w:rsidRPr="00654E3B">
        <w:rPr>
          <w:rFonts w:cs="Times New Roman"/>
        </w:rPr>
        <w:t>iskougljične strategije). Prilikom izrade stručnih podloga održan je niz sektorskih radionica i javnih izlaganja, kako bi se stručna i zainteresirana javnosti uključila u izradu stručnih podloga. Započeo je postupak strateške procjene utjecaja na okoliš s glavnom ocjenom prihvatljivosti za ekološku mrežu.</w:t>
      </w:r>
    </w:p>
    <w:p w:rsidR="007D4A93" w:rsidRPr="00654E3B" w:rsidRDefault="00EF0BEB">
      <w:pPr>
        <w:rPr>
          <w:rFonts w:cs="Times New Roman"/>
        </w:rPr>
      </w:pPr>
      <w:r w:rsidRPr="00654E3B">
        <w:rPr>
          <w:rFonts w:cs="Times New Roman"/>
        </w:rPr>
        <w:t>U</w:t>
      </w:r>
      <w:r w:rsidRPr="00654E3B">
        <w:rPr>
          <w:rFonts w:cs="Times New Roman"/>
          <w:b/>
        </w:rPr>
        <w:t xml:space="preserve"> trećem koraku</w:t>
      </w:r>
      <w:r w:rsidRPr="00654E3B">
        <w:rPr>
          <w:rFonts w:cs="Times New Roman"/>
        </w:rPr>
        <w:t xml:space="preserve">, od 2016. do 2017. godine, provedeni su novi proračuni i novelacija niskougljičnih scenarija. Razlog su bile promjene u povijesnom nizu podataka, novelacija cijena goriva i tehnologija </w:t>
      </w:r>
      <w:r w:rsidRPr="00654E3B">
        <w:rPr>
          <w:rFonts w:cs="Times New Roman"/>
        </w:rPr>
        <w:lastRenderedPageBreak/>
        <w:t xml:space="preserve">te nove pretpostavke razvojnih politika. U konzultacijama s </w:t>
      </w:r>
      <w:r w:rsidR="00E05540" w:rsidRPr="00654E3B">
        <w:rPr>
          <w:rFonts w:cs="Times New Roman"/>
        </w:rPr>
        <w:t xml:space="preserve">nadležnim </w:t>
      </w:r>
      <w:r w:rsidRPr="00654E3B">
        <w:rPr>
          <w:rFonts w:cs="Times New Roman"/>
        </w:rPr>
        <w:t>ministarstvima</w:t>
      </w:r>
      <w:r w:rsidR="00E05540" w:rsidRPr="00654E3B">
        <w:rPr>
          <w:rFonts w:cs="Times New Roman"/>
        </w:rPr>
        <w:t>,</w:t>
      </w:r>
      <w:r w:rsidRPr="00654E3B">
        <w:rPr>
          <w:rFonts w:cs="Times New Roman"/>
        </w:rPr>
        <w:t xml:space="preserve"> napravljena je druga revizija Bijele knjige, odnosno </w:t>
      </w:r>
      <w:r w:rsidR="0057705E" w:rsidRPr="00654E3B">
        <w:rPr>
          <w:rFonts w:cs="Times New Roman"/>
        </w:rPr>
        <w:t>P</w:t>
      </w:r>
      <w:r w:rsidRPr="00654E3B">
        <w:rPr>
          <w:rFonts w:cs="Times New Roman"/>
        </w:rPr>
        <w:t xml:space="preserve">rijedlog </w:t>
      </w:r>
      <w:r w:rsidR="0057705E" w:rsidRPr="00654E3B">
        <w:rPr>
          <w:rFonts w:cs="Times New Roman"/>
        </w:rPr>
        <w:t>n</w:t>
      </w:r>
      <w:r w:rsidRPr="00654E3B">
        <w:rPr>
          <w:rFonts w:cs="Times New Roman"/>
        </w:rPr>
        <w:t>iskougljične strategije. Nastavljen je postupak strateške procjene utjecaja na okoliš s glavnom ocjenom prihvatljivosti za ekološku mrežu te je provedeno javno savjetovanje o prijedlogu Niskougljične strategije i Strateške studije utjecaja na okoliš Niskougljične strategije.</w:t>
      </w:r>
    </w:p>
    <w:p w:rsidR="007D4A93" w:rsidRPr="00654E3B" w:rsidRDefault="00EF0BEB">
      <w:pPr>
        <w:rPr>
          <w:rFonts w:cs="Times New Roman"/>
        </w:rPr>
      </w:pPr>
      <w:r w:rsidRPr="00654E3B">
        <w:rPr>
          <w:rFonts w:cs="Times New Roman"/>
        </w:rPr>
        <w:t xml:space="preserve">U </w:t>
      </w:r>
      <w:r w:rsidRPr="00654E3B">
        <w:rPr>
          <w:rFonts w:cs="Times New Roman"/>
          <w:b/>
          <w:bCs/>
        </w:rPr>
        <w:t>četvrtom koraku</w:t>
      </w:r>
      <w:r w:rsidRPr="00654E3B">
        <w:rPr>
          <w:rFonts w:cs="Times New Roman"/>
        </w:rPr>
        <w:t>, od 2019. do 2020. godine provedena je novelacija Bijele knjige. Naime, tada su u izradi bili Strategija energetskog razvoja Republike Hrvatske do 2030. s pogledom na 2050. godinu (</w:t>
      </w:r>
      <w:r w:rsidR="00060992" w:rsidRPr="00654E3B">
        <w:rPr>
          <w:rFonts w:cs="Times New Roman"/>
        </w:rPr>
        <w:t>u daljnjem tekstu</w:t>
      </w:r>
      <w:r w:rsidRPr="00654E3B">
        <w:rPr>
          <w:rFonts w:cs="Times New Roman"/>
        </w:rPr>
        <w:t>: Energetska strategija) i Integrirani nacionalni energetski i klimatski plan za razdoblje od 2021. do 2030. godine (</w:t>
      </w:r>
      <w:r w:rsidR="00060992" w:rsidRPr="00654E3B">
        <w:rPr>
          <w:rFonts w:cs="Times New Roman"/>
        </w:rPr>
        <w:t>u daljnjem tekstu</w:t>
      </w:r>
      <w:r w:rsidRPr="00654E3B">
        <w:rPr>
          <w:rFonts w:cs="Times New Roman"/>
        </w:rPr>
        <w:t>: NECP) te su u koordinaciji i kroz iterativni pristup postavljeni sukladni ciljevi smanjenja emisije stakleničkih plinova u energetskim sektorima. Istovremeno su ažurirani refere</w:t>
      </w:r>
      <w:r w:rsidR="008D54E3" w:rsidRPr="00654E3B">
        <w:rPr>
          <w:rFonts w:cs="Times New Roman"/>
        </w:rPr>
        <w:t xml:space="preserve">ntni i niskougljični scenariji </w:t>
      </w:r>
      <w:r w:rsidRPr="00654E3B">
        <w:rPr>
          <w:rFonts w:cs="Times New Roman"/>
        </w:rPr>
        <w:t>sektora izvan energetike (industrijski procesi i uporaba proizvoda, poljoprivreda, otpad, korištenje zemljišta, prenamjene zemljišta i šumarstvo - LULUCF).</w:t>
      </w:r>
    </w:p>
    <w:p w:rsidR="007D4A93" w:rsidRPr="00654E3B" w:rsidRDefault="00EF0BEB">
      <w:pPr>
        <w:rPr>
          <w:rFonts w:cs="Times New Roman"/>
          <w:i/>
          <w:u w:val="single"/>
        </w:rPr>
      </w:pPr>
      <w:r w:rsidRPr="00654E3B">
        <w:rPr>
          <w:rFonts w:cs="Times New Roman"/>
          <w:b/>
          <w:i/>
          <w:u w:val="single"/>
        </w:rPr>
        <w:t>Metodološki pristup</w:t>
      </w:r>
    </w:p>
    <w:p w:rsidR="007D4A93" w:rsidRPr="00654E3B" w:rsidRDefault="00EF0BEB">
      <w:pPr>
        <w:rPr>
          <w:rFonts w:cs="Times New Roman"/>
        </w:rPr>
      </w:pPr>
      <w:r w:rsidRPr="00654E3B">
        <w:rPr>
          <w:rFonts w:cs="Times New Roman"/>
        </w:rPr>
        <w:t>U izradi Niskougljične strategije analiziran je niz scenarija, primijenjeni su mnogobrojni modeli za simulacije i optimiranje, a razvijen je i integralni model za nacionalne projekcije stakleničkih plinova NUSPCRO (Niskougljično strateško planiranje Republike Hrvatske). Emisije stakleničkih plinova i projekcije iskazane su u skladu s metodologijom iz vodiča Međuvladinog panela za klimatske promjene iz 2006. godine (IPCC 2006) i odgovarajućih faktora stakleničkog potencijala za izračun ekvivalenata emisija CO</w:t>
      </w:r>
      <w:r w:rsidRPr="00654E3B">
        <w:rPr>
          <w:rFonts w:cs="Times New Roman"/>
          <w:vertAlign w:val="subscript"/>
        </w:rPr>
        <w:t>2</w:t>
      </w:r>
      <w:r w:rsidRPr="00654E3B">
        <w:rPr>
          <w:rFonts w:cs="Times New Roman"/>
        </w:rPr>
        <w:t>.</w:t>
      </w:r>
    </w:p>
    <w:p w:rsidR="007D4A93" w:rsidRPr="00654E3B" w:rsidRDefault="00EF0BEB">
      <w:pPr>
        <w:rPr>
          <w:rFonts w:cs="Times New Roman"/>
          <w:b/>
          <w:i/>
          <w:u w:val="single"/>
        </w:rPr>
      </w:pPr>
      <w:r w:rsidRPr="00654E3B">
        <w:rPr>
          <w:rFonts w:cs="Times New Roman"/>
          <w:b/>
          <w:i/>
          <w:u w:val="single"/>
        </w:rPr>
        <w:t xml:space="preserve">Emisija stakleničkih plinova </w:t>
      </w:r>
    </w:p>
    <w:p w:rsidR="007D4A93" w:rsidRPr="00654E3B" w:rsidRDefault="00EF0BEB">
      <w:pPr>
        <w:rPr>
          <w:rFonts w:cs="Times New Roman"/>
        </w:rPr>
      </w:pPr>
      <w:r w:rsidRPr="00654E3B">
        <w:rPr>
          <w:rFonts w:cs="Times New Roman"/>
        </w:rPr>
        <w:t xml:space="preserve">Ukupna emisija stakleničkih plinova u </w:t>
      </w:r>
      <w:r w:rsidR="00C30C41" w:rsidRPr="00654E3B">
        <w:rPr>
          <w:rFonts w:cs="Times New Roman"/>
        </w:rPr>
        <w:t xml:space="preserve">Republici </w:t>
      </w:r>
      <w:r w:rsidRPr="00654E3B">
        <w:rPr>
          <w:rFonts w:cs="Times New Roman"/>
        </w:rPr>
        <w:t>Hrvatskoj, isključujući ponore, u 2018. godini iznosila je 23.792,80 kt CO</w:t>
      </w:r>
      <w:r w:rsidRPr="00654E3B">
        <w:rPr>
          <w:rFonts w:cs="Times New Roman"/>
          <w:vertAlign w:val="subscript"/>
        </w:rPr>
        <w:t>2</w:t>
      </w:r>
      <w:r w:rsidRPr="00654E3B">
        <w:rPr>
          <w:rFonts w:cs="Times New Roman"/>
        </w:rPr>
        <w:t>e, što predstavlja smanjenje emisija za 25,36</w:t>
      </w:r>
      <w:r w:rsidR="00060992" w:rsidRPr="00654E3B">
        <w:rPr>
          <w:rFonts w:cs="Times New Roman"/>
        </w:rPr>
        <w:t xml:space="preserve"> %  %</w:t>
      </w:r>
      <w:r w:rsidRPr="00654E3B">
        <w:rPr>
          <w:rFonts w:cs="Times New Roman"/>
        </w:rPr>
        <w:t xml:space="preserve"> u odnosu na emisiju stakleničkih plinova u 1990. godini. Trend emisija stakleničkih plinova po sektorima, prikazan je na slici 1-1.</w:t>
      </w:r>
      <w:bookmarkStart w:id="111" w:name="_Toc436823637"/>
      <w:bookmarkStart w:id="112" w:name="_Toc390418884"/>
      <w:bookmarkStart w:id="113" w:name="_Toc292099512"/>
    </w:p>
    <w:p w:rsidR="007D4A93" w:rsidRPr="00F01191" w:rsidRDefault="00EF0BEB">
      <w:pPr>
        <w:jc w:val="center"/>
        <w:rPr>
          <w:rFonts w:cs="Times New Roman"/>
        </w:rPr>
      </w:pPr>
      <w:r w:rsidRPr="00F01191">
        <w:rPr>
          <w:rFonts w:cs="Times New Roman"/>
          <w:noProof/>
          <w:lang w:eastAsia="hr-HR"/>
        </w:rPr>
        <w:drawing>
          <wp:inline distT="0" distB="0" distL="0" distR="0" wp14:anchorId="3FB9DD6D" wp14:editId="5870827A">
            <wp:extent cx="4944139" cy="3237329"/>
            <wp:effectExtent l="0" t="0" r="8890" b="127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jpg"/>
                    <pic:cNvPicPr>
                      <a:picLocks noChangeAspect="1"/>
                    </pic:cNvPicPr>
                  </pic:nvPicPr>
                  <pic:blipFill>
                    <a:blip r:embed="rId11"/>
                    <a:stretch/>
                  </pic:blipFill>
                  <pic:spPr bwMode="auto">
                    <a:xfrm>
                      <a:off x="0" y="0"/>
                      <a:ext cx="4972950" cy="3256194"/>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bookmarkStart w:id="114" w:name="_Toc23415503"/>
      <w:bookmarkStart w:id="115" w:name="_Toc33417093"/>
      <w:r w:rsidRPr="00654E3B">
        <w:rPr>
          <w:rFonts w:ascii="Times New Roman" w:hAnsi="Times New Roman"/>
          <w:i/>
        </w:rPr>
        <w:t>Slika 1-1: Trend emisija stakleničkih plinova po sektorima</w:t>
      </w:r>
      <w:bookmarkEnd w:id="111"/>
      <w:bookmarkEnd w:id="112"/>
      <w:bookmarkEnd w:id="113"/>
      <w:bookmarkEnd w:id="114"/>
      <w:bookmarkEnd w:id="115"/>
    </w:p>
    <w:p w:rsidR="007D4A93" w:rsidRPr="00654E3B" w:rsidRDefault="00EF0BEB">
      <w:pPr>
        <w:rPr>
          <w:rFonts w:cs="Times New Roman"/>
        </w:rPr>
      </w:pPr>
      <w:r w:rsidRPr="00654E3B">
        <w:rPr>
          <w:rFonts w:cs="Times New Roman"/>
        </w:rPr>
        <w:t>U ukupnoj emisiji stakleničkih plinova ugljikov dioksid (CO</w:t>
      </w:r>
      <w:r w:rsidRPr="00654E3B">
        <w:rPr>
          <w:rFonts w:cs="Times New Roman"/>
          <w:vertAlign w:val="subscript"/>
        </w:rPr>
        <w:t>2</w:t>
      </w:r>
      <w:r w:rsidRPr="00654E3B">
        <w:rPr>
          <w:rFonts w:cs="Times New Roman"/>
        </w:rPr>
        <w:t>) čini 74,5</w:t>
      </w:r>
      <w:r w:rsidR="00060992" w:rsidRPr="00654E3B">
        <w:rPr>
          <w:rFonts w:cs="Times New Roman"/>
        </w:rPr>
        <w:t xml:space="preserve"> %</w:t>
      </w:r>
      <w:r w:rsidRPr="00654E3B">
        <w:rPr>
          <w:rFonts w:cs="Times New Roman"/>
        </w:rPr>
        <w:t>, metan (CH</w:t>
      </w:r>
      <w:r w:rsidRPr="00654E3B">
        <w:rPr>
          <w:rFonts w:cs="Times New Roman"/>
          <w:vertAlign w:val="subscript"/>
        </w:rPr>
        <w:t>4</w:t>
      </w:r>
      <w:r w:rsidRPr="00654E3B">
        <w:rPr>
          <w:rFonts w:cs="Times New Roman"/>
        </w:rPr>
        <w:t>) 16,3</w:t>
      </w:r>
      <w:r w:rsidR="00060992" w:rsidRPr="00654E3B">
        <w:rPr>
          <w:rFonts w:cs="Times New Roman"/>
        </w:rPr>
        <w:t xml:space="preserve"> %</w:t>
      </w:r>
      <w:r w:rsidRPr="00654E3B">
        <w:rPr>
          <w:rFonts w:cs="Times New Roman"/>
        </w:rPr>
        <w:t>, didušikov oksid (N</w:t>
      </w:r>
      <w:r w:rsidRPr="00654E3B">
        <w:rPr>
          <w:rFonts w:cs="Times New Roman"/>
          <w:vertAlign w:val="subscript"/>
        </w:rPr>
        <w:t>2</w:t>
      </w:r>
      <w:r w:rsidRPr="00654E3B">
        <w:rPr>
          <w:rFonts w:cs="Times New Roman"/>
        </w:rPr>
        <w:t>O) 7,1</w:t>
      </w:r>
      <w:r w:rsidR="00060992" w:rsidRPr="00654E3B">
        <w:rPr>
          <w:rFonts w:cs="Times New Roman"/>
        </w:rPr>
        <w:t xml:space="preserve"> %</w:t>
      </w:r>
      <w:r w:rsidRPr="00654E3B">
        <w:rPr>
          <w:rFonts w:cs="Times New Roman"/>
        </w:rPr>
        <w:t>, a fluorirani ugljikovodici 2,1</w:t>
      </w:r>
      <w:r w:rsidR="00060992" w:rsidRPr="00654E3B">
        <w:rPr>
          <w:rFonts w:cs="Times New Roman"/>
        </w:rPr>
        <w:t xml:space="preserve"> %</w:t>
      </w:r>
      <w:r w:rsidRPr="00654E3B">
        <w:rPr>
          <w:rFonts w:cs="Times New Roman"/>
        </w:rPr>
        <w:t>. U Europski sustav trgovanja emisijskim jedinicama (</w:t>
      </w:r>
      <w:r w:rsidR="003A7DC8" w:rsidRPr="00654E3B">
        <w:rPr>
          <w:rFonts w:cs="Times New Roman"/>
        </w:rPr>
        <w:t xml:space="preserve">EU </w:t>
      </w:r>
      <w:r w:rsidRPr="00654E3B">
        <w:rPr>
          <w:rFonts w:cs="Times New Roman"/>
        </w:rPr>
        <w:t xml:space="preserve">ETS) uključeni su svi energetski izvori s ulaznom nazivnom toplinskom snagom većom </w:t>
      </w:r>
      <w:r w:rsidRPr="00654E3B">
        <w:rPr>
          <w:rFonts w:cs="Times New Roman"/>
        </w:rPr>
        <w:lastRenderedPageBreak/>
        <w:t>od 20 MW (termoelektrane, rafinerije), industrija mineralnih proizvoda (cement, staklo, opeka), kemijska industrija i industrija željeza i čelika. Emisija ETS-a čini 31,3</w:t>
      </w:r>
      <w:r w:rsidR="00060992" w:rsidRPr="00654E3B">
        <w:rPr>
          <w:rFonts w:cs="Times New Roman"/>
        </w:rPr>
        <w:t xml:space="preserve"> %</w:t>
      </w:r>
      <w:r w:rsidRPr="00654E3B">
        <w:rPr>
          <w:rFonts w:cs="Times New Roman"/>
        </w:rPr>
        <w:t xml:space="preserve"> </w:t>
      </w:r>
      <w:r w:rsidR="00674DCC" w:rsidRPr="00654E3B">
        <w:rPr>
          <w:rFonts w:cs="Times New Roman"/>
        </w:rPr>
        <w:t xml:space="preserve">ukupnih </w:t>
      </w:r>
      <w:r w:rsidRPr="00654E3B">
        <w:rPr>
          <w:rFonts w:cs="Times New Roman"/>
        </w:rPr>
        <w:t>emisij</w:t>
      </w:r>
      <w:r w:rsidR="00674DCC" w:rsidRPr="00654E3B">
        <w:rPr>
          <w:rFonts w:cs="Times New Roman"/>
        </w:rPr>
        <w:t xml:space="preserve">a stakleničkih plinova </w:t>
      </w:r>
      <w:r w:rsidRPr="00654E3B">
        <w:rPr>
          <w:rFonts w:cs="Times New Roman"/>
        </w:rPr>
        <w:t>u 2018. godini.</w:t>
      </w:r>
    </w:p>
    <w:p w:rsidR="007D4A93" w:rsidRPr="00654E3B" w:rsidRDefault="00EF0BEB">
      <w:pPr>
        <w:rPr>
          <w:rFonts w:cs="Times New Roman"/>
        </w:rPr>
      </w:pPr>
      <w:r w:rsidRPr="00654E3B">
        <w:rPr>
          <w:rFonts w:cs="Times New Roman"/>
        </w:rPr>
        <w:t>Intenzitet emisije po bruto nacionalnom doprinosu (BDP)</w:t>
      </w:r>
      <w:r w:rsidR="00C30C41" w:rsidRPr="00654E3B">
        <w:rPr>
          <w:rFonts w:cs="Times New Roman"/>
        </w:rPr>
        <w:t>,</w:t>
      </w:r>
      <w:r w:rsidRPr="00654E3B">
        <w:rPr>
          <w:rFonts w:cs="Times New Roman"/>
        </w:rPr>
        <w:t xml:space="preserve"> smanjio se za 34</w:t>
      </w:r>
      <w:r w:rsidR="00060992" w:rsidRPr="00654E3B">
        <w:rPr>
          <w:rFonts w:cs="Times New Roman"/>
        </w:rPr>
        <w:t xml:space="preserve"> %</w:t>
      </w:r>
      <w:r w:rsidRPr="00654E3B">
        <w:rPr>
          <w:rFonts w:cs="Times New Roman"/>
        </w:rPr>
        <w:t xml:space="preserve"> u razdoblju od 2004. do 2018. godine, odnosno za oko 2,5</w:t>
      </w:r>
      <w:r w:rsidR="00060992" w:rsidRPr="00654E3B">
        <w:rPr>
          <w:rFonts w:cs="Times New Roman"/>
        </w:rPr>
        <w:t xml:space="preserve"> %</w:t>
      </w:r>
      <w:r w:rsidRPr="00654E3B">
        <w:rPr>
          <w:rFonts w:cs="Times New Roman"/>
        </w:rPr>
        <w:t xml:space="preserve"> godišnje. </w:t>
      </w:r>
    </w:p>
    <w:p w:rsidR="007D4A93" w:rsidRPr="00654E3B" w:rsidRDefault="00EF0BEB">
      <w:pPr>
        <w:rPr>
          <w:rFonts w:cs="Times New Roman"/>
          <w:b/>
          <w:i/>
          <w:u w:val="single"/>
        </w:rPr>
      </w:pPr>
      <w:r w:rsidRPr="00654E3B">
        <w:rPr>
          <w:rFonts w:cs="Times New Roman"/>
          <w:b/>
          <w:i/>
          <w:u w:val="single"/>
        </w:rPr>
        <w:t xml:space="preserve">Vizija Niskougljične strategije </w:t>
      </w:r>
    </w:p>
    <w:p w:rsidR="007D4A93" w:rsidRPr="00654E3B" w:rsidRDefault="00EF0BEB">
      <w:pPr>
        <w:rPr>
          <w:rFonts w:cs="Times New Roman"/>
        </w:rPr>
      </w:pPr>
      <w:r w:rsidRPr="00654E3B">
        <w:rPr>
          <w:rFonts w:cs="Times New Roman"/>
        </w:rPr>
        <w:t xml:space="preserve">Niskougljična strategija vodi viziji društva u kojem ćemo živjeti zdravije, ugodnije, s niskougljičnim rastom i djelotvornim upravljanjem resursima. Postojeći nacionalni fond zgrada bit će obnovljen, a novi građen po principima </w:t>
      </w:r>
      <w:r w:rsidR="00F91775" w:rsidRPr="00654E3B">
        <w:rPr>
          <w:rFonts w:cs="Times New Roman"/>
        </w:rPr>
        <w:t>za zgrada gotovo nulte energije</w:t>
      </w:r>
      <w:r w:rsidR="00F91775" w:rsidRPr="00654E3B" w:rsidDel="00F91775">
        <w:rPr>
          <w:rFonts w:cs="Times New Roman"/>
        </w:rPr>
        <w:t xml:space="preserve"> </w:t>
      </w:r>
      <w:r w:rsidRPr="00654E3B">
        <w:rPr>
          <w:rFonts w:cs="Times New Roman"/>
        </w:rPr>
        <w:t>i kružnog gospodarenja. Opskrba energijom bit će sigurnija, iz obnovljivih izvora i s malim emisijama, a potrošači energije bit će i proizvođači energije. Kombinacija proizvodnje električne energije na mjestu potrošnje i dobava iz javne mreže pružit će visoku razinu sigurnosti opskrbe električne energije. Prometni sustav bit će intermodalan i integriran, pretežito s vozilima na električni pogon i s korištenjem niskougljičnog i za klimu neutralnog goriva. Industrija i poljoprivreda bit će učinkovite i povezane sa svim sektorima gospodarstva, a pritom će se smanjivat</w:t>
      </w:r>
      <w:r w:rsidR="00C30C41" w:rsidRPr="00654E3B">
        <w:rPr>
          <w:rFonts w:cs="Times New Roman"/>
        </w:rPr>
        <w:t>i</w:t>
      </w:r>
      <w:r w:rsidRPr="00654E3B">
        <w:rPr>
          <w:rFonts w:cs="Times New Roman"/>
        </w:rPr>
        <w:t xml:space="preserve"> stvaranje otpad</w:t>
      </w:r>
      <w:r w:rsidR="00096906" w:rsidRPr="00654E3B">
        <w:rPr>
          <w:rFonts w:cs="Times New Roman"/>
        </w:rPr>
        <w:t>nih</w:t>
      </w:r>
      <w:r w:rsidRPr="00654E3B">
        <w:rPr>
          <w:rFonts w:cs="Times New Roman"/>
        </w:rPr>
        <w:t xml:space="preserve"> materijal</w:t>
      </w:r>
      <w:r w:rsidR="00096906" w:rsidRPr="00654E3B">
        <w:rPr>
          <w:rFonts w:cs="Times New Roman"/>
        </w:rPr>
        <w:t>a</w:t>
      </w:r>
      <w:r w:rsidRPr="00654E3B">
        <w:rPr>
          <w:rFonts w:cs="Times New Roman"/>
        </w:rPr>
        <w:t xml:space="preserve"> u integriranom i kružnom gospodarstvu. </w:t>
      </w:r>
    </w:p>
    <w:p w:rsidR="007D4A93" w:rsidRPr="00654E3B" w:rsidRDefault="00EF0BEB">
      <w:pPr>
        <w:rPr>
          <w:rFonts w:cs="Times New Roman"/>
          <w:b/>
          <w:i/>
          <w:u w:val="single"/>
        </w:rPr>
      </w:pPr>
      <w:r w:rsidRPr="00654E3B">
        <w:rPr>
          <w:rFonts w:cs="Times New Roman"/>
          <w:b/>
          <w:i/>
          <w:u w:val="single"/>
        </w:rPr>
        <w:t xml:space="preserve">Ciljevi i scenariji Niskougljične strategije </w:t>
      </w:r>
    </w:p>
    <w:p w:rsidR="007D4A93" w:rsidRPr="00654E3B" w:rsidRDefault="00EF0BEB">
      <w:pPr>
        <w:rPr>
          <w:rFonts w:cs="Times New Roman"/>
        </w:rPr>
      </w:pPr>
      <w:r w:rsidRPr="00654E3B">
        <w:rPr>
          <w:rFonts w:cs="Times New Roman"/>
        </w:rPr>
        <w:t>Niskougljična strategija postavlja put za prijelaz prema održivom</w:t>
      </w:r>
      <w:r w:rsidR="00C30C41" w:rsidRPr="00654E3B">
        <w:rPr>
          <w:rFonts w:cs="Times New Roman"/>
        </w:rPr>
        <w:t>,</w:t>
      </w:r>
      <w:r w:rsidRPr="00654E3B">
        <w:rPr>
          <w:rFonts w:cs="Times New Roman"/>
        </w:rPr>
        <w:t xml:space="preserve"> konkurentnom gospodarstvu, u kojem se gospodarski rast ostvaruje uz male emisije stakleničkih plinova. Ciljevi smanjenja emisije stakleničkih plinova do 2030. i 2050. godine</w:t>
      </w:r>
      <w:r w:rsidR="00C30C41" w:rsidRPr="00654E3B">
        <w:rPr>
          <w:rFonts w:cs="Times New Roman"/>
        </w:rPr>
        <w:t>,</w:t>
      </w:r>
      <w:r w:rsidRPr="00654E3B">
        <w:rPr>
          <w:rFonts w:cs="Times New Roman"/>
        </w:rPr>
        <w:t xml:space="preserve"> provodit će se u Republici Hrvatskoj u okviru političkog okvira koji je usvojila Europska unija. Nova strategija rasta Europske unije (EU) formulirana kroz Europski zeleni plan (2019.)</w:t>
      </w:r>
      <w:r w:rsidR="00C30C41" w:rsidRPr="00654E3B">
        <w:rPr>
          <w:rFonts w:cs="Times New Roman"/>
        </w:rPr>
        <w:t>,</w:t>
      </w:r>
      <w:r w:rsidRPr="00654E3B">
        <w:rPr>
          <w:rFonts w:cs="Times New Roman"/>
        </w:rPr>
        <w:t xml:space="preserve"> postavlja cilj</w:t>
      </w:r>
      <w:r w:rsidRPr="00654E3B">
        <w:rPr>
          <w:rFonts w:cs="Times New Roman"/>
          <w:b/>
        </w:rPr>
        <w:t xml:space="preserve"> </w:t>
      </w:r>
      <w:r w:rsidRPr="00654E3B">
        <w:rPr>
          <w:rFonts w:cs="Times New Roman"/>
        </w:rPr>
        <w:t>preobrazbe u pravedno i prosperitetno društvo s modernim, resursno učinkovitim i konkurentnim gospodarstvom</w:t>
      </w:r>
      <w:r w:rsidR="00C30C41" w:rsidRPr="00654E3B">
        <w:rPr>
          <w:rFonts w:cs="Times New Roman"/>
        </w:rPr>
        <w:t>,</w:t>
      </w:r>
      <w:r w:rsidRPr="00654E3B">
        <w:rPr>
          <w:rFonts w:cs="Times New Roman"/>
        </w:rPr>
        <w:t xml:space="preserve"> u kojem 2050. godine neće biti neto emisija stakleničkih plinova.</w:t>
      </w:r>
    </w:p>
    <w:p w:rsidR="007D4A93" w:rsidRPr="00654E3B" w:rsidRDefault="00EF0BEB">
      <w:pPr>
        <w:rPr>
          <w:rFonts w:cs="Times New Roman"/>
          <w:b/>
        </w:rPr>
      </w:pPr>
      <w:r w:rsidRPr="00654E3B">
        <w:rPr>
          <w:rFonts w:cs="Times New Roman"/>
          <w:b/>
        </w:rPr>
        <w:t>Opći cilj</w:t>
      </w:r>
      <w:r w:rsidR="00500C77" w:rsidRPr="00654E3B">
        <w:rPr>
          <w:rFonts w:cs="Times New Roman"/>
          <w:b/>
        </w:rPr>
        <w:t>evi Niskougljične strategije su:</w:t>
      </w:r>
    </w:p>
    <w:p w:rsidR="007D4A93" w:rsidRPr="00654E3B" w:rsidRDefault="00FC11A8" w:rsidP="000C6795">
      <w:pPr>
        <w:pStyle w:val="ListParagraph"/>
        <w:numPr>
          <w:ilvl w:val="0"/>
          <w:numId w:val="7"/>
        </w:numPr>
        <w:rPr>
          <w:rFonts w:cs="Times New Roman"/>
        </w:rPr>
      </w:pPr>
      <w:r w:rsidRPr="00654E3B">
        <w:rPr>
          <w:rFonts w:cs="Times New Roman"/>
        </w:rPr>
        <w:t>p</w:t>
      </w:r>
      <w:r w:rsidR="00EF0BEB" w:rsidRPr="00654E3B">
        <w:rPr>
          <w:rFonts w:cs="Times New Roman"/>
        </w:rPr>
        <w:t xml:space="preserve">ostizanje održivog razvoja temeljenog na znanju i konkurentnom niskougljičnom gospodarstvu i </w:t>
      </w:r>
      <w:r w:rsidR="00FF2C71" w:rsidRPr="00654E3B">
        <w:rPr>
          <w:rFonts w:cs="Times New Roman"/>
        </w:rPr>
        <w:t xml:space="preserve">učinkovitom korištenju </w:t>
      </w:r>
      <w:r w:rsidRPr="00654E3B">
        <w:rPr>
          <w:rFonts w:cs="Times New Roman"/>
        </w:rPr>
        <w:t>resursa</w:t>
      </w:r>
    </w:p>
    <w:p w:rsidR="007D4A93" w:rsidRPr="00654E3B" w:rsidRDefault="00FC11A8" w:rsidP="000C6795">
      <w:pPr>
        <w:pStyle w:val="ListParagraph"/>
        <w:numPr>
          <w:ilvl w:val="0"/>
          <w:numId w:val="7"/>
        </w:numPr>
        <w:rPr>
          <w:rFonts w:cs="Times New Roman"/>
        </w:rPr>
      </w:pPr>
      <w:r w:rsidRPr="00654E3B">
        <w:rPr>
          <w:rFonts w:cs="Times New Roman"/>
        </w:rPr>
        <w:t>p</w:t>
      </w:r>
      <w:r w:rsidR="00EF0BEB" w:rsidRPr="00654E3B">
        <w:rPr>
          <w:rFonts w:cs="Times New Roman"/>
        </w:rPr>
        <w:t>ovećanje sigurnosti opskrbe energijom, održivost energetske opskrbe, povećanje dostupnosti energije i</w:t>
      </w:r>
      <w:r w:rsidRPr="00654E3B">
        <w:rPr>
          <w:rFonts w:cs="Times New Roman"/>
        </w:rPr>
        <w:t xml:space="preserve"> smanjenje energetske ovisnosti</w:t>
      </w:r>
    </w:p>
    <w:p w:rsidR="007D4A93" w:rsidRPr="00654E3B" w:rsidRDefault="00FC11A8" w:rsidP="000C6795">
      <w:pPr>
        <w:pStyle w:val="ListParagraph"/>
        <w:numPr>
          <w:ilvl w:val="0"/>
          <w:numId w:val="7"/>
        </w:numPr>
        <w:rPr>
          <w:rFonts w:cs="Times New Roman"/>
        </w:rPr>
      </w:pPr>
      <w:r w:rsidRPr="00654E3B">
        <w:rPr>
          <w:rFonts w:cs="Times New Roman"/>
        </w:rPr>
        <w:t>s</w:t>
      </w:r>
      <w:r w:rsidR="00EF0BEB" w:rsidRPr="00654E3B">
        <w:rPr>
          <w:rFonts w:cs="Times New Roman"/>
        </w:rPr>
        <w:t>olidarnost izvršavanjem obveza Republike Hrvatske prema međunarodnim sporazumima, u okviru politike EU-a, kao dio naše povijesne odgovornosti</w:t>
      </w:r>
      <w:r w:rsidRPr="00654E3B">
        <w:rPr>
          <w:rFonts w:cs="Times New Roman"/>
        </w:rPr>
        <w:t xml:space="preserve"> i doprinos globalnim ciljevima</w:t>
      </w:r>
    </w:p>
    <w:p w:rsidR="007D4A93" w:rsidRPr="00654E3B" w:rsidRDefault="00FC11A8" w:rsidP="000C6795">
      <w:pPr>
        <w:pStyle w:val="ListParagraph"/>
        <w:numPr>
          <w:ilvl w:val="0"/>
          <w:numId w:val="7"/>
        </w:numPr>
        <w:rPr>
          <w:rFonts w:cs="Times New Roman"/>
        </w:rPr>
      </w:pPr>
      <w:r w:rsidRPr="00654E3B">
        <w:rPr>
          <w:rFonts w:cs="Times New Roman"/>
        </w:rPr>
        <w:t>s</w:t>
      </w:r>
      <w:r w:rsidR="00EF0BEB" w:rsidRPr="00654E3B">
        <w:rPr>
          <w:rFonts w:cs="Times New Roman"/>
        </w:rPr>
        <w:t>manjenje onečišćenja zraka i utjecaja na zdravlje te kvalitetu života građana.</w:t>
      </w:r>
    </w:p>
    <w:p w:rsidR="007D4A93" w:rsidRPr="00654E3B" w:rsidRDefault="00EF0BEB">
      <w:pPr>
        <w:rPr>
          <w:rFonts w:cs="Times New Roman"/>
          <w:b/>
        </w:rPr>
      </w:pPr>
      <w:r w:rsidRPr="00654E3B">
        <w:rPr>
          <w:rFonts w:cs="Times New Roman"/>
        </w:rPr>
        <w:t xml:space="preserve">Odabrano je oko stotinu mjera koje se mogu primijeniti za smanjenje emisija (tehničkog i ne-tehničkog tipa), u različitim sektorima: proizvodnji električne energije i topline, proizvodnji i preradi goriva, prometu, općoj potrošnji (kućanstva i usluge), industriji, poljoprivredi, korištenju zemljišta, promjeni korištenja zemljišta i šumarstvu, otpadu, korištenju proizvoda te fugitivnim emisijama (Prilog V.). </w:t>
      </w:r>
      <w:r w:rsidRPr="00654E3B">
        <w:rPr>
          <w:rFonts w:cs="Times New Roman"/>
          <w:b/>
        </w:rPr>
        <w:t>Ove mjere su ugrađene u tri glavna scenarija: Referentni scenarij (NUR), Scenarij postupne tranzicije (NU1) i Scenarij snažne tranzicije (NU2).</w:t>
      </w:r>
    </w:p>
    <w:p w:rsidR="007D4A93" w:rsidRPr="00654E3B" w:rsidRDefault="00EF0BEB">
      <w:pPr>
        <w:rPr>
          <w:rFonts w:cs="Times New Roman"/>
        </w:rPr>
      </w:pPr>
      <w:r w:rsidRPr="00654E3B">
        <w:rPr>
          <w:rFonts w:cs="Times New Roman"/>
          <w:b/>
        </w:rPr>
        <w:t>Referentni scenarij NUR</w:t>
      </w:r>
      <w:r w:rsidRPr="00654E3B">
        <w:rPr>
          <w:rFonts w:cs="Times New Roman"/>
        </w:rPr>
        <w:t xml:space="preserve"> predstavlja nastavak postojeće prakse, u skladu s važećim zakonodavstvom i prihvaćenim ciljevima do 2030. godine. Ovaj scenarij pretpostavlja tehnološki napredak i rast udjela obnovljivih izvora energije i energetske učinkovitosti temeljem tržišne situacije i danas utvrđenih ciljnih energetskih standarda. U odnosu na niskougljične scenarije za dostizanje ciljeva, to je scenarij s </w:t>
      </w:r>
      <w:r w:rsidR="00982D90" w:rsidRPr="00654E3B">
        <w:rPr>
          <w:rFonts w:cs="Times New Roman"/>
        </w:rPr>
        <w:t xml:space="preserve">blažim povećanjem udjela </w:t>
      </w:r>
      <w:r w:rsidRPr="00654E3B">
        <w:rPr>
          <w:rFonts w:cs="Times New Roman"/>
        </w:rPr>
        <w:t xml:space="preserve">obnovljivih izvora energije i energetske učinkovitosti. Emisije u ovom scenariju se smanjuju za </w:t>
      </w:r>
      <w:r w:rsidR="003A7DC8" w:rsidRPr="00654E3B">
        <w:rPr>
          <w:rFonts w:cs="Times New Roman"/>
        </w:rPr>
        <w:t>28,9</w:t>
      </w:r>
      <w:r w:rsidR="00060992" w:rsidRPr="00654E3B">
        <w:rPr>
          <w:rFonts w:cs="Times New Roman"/>
        </w:rPr>
        <w:t xml:space="preserve"> %</w:t>
      </w:r>
      <w:r w:rsidRPr="00654E3B">
        <w:rPr>
          <w:rFonts w:cs="Times New Roman"/>
        </w:rPr>
        <w:t xml:space="preserve"> u 2030. godini te </w:t>
      </w:r>
      <w:r w:rsidR="003A7DC8" w:rsidRPr="00654E3B">
        <w:rPr>
          <w:rFonts w:cs="Times New Roman"/>
        </w:rPr>
        <w:t>46,3</w:t>
      </w:r>
      <w:r w:rsidRPr="00654E3B">
        <w:rPr>
          <w:rFonts w:cs="Times New Roman"/>
        </w:rPr>
        <w:t xml:space="preserve"> u 2050. godini u odnosu na razinu emisije u </w:t>
      </w:r>
      <w:r w:rsidR="003A7DC8" w:rsidRPr="00654E3B">
        <w:rPr>
          <w:rFonts w:cs="Times New Roman"/>
        </w:rPr>
        <w:t>1990</w:t>
      </w:r>
      <w:r w:rsidRPr="00654E3B">
        <w:rPr>
          <w:rFonts w:cs="Times New Roman"/>
        </w:rPr>
        <w:t>. godini. Udio obnovljivih izvora u ovom scenariju je 35,7</w:t>
      </w:r>
      <w:r w:rsidR="00060992" w:rsidRPr="00654E3B">
        <w:rPr>
          <w:rFonts w:cs="Times New Roman"/>
        </w:rPr>
        <w:t xml:space="preserve"> %</w:t>
      </w:r>
      <w:r w:rsidRPr="00654E3B">
        <w:rPr>
          <w:rFonts w:cs="Times New Roman"/>
        </w:rPr>
        <w:t xml:space="preserve"> u 2030. godini, a 45,5</w:t>
      </w:r>
      <w:r w:rsidR="00060992" w:rsidRPr="00654E3B">
        <w:rPr>
          <w:rFonts w:cs="Times New Roman"/>
        </w:rPr>
        <w:t xml:space="preserve"> %</w:t>
      </w:r>
      <w:r w:rsidRPr="00654E3B">
        <w:rPr>
          <w:rFonts w:cs="Times New Roman"/>
        </w:rPr>
        <w:t xml:space="preserve"> u 2050. godini. Ipak, ovaj scenarij ne vodi niskougljičnom gospodarstvu.</w:t>
      </w:r>
    </w:p>
    <w:p w:rsidR="007D4A93" w:rsidRPr="00654E3B" w:rsidRDefault="00EF0BEB">
      <w:pPr>
        <w:rPr>
          <w:rFonts w:cs="Times New Roman"/>
        </w:rPr>
      </w:pPr>
      <w:r w:rsidRPr="00654E3B">
        <w:rPr>
          <w:rFonts w:cs="Times New Roman"/>
          <w:b/>
        </w:rPr>
        <w:lastRenderedPageBreak/>
        <w:t>Scenarij postupne tranzicije NU1</w:t>
      </w:r>
      <w:r w:rsidRPr="00654E3B">
        <w:rPr>
          <w:rFonts w:cs="Times New Roman"/>
        </w:rPr>
        <w:t xml:space="preserve"> dimenzioniran je tako da se ispune ciljevi smanjenja emisije u okviru interne sheme obveza EU i s tim u vezi ciljeva Pariškog sporazuma da se porast temperature održi unutar 2°C, a po mogućnosti i unutar 1,5°C. U ovom scenariju</w:t>
      </w:r>
      <w:r w:rsidR="003F1557" w:rsidRPr="00654E3B">
        <w:rPr>
          <w:rFonts w:cs="Times New Roman"/>
        </w:rPr>
        <w:t>,</w:t>
      </w:r>
      <w:r w:rsidRPr="00654E3B">
        <w:rPr>
          <w:rFonts w:cs="Times New Roman"/>
        </w:rPr>
        <w:t xml:space="preserve"> smanjenje emisije se postiže primjenom niza troškovno učinkovitih mjera, snažnim poticanjem energetske učinkovitosti i primjenom obnovljivih izvora energije koji bi, u proizvodnji električne energije, nakon 2030. godine mogli velikim dijelom biti potpuno tržišno konkurentni. Scenarij pretpostavlja snažan rast cijena </w:t>
      </w:r>
      <w:r w:rsidR="00775490" w:rsidRPr="00654E3B">
        <w:rPr>
          <w:rFonts w:cs="Times New Roman"/>
        </w:rPr>
        <w:t xml:space="preserve">emisijskih jedinica, koje predstavljaju pravo na emisiju jedne tone ekvivalenta </w:t>
      </w:r>
      <w:r w:rsidRPr="00654E3B">
        <w:rPr>
          <w:rFonts w:cs="Times New Roman"/>
        </w:rPr>
        <w:t>CO</w:t>
      </w:r>
      <w:r w:rsidRPr="00654E3B">
        <w:rPr>
          <w:rFonts w:cs="Times New Roman"/>
          <w:vertAlign w:val="subscript"/>
        </w:rPr>
        <w:t>2</w:t>
      </w:r>
      <w:r w:rsidR="00775490" w:rsidRPr="00654E3B">
        <w:rPr>
          <w:rFonts w:cs="Times New Roman"/>
        </w:rPr>
        <w:t xml:space="preserve"> (</w:t>
      </w:r>
      <w:r w:rsidR="00060992" w:rsidRPr="00654E3B">
        <w:rPr>
          <w:rFonts w:cs="Times New Roman"/>
        </w:rPr>
        <w:t>u daljnjem tekstuu daljnjem tekstu</w:t>
      </w:r>
      <w:r w:rsidR="00775490" w:rsidRPr="00654E3B">
        <w:rPr>
          <w:rFonts w:cs="Times New Roman"/>
        </w:rPr>
        <w:t>: emisijska jedinica),</w:t>
      </w:r>
      <w:r w:rsidRPr="00654E3B">
        <w:rPr>
          <w:rFonts w:cs="Times New Roman"/>
        </w:rPr>
        <w:t xml:space="preserve"> do 92,1 EUR/t CO</w:t>
      </w:r>
      <w:r w:rsidRPr="00654E3B">
        <w:rPr>
          <w:rFonts w:cs="Times New Roman"/>
          <w:vertAlign w:val="subscript"/>
        </w:rPr>
        <w:t>2</w:t>
      </w:r>
      <w:r w:rsidRPr="00654E3B">
        <w:rPr>
          <w:rFonts w:cs="Times New Roman"/>
        </w:rPr>
        <w:t xml:space="preserve"> u 2050. godini, što je glavni pokretač tranzicije. Udio obnovljivih izvora energije u 2030. godini po ovom scenariju je 36,4</w:t>
      </w:r>
      <w:r w:rsidR="00060992" w:rsidRPr="00654E3B">
        <w:rPr>
          <w:rFonts w:cs="Times New Roman"/>
        </w:rPr>
        <w:t xml:space="preserve"> %</w:t>
      </w:r>
      <w:r w:rsidRPr="00654E3B">
        <w:rPr>
          <w:rFonts w:cs="Times New Roman"/>
        </w:rPr>
        <w:t>, a u 2050. godini mogao bi biti 53,2</w:t>
      </w:r>
      <w:r w:rsidR="00060992" w:rsidRPr="00654E3B">
        <w:rPr>
          <w:rFonts w:cs="Times New Roman"/>
        </w:rPr>
        <w:t xml:space="preserve"> %</w:t>
      </w:r>
      <w:r w:rsidRPr="00654E3B">
        <w:rPr>
          <w:rFonts w:cs="Times New Roman"/>
        </w:rPr>
        <w:t>. NU1 scenarijem smanjuje se emisija stakleničkih plinova za 33,5</w:t>
      </w:r>
      <w:r w:rsidR="00060992" w:rsidRPr="00654E3B">
        <w:rPr>
          <w:rFonts w:cs="Times New Roman"/>
        </w:rPr>
        <w:t xml:space="preserve"> %</w:t>
      </w:r>
      <w:r w:rsidRPr="00654E3B">
        <w:rPr>
          <w:rFonts w:cs="Times New Roman"/>
        </w:rPr>
        <w:t xml:space="preserve"> u 2030. godini i 56,8</w:t>
      </w:r>
      <w:r w:rsidR="00060992" w:rsidRPr="00654E3B">
        <w:rPr>
          <w:rFonts w:cs="Times New Roman"/>
        </w:rPr>
        <w:t xml:space="preserve"> %</w:t>
      </w:r>
      <w:r w:rsidRPr="00654E3B">
        <w:rPr>
          <w:rFonts w:cs="Times New Roman"/>
        </w:rPr>
        <w:t xml:space="preserve"> u 2050. godini, u odnosu na 1990. godinu.</w:t>
      </w:r>
    </w:p>
    <w:p w:rsidR="007D4A93" w:rsidRPr="00654E3B" w:rsidRDefault="00EF0BEB">
      <w:pPr>
        <w:rPr>
          <w:rFonts w:cs="Times New Roman"/>
        </w:rPr>
      </w:pPr>
      <w:r w:rsidRPr="00654E3B">
        <w:rPr>
          <w:rFonts w:cs="Times New Roman"/>
          <w:b/>
        </w:rPr>
        <w:t>Scenarij snažne tranzicije NU2</w:t>
      </w:r>
      <w:r w:rsidRPr="00654E3B">
        <w:rPr>
          <w:rFonts w:cs="Times New Roman"/>
        </w:rPr>
        <w:t xml:space="preserve"> je dimenzioniran s ciljem da se u 2050. godini postigne smanjenje emisije </w:t>
      </w:r>
      <w:r w:rsidR="00775490" w:rsidRPr="00654E3B">
        <w:rPr>
          <w:rFonts w:cs="Times New Roman"/>
        </w:rPr>
        <w:t xml:space="preserve">za </w:t>
      </w:r>
      <w:r w:rsidRPr="00654E3B">
        <w:rPr>
          <w:rFonts w:cs="Times New Roman"/>
        </w:rPr>
        <w:t>80</w:t>
      </w:r>
      <w:r w:rsidR="00060992" w:rsidRPr="00654E3B">
        <w:rPr>
          <w:rFonts w:cs="Times New Roman"/>
        </w:rPr>
        <w:t xml:space="preserve"> %</w:t>
      </w:r>
      <w:r w:rsidRPr="00654E3B">
        <w:rPr>
          <w:rFonts w:cs="Times New Roman"/>
        </w:rPr>
        <w:t xml:space="preserve"> u odnosu na 1990. godinu. U ovom scenariju kao i u NU1 pretpostavlja se snažan porast cijena </w:t>
      </w:r>
      <w:r w:rsidR="00775490" w:rsidRPr="00654E3B">
        <w:rPr>
          <w:rFonts w:cs="Times New Roman"/>
        </w:rPr>
        <w:t>emisijskih jedinica</w:t>
      </w:r>
      <w:r w:rsidR="00775490" w:rsidRPr="00654E3B">
        <w:rPr>
          <w:rFonts w:cs="Times New Roman"/>
          <w:vertAlign w:val="subscript"/>
        </w:rPr>
        <w:t xml:space="preserve"> </w:t>
      </w:r>
      <w:r w:rsidRPr="00654E3B">
        <w:rPr>
          <w:rFonts w:cs="Times New Roman"/>
        </w:rPr>
        <w:t>do 92,1 EUR/t CO</w:t>
      </w:r>
      <w:r w:rsidRPr="00654E3B">
        <w:rPr>
          <w:rFonts w:cs="Times New Roman"/>
          <w:vertAlign w:val="subscript"/>
        </w:rPr>
        <w:t>2</w:t>
      </w:r>
      <w:r w:rsidRPr="00654E3B">
        <w:rPr>
          <w:rFonts w:cs="Times New Roman"/>
        </w:rPr>
        <w:t xml:space="preserve"> u 2050. godini te vrlo snažne mjere energetske učinkovitosti. Udio obnovljivih izvora energije u 2030. godini po ovom scenariju je 36,4</w:t>
      </w:r>
      <w:r w:rsidR="00060992" w:rsidRPr="00654E3B">
        <w:rPr>
          <w:rFonts w:cs="Times New Roman"/>
        </w:rPr>
        <w:t xml:space="preserve"> %</w:t>
      </w:r>
      <w:r w:rsidRPr="00654E3B">
        <w:rPr>
          <w:rFonts w:cs="Times New Roman"/>
        </w:rPr>
        <w:t>, a u 2050. godini mogao bi biti 65,6</w:t>
      </w:r>
      <w:r w:rsidR="00060992" w:rsidRPr="00654E3B">
        <w:rPr>
          <w:rFonts w:cs="Times New Roman"/>
        </w:rPr>
        <w:t xml:space="preserve"> %</w:t>
      </w:r>
      <w:r w:rsidRPr="00654E3B">
        <w:rPr>
          <w:rFonts w:cs="Times New Roman"/>
        </w:rPr>
        <w:t>. U ovom scenariju, u 2050. godini, dominantni izvor emisije ostaje promet, zatim poljoprivreda i industrija. Primjenom danas poznatih mjera, uključivo i one koje su u socio-gospodarskom pogledu prihvatljive za poljoprivredu, moglo bi se postići smanjenje emisije od 73,1</w:t>
      </w:r>
      <w:r w:rsidR="00060992" w:rsidRPr="00654E3B">
        <w:rPr>
          <w:rFonts w:cs="Times New Roman"/>
        </w:rPr>
        <w:t xml:space="preserve"> %</w:t>
      </w:r>
      <w:r w:rsidRPr="00654E3B">
        <w:rPr>
          <w:rFonts w:cs="Times New Roman"/>
        </w:rPr>
        <w:t xml:space="preserve"> u odnosu na 1990. godinu. Ostatak do 80</w:t>
      </w:r>
      <w:r w:rsidR="00060992" w:rsidRPr="00654E3B">
        <w:rPr>
          <w:rFonts w:cs="Times New Roman"/>
        </w:rPr>
        <w:t xml:space="preserve"> %</w:t>
      </w:r>
      <w:r w:rsidRPr="00654E3B">
        <w:rPr>
          <w:rFonts w:cs="Times New Roman"/>
        </w:rPr>
        <w:t xml:space="preserve"> računa se na nove tehnologije koje danas još nisu u primjeni, odnosno nedovoljno razvijene tehnologije.</w:t>
      </w:r>
    </w:p>
    <w:p w:rsidR="007D4A93" w:rsidRPr="00654E3B" w:rsidRDefault="00EF0BEB">
      <w:pPr>
        <w:rPr>
          <w:rFonts w:cs="Times New Roman"/>
        </w:rPr>
      </w:pPr>
      <w:r w:rsidRPr="00654E3B">
        <w:rPr>
          <w:rFonts w:cs="Times New Roman"/>
          <w:b/>
        </w:rPr>
        <w:t xml:space="preserve">Scenarij neto nulte emisije </w:t>
      </w:r>
      <w:r w:rsidR="00C05AE6" w:rsidRPr="00654E3B">
        <w:rPr>
          <w:rFonts w:cs="Times New Roman"/>
          <w:b/>
        </w:rPr>
        <w:t xml:space="preserve">(klimatska neutralnost) </w:t>
      </w:r>
      <w:r w:rsidRPr="00654E3B">
        <w:rPr>
          <w:rFonts w:cs="Times New Roman"/>
        </w:rPr>
        <w:t>je u ovom dokumentu uključen u obliku informacije (Poglavlje 15). Europska komisija je 17. rujna 2020. godine objavila Komunikaciju „Povećanje klimatskih ambicija Europe za 2030. - Ulaganje u klimatski neutralnu budućnost za dobrobit naših građana“</w:t>
      </w:r>
      <w:r w:rsidR="00A1506E" w:rsidRPr="00654E3B">
        <w:rPr>
          <w:rFonts w:cs="Times New Roman"/>
        </w:rPr>
        <w:t>,</w:t>
      </w:r>
      <w:r w:rsidRPr="00654E3B">
        <w:rPr>
          <w:rFonts w:cs="Times New Roman"/>
        </w:rPr>
        <w:t xml:space="preserve"> kao važan element za provedbu Europskog zelenog </w:t>
      </w:r>
      <w:r w:rsidR="008C6396" w:rsidRPr="00654E3B">
        <w:rPr>
          <w:rFonts w:cs="Times New Roman"/>
        </w:rPr>
        <w:t xml:space="preserve">plana </w:t>
      </w:r>
      <w:r w:rsidRPr="00654E3B">
        <w:rPr>
          <w:rFonts w:cs="Times New Roman"/>
        </w:rPr>
        <w:t>i postizanja klimatske neutralnosti do 2050. godine, kojom je predložila povećanja cilja EU u pogledu smanjenja emisija stakleničkih plinova do 2030. godine, s postojećeg -40</w:t>
      </w:r>
      <w:r w:rsidR="00060992" w:rsidRPr="00654E3B">
        <w:rPr>
          <w:rFonts w:cs="Times New Roman"/>
        </w:rPr>
        <w:t xml:space="preserve"> %</w:t>
      </w:r>
      <w:r w:rsidRPr="00654E3B">
        <w:rPr>
          <w:rFonts w:cs="Times New Roman"/>
        </w:rPr>
        <w:t xml:space="preserve"> na -50 do -55</w:t>
      </w:r>
      <w:r w:rsidR="00060992" w:rsidRPr="00654E3B">
        <w:rPr>
          <w:rFonts w:cs="Times New Roman"/>
        </w:rPr>
        <w:t xml:space="preserve"> %</w:t>
      </w:r>
      <w:r w:rsidRPr="00654E3B">
        <w:rPr>
          <w:rFonts w:cs="Times New Roman"/>
        </w:rPr>
        <w:t>. Premijeri su na sastanku Europskog vijeća 10. i 11. prosinca 2020. godine usvojili cilj smanjenja emisija za EU od najmanje -55</w:t>
      </w:r>
      <w:r w:rsidR="00060992" w:rsidRPr="00654E3B">
        <w:rPr>
          <w:rFonts w:cs="Times New Roman"/>
        </w:rPr>
        <w:t xml:space="preserve"> %</w:t>
      </w:r>
      <w:r w:rsidRPr="00654E3B">
        <w:rPr>
          <w:rFonts w:cs="Times New Roman"/>
        </w:rPr>
        <w:t xml:space="preserve"> do 2030. godine. Daljnji korak je izmjena cjelokupnog zakonodavstva EU koje propisuje klimatsku politiku do 2030. godine, a koje dijelom propisuju i ciljeve država članica u navedenom razdoblju. Slijedom svih navedenih očekivanih izmjena propisa EU-a prići će se i izmjeni strateških i drugih dokumenata u Republici Hrvatskoj u pogledu i finalizacije Scenarija neto nulte emisije u Republici Hrvatskoj radi poticanja tranzicije na niskougljični razvoj s ciljem postizanja klimatske neutralnosti 2050. godine te jačanje otpornosti na klimatske promjene. Scenarij neto nulte emisije analizirati će mogućnosti kako na troškovno učinkovit način i putem društveno pravedne tranzicije postići nultu neto stopu emisija stakleničkih plinova u 2050. godini.</w:t>
      </w:r>
    </w:p>
    <w:p w:rsidR="007D4A93" w:rsidRPr="00654E3B" w:rsidRDefault="00EF0BEB">
      <w:pPr>
        <w:rPr>
          <w:rFonts w:cs="Times New Roman"/>
          <w:b/>
        </w:rPr>
      </w:pPr>
      <w:r w:rsidRPr="00654E3B">
        <w:rPr>
          <w:rFonts w:cs="Times New Roman"/>
        </w:rPr>
        <w:t xml:space="preserve">Scenariji NU1 i NU2 vrlo su slični do 2030. godine, tako da ako </w:t>
      </w:r>
      <w:r w:rsidRPr="00654E3B">
        <w:rPr>
          <w:rFonts w:cs="Times New Roman"/>
          <w:b/>
        </w:rPr>
        <w:t xml:space="preserve">Republika Hrvatska krene sa scenarijem postupne tranzicije (NU1) ima vremena preusmjeriti se na ambiciozniji scenarij snažne tranzicije (NU2). </w:t>
      </w:r>
    </w:p>
    <w:p w:rsidR="007D4A93" w:rsidRPr="00654E3B" w:rsidRDefault="00EF0BEB">
      <w:pPr>
        <w:rPr>
          <w:rFonts w:cs="Times New Roman"/>
          <w:b/>
        </w:rPr>
      </w:pPr>
      <w:r w:rsidRPr="00654E3B">
        <w:rPr>
          <w:rFonts w:cs="Times New Roman"/>
          <w:b/>
        </w:rPr>
        <w:t>Cilj je da putanja emisija stakleničkih plinova bude u rasponu između scenarija NU1 i NU2, s težnjom prema ambicioznijem scenariju NU2</w:t>
      </w:r>
      <w:r w:rsidRPr="00654E3B">
        <w:rPr>
          <w:rFonts w:cs="Times New Roman"/>
        </w:rPr>
        <w:t xml:space="preserve"> (slika 1-2).</w:t>
      </w:r>
      <w:r w:rsidRPr="00654E3B">
        <w:rPr>
          <w:rFonts w:cs="Times New Roman"/>
          <w:b/>
        </w:rPr>
        <w:t xml:space="preserve"> </w:t>
      </w:r>
    </w:p>
    <w:p w:rsidR="007D4A93" w:rsidRPr="00F01191" w:rsidRDefault="00EF0BEB">
      <w:pPr>
        <w:pStyle w:val="Slika"/>
        <w:spacing w:before="120"/>
        <w:jc w:val="center"/>
        <w:rPr>
          <w:rFonts w:ascii="Times New Roman" w:hAnsi="Times New Roman"/>
          <w:i/>
        </w:rPr>
      </w:pPr>
      <w:bookmarkStart w:id="116" w:name="_Toc33417094"/>
      <w:r w:rsidRPr="00F01191">
        <w:rPr>
          <w:rFonts w:ascii="Times New Roman" w:hAnsi="Times New Roman"/>
          <w:i/>
          <w:noProof/>
          <w:lang w:eastAsia="hr-HR"/>
        </w:rPr>
        <w:lastRenderedPageBreak/>
        <w:drawing>
          <wp:inline distT="0" distB="0" distL="0" distR="0" wp14:anchorId="6F4A6107" wp14:editId="13793A2A">
            <wp:extent cx="3938016" cy="2353056"/>
            <wp:effectExtent l="0" t="0" r="571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jpg"/>
                    <pic:cNvPicPr>
                      <a:picLocks noChangeAspect="1"/>
                    </pic:cNvPicPr>
                  </pic:nvPicPr>
                  <pic:blipFill>
                    <a:blip r:embed="rId12"/>
                    <a:stretch/>
                  </pic:blipFill>
                  <pic:spPr bwMode="auto">
                    <a:xfrm>
                      <a:off x="0" y="0"/>
                      <a:ext cx="3938016" cy="2353056"/>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1-2: Smanjenje emisije stakleničkih plinova NUR, NU1 i NU2 scenarijem</w:t>
      </w:r>
      <w:bookmarkEnd w:id="116"/>
    </w:p>
    <w:p w:rsidR="007D4A93" w:rsidRPr="00654E3B" w:rsidRDefault="00EF0BEB">
      <w:pPr>
        <w:rPr>
          <w:rFonts w:cs="Times New Roman"/>
        </w:rPr>
      </w:pPr>
      <w:r w:rsidRPr="00654E3B">
        <w:rPr>
          <w:rFonts w:cs="Times New Roman"/>
        </w:rPr>
        <w:t>U 2030. godini</w:t>
      </w:r>
      <w:r w:rsidR="00077CC3" w:rsidRPr="00654E3B">
        <w:rPr>
          <w:rFonts w:cs="Times New Roman"/>
        </w:rPr>
        <w:t xml:space="preserve"> se u odnosu na razine iz 1990. godine</w:t>
      </w:r>
      <w:r w:rsidRPr="00654E3B">
        <w:rPr>
          <w:rFonts w:cs="Times New Roman"/>
        </w:rPr>
        <w:t xml:space="preserve"> u NU1 scenariju postiže ukupno smanjenje od 33,5</w:t>
      </w:r>
      <w:r w:rsidR="00060992" w:rsidRPr="00654E3B">
        <w:rPr>
          <w:rFonts w:cs="Times New Roman"/>
        </w:rPr>
        <w:t xml:space="preserve"> %</w:t>
      </w:r>
      <w:r w:rsidRPr="00654E3B">
        <w:rPr>
          <w:rFonts w:cs="Times New Roman"/>
        </w:rPr>
        <w:t>, dok se u NU2 scenariju postiže smanjenje od 36,7</w:t>
      </w:r>
      <w:r w:rsidR="00060992" w:rsidRPr="00654E3B">
        <w:rPr>
          <w:rFonts w:cs="Times New Roman"/>
        </w:rPr>
        <w:t xml:space="preserve"> %</w:t>
      </w:r>
      <w:r w:rsidRPr="00654E3B">
        <w:rPr>
          <w:rFonts w:cs="Times New Roman"/>
        </w:rPr>
        <w:t>. Najveći doprinos navedenom smanjenju ima sektor industrije (43</w:t>
      </w:r>
      <w:r w:rsidR="00060992" w:rsidRPr="00654E3B">
        <w:rPr>
          <w:rFonts w:cs="Times New Roman"/>
        </w:rPr>
        <w:t xml:space="preserve"> %</w:t>
      </w:r>
      <w:r w:rsidRPr="00654E3B">
        <w:rPr>
          <w:rFonts w:cs="Times New Roman"/>
        </w:rPr>
        <w:t>), zatim sektor proizvodnje i prerade goriva (18</w:t>
      </w:r>
      <w:r w:rsidR="00060992" w:rsidRPr="00654E3B">
        <w:rPr>
          <w:rFonts w:cs="Times New Roman"/>
        </w:rPr>
        <w:t xml:space="preserve"> %</w:t>
      </w:r>
      <w:r w:rsidRPr="00654E3B">
        <w:rPr>
          <w:rFonts w:cs="Times New Roman"/>
        </w:rPr>
        <w:t>), sektor poljoprivrede (15</w:t>
      </w:r>
      <w:r w:rsidR="00060992" w:rsidRPr="00654E3B">
        <w:rPr>
          <w:rFonts w:cs="Times New Roman"/>
        </w:rPr>
        <w:t xml:space="preserve"> %</w:t>
      </w:r>
      <w:r w:rsidRPr="00654E3B">
        <w:rPr>
          <w:rFonts w:cs="Times New Roman"/>
        </w:rPr>
        <w:t>), sektor proizvodnje električne energije i topline (14</w:t>
      </w:r>
      <w:r w:rsidR="00060992" w:rsidRPr="00654E3B">
        <w:rPr>
          <w:rFonts w:cs="Times New Roman"/>
        </w:rPr>
        <w:t xml:space="preserve"> %</w:t>
      </w:r>
      <w:r w:rsidRPr="00654E3B">
        <w:rPr>
          <w:rFonts w:cs="Times New Roman"/>
        </w:rPr>
        <w:t>) te sektor opće potrošnje (10</w:t>
      </w:r>
      <w:r w:rsidR="00060992" w:rsidRPr="00654E3B">
        <w:rPr>
          <w:rFonts w:cs="Times New Roman"/>
        </w:rPr>
        <w:t xml:space="preserve"> %</w:t>
      </w:r>
      <w:r w:rsidRPr="00654E3B">
        <w:rPr>
          <w:rFonts w:cs="Times New Roman"/>
        </w:rPr>
        <w:t xml:space="preserve">). </w:t>
      </w:r>
      <w:r w:rsidR="008061C6" w:rsidRPr="00654E3B">
        <w:rPr>
          <w:rFonts w:cs="Times New Roman"/>
        </w:rPr>
        <w:t xml:space="preserve">U </w:t>
      </w:r>
      <w:r w:rsidR="00F549A1" w:rsidRPr="00654E3B">
        <w:rPr>
          <w:rFonts w:cs="Times New Roman"/>
        </w:rPr>
        <w:t>s</w:t>
      </w:r>
      <w:r w:rsidRPr="00654E3B">
        <w:rPr>
          <w:rFonts w:cs="Times New Roman"/>
        </w:rPr>
        <w:t>ektori</w:t>
      </w:r>
      <w:r w:rsidR="008061C6" w:rsidRPr="00654E3B">
        <w:rPr>
          <w:rFonts w:cs="Times New Roman"/>
        </w:rPr>
        <w:t>ma</w:t>
      </w:r>
      <w:r w:rsidRPr="00654E3B">
        <w:rPr>
          <w:rFonts w:cs="Times New Roman"/>
        </w:rPr>
        <w:t xml:space="preserve"> promet</w:t>
      </w:r>
      <w:r w:rsidR="008061C6" w:rsidRPr="00654E3B">
        <w:rPr>
          <w:rFonts w:cs="Times New Roman"/>
        </w:rPr>
        <w:t>a</w:t>
      </w:r>
      <w:r w:rsidRPr="00654E3B">
        <w:rPr>
          <w:rFonts w:cs="Times New Roman"/>
        </w:rPr>
        <w:t xml:space="preserve"> i otpad</w:t>
      </w:r>
      <w:r w:rsidR="00077CC3" w:rsidRPr="00654E3B">
        <w:rPr>
          <w:rFonts w:cs="Times New Roman"/>
        </w:rPr>
        <w:t xml:space="preserve">a, </w:t>
      </w:r>
      <w:r w:rsidR="00F549A1" w:rsidRPr="00654E3B">
        <w:rPr>
          <w:rFonts w:cs="Times New Roman"/>
        </w:rPr>
        <w:t xml:space="preserve">su emisije u 2030. godini još uvijek više u odnosu na 1990. godinu, obzirom da emisije iz tih sektora bilježe porast do 2018. godine. </w:t>
      </w:r>
    </w:p>
    <w:p w:rsidR="007D4A93" w:rsidRPr="00654E3B" w:rsidRDefault="00EF0BEB">
      <w:pPr>
        <w:rPr>
          <w:rFonts w:cs="Times New Roman"/>
        </w:rPr>
      </w:pPr>
      <w:r w:rsidRPr="00654E3B">
        <w:rPr>
          <w:rFonts w:cs="Times New Roman"/>
        </w:rPr>
        <w:t>U 2050. godini u NU1 scenariju postiže se ukupno smanjenje od 56,8</w:t>
      </w:r>
      <w:r w:rsidR="00060992" w:rsidRPr="00654E3B">
        <w:rPr>
          <w:rFonts w:cs="Times New Roman"/>
        </w:rPr>
        <w:t xml:space="preserve"> %</w:t>
      </w:r>
      <w:r w:rsidRPr="00654E3B">
        <w:rPr>
          <w:rFonts w:cs="Times New Roman"/>
        </w:rPr>
        <w:t xml:space="preserve"> dok se u NU2 scenariju postiže smanjenje od 73,1</w:t>
      </w:r>
      <w:r w:rsidR="00060992" w:rsidRPr="00654E3B">
        <w:rPr>
          <w:rFonts w:cs="Times New Roman"/>
        </w:rPr>
        <w:t xml:space="preserve"> %</w:t>
      </w:r>
      <w:r w:rsidRPr="00654E3B">
        <w:rPr>
          <w:rFonts w:cs="Times New Roman"/>
        </w:rPr>
        <w:t>, u odnosu na 1990. godinu. Najveći doprinos navedenom smanjenju ima sektor industrije (36</w:t>
      </w:r>
      <w:r w:rsidR="00060992" w:rsidRPr="00654E3B">
        <w:rPr>
          <w:rFonts w:cs="Times New Roman"/>
        </w:rPr>
        <w:t xml:space="preserve"> %</w:t>
      </w:r>
      <w:r w:rsidRPr="00654E3B">
        <w:rPr>
          <w:rFonts w:cs="Times New Roman"/>
        </w:rPr>
        <w:t>), zatim sektor proizvodnje električne energije i topline (15</w:t>
      </w:r>
      <w:r w:rsidR="00060992" w:rsidRPr="00654E3B">
        <w:rPr>
          <w:rFonts w:cs="Times New Roman"/>
        </w:rPr>
        <w:t xml:space="preserve"> %</w:t>
      </w:r>
      <w:r w:rsidRPr="00654E3B">
        <w:rPr>
          <w:rFonts w:cs="Times New Roman"/>
        </w:rPr>
        <w:t>), sektor proizvodnje i prerade goriva (14</w:t>
      </w:r>
      <w:r w:rsidR="00060992" w:rsidRPr="00654E3B">
        <w:rPr>
          <w:rFonts w:cs="Times New Roman"/>
        </w:rPr>
        <w:t xml:space="preserve"> %</w:t>
      </w:r>
      <w:r w:rsidRPr="00654E3B">
        <w:rPr>
          <w:rFonts w:cs="Times New Roman"/>
        </w:rPr>
        <w:t>), sektor opće potrošnje (13</w:t>
      </w:r>
      <w:r w:rsidR="00060992" w:rsidRPr="00654E3B">
        <w:rPr>
          <w:rFonts w:cs="Times New Roman"/>
        </w:rPr>
        <w:t xml:space="preserve"> %</w:t>
      </w:r>
      <w:r w:rsidRPr="00654E3B">
        <w:rPr>
          <w:rFonts w:cs="Times New Roman"/>
        </w:rPr>
        <w:t>), sektor poljoprivrede (11</w:t>
      </w:r>
      <w:r w:rsidR="00060992" w:rsidRPr="00654E3B">
        <w:rPr>
          <w:rFonts w:cs="Times New Roman"/>
        </w:rPr>
        <w:t xml:space="preserve"> %</w:t>
      </w:r>
      <w:r w:rsidRPr="00654E3B">
        <w:rPr>
          <w:rFonts w:cs="Times New Roman"/>
        </w:rPr>
        <w:t>), sektor prometa (9</w:t>
      </w:r>
      <w:r w:rsidR="00060992" w:rsidRPr="00654E3B">
        <w:rPr>
          <w:rFonts w:cs="Times New Roman"/>
        </w:rPr>
        <w:t xml:space="preserve"> %</w:t>
      </w:r>
      <w:r w:rsidRPr="00654E3B">
        <w:rPr>
          <w:rFonts w:cs="Times New Roman"/>
        </w:rPr>
        <w:t>) te sektor otpada (1,3</w:t>
      </w:r>
      <w:r w:rsidR="00060992" w:rsidRPr="00654E3B">
        <w:rPr>
          <w:rFonts w:cs="Times New Roman"/>
        </w:rPr>
        <w:t xml:space="preserve"> %</w:t>
      </w:r>
      <w:r w:rsidRPr="00654E3B">
        <w:rPr>
          <w:rFonts w:cs="Times New Roman"/>
        </w:rPr>
        <w:t>).</w:t>
      </w:r>
    </w:p>
    <w:p w:rsidR="007D4A93" w:rsidRPr="00654E3B" w:rsidRDefault="00EF0BEB">
      <w:pPr>
        <w:rPr>
          <w:rFonts w:cs="Times New Roman"/>
          <w:b/>
          <w:i/>
          <w:u w:val="single"/>
        </w:rPr>
      </w:pPr>
      <w:r w:rsidRPr="00654E3B">
        <w:rPr>
          <w:rFonts w:cs="Times New Roman"/>
          <w:b/>
          <w:i/>
          <w:u w:val="single"/>
        </w:rPr>
        <w:t>Financiranje</w:t>
      </w:r>
    </w:p>
    <w:p w:rsidR="007D4A93" w:rsidRPr="00654E3B" w:rsidRDefault="00EF0BEB">
      <w:pPr>
        <w:rPr>
          <w:rFonts w:cs="Times New Roman"/>
        </w:rPr>
      </w:pPr>
      <w:r w:rsidRPr="00654E3B">
        <w:rPr>
          <w:rFonts w:cs="Times New Roman"/>
        </w:rPr>
        <w:t>Dugoročno, ulaganja u niskougljični projekte trebaju biti ekonomski održiva. Javni izvori financiranja neće biti dostatni te je potrebno naći instrumente za mobilizaciju privatnih sredstva za ulaganje u poslove koji doprinose Niskougljičnoj strategiji i gospodarskom rastu.</w:t>
      </w:r>
    </w:p>
    <w:p w:rsidR="007D4A93" w:rsidRPr="00654E3B" w:rsidRDefault="00EF0BEB">
      <w:pPr>
        <w:rPr>
          <w:rFonts w:cs="Times New Roman"/>
          <w:bCs/>
        </w:rPr>
      </w:pPr>
      <w:r w:rsidRPr="00654E3B">
        <w:rPr>
          <w:rFonts w:cs="Times New Roman"/>
          <w:b/>
        </w:rPr>
        <w:t>Procjenjuje se da će za tranziciju prema niskougljičnom razvoju biti potrebno od 38,65 do 65,92 mlrd. kuna u razdoblju od 2021. do 2030. godine, odnosno od 0,92 do 1,6</w:t>
      </w:r>
      <w:r w:rsidR="00060992" w:rsidRPr="00654E3B">
        <w:rPr>
          <w:rFonts w:cs="Times New Roman"/>
          <w:b/>
        </w:rPr>
        <w:t xml:space="preserve"> %</w:t>
      </w:r>
      <w:r w:rsidRPr="00654E3B">
        <w:rPr>
          <w:rFonts w:cs="Times New Roman"/>
          <w:b/>
        </w:rPr>
        <w:t xml:space="preserve"> BDP-a. U razdoblju od 2031. do 2050. godine trošak će biti od 107,09 do 167,95 mlrd. kuna (od 0,96 do 1,51</w:t>
      </w:r>
      <w:r w:rsidR="00060992" w:rsidRPr="00654E3B">
        <w:rPr>
          <w:rFonts w:cs="Times New Roman"/>
          <w:b/>
        </w:rPr>
        <w:t xml:space="preserve"> %</w:t>
      </w:r>
      <w:r w:rsidRPr="00654E3B">
        <w:rPr>
          <w:rFonts w:cs="Times New Roman"/>
          <w:b/>
        </w:rPr>
        <w:t xml:space="preserve"> BDP-a).</w:t>
      </w:r>
      <w:r w:rsidRPr="00654E3B">
        <w:rPr>
          <w:rFonts w:cs="Times New Roman"/>
        </w:rPr>
        <w:t xml:space="preserve"> </w:t>
      </w:r>
      <w:r w:rsidRPr="00654E3B">
        <w:rPr>
          <w:rFonts w:cs="Times New Roman"/>
          <w:bCs/>
        </w:rPr>
        <w:t>Navedeni iznosi ulaganja predstavljaju razliku ulaganja između tranzicijskih scenarija (NU1 i NU2) i referentnog scenarija (NUR).</w:t>
      </w:r>
    </w:p>
    <w:p w:rsidR="007D4A93" w:rsidRPr="00654E3B" w:rsidRDefault="00EF0BEB">
      <w:pPr>
        <w:rPr>
          <w:rFonts w:cs="Times New Roman"/>
        </w:rPr>
      </w:pPr>
      <w:r w:rsidRPr="00654E3B">
        <w:rPr>
          <w:rFonts w:cs="Times New Roman"/>
        </w:rPr>
        <w:t xml:space="preserve">Okvir za financiranje mjera u priličnoj mjeri već postoji, u smislu mogućih izvora financiranja. Republici Hrvatskoj će na raspolaganju za projekte koji će imati pozitivan utjecaj na klimu biti sredstva u ukupnom iznosu od oko 62,4 mlrd. kuna od čega 36 mlrd. kuna iz Višegodišnjeg financijskog okvira (VFO) do 2027. godine, 16,65 mlrd. kuna iz Fonda za oporavak i otpornost 2,7 mlrd. kuna iz Modernizacijskog fonda, oko 5,7 mlrd. kuna prihoda od dražbi emisijskih jedinica u okviru sustava trgovanja emisijama stakleničkih plinova. Također, Republici Hrvatskoj će na raspolaganju biti i oko 1,3 mlrd. kuna iz Fonda za pravednu tranziciju. Ta sredstva potrebno je usmjeriti i na mjere smanjenja  rizika i prilagodbe klimatskim promjenama kako bi se povećala otpornost Republike Hrvatske, smanjila ranjivost te smanjio trošak šteta uzrokovan klimatskim promjenama. Uz to, siguran izvor bit će i sredstva iz </w:t>
      </w:r>
      <w:r w:rsidR="00BC081B" w:rsidRPr="00654E3B">
        <w:rPr>
          <w:rFonts w:cs="Times New Roman"/>
        </w:rPr>
        <w:t>I</w:t>
      </w:r>
      <w:r w:rsidRPr="00654E3B">
        <w:rPr>
          <w:rFonts w:cs="Times New Roman"/>
        </w:rPr>
        <w:t>novacij</w:t>
      </w:r>
      <w:r w:rsidR="00BC081B" w:rsidRPr="00654E3B">
        <w:rPr>
          <w:rFonts w:cs="Times New Roman"/>
        </w:rPr>
        <w:t>skog fonda</w:t>
      </w:r>
      <w:r w:rsidRPr="00654E3B">
        <w:rPr>
          <w:rFonts w:cs="Times New Roman"/>
        </w:rPr>
        <w:t>, Fonda za povezivanje Europe, Europskog fonda za strateška ulaganja, i dr. Ostali izvori financiranja kao što su Obzor 2020 i Obzor Europa te LIFE program su natjecateljske prirode.</w:t>
      </w:r>
    </w:p>
    <w:p w:rsidR="007D4A93" w:rsidRPr="00654E3B" w:rsidRDefault="00EF0BEB">
      <w:pPr>
        <w:rPr>
          <w:rFonts w:cs="Times New Roman"/>
        </w:rPr>
      </w:pPr>
      <w:r w:rsidRPr="00654E3B">
        <w:rPr>
          <w:rFonts w:cs="Times New Roman"/>
        </w:rPr>
        <w:lastRenderedPageBreak/>
        <w:t>Republika Hrvatska imati će na raspolaganju značajna financijska sredstva, ali potrebe za ulaganjem znatno nadilaze raspoloživa sredstva. Stoga će biti nužna međuresorna koordinacija te korištenje inovativnih financijskih instrumenata (ESCO model</w:t>
      </w:r>
      <w:r w:rsidR="00DC516B" w:rsidRPr="00654E3B">
        <w:rPr>
          <w:rFonts w:cs="Times New Roman"/>
        </w:rPr>
        <w:t>,</w:t>
      </w:r>
      <w:r w:rsidRPr="00654E3B">
        <w:rPr>
          <w:rFonts w:cs="Times New Roman"/>
        </w:rPr>
        <w:t xml:space="preserve"> itd.) kako bi se s ograničenim financijskim sredstvima, koja su nam na raspolaganju postigao što veći, multiplikativni učinak u pogledu smanjenja emisija, obzirom da će svi sektori morati pridonijeti smanjivanju emisija kako bi Republika Hrvatska ispunila svoj udio smanjenja u EU cilju od -55</w:t>
      </w:r>
      <w:r w:rsidR="00060992" w:rsidRPr="00654E3B">
        <w:rPr>
          <w:rFonts w:cs="Times New Roman"/>
        </w:rPr>
        <w:t xml:space="preserve"> %</w:t>
      </w:r>
      <w:r w:rsidRPr="00654E3B">
        <w:rPr>
          <w:rFonts w:cs="Times New Roman"/>
        </w:rPr>
        <w:t xml:space="preserve"> do 2030. godine.</w:t>
      </w:r>
    </w:p>
    <w:p w:rsidR="007D4A93" w:rsidRPr="00654E3B" w:rsidRDefault="00EF0BEB">
      <w:pPr>
        <w:rPr>
          <w:rFonts w:cs="Times New Roman"/>
        </w:rPr>
      </w:pPr>
      <w:r w:rsidRPr="00654E3B">
        <w:rPr>
          <w:rFonts w:cs="Times New Roman"/>
        </w:rPr>
        <w:t xml:space="preserve">Novu perspektivu financiranja otvara Europski zeleni </w:t>
      </w:r>
      <w:r w:rsidR="0076137C" w:rsidRPr="00654E3B">
        <w:rPr>
          <w:rFonts w:cs="Times New Roman"/>
        </w:rPr>
        <w:t xml:space="preserve">plan i </w:t>
      </w:r>
      <w:r w:rsidRPr="00654E3B">
        <w:rPr>
          <w:rFonts w:cs="Times New Roman"/>
        </w:rPr>
        <w:t>dodatn</w:t>
      </w:r>
      <w:r w:rsidR="0076137C" w:rsidRPr="00654E3B">
        <w:rPr>
          <w:rFonts w:cs="Times New Roman"/>
        </w:rPr>
        <w:t>a</w:t>
      </w:r>
      <w:r w:rsidRPr="00654E3B">
        <w:rPr>
          <w:rFonts w:cs="Times New Roman"/>
        </w:rPr>
        <w:t xml:space="preserve"> sredstva za klimatske aktivnosti</w:t>
      </w:r>
      <w:r w:rsidR="0076137C" w:rsidRPr="00654E3B">
        <w:rPr>
          <w:rFonts w:cs="Times New Roman"/>
        </w:rPr>
        <w:t>, uključujući</w:t>
      </w:r>
      <w:r w:rsidRPr="00654E3B">
        <w:rPr>
          <w:rFonts w:cs="Times New Roman"/>
        </w:rPr>
        <w:t xml:space="preserve"> </w:t>
      </w:r>
      <w:r w:rsidR="0076137C" w:rsidRPr="00654E3B">
        <w:rPr>
          <w:rFonts w:cs="Times New Roman"/>
        </w:rPr>
        <w:t xml:space="preserve">nove instrumente </w:t>
      </w:r>
      <w:r w:rsidRPr="00654E3B">
        <w:rPr>
          <w:rFonts w:cs="Times New Roman"/>
        </w:rPr>
        <w:t xml:space="preserve">financiranja na nacionalnim razinama.  </w:t>
      </w:r>
    </w:p>
    <w:p w:rsidR="007D4A93" w:rsidRPr="00654E3B" w:rsidRDefault="00EF0BEB">
      <w:pPr>
        <w:rPr>
          <w:rFonts w:cs="Times New Roman"/>
        </w:rPr>
      </w:pPr>
      <w:r w:rsidRPr="00654E3B">
        <w:rPr>
          <w:rFonts w:cs="Times New Roman"/>
        </w:rPr>
        <w:t>Sredstvima predviđenim za solidarnu pomoć EU-a za op</w:t>
      </w:r>
      <w:r w:rsidR="00DC516B" w:rsidRPr="00654E3B">
        <w:rPr>
          <w:rFonts w:cs="Times New Roman"/>
        </w:rPr>
        <w:t>o</w:t>
      </w:r>
      <w:r w:rsidRPr="00654E3B">
        <w:rPr>
          <w:rFonts w:cs="Times New Roman"/>
        </w:rPr>
        <w:t>ravak gospodarstva i očuvanje radnih mjesta zbog utjecaja COVID-19 krize, prioritetno će se poticati zeleno gospodarstvo i digitalizacija. S gledišta emisija stakleničkih plinova, prepoznate su potrebne prioritetne intervencije u prometu, energetski intenzivnoj industriji, zgradarstvu i obnovljivim izvorima energije.</w:t>
      </w:r>
    </w:p>
    <w:p w:rsidR="007D4A93" w:rsidRPr="00654E3B" w:rsidRDefault="00EF0BEB">
      <w:pPr>
        <w:rPr>
          <w:rFonts w:cs="Times New Roman"/>
          <w:b/>
          <w:i/>
          <w:u w:val="single"/>
        </w:rPr>
      </w:pPr>
      <w:r w:rsidRPr="00654E3B">
        <w:rPr>
          <w:rFonts w:cs="Times New Roman"/>
          <w:b/>
          <w:i/>
          <w:u w:val="single"/>
        </w:rPr>
        <w:t xml:space="preserve">Utjecaj scenarija na okoliš i prirodu </w:t>
      </w:r>
    </w:p>
    <w:p w:rsidR="007D4A93" w:rsidRPr="00654E3B" w:rsidRDefault="00EF0BEB">
      <w:pPr>
        <w:rPr>
          <w:rFonts w:cs="Times New Roman"/>
        </w:rPr>
      </w:pPr>
      <w:r w:rsidRPr="00654E3B">
        <w:rPr>
          <w:rFonts w:cs="Times New Roman"/>
        </w:rPr>
        <w:t>Iako provedba Niskougljične strategije ima pozitivan učinak na smanjenje emisija stakleničkih plinova, neki aspekti niskougljičnog razvoja predstavljaju potencijalnu prijetnju za pojedine sastavnice okoliša i prirodu. Za Niskougljičnu strategiju proveo se postupak strateške procjene utjecaja na okoliš, koji je obuhvatio i glavnu ocjenu prihvatljivosti za ekološku mrežu. Mjere zaštite okoliša i mjere ublažavanja utjecaja na ciljeve očuvanja i cjelovitost područja ekološke mreže sastavni su dio Niskougljične strategije.</w:t>
      </w:r>
    </w:p>
    <w:p w:rsidR="007D4A93" w:rsidRPr="00654E3B" w:rsidRDefault="00EF0BEB">
      <w:pPr>
        <w:rPr>
          <w:rFonts w:cs="Times New Roman"/>
          <w:b/>
          <w:i/>
          <w:u w:val="single"/>
        </w:rPr>
      </w:pPr>
      <w:r w:rsidRPr="00654E3B">
        <w:rPr>
          <w:rFonts w:cs="Times New Roman"/>
          <w:b/>
          <w:i/>
          <w:u w:val="single"/>
        </w:rPr>
        <w:t>Socio-gospodarski utjecaji</w:t>
      </w:r>
    </w:p>
    <w:p w:rsidR="007D4A93" w:rsidRPr="00654E3B" w:rsidRDefault="00EF0BEB">
      <w:pPr>
        <w:rPr>
          <w:rFonts w:cs="Times New Roman"/>
        </w:rPr>
      </w:pPr>
      <w:r w:rsidRPr="00654E3B">
        <w:rPr>
          <w:rFonts w:cs="Times New Roman"/>
        </w:rPr>
        <w:t>Ukupne očekivane koristi za društvo (uzimajući u obzir eksterne troškove)</w:t>
      </w:r>
      <w:r w:rsidR="00DC516B" w:rsidRPr="00654E3B">
        <w:rPr>
          <w:rFonts w:cs="Times New Roman"/>
        </w:rPr>
        <w:t>,</w:t>
      </w:r>
      <w:r w:rsidRPr="00654E3B">
        <w:rPr>
          <w:rFonts w:cs="Times New Roman"/>
        </w:rPr>
        <w:t xml:space="preserve"> su pozitivne i rezultiraju ukupno manjim društvenim troškom. Osnovni izazov provedbe i dinamike promjena</w:t>
      </w:r>
      <w:r w:rsidR="00DC516B" w:rsidRPr="00654E3B">
        <w:rPr>
          <w:rFonts w:cs="Times New Roman"/>
        </w:rPr>
        <w:t>,</w:t>
      </w:r>
      <w:r w:rsidRPr="00654E3B">
        <w:rPr>
          <w:rFonts w:cs="Times New Roman"/>
        </w:rPr>
        <w:t xml:space="preserve"> je potreba visokih ulaganja koja mogu predstavljati značajan izazov za pojedine segmente gospodarstva i/ili kupaca. Ograničavajući čimbenik ubrzane tranzicije može biti sposobnost gospodarstva, društva i pojedinaca da pravovremeno sudjeluju u procesima zbog velikih početnih ulaganja, bez obzira što procesi tranzicije donose dugoročnu korist društvu i okolišu.</w:t>
      </w:r>
    </w:p>
    <w:p w:rsidR="007D4A93" w:rsidRPr="00654E3B" w:rsidRDefault="00EF0BEB">
      <w:pPr>
        <w:rPr>
          <w:rFonts w:cs="Times New Roman"/>
          <w:b/>
        </w:rPr>
      </w:pPr>
      <w:r w:rsidRPr="00654E3B">
        <w:rPr>
          <w:rFonts w:cs="Times New Roman"/>
          <w:b/>
        </w:rPr>
        <w:t xml:space="preserve">Niskougljičnim razvojem mogu se ostvariti neto koristi za društvo, ali su za provedbu mjera potrebna dodatna </w:t>
      </w:r>
      <w:r w:rsidR="001D3DDF" w:rsidRPr="00654E3B">
        <w:rPr>
          <w:rFonts w:cs="Times New Roman"/>
          <w:b/>
        </w:rPr>
        <w:t xml:space="preserve">EU </w:t>
      </w:r>
      <w:r w:rsidRPr="00654E3B">
        <w:rPr>
          <w:rFonts w:cs="Times New Roman"/>
          <w:b/>
        </w:rPr>
        <w:t>sredstva</w:t>
      </w:r>
      <w:r w:rsidR="001D3DDF" w:rsidRPr="00654E3B">
        <w:rPr>
          <w:rFonts w:cs="Times New Roman"/>
          <w:b/>
        </w:rPr>
        <w:t>.</w:t>
      </w:r>
      <w:r w:rsidRPr="00654E3B">
        <w:rPr>
          <w:rFonts w:cs="Times New Roman"/>
          <w:b/>
        </w:rPr>
        <w:t xml:space="preserve"> </w:t>
      </w:r>
    </w:p>
    <w:p w:rsidR="007D4A93" w:rsidRPr="00654E3B" w:rsidRDefault="00EF0BEB">
      <w:pPr>
        <w:rPr>
          <w:rFonts w:cs="Times New Roman"/>
          <w:b/>
          <w:i/>
          <w:u w:val="single"/>
        </w:rPr>
      </w:pPr>
      <w:bookmarkStart w:id="117" w:name="_Toc477868530"/>
      <w:r w:rsidRPr="00654E3B">
        <w:rPr>
          <w:rFonts w:cs="Times New Roman"/>
          <w:b/>
          <w:i/>
          <w:u w:val="single"/>
        </w:rPr>
        <w:t>Obrazovanje i aktivno uključivanje građana u niskougljični razvoj</w:t>
      </w:r>
      <w:bookmarkEnd w:id="117"/>
    </w:p>
    <w:p w:rsidR="007D4A93" w:rsidRPr="00654E3B" w:rsidRDefault="00EF0BEB">
      <w:pPr>
        <w:rPr>
          <w:rFonts w:cs="Times New Roman"/>
        </w:rPr>
      </w:pPr>
      <w:r w:rsidRPr="00654E3B">
        <w:rPr>
          <w:rFonts w:cs="Times New Roman"/>
        </w:rPr>
        <w:t xml:space="preserve">Obrazovni sustav treba postati predvodnik u promicanju načela niskougljičnog razvoja, mladi ljudi koji ulaze u sustav obrazovanja danas bit će nositelji promjena u budućnosti te se bez njihovog znanja i uvjerenja ciljevi Niskougljične strategije neće provesti. Stoga je ovo prioritetna aktivnost Niskougljične strategije, dugoročno važnija od bilo koje mjere tehničkog tipa. </w:t>
      </w:r>
    </w:p>
    <w:p w:rsidR="007D4A93" w:rsidRPr="00654E3B" w:rsidRDefault="00EF0BEB">
      <w:pPr>
        <w:rPr>
          <w:rFonts w:cs="Times New Roman"/>
        </w:rPr>
      </w:pPr>
      <w:r w:rsidRPr="00654E3B">
        <w:rPr>
          <w:rFonts w:cs="Times New Roman"/>
        </w:rPr>
        <w:t xml:space="preserve">U razdoblju od 2021. do 2030. godine obrazovanje o održivom razvoju i klimatskim promjenama u Hrvatskoj će se razvijati, dopunjavati i modernizirati u hodu, te stvarati generacije građana </w:t>
      </w:r>
      <w:r w:rsidR="00DC516B" w:rsidRPr="00654E3B">
        <w:rPr>
          <w:rFonts w:cs="Times New Roman"/>
        </w:rPr>
        <w:t xml:space="preserve">Republike </w:t>
      </w:r>
      <w:r w:rsidRPr="00654E3B">
        <w:rPr>
          <w:rFonts w:cs="Times New Roman"/>
        </w:rPr>
        <w:t xml:space="preserve">Hrvatske koji će biti cjelovito i sustavno „klimatski </w:t>
      </w:r>
      <w:r w:rsidR="00CA662D" w:rsidRPr="00654E3B">
        <w:rPr>
          <w:rFonts w:cs="Times New Roman"/>
        </w:rPr>
        <w:t>osviješteni</w:t>
      </w:r>
      <w:r w:rsidRPr="00654E3B">
        <w:rPr>
          <w:rFonts w:cs="Times New Roman"/>
        </w:rPr>
        <w:t>“.</w:t>
      </w:r>
    </w:p>
    <w:p w:rsidR="007D4A93" w:rsidRPr="00654E3B" w:rsidRDefault="00EF0BEB">
      <w:pPr>
        <w:rPr>
          <w:rFonts w:cs="Times New Roman"/>
        </w:rPr>
      </w:pPr>
      <w:r w:rsidRPr="00654E3B">
        <w:rPr>
          <w:rFonts w:cs="Times New Roman"/>
        </w:rPr>
        <w:t>Također, u razdoblju do 2030. godine previđa se ubrzanija promjena načina poimanja i obrazaca ponašanja u smjeru Republike Hrvatske kao niskougljičnog društva. S jedne strane, sustavno će rasti osviještenost za klimatska pitanja, s druge strane će se trebati obrazovati za nove vještine koje će moći odgovoriti izazovima tranzicije prema niskougljičnom razvoju, a s treće niskougljična praktična rješenja će se trebati ugraditi u organizaciju društvenog života, proizvodnje, potrošnje i upravljanja razvojem u smjeru porasta održivosti.</w:t>
      </w:r>
    </w:p>
    <w:p w:rsidR="007D4A93" w:rsidRPr="00654E3B" w:rsidRDefault="00EF0BEB">
      <w:pPr>
        <w:rPr>
          <w:rFonts w:cs="Times New Roman"/>
          <w:b/>
          <w:i/>
          <w:u w:val="single"/>
        </w:rPr>
      </w:pPr>
      <w:r w:rsidRPr="00654E3B">
        <w:rPr>
          <w:rFonts w:cs="Times New Roman"/>
          <w:b/>
          <w:i/>
          <w:u w:val="single"/>
        </w:rPr>
        <w:t xml:space="preserve">Istraživanje, razvoj i inovacije </w:t>
      </w:r>
    </w:p>
    <w:p w:rsidR="007D4A93" w:rsidRPr="00654E3B" w:rsidRDefault="00EF0BEB">
      <w:pPr>
        <w:rPr>
          <w:rFonts w:cs="Times New Roman"/>
        </w:rPr>
      </w:pPr>
      <w:r w:rsidRPr="00654E3B">
        <w:rPr>
          <w:rFonts w:cs="Times New Roman"/>
        </w:rPr>
        <w:lastRenderedPageBreak/>
        <w:t xml:space="preserve">Dosadašnja ulaganja u istraživanje, razvoj i inovacije po pitanju klimatskih promjena bila su potpuno zanemariva i nedostatno raspoznata u postojećim strateškim dokumentima. Istraživanje i razvoj su među najvećim potencijalnim faktorima doprinosa rastu BDP-a, odmah nakon povećanja zaposlenosti, stoga je u Hrvatskoj potrebno povećanje izdataka za istraživanje i razvoj, bliže prosječnoj razini EU-a. Pristup sredstvima treba omogućiti i privatnom sektoru, za primijenjena znanstvena i razvojna istraživanja, pilot i demonstracijske projekte. U planiranju programa financiranja i u praćenju realizacije treba biti snažno uključeno ministarstvo nadležno za politike klime, međukoordinacijska tijela i predstavnici izvan javnog sektora.  </w:t>
      </w:r>
    </w:p>
    <w:p w:rsidR="007D4A93" w:rsidRPr="00654E3B" w:rsidRDefault="00EF0BEB">
      <w:pPr>
        <w:rPr>
          <w:rFonts w:cs="Times New Roman"/>
          <w:b/>
          <w:i/>
          <w:u w:val="single"/>
        </w:rPr>
      </w:pPr>
      <w:r w:rsidRPr="00654E3B">
        <w:rPr>
          <w:rFonts w:cs="Times New Roman"/>
        </w:rPr>
        <w:t>Elemente niskougljičnog razvoja potrebno je integrirati u programe poticanja inovacija, istraživanja i razvoja visokih tehnologija u privatnom i javnom sektoru.</w:t>
      </w:r>
    </w:p>
    <w:p w:rsidR="007D4A93" w:rsidRPr="00654E3B" w:rsidRDefault="00EF0BEB">
      <w:pPr>
        <w:rPr>
          <w:rFonts w:cs="Times New Roman"/>
          <w:b/>
          <w:i/>
          <w:u w:val="single"/>
        </w:rPr>
      </w:pPr>
      <w:bookmarkStart w:id="118" w:name="_Toc477868529"/>
      <w:r w:rsidRPr="00654E3B">
        <w:rPr>
          <w:rFonts w:cs="Times New Roman"/>
          <w:b/>
          <w:i/>
          <w:u w:val="single"/>
        </w:rPr>
        <w:t>Niskougljični razvoj na lokalnoj razini</w:t>
      </w:r>
      <w:bookmarkEnd w:id="118"/>
    </w:p>
    <w:p w:rsidR="007D4A93" w:rsidRPr="00654E3B" w:rsidRDefault="00EF0BEB">
      <w:pPr>
        <w:rPr>
          <w:rFonts w:cs="Times New Roman"/>
        </w:rPr>
      </w:pPr>
      <w:r w:rsidRPr="00654E3B">
        <w:rPr>
          <w:rFonts w:cs="Times New Roman"/>
        </w:rPr>
        <w:t xml:space="preserve">Provedbom Niskougljične strategije treba uspostaviti bolju povezanost i sinergijske učinke politika na državnoj razini i lokalnim razinama. Djelovanje se sve više pomiče na samostalne aktivnosti </w:t>
      </w:r>
      <w:r w:rsidR="005941DA" w:rsidRPr="00654E3B">
        <w:rPr>
          <w:rFonts w:cs="Times New Roman"/>
        </w:rPr>
        <w:t xml:space="preserve">jedinica </w:t>
      </w:r>
      <w:r w:rsidRPr="00654E3B">
        <w:rPr>
          <w:rFonts w:cs="Times New Roman"/>
        </w:rPr>
        <w:t xml:space="preserve">lokalnih </w:t>
      </w:r>
      <w:r w:rsidR="005941DA" w:rsidRPr="00654E3B">
        <w:rPr>
          <w:rFonts w:cs="Times New Roman"/>
        </w:rPr>
        <w:t>samo</w:t>
      </w:r>
      <w:r w:rsidRPr="00654E3B">
        <w:rPr>
          <w:rFonts w:cs="Times New Roman"/>
        </w:rPr>
        <w:t xml:space="preserve">uprava i gradova. Ambicioznije inicijative kao što su ugljično neutralni otoci, gradovi i slično treba podržati. U tome je osobito važno povezivanje aktivnosti koje se provode u okviru međunarodne inicijative „Povelja gradonačelnika“, koncepta „pametnih gradova“ i </w:t>
      </w:r>
      <w:r w:rsidR="0010094F" w:rsidRPr="00654E3B">
        <w:rPr>
          <w:rFonts w:cs="Times New Roman"/>
        </w:rPr>
        <w:t xml:space="preserve">„pametnih otoka“ te </w:t>
      </w:r>
      <w:r w:rsidRPr="00654E3B">
        <w:rPr>
          <w:rFonts w:cs="Times New Roman"/>
        </w:rPr>
        <w:t xml:space="preserve">inovativnih platformi. Na lokalnoj razini dolazi do povezivanja mjera ublažavanja i prilagodbe klimatskim promjenama te je sinergija korištenja resursa najsnažnija. </w:t>
      </w:r>
    </w:p>
    <w:p w:rsidR="007D4A93" w:rsidRPr="00654E3B" w:rsidRDefault="00EF0BEB">
      <w:pPr>
        <w:rPr>
          <w:rFonts w:cs="Times New Roman"/>
        </w:rPr>
      </w:pPr>
      <w:r w:rsidRPr="00654E3B">
        <w:rPr>
          <w:rFonts w:cs="Times New Roman"/>
        </w:rPr>
        <w:t xml:space="preserve">Niskougljična strategija ukazuje da je potrebno provesti niz mjera pri planiranju i izgradnji integralnih sustava u gradovima. To uključuje javni i ostali promet, zgradarstvo, komunalne sustave, autonomne sustave, obrazovne sustave, informacijsko komunikacijske tehnologije (ICT), urbanizam, inovativna rješenja u raznim područjima i podizanje javne svijesti. </w:t>
      </w:r>
    </w:p>
    <w:p w:rsidR="007D4A93" w:rsidRPr="00654E3B" w:rsidRDefault="00EF0BEB">
      <w:pPr>
        <w:rPr>
          <w:rFonts w:cs="Times New Roman"/>
          <w:b/>
          <w:i/>
          <w:u w:val="single"/>
        </w:rPr>
      </w:pPr>
      <w:r w:rsidRPr="00654E3B">
        <w:rPr>
          <w:rFonts w:cs="Times New Roman"/>
          <w:b/>
          <w:i/>
          <w:u w:val="single"/>
        </w:rPr>
        <w:t xml:space="preserve">Niskougljično gospodarstvo i obrasci poslovanja </w:t>
      </w:r>
    </w:p>
    <w:p w:rsidR="007D4A93" w:rsidRPr="00654E3B" w:rsidRDefault="00EF0BEB">
      <w:pPr>
        <w:rPr>
          <w:rFonts w:cs="Times New Roman"/>
        </w:rPr>
      </w:pPr>
      <w:r w:rsidRPr="00654E3B">
        <w:rPr>
          <w:rFonts w:cs="Times New Roman"/>
        </w:rPr>
        <w:t>Vezano za obrasce poslovanja najznačajniji je preobražaj poslovanja po načelima kružnog gospodarstva. Potrebno je provoditi politiku održive potrošnje i proizvodnje, potaknuti održive obrasce ponašanja i poslovanja u svim gospodarskim sektorima. Treba provoditi koncept „životni ciklus proizvoda i usluga“ (LCA)</w:t>
      </w:r>
      <w:r w:rsidR="00DC516B" w:rsidRPr="00654E3B">
        <w:rPr>
          <w:rFonts w:cs="Times New Roman"/>
        </w:rPr>
        <w:t>,</w:t>
      </w:r>
      <w:r w:rsidRPr="00654E3B">
        <w:rPr>
          <w:rFonts w:cs="Times New Roman"/>
        </w:rPr>
        <w:t xml:space="preserve"> koji prati okolišni otisak proizvoda i usluga, a utemeljen je na znanstvenim pokazateljima. Cilj je smanjiti potrošnju prirodnih dobara, smanjiti nastanak opasnih i toksičnih tvari, smanjiti emisije u zrak, vodu i tlo te smanjiti ili spriječiti nastajanje otpada na mjestu nastanka.</w:t>
      </w:r>
    </w:p>
    <w:p w:rsidR="007D4A93" w:rsidRPr="00654E3B" w:rsidRDefault="00EF0BEB">
      <w:pPr>
        <w:rPr>
          <w:rFonts w:cs="Times New Roman"/>
        </w:rPr>
      </w:pPr>
      <w:r w:rsidRPr="00654E3B">
        <w:rPr>
          <w:rFonts w:cs="Times New Roman"/>
        </w:rPr>
        <w:t>Primjena načela niskougljičnog razvoja u poslovnim organizacijama je uglavnom dobrovoljna, što znači da vodstva organizacija primjenjuju ova načela očekujući da će dugoročno ostvariti određenu korist. Zbog toga uspjeh ovisi o dva elementa: prvenstveno o jačanju svijesti i edukaciji osoba odgovornih za upravljanje organizacijama i donošenje ključnih poslovnih odluka (visokog menadžmenta) te o stvaranju poticajnog poslovnog okruženja u kojem će organizacije prepoznati korist od primjene načela niskougljičnog razvoja, s time da ta korist nije nužno materijalna ili se barem tek dugoročno može materijalizirati.</w:t>
      </w:r>
    </w:p>
    <w:p w:rsidR="007D4A93" w:rsidRPr="00654E3B" w:rsidRDefault="00EF0BEB">
      <w:pPr>
        <w:rPr>
          <w:rFonts w:cs="Times New Roman"/>
        </w:rPr>
      </w:pPr>
      <w:r w:rsidRPr="00654E3B">
        <w:rPr>
          <w:rFonts w:cs="Times New Roman"/>
        </w:rPr>
        <w:t>Vezano za konkretne mjere, radi se o poticanju uspostave sustava kvalitete, sustava upravljanja okolišem, određivanju ugljičnog otiska, ekološkom licenciranju, zelenoj javnoj nabavi, itd. Navedeno podrazumijeva i izgradnju adekvatne informatičke infrastrukture, baza podataka</w:t>
      </w:r>
      <w:r w:rsidR="00DC516B" w:rsidRPr="00654E3B">
        <w:rPr>
          <w:rFonts w:cs="Times New Roman"/>
        </w:rPr>
        <w:t xml:space="preserve"> i </w:t>
      </w:r>
      <w:r w:rsidRPr="00654E3B">
        <w:rPr>
          <w:rFonts w:cs="Times New Roman"/>
        </w:rPr>
        <w:t xml:space="preserve">modela proračuna. </w:t>
      </w:r>
    </w:p>
    <w:p w:rsidR="007D4A93" w:rsidRPr="00654E3B" w:rsidRDefault="00EF0BEB">
      <w:pPr>
        <w:rPr>
          <w:rFonts w:cs="Times New Roman"/>
          <w:b/>
          <w:i/>
          <w:u w:val="single"/>
        </w:rPr>
      </w:pPr>
      <w:r w:rsidRPr="00654E3B">
        <w:rPr>
          <w:rFonts w:cs="Times New Roman"/>
          <w:b/>
          <w:i/>
          <w:u w:val="single"/>
        </w:rPr>
        <w:t xml:space="preserve">Međunarodna suradnja </w:t>
      </w:r>
    </w:p>
    <w:p w:rsidR="007D4A93" w:rsidRPr="00654E3B" w:rsidRDefault="00EF0BEB">
      <w:pPr>
        <w:rPr>
          <w:rFonts w:cs="Times New Roman"/>
        </w:rPr>
      </w:pPr>
      <w:r w:rsidRPr="00654E3B">
        <w:rPr>
          <w:rFonts w:cs="Times New Roman"/>
        </w:rPr>
        <w:t>Okvirna konvencija Ujedinjenih naroda o promjeni klime (UNFCCC) i Pariški sporazum navode obvezu suradnje te se navodi da će stranke koje su razvijene zemlje svijeta pomagati strankama, koje su zemlje u razvoju</w:t>
      </w:r>
      <w:r w:rsidR="00DC516B" w:rsidRPr="00654E3B">
        <w:rPr>
          <w:rFonts w:cs="Times New Roman"/>
        </w:rPr>
        <w:t>,</w:t>
      </w:r>
      <w:r w:rsidRPr="00654E3B">
        <w:rPr>
          <w:rFonts w:cs="Times New Roman"/>
        </w:rPr>
        <w:t xml:space="preserve"> u potpori za mjere </w:t>
      </w:r>
      <w:r w:rsidR="00DC516B" w:rsidRPr="00654E3B">
        <w:rPr>
          <w:rFonts w:cs="Times New Roman"/>
        </w:rPr>
        <w:t xml:space="preserve">izgradnje </w:t>
      </w:r>
      <w:r w:rsidRPr="00654E3B">
        <w:rPr>
          <w:rFonts w:cs="Times New Roman"/>
        </w:rPr>
        <w:t xml:space="preserve">kapaciteta za ublažavanje klimatskih promjena i prilagodbi na klimatske promjene. Republika Hrvatska članstvom u EU ulazi u kategoriju razvijenih zemalja svijeta te kroz nacionalnu politiku međunarodne razvojne pomoći treba razvijati programe pomoći odabranim strankama, koje su zemlje u razvoju na temu klimatskih promjena. Pored toga, Republika Hrvatska </w:t>
      </w:r>
      <w:r w:rsidRPr="00654E3B">
        <w:rPr>
          <w:rFonts w:cs="Times New Roman"/>
        </w:rPr>
        <w:lastRenderedPageBreak/>
        <w:t>sudjeluje u kreiranju međunarodne razvojne pomoći EU-a, koja je kao Stranka UNFCCC i Pariškog sporazuma najveći pojedinačni donator u svijetu za klimatsku politiku.</w:t>
      </w:r>
    </w:p>
    <w:p w:rsidR="007D4A93" w:rsidRPr="00654E3B" w:rsidRDefault="00EF0BEB">
      <w:pPr>
        <w:rPr>
          <w:rFonts w:cs="Times New Roman"/>
          <w:b/>
          <w:i/>
          <w:u w:val="single"/>
        </w:rPr>
      </w:pPr>
      <w:r w:rsidRPr="00654E3B">
        <w:rPr>
          <w:rFonts w:cs="Times New Roman"/>
          <w:b/>
          <w:i/>
          <w:u w:val="single"/>
        </w:rPr>
        <w:t xml:space="preserve">Provedba Niskougljične strategije </w:t>
      </w:r>
    </w:p>
    <w:p w:rsidR="007D4A93" w:rsidRPr="00654E3B" w:rsidRDefault="00EF0BEB">
      <w:pPr>
        <w:rPr>
          <w:rFonts w:cs="Times New Roman"/>
        </w:rPr>
      </w:pPr>
      <w:r w:rsidRPr="00654E3B">
        <w:rPr>
          <w:rFonts w:cs="Times New Roman"/>
        </w:rPr>
        <w:t xml:space="preserve">Proces tranzicije prema niskougljičnom gospodarstvu je kontinuiran i dugotrajan i zahvaća cjelokupno društvo i gospodarstvo. Stoga je za uspješnu provedbu Niskougljične strategije potrebna horizontalna međusektorska suradnja središnjih tijela državne uprave i tijela javne vlasti te vertikalna suradnja od državne razine do djelovanja na lokalnoj razini. </w:t>
      </w:r>
    </w:p>
    <w:p w:rsidR="007D4A93" w:rsidRPr="00654E3B" w:rsidRDefault="00EF0BEB">
      <w:pPr>
        <w:rPr>
          <w:rFonts w:cs="Times New Roman"/>
        </w:rPr>
      </w:pPr>
      <w:r w:rsidRPr="00654E3B">
        <w:rPr>
          <w:rFonts w:cs="Times New Roman"/>
        </w:rPr>
        <w:t xml:space="preserve">Kako bi se niskougljični razvoj ugradio u ključne aspekte društva i gospodarstva, za očekivati je da će doći do prilagodbe postojećeg pravnog okvira i razvojnih dokumenata pojedinih područja. </w:t>
      </w:r>
      <w:r w:rsidRPr="00654E3B">
        <w:rPr>
          <w:rFonts w:cs="Times New Roman"/>
          <w:szCs w:val="24"/>
        </w:rPr>
        <w:t xml:space="preserve">Međusektorsku suradnju koordiniraju </w:t>
      </w:r>
      <w:r w:rsidRPr="00654E3B">
        <w:rPr>
          <w:rFonts w:cs="Times New Roman"/>
        </w:rPr>
        <w:t xml:space="preserve">Povjerenstvo za međusektorsku koordinaciju za nacionalni sustav za praćenje emisija stakleničkih plinova i Povjerenstvo za međusektorsku koordinaciju za politiku i mjere za ublažavanje i prilagodbu klimatskim promjenama. </w:t>
      </w:r>
    </w:p>
    <w:p w:rsidR="007D4A93" w:rsidRPr="00654E3B" w:rsidRDefault="006C7329">
      <w:pPr>
        <w:rPr>
          <w:rFonts w:cs="Times New Roman"/>
          <w:szCs w:val="24"/>
        </w:rPr>
      </w:pPr>
      <w:r w:rsidRPr="00654E3B">
        <w:rPr>
          <w:rFonts w:cs="Times New Roman"/>
          <w:szCs w:val="24"/>
        </w:rPr>
        <w:t>T</w:t>
      </w:r>
      <w:r w:rsidR="00EF0BEB" w:rsidRPr="00654E3B">
        <w:rPr>
          <w:rFonts w:cs="Times New Roman"/>
          <w:szCs w:val="24"/>
        </w:rPr>
        <w:t>ijelo državne uprave nadležno za politiku klimatskih promjena</w:t>
      </w:r>
      <w:r w:rsidR="00DC516B" w:rsidRPr="00654E3B">
        <w:rPr>
          <w:rFonts w:cs="Times New Roman"/>
          <w:szCs w:val="24"/>
        </w:rPr>
        <w:t>,</w:t>
      </w:r>
      <w:r w:rsidR="00EF0BEB" w:rsidRPr="00654E3B">
        <w:rPr>
          <w:rFonts w:cs="Times New Roman"/>
          <w:szCs w:val="24"/>
        </w:rPr>
        <w:t xml:space="preserve"> izvješćuje Europsku komisiju o provedbi Niskougljične strategije putem Izvješća o primjeni Niskougljične strategije u rokovima određenima propisima, odnosno u skladu s rasporedom dogovorenim na međunarodnoj razini u kontekstu </w:t>
      </w:r>
      <w:r w:rsidR="00EF0BEB" w:rsidRPr="00654E3B">
        <w:rPr>
          <w:rFonts w:cs="Times New Roman"/>
        </w:rPr>
        <w:t>UNFCCC</w:t>
      </w:r>
      <w:r w:rsidR="00EF0BEB" w:rsidRPr="00654E3B">
        <w:rPr>
          <w:rFonts w:cs="Times New Roman"/>
          <w:szCs w:val="24"/>
        </w:rPr>
        <w:t>.</w:t>
      </w:r>
    </w:p>
    <w:p w:rsidR="007D4A93" w:rsidRPr="00654E3B" w:rsidRDefault="00EF0BEB">
      <w:pPr>
        <w:rPr>
          <w:rFonts w:cs="Times New Roman"/>
          <w:b/>
          <w:i/>
          <w:u w:val="single"/>
        </w:rPr>
      </w:pPr>
      <w:r w:rsidRPr="00654E3B">
        <w:rPr>
          <w:rFonts w:cs="Times New Roman"/>
          <w:b/>
          <w:i/>
          <w:u w:val="single"/>
        </w:rPr>
        <w:t xml:space="preserve">Strateška procjena utjecaja Niskougljične strategije na okoliš  </w:t>
      </w:r>
    </w:p>
    <w:p w:rsidR="007D4A93" w:rsidRPr="00654E3B" w:rsidRDefault="00EF0BEB">
      <w:pPr>
        <w:rPr>
          <w:rFonts w:cs="Times New Roman"/>
        </w:rPr>
      </w:pPr>
      <w:r w:rsidRPr="00654E3B">
        <w:rPr>
          <w:rFonts w:cs="Times New Roman"/>
        </w:rPr>
        <w:t>Sukladno propisima koji uređuju zaštitu okoliša, za Niskougljičnu strategiju proveden je postupak strateške procjene utjecaja na okoliš. U Strateškoj studiji sagledan je mogući utjecaj Niskougljične strategije na okoliš i ekološku mrežu te su određene mjere zaštite okoliša i mjere ublažavanja utjecaja na ciljeve očuvanja i cjelovitost područja ekološke mreže.</w:t>
      </w:r>
    </w:p>
    <w:p w:rsidR="007D4A93" w:rsidRPr="00654E3B" w:rsidRDefault="00EF0BEB">
      <w:pPr>
        <w:pStyle w:val="Heading2"/>
        <w:rPr>
          <w:rFonts w:ascii="Times New Roman" w:hAnsi="Times New Roman" w:cs="Times New Roman"/>
        </w:rPr>
      </w:pPr>
      <w:bookmarkStart w:id="119" w:name="_Toc20841284"/>
      <w:bookmarkStart w:id="120" w:name="_Toc20841390"/>
      <w:bookmarkStart w:id="121" w:name="_Toc69297722"/>
      <w:r w:rsidRPr="00654E3B">
        <w:rPr>
          <w:rFonts w:ascii="Times New Roman" w:hAnsi="Times New Roman" w:cs="Times New Roman"/>
        </w:rPr>
        <w:t>1.2.</w:t>
      </w:r>
      <w:r w:rsidRPr="00654E3B">
        <w:rPr>
          <w:rFonts w:ascii="Times New Roman" w:hAnsi="Times New Roman" w:cs="Times New Roman"/>
        </w:rPr>
        <w:tab/>
        <w:t>PRAVNI KONTEKST I KONTEKST POLITIKA</w:t>
      </w:r>
      <w:bookmarkEnd w:id="119"/>
      <w:bookmarkEnd w:id="120"/>
      <w:bookmarkEnd w:id="121"/>
    </w:p>
    <w:p w:rsidR="007D4A93" w:rsidRPr="00654E3B" w:rsidRDefault="007D4A93">
      <w:pPr>
        <w:rPr>
          <w:rFonts w:cs="Times New Roman"/>
        </w:rPr>
      </w:pPr>
    </w:p>
    <w:p w:rsidR="007D4A93" w:rsidRPr="00654E3B" w:rsidRDefault="00EF0BEB">
      <w:pPr>
        <w:rPr>
          <w:rFonts w:cs="Times New Roman"/>
        </w:rPr>
      </w:pPr>
      <w:r w:rsidRPr="00654E3B">
        <w:rPr>
          <w:rFonts w:cs="Times New Roman"/>
        </w:rPr>
        <w:t>Globalna promjena klime danas je jedan od najvećih izazova čovječanstva. Znanstveno je utvrđeno da su vodeći uzroci promjene klime povećana emisija stakleničkih plinova, najviše kao posljedica izgaranja fosilnih goriva i intenzivne poljoprivrede te sječa prašuma. Zajedničko djelovanje država u cilju sprječavanja globalnih promjena provodi se kroz UNFCCC-a. Kyotski protokol uz UNFCCC i izmjena iz Dohe Kyotskog protokola nisu spriječili globalni porast emisije. Pariškim sporazumom (2015.)</w:t>
      </w:r>
      <w:r w:rsidR="00DC516B" w:rsidRPr="00654E3B">
        <w:rPr>
          <w:rFonts w:cs="Times New Roman"/>
        </w:rPr>
        <w:t>,</w:t>
      </w:r>
      <w:r w:rsidRPr="00654E3B">
        <w:rPr>
          <w:rFonts w:cs="Times New Roman"/>
        </w:rPr>
        <w:t xml:space="preserve"> države su se obvezale da će zajedničkim djelovanjem smanjivati emisije stakleničkih plinova s ciljem ograničavanja porasta prosječne globalne temperature do najaviše 2°C do kraja stoljeća, te dodatnim naporima na postizanju ograničenja porasta temperature do 1,5°C. Ciljevi smanjenja emisija stakleničkih plinova određuju se vlastitim planiranjem, tako da svaka stranka Pariškog sporazuma (ili skupina država)</w:t>
      </w:r>
      <w:r w:rsidR="00DC516B" w:rsidRPr="00654E3B">
        <w:rPr>
          <w:rFonts w:cs="Times New Roman"/>
        </w:rPr>
        <w:t>,</w:t>
      </w:r>
      <w:r w:rsidRPr="00654E3B">
        <w:rPr>
          <w:rFonts w:cs="Times New Roman"/>
        </w:rPr>
        <w:t xml:space="preserve"> određuje planirani nacionalno utvrđeni doprinos do</w:t>
      </w:r>
      <w:r w:rsidR="00FF5A77" w:rsidRPr="00654E3B">
        <w:rPr>
          <w:rFonts w:cs="Times New Roman"/>
        </w:rPr>
        <w:t xml:space="preserve"> 2025 ili</w:t>
      </w:r>
      <w:r w:rsidRPr="00654E3B">
        <w:rPr>
          <w:rFonts w:cs="Times New Roman"/>
        </w:rPr>
        <w:t xml:space="preserve"> 2030. godine. </w:t>
      </w:r>
    </w:p>
    <w:p w:rsidR="007D4A93" w:rsidRPr="00654E3B" w:rsidRDefault="00EF0BEB">
      <w:pPr>
        <w:rPr>
          <w:rFonts w:cs="Times New Roman"/>
          <w:color w:val="000000"/>
        </w:rPr>
      </w:pPr>
      <w:r w:rsidRPr="00654E3B">
        <w:rPr>
          <w:rFonts w:cs="Times New Roman"/>
          <w:color w:val="000000" w:themeColor="text1"/>
        </w:rPr>
        <w:t xml:space="preserve">Republika Hrvatska stranka je Pariškog sporazuma od 2017. godine, čime se obvezala provoditi mjere smanjenja emisija stakleničkih plinova u okviru obveza EU. </w:t>
      </w:r>
    </w:p>
    <w:p w:rsidR="007D4A93" w:rsidRPr="00654E3B" w:rsidRDefault="00EF0BEB">
      <w:pPr>
        <w:rPr>
          <w:rFonts w:cs="Times New Roman"/>
        </w:rPr>
      </w:pPr>
      <w:r w:rsidRPr="00654E3B">
        <w:rPr>
          <w:rFonts w:cs="Times New Roman"/>
        </w:rPr>
        <w:t xml:space="preserve">Polazište politike EU-a za put prema niskougljičnom gospodarstvu </w:t>
      </w:r>
      <w:r w:rsidR="00FF5A77" w:rsidRPr="00654E3B">
        <w:rPr>
          <w:rFonts w:cs="Times New Roman"/>
        </w:rPr>
        <w:t xml:space="preserve">je </w:t>
      </w:r>
      <w:r w:rsidRPr="00654E3B">
        <w:rPr>
          <w:rFonts w:cs="Times New Roman"/>
        </w:rPr>
        <w:t>Okvir klimatsko-energetske politike EU do 2030. godine, kojim su postavljeni sljedeći ciljevi:</w:t>
      </w:r>
    </w:p>
    <w:p w:rsidR="007D4A93" w:rsidRPr="00654E3B" w:rsidRDefault="00EF0BEB" w:rsidP="000C6795">
      <w:pPr>
        <w:pStyle w:val="ListParagraph"/>
        <w:numPr>
          <w:ilvl w:val="0"/>
          <w:numId w:val="6"/>
        </w:numPr>
        <w:rPr>
          <w:rFonts w:cs="Times New Roman"/>
        </w:rPr>
      </w:pPr>
      <w:r w:rsidRPr="00654E3B">
        <w:rPr>
          <w:rFonts w:cs="Times New Roman"/>
        </w:rPr>
        <w:t>smanjenje emisija stakleničkih plinova za</w:t>
      </w:r>
      <w:r w:rsidR="00FF5A77" w:rsidRPr="00654E3B">
        <w:rPr>
          <w:rFonts w:cs="Times New Roman"/>
        </w:rPr>
        <w:t xml:space="preserve"> najmanje</w:t>
      </w:r>
      <w:r w:rsidRPr="00654E3B">
        <w:rPr>
          <w:rFonts w:cs="Times New Roman"/>
        </w:rPr>
        <w:t xml:space="preserve"> 40</w:t>
      </w:r>
      <w:r w:rsidR="00060992" w:rsidRPr="00654E3B">
        <w:rPr>
          <w:rFonts w:cs="Times New Roman"/>
        </w:rPr>
        <w:t xml:space="preserve"> %</w:t>
      </w:r>
      <w:r w:rsidRPr="00654E3B">
        <w:rPr>
          <w:rFonts w:cs="Times New Roman"/>
        </w:rPr>
        <w:t xml:space="preserve"> u usporedbi s razinama iz 1990. godine</w:t>
      </w:r>
    </w:p>
    <w:p w:rsidR="007D4A93" w:rsidRPr="00654E3B" w:rsidRDefault="00EF0BEB" w:rsidP="000C6795">
      <w:pPr>
        <w:pStyle w:val="ListParagraph"/>
        <w:numPr>
          <w:ilvl w:val="0"/>
          <w:numId w:val="6"/>
        </w:numPr>
        <w:rPr>
          <w:rFonts w:cs="Times New Roman"/>
        </w:rPr>
      </w:pPr>
      <w:r w:rsidRPr="00654E3B">
        <w:rPr>
          <w:rFonts w:cs="Times New Roman"/>
        </w:rPr>
        <w:t>najmanje 32</w:t>
      </w:r>
      <w:r w:rsidR="00060992" w:rsidRPr="00654E3B">
        <w:rPr>
          <w:rFonts w:cs="Times New Roman"/>
        </w:rPr>
        <w:t xml:space="preserve"> %</w:t>
      </w:r>
      <w:r w:rsidRPr="00654E3B">
        <w:rPr>
          <w:rFonts w:cs="Times New Roman"/>
        </w:rPr>
        <w:t xml:space="preserve"> potrošene energije treba biti iz obnovljivih izvora </w:t>
      </w:r>
    </w:p>
    <w:p w:rsidR="007D4A93" w:rsidRPr="00654E3B" w:rsidRDefault="00EF0BEB" w:rsidP="000C6795">
      <w:pPr>
        <w:pStyle w:val="ListParagraph"/>
        <w:numPr>
          <w:ilvl w:val="0"/>
          <w:numId w:val="6"/>
        </w:numPr>
        <w:rPr>
          <w:rFonts w:cs="Times New Roman"/>
        </w:rPr>
      </w:pPr>
      <w:r w:rsidRPr="00654E3B">
        <w:rPr>
          <w:rFonts w:cs="Times New Roman"/>
        </w:rPr>
        <w:t>poboljšanje energetske učinkovitosti za najmanje 32,5</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 xml:space="preserve">Krajem 2018. godine </w:t>
      </w:r>
      <w:r w:rsidR="00C90B04" w:rsidRPr="00654E3B">
        <w:rPr>
          <w:rFonts w:cs="Times New Roman"/>
        </w:rPr>
        <w:t xml:space="preserve">je objavljen </w:t>
      </w:r>
      <w:r w:rsidRPr="00654E3B">
        <w:rPr>
          <w:rFonts w:cs="Times New Roman"/>
        </w:rPr>
        <w:t xml:space="preserve">dokument Čist planet za sve - Europska strateška dugoročna vizija za perspektivno, moderno, konkurentno i klimatski neutralno gospodarstvo (eng. </w:t>
      </w:r>
      <w:r w:rsidRPr="00654E3B">
        <w:rPr>
          <w:rFonts w:cs="Times New Roman"/>
          <w:i/>
        </w:rPr>
        <w:t xml:space="preserve">A Clean Planet for all – A European strategic long-term vision for a prosperous, modern, competitive and climate neutral </w:t>
      </w:r>
      <w:r w:rsidRPr="00654E3B">
        <w:rPr>
          <w:rFonts w:cs="Times New Roman"/>
          <w:i/>
        </w:rPr>
        <w:lastRenderedPageBreak/>
        <w:t>economy</w:t>
      </w:r>
      <w:r w:rsidRPr="00654E3B">
        <w:rPr>
          <w:rFonts w:cs="Times New Roman"/>
        </w:rPr>
        <w:t>). Svrha je ove dugoročne strategije</w:t>
      </w:r>
      <w:r w:rsidR="00C90B04" w:rsidRPr="00654E3B">
        <w:rPr>
          <w:rFonts w:cs="Times New Roman"/>
        </w:rPr>
        <w:t>, koja je u ožujku 20</w:t>
      </w:r>
      <w:r w:rsidR="006D58F4" w:rsidRPr="00654E3B">
        <w:rPr>
          <w:rFonts w:cs="Times New Roman"/>
        </w:rPr>
        <w:t>2</w:t>
      </w:r>
      <w:r w:rsidR="00C90B04" w:rsidRPr="00654E3B">
        <w:rPr>
          <w:rFonts w:cs="Times New Roman"/>
        </w:rPr>
        <w:t>0. godine usvojena i dostavljena u Tajništvo UNFCCC,</w:t>
      </w:r>
      <w:r w:rsidRPr="00654E3B">
        <w:rPr>
          <w:rFonts w:cs="Times New Roman"/>
        </w:rPr>
        <w:t xml:space="preserve"> potvrditi vodeću ulogu Europe u oblikovanju globalne klimatske politike te predstaviti viziju koja može pomoći da se do 2050.</w:t>
      </w:r>
      <w:r w:rsidR="00DC516B" w:rsidRPr="00654E3B">
        <w:rPr>
          <w:rFonts w:cs="Times New Roman"/>
        </w:rPr>
        <w:t>,</w:t>
      </w:r>
      <w:r w:rsidRPr="00654E3B">
        <w:rPr>
          <w:rFonts w:cs="Times New Roman"/>
        </w:rPr>
        <w:t xml:space="preserve"> na troškovno učinkovit način i putem društveno pravedne tranzicije postigne neto nulta stopa emisija stakleničkih plinova te se očekuje da će se u narednim godinama kroz intenzivne analize i rasprave država članica</w:t>
      </w:r>
      <w:r w:rsidR="00DC516B" w:rsidRPr="00654E3B">
        <w:rPr>
          <w:rFonts w:cs="Times New Roman"/>
        </w:rPr>
        <w:t>,</w:t>
      </w:r>
      <w:r w:rsidRPr="00654E3B">
        <w:rPr>
          <w:rFonts w:cs="Times New Roman"/>
        </w:rPr>
        <w:t xml:space="preserve"> analizirati mogući scenariji nulte neto emisije stakleničkih plinova.</w:t>
      </w:r>
    </w:p>
    <w:p w:rsidR="007D4A93" w:rsidRPr="00654E3B" w:rsidRDefault="00EF0BEB">
      <w:pPr>
        <w:rPr>
          <w:rFonts w:cs="Times New Roman"/>
        </w:rPr>
      </w:pPr>
      <w:r w:rsidRPr="00654E3B">
        <w:rPr>
          <w:rFonts w:cs="Times New Roman"/>
        </w:rPr>
        <w:t>Krajem 2019. godine</w:t>
      </w:r>
      <w:r w:rsidR="00DC516B" w:rsidRPr="00654E3B">
        <w:rPr>
          <w:rFonts w:cs="Times New Roman"/>
        </w:rPr>
        <w:t>,</w:t>
      </w:r>
      <w:r w:rsidRPr="00654E3B">
        <w:rPr>
          <w:rFonts w:cs="Times New Roman"/>
        </w:rPr>
        <w:t xml:space="preserve"> Europska komisija  objavljuje svoj novi strateški politički okvir još ambicioznijeg djelovanja - Europski zeleni plan. Ovo je prvi put da se klimatski i okolišni ciljevi stavljaju u središte političkog djelovanja</w:t>
      </w:r>
      <w:r w:rsidR="00DC516B" w:rsidRPr="00654E3B">
        <w:rPr>
          <w:rFonts w:cs="Times New Roman"/>
        </w:rPr>
        <w:t>,</w:t>
      </w:r>
      <w:r w:rsidRPr="00654E3B">
        <w:rPr>
          <w:rFonts w:cs="Times New Roman"/>
        </w:rPr>
        <w:t xml:space="preserve"> jer se EU nastoji preobraziti u pravedno i prosperitetno društvo s modernim, resursno učinkovitim i konkurentnim gospodarstvom</w:t>
      </w:r>
      <w:r w:rsidR="00DC516B" w:rsidRPr="00654E3B">
        <w:rPr>
          <w:rFonts w:cs="Times New Roman"/>
        </w:rPr>
        <w:t>,</w:t>
      </w:r>
      <w:r w:rsidRPr="00654E3B">
        <w:rPr>
          <w:rFonts w:cs="Times New Roman"/>
        </w:rPr>
        <w:t xml:space="preserve"> u kojem 2050. godine neće biti neto emisija stakleničkih plinova i u kojem gospodarski rast nije povezan s upotrebom resursa. Europski zeleni plan ubrzat će i poduprijeti tranziciju koja je potrebna u svim sektorima te će doprinijeti provedbi Programa Ujedinjenih naroda do 2030. godine i </w:t>
      </w:r>
      <w:r w:rsidR="00345739" w:rsidRPr="00654E3B">
        <w:rPr>
          <w:rFonts w:cs="Times New Roman"/>
        </w:rPr>
        <w:t>njegovih</w:t>
      </w:r>
      <w:r w:rsidRPr="00654E3B">
        <w:rPr>
          <w:rFonts w:cs="Times New Roman"/>
        </w:rPr>
        <w:t xml:space="preserve"> Ciljeva održivog razvoja. </w:t>
      </w:r>
    </w:p>
    <w:p w:rsidR="00B31438" w:rsidRPr="00654E3B" w:rsidRDefault="00B31438">
      <w:pPr>
        <w:rPr>
          <w:rFonts w:cs="Times New Roman"/>
        </w:rPr>
      </w:pPr>
      <w:r w:rsidRPr="00654E3B">
        <w:rPr>
          <w:rFonts w:cs="Times New Roman"/>
        </w:rPr>
        <w:t>Sredinom 2020. godine Europska komisija je zajedno s 14 država članica Europske unije među kojima je i Republika Hrvatska</w:t>
      </w:r>
      <w:r w:rsidR="00913819" w:rsidRPr="00654E3B">
        <w:rPr>
          <w:rFonts w:cs="Times New Roman"/>
        </w:rPr>
        <w:t>,</w:t>
      </w:r>
      <w:r w:rsidRPr="00654E3B">
        <w:rPr>
          <w:rFonts w:cs="Times New Roman"/>
        </w:rPr>
        <w:t xml:space="preserve"> potpisala Memorandum o razumijevanju za provedbu Deklaracije o čistoj energiji za EU otoke (Memorandum of Split), kao nastavak Deklaracije iz Vallete, kojem je cilj unaprijediti energetsku tranziciju na otocima uz poštivanje specifičnosti svakog otoka te proširiti i ojačati suradnju između država članica. Republika Hrvatska je inicirala potpisivanje Memoranduma tijekom predsjedanja Vijećem Europske unije. </w:t>
      </w:r>
      <w:r w:rsidR="00241E02" w:rsidRPr="00654E3B">
        <w:rPr>
          <w:rFonts w:cs="Times New Roman"/>
        </w:rPr>
        <w:t>M</w:t>
      </w:r>
      <w:r w:rsidRPr="00654E3B">
        <w:rPr>
          <w:rFonts w:cs="Times New Roman"/>
        </w:rPr>
        <w:t>emorandumom se osigurava detaljna podrška otocima u pripremi njihovih strategija za proces tranzicije na čistu energiju i suradnja energetskih zajednica na otocima. Njime se prepoznaje važnost provedbe projekata</w:t>
      </w:r>
      <w:r w:rsidR="00913819" w:rsidRPr="00654E3B">
        <w:rPr>
          <w:rFonts w:cs="Times New Roman"/>
        </w:rPr>
        <w:t>,</w:t>
      </w:r>
      <w:r w:rsidRPr="00654E3B">
        <w:rPr>
          <w:rFonts w:cs="Times New Roman"/>
        </w:rPr>
        <w:t xml:space="preserve"> usmjerenih na povećanje upotrebe obnovljivih izvora energije pomoću korištenja inovativnih tehnologija, razvoja čistog i održivog prometa te integracije elektroenergetskog sustava s drugim sektorima. </w:t>
      </w:r>
      <w:r w:rsidR="00241E02" w:rsidRPr="00654E3B">
        <w:rPr>
          <w:rFonts w:cs="Times New Roman"/>
        </w:rPr>
        <w:t>M</w:t>
      </w:r>
      <w:r w:rsidRPr="00654E3B">
        <w:rPr>
          <w:rFonts w:cs="Times New Roman"/>
        </w:rPr>
        <w:t>emorandum</w:t>
      </w:r>
      <w:r w:rsidR="00241E02" w:rsidRPr="00654E3B">
        <w:rPr>
          <w:rFonts w:cs="Times New Roman"/>
        </w:rPr>
        <w:t xml:space="preserve"> </w:t>
      </w:r>
      <w:r w:rsidRPr="00654E3B">
        <w:rPr>
          <w:rFonts w:cs="Times New Roman"/>
        </w:rPr>
        <w:t>uzima u obzir ciljeve Pariškog sporazuma</w:t>
      </w:r>
      <w:r w:rsidR="00913819" w:rsidRPr="00654E3B">
        <w:rPr>
          <w:rFonts w:cs="Times New Roman"/>
        </w:rPr>
        <w:t xml:space="preserve"> i </w:t>
      </w:r>
      <w:r w:rsidRPr="00654E3B">
        <w:rPr>
          <w:rFonts w:cs="Times New Roman"/>
        </w:rPr>
        <w:t xml:space="preserve">Europskog zelenog </w:t>
      </w:r>
      <w:r w:rsidR="00241E02" w:rsidRPr="00654E3B">
        <w:rPr>
          <w:rFonts w:cs="Times New Roman"/>
        </w:rPr>
        <w:t xml:space="preserve"> plana</w:t>
      </w:r>
      <w:r w:rsidRPr="00654E3B">
        <w:rPr>
          <w:rFonts w:cs="Times New Roman"/>
        </w:rPr>
        <w:t xml:space="preserve">, </w:t>
      </w:r>
      <w:r w:rsidR="00241E02" w:rsidRPr="00654E3B">
        <w:rPr>
          <w:rFonts w:cs="Times New Roman"/>
        </w:rPr>
        <w:t xml:space="preserve">ciljeve </w:t>
      </w:r>
      <w:r w:rsidRPr="00654E3B">
        <w:rPr>
          <w:rFonts w:cs="Times New Roman"/>
        </w:rPr>
        <w:t>postizanj</w:t>
      </w:r>
      <w:r w:rsidR="00241E02" w:rsidRPr="00654E3B">
        <w:rPr>
          <w:rFonts w:cs="Times New Roman"/>
        </w:rPr>
        <w:t>a</w:t>
      </w:r>
      <w:r w:rsidRPr="00654E3B">
        <w:rPr>
          <w:rFonts w:cs="Times New Roman"/>
        </w:rPr>
        <w:t xml:space="preserve"> klimatski neutralne EU do 2050. godine, zakonodavni paket Čista energija za sve Europljane te nacionalne energetske i klimatske planove</w:t>
      </w:r>
      <w:r w:rsidR="00241E02" w:rsidRPr="00654E3B">
        <w:rPr>
          <w:rFonts w:cs="Times New Roman"/>
        </w:rPr>
        <w:t>.</w:t>
      </w:r>
    </w:p>
    <w:p w:rsidR="007D4A93" w:rsidRPr="00654E3B" w:rsidRDefault="001323D0">
      <w:pPr>
        <w:rPr>
          <w:rFonts w:cs="Times New Roman"/>
        </w:rPr>
      </w:pPr>
      <w:r w:rsidRPr="00654E3B">
        <w:rPr>
          <w:rFonts w:cs="Times New Roman"/>
        </w:rPr>
        <w:t xml:space="preserve">EU </w:t>
      </w:r>
      <w:r w:rsidR="00EF0BEB" w:rsidRPr="00654E3B">
        <w:rPr>
          <w:rFonts w:cs="Times New Roman"/>
        </w:rPr>
        <w:t xml:space="preserve">Uredba o upravljanju propisuje izradu NECP-a </w:t>
      </w:r>
      <w:r w:rsidR="00AD0F53" w:rsidRPr="00654E3B">
        <w:rPr>
          <w:rFonts w:cs="Times New Roman"/>
        </w:rPr>
        <w:t xml:space="preserve">za razdoblje </w:t>
      </w:r>
      <w:r w:rsidR="00EF0BEB" w:rsidRPr="00654E3B">
        <w:rPr>
          <w:rFonts w:cs="Times New Roman"/>
        </w:rPr>
        <w:t xml:space="preserve">do 2030. godine i dugoročne niskougljične strategije </w:t>
      </w:r>
      <w:r w:rsidR="00AD0F53" w:rsidRPr="00654E3B">
        <w:rPr>
          <w:rFonts w:cs="Times New Roman"/>
        </w:rPr>
        <w:t>do 2030. godine s pogledom  na</w:t>
      </w:r>
      <w:r w:rsidR="00EF0BEB" w:rsidRPr="00654E3B">
        <w:rPr>
          <w:rFonts w:cs="Times New Roman"/>
        </w:rPr>
        <w:t xml:space="preserve"> 2050</w:t>
      </w:r>
      <w:r w:rsidR="00913819" w:rsidRPr="00654E3B">
        <w:rPr>
          <w:rFonts w:cs="Times New Roman"/>
        </w:rPr>
        <w:t>-u</w:t>
      </w:r>
      <w:r w:rsidR="00EF0BEB" w:rsidRPr="00654E3B">
        <w:rPr>
          <w:rFonts w:cs="Times New Roman"/>
        </w:rPr>
        <w:t>.</w:t>
      </w:r>
      <w:r w:rsidR="00913819" w:rsidRPr="00654E3B">
        <w:rPr>
          <w:rFonts w:cs="Times New Roman"/>
        </w:rPr>
        <w:t xml:space="preserve">, </w:t>
      </w:r>
      <w:r w:rsidR="00EF0BEB" w:rsidRPr="00654E3B">
        <w:rPr>
          <w:rFonts w:cs="Times New Roman"/>
        </w:rPr>
        <w:t xml:space="preserve">te obvezu njihovog usklađivanja. Odredbe </w:t>
      </w:r>
      <w:r w:rsidRPr="00654E3B">
        <w:rPr>
          <w:rFonts w:cs="Times New Roman"/>
        </w:rPr>
        <w:t xml:space="preserve">EU </w:t>
      </w:r>
      <w:r w:rsidR="00EF0BEB" w:rsidRPr="00654E3B">
        <w:rPr>
          <w:rFonts w:cs="Times New Roman"/>
        </w:rPr>
        <w:t>Uredbe o upravljanju</w:t>
      </w:r>
      <w:r w:rsidR="00913819" w:rsidRPr="00654E3B">
        <w:rPr>
          <w:rFonts w:cs="Times New Roman"/>
        </w:rPr>
        <w:t>,</w:t>
      </w:r>
      <w:r w:rsidR="00EF0BEB" w:rsidRPr="00654E3B">
        <w:rPr>
          <w:rFonts w:cs="Times New Roman"/>
        </w:rPr>
        <w:t xml:space="preserve"> prenesene su u Zakon o klimatskim promjenama i zaštiti ozonskog sloja.</w:t>
      </w:r>
    </w:p>
    <w:p w:rsidR="007D4A93" w:rsidRPr="00654E3B" w:rsidRDefault="00EF0BEB">
      <w:pPr>
        <w:rPr>
          <w:rFonts w:cs="Times New Roman"/>
        </w:rPr>
      </w:pPr>
      <w:r w:rsidRPr="00654E3B">
        <w:rPr>
          <w:rFonts w:cs="Times New Roman"/>
        </w:rPr>
        <w:t>Zakon o klimatskim promjenama i zaštiti ozonskog sloja</w:t>
      </w:r>
      <w:r w:rsidR="00913819" w:rsidRPr="00654E3B">
        <w:rPr>
          <w:rFonts w:cs="Times New Roman"/>
        </w:rPr>
        <w:t>,</w:t>
      </w:r>
      <w:r w:rsidRPr="00654E3B">
        <w:rPr>
          <w:rFonts w:cs="Times New Roman"/>
        </w:rPr>
        <w:t xml:space="preserve"> postavlja obvezu izrade Niskougljične strategije) i Akcijskog plana za provedbu Niskougljične strategije za razdoblje od pet godina. Prema Zakonu o klimatskim promjenama i zaštiti ozonskog sloja</w:t>
      </w:r>
      <w:r w:rsidR="00913819" w:rsidRPr="00654E3B">
        <w:rPr>
          <w:rFonts w:cs="Times New Roman"/>
        </w:rPr>
        <w:t>,</w:t>
      </w:r>
      <w:r w:rsidRPr="00654E3B">
        <w:rPr>
          <w:rFonts w:cs="Times New Roman"/>
        </w:rPr>
        <w:t xml:space="preserve"> smanjivanje emisija stakleničkih plinova na teritoriju Republike Hrvatske osigurava se provođenjem Niskougljične strategije, Akcijskog plana provedbe Niskougljične strategije, NECP-a, razvojnih dokumenata pojedinih sektora, postupnim ograničavanjem emisijskih jedinica u okviru EU sustava trgovanja emisijama, dodjeljivanjem utvrđene godišnje emisijske kvote Republici Hrvatskoj za sektore izvan EU sustava trgovanja emisijama, koja se ne smije premašiti, mjerama u sektorima izvan sustava trgovanja emisijama, mjerama u sektoru korištenja zemljišta i šumarstva i drugim mjerama koje pridonose ublažavanju klimatskih promjena. Zakon o klimatskim promjenama i zaštiti ozonskog sloja</w:t>
      </w:r>
      <w:r w:rsidR="00B95C69" w:rsidRPr="00654E3B">
        <w:rPr>
          <w:rFonts w:cs="Times New Roman"/>
        </w:rPr>
        <w:t>,</w:t>
      </w:r>
      <w:r w:rsidRPr="00654E3B">
        <w:rPr>
          <w:rFonts w:cs="Times New Roman"/>
        </w:rPr>
        <w:t xml:space="preserve"> propisuje da nacionalni razvojni dokumenti i razvojni dokumenti pojedinih područja i djelatnosti moraju biti usklađeni s načelima, osnovnim ciljevima, prioritetima i mjerama utvrđenim u Niskougljičnoj strategiji.</w:t>
      </w:r>
    </w:p>
    <w:p w:rsidR="007D4A93" w:rsidRPr="00654E3B" w:rsidRDefault="00EF0BEB">
      <w:pPr>
        <w:rPr>
          <w:rFonts w:cs="Times New Roman"/>
        </w:rPr>
      </w:pPr>
      <w:r w:rsidRPr="00654E3B">
        <w:rPr>
          <w:rFonts w:cs="Times New Roman"/>
          <w:b/>
        </w:rPr>
        <w:t>Niskougljična strategija određuje put Republike Hrvatske prema konkurentnom gospodarstvu s niskom emisijom stakleničkih plinova.</w:t>
      </w:r>
      <w:r w:rsidRPr="00654E3B">
        <w:rPr>
          <w:rFonts w:cs="Times New Roman"/>
        </w:rPr>
        <w:t xml:space="preserve"> Ciljevi smanjenja emisije stakleničkih plinova do 2030. i 2050. godine provodit će se u Republici Hrvatskoj unutar političkog okvira koji je usvojila Europska unija. Niskougljična strategija odnosi se na sve sektore gospodarstva i ljudske aktivnosti, a osobito je vezana za energetiku, industriju, promet, poljoprivredu, šumarstvo i </w:t>
      </w:r>
      <w:r w:rsidR="00345739" w:rsidRPr="00654E3B">
        <w:rPr>
          <w:rFonts w:cs="Times New Roman"/>
        </w:rPr>
        <w:t xml:space="preserve">gospodarenje </w:t>
      </w:r>
      <w:r w:rsidRPr="00654E3B">
        <w:rPr>
          <w:rFonts w:cs="Times New Roman"/>
        </w:rPr>
        <w:t>otpad</w:t>
      </w:r>
      <w:r w:rsidR="00345739" w:rsidRPr="00654E3B">
        <w:rPr>
          <w:rFonts w:cs="Times New Roman"/>
        </w:rPr>
        <w:t>om</w:t>
      </w:r>
      <w:r w:rsidRPr="00654E3B">
        <w:rPr>
          <w:rFonts w:cs="Times New Roman"/>
        </w:rPr>
        <w:t xml:space="preserve">. </w:t>
      </w:r>
    </w:p>
    <w:p w:rsidR="007D4A93" w:rsidRPr="00654E3B" w:rsidRDefault="00EF0BEB">
      <w:pPr>
        <w:rPr>
          <w:rFonts w:cs="Times New Roman"/>
        </w:rPr>
      </w:pPr>
      <w:r w:rsidRPr="00654E3B">
        <w:rPr>
          <w:rFonts w:cs="Times New Roman"/>
        </w:rPr>
        <w:lastRenderedPageBreak/>
        <w:t xml:space="preserve">Proces tranzicije prema niskougljičnom gospodarstvu je kontinuiran i dugotrajan, zahvaća cjelokupno društvo i gospodarstvo. Proces tranzicije treba biti promišljen i prilagođen mogućnostima i raspoloživim resursima. To je prilika da se poboljšanjima postojeće infrastrukture i tehnoloških rješenja, inovacijama, transferom naprednih tehnologija, značajnim strukturalnim promjenama u svim sektorima, potakne porast industrijske proizvodnje, investicijski ciklus, razvoj novih djelatnosti, gospodarstva te otvore nova radna mjesta održive perspektive.  </w:t>
      </w:r>
    </w:p>
    <w:p w:rsidR="007D4A93" w:rsidRPr="00654E3B" w:rsidRDefault="00EF0BEB">
      <w:pPr>
        <w:rPr>
          <w:rFonts w:cs="Times New Roman"/>
        </w:rPr>
      </w:pPr>
      <w:r w:rsidRPr="00654E3B">
        <w:rPr>
          <w:rFonts w:cs="Times New Roman"/>
        </w:rPr>
        <w:t>Niskougljična strategija postavlja sljedeće opće ciljeve:</w:t>
      </w:r>
    </w:p>
    <w:p w:rsidR="007D4A93" w:rsidRPr="00654E3B" w:rsidRDefault="00EF0BEB" w:rsidP="000C6795">
      <w:pPr>
        <w:pStyle w:val="ListParagraph"/>
        <w:numPr>
          <w:ilvl w:val="0"/>
          <w:numId w:val="7"/>
        </w:numPr>
        <w:rPr>
          <w:rFonts w:cs="Times New Roman"/>
          <w:b/>
        </w:rPr>
      </w:pPr>
      <w:r w:rsidRPr="00654E3B">
        <w:rPr>
          <w:rFonts w:cs="Times New Roman"/>
          <w:b/>
        </w:rPr>
        <w:t>Postizanje održivog razvoja temeljenog na znanju i konkurentnom gospodarstvu s niskom razinom ugljika i učinkovitim korištenjem resursa</w:t>
      </w:r>
      <w:r w:rsidR="006B0525" w:rsidRPr="00654E3B">
        <w:rPr>
          <w:rFonts w:cs="Times New Roman"/>
          <w:b/>
        </w:rPr>
        <w:t>:</w:t>
      </w:r>
    </w:p>
    <w:p w:rsidR="007D4A93" w:rsidRPr="00654E3B" w:rsidRDefault="00EF0BEB" w:rsidP="000C6795">
      <w:pPr>
        <w:pStyle w:val="ListParagraph"/>
        <w:numPr>
          <w:ilvl w:val="1"/>
          <w:numId w:val="8"/>
        </w:numPr>
        <w:rPr>
          <w:rFonts w:cs="Times New Roman"/>
        </w:rPr>
      </w:pPr>
      <w:r w:rsidRPr="00654E3B">
        <w:rPr>
          <w:rFonts w:cs="Times New Roman"/>
        </w:rPr>
        <w:t>povećanje zapošljavanja u rastućim sektorima gospodarstva i ‘zelenoj’ ekonomiji</w:t>
      </w:r>
      <w:r w:rsidR="006B0525" w:rsidRPr="00654E3B">
        <w:rPr>
          <w:rFonts w:cs="Times New Roman"/>
        </w:rPr>
        <w:t>,</w:t>
      </w:r>
    </w:p>
    <w:p w:rsidR="007D4A93" w:rsidRPr="00654E3B" w:rsidRDefault="00EF0BEB" w:rsidP="000C6795">
      <w:pPr>
        <w:pStyle w:val="ListParagraph"/>
        <w:numPr>
          <w:ilvl w:val="1"/>
          <w:numId w:val="8"/>
        </w:numPr>
        <w:rPr>
          <w:rFonts w:cs="Times New Roman"/>
        </w:rPr>
      </w:pPr>
      <w:r w:rsidRPr="00654E3B">
        <w:rPr>
          <w:rFonts w:cs="Times New Roman"/>
        </w:rPr>
        <w:t>poticanje regionalnog i ruralnog razvoja</w:t>
      </w:r>
      <w:r w:rsidR="006B0525" w:rsidRPr="00654E3B">
        <w:rPr>
          <w:rFonts w:cs="Times New Roman"/>
        </w:rPr>
        <w:t>,</w:t>
      </w:r>
    </w:p>
    <w:p w:rsidR="007D4A93" w:rsidRPr="00654E3B" w:rsidRDefault="00EF0BEB" w:rsidP="000C6795">
      <w:pPr>
        <w:pStyle w:val="ListParagraph"/>
        <w:numPr>
          <w:ilvl w:val="1"/>
          <w:numId w:val="8"/>
        </w:numPr>
        <w:rPr>
          <w:rFonts w:cs="Times New Roman"/>
        </w:rPr>
      </w:pPr>
      <w:r w:rsidRPr="00654E3B">
        <w:rPr>
          <w:rFonts w:cs="Times New Roman"/>
        </w:rPr>
        <w:t>poticanje inovacija i tehnološkog razvoja</w:t>
      </w:r>
      <w:r w:rsidR="006B0525" w:rsidRPr="00654E3B">
        <w:rPr>
          <w:rFonts w:cs="Times New Roman"/>
        </w:rPr>
        <w:t>,</w:t>
      </w:r>
    </w:p>
    <w:p w:rsidR="007D4A93" w:rsidRPr="00654E3B" w:rsidRDefault="00EF0BEB" w:rsidP="000C6795">
      <w:pPr>
        <w:pStyle w:val="ListParagraph"/>
        <w:numPr>
          <w:ilvl w:val="1"/>
          <w:numId w:val="8"/>
        </w:numPr>
        <w:rPr>
          <w:rFonts w:cs="Times New Roman"/>
        </w:rPr>
      </w:pPr>
      <w:r w:rsidRPr="00654E3B">
        <w:rPr>
          <w:rFonts w:cs="Times New Roman"/>
        </w:rPr>
        <w:t>poticanje obrazovanja, cjeloživotnog učenja i specijalizacija za niskougljično gospodarstvo</w:t>
      </w:r>
      <w:r w:rsidR="006B0525" w:rsidRPr="00654E3B">
        <w:rPr>
          <w:rFonts w:cs="Times New Roman"/>
        </w:rPr>
        <w:t>,</w:t>
      </w:r>
    </w:p>
    <w:p w:rsidR="007D4A93" w:rsidRPr="00654E3B" w:rsidRDefault="00EF0BEB" w:rsidP="000C6795">
      <w:pPr>
        <w:pStyle w:val="ListParagraph"/>
        <w:numPr>
          <w:ilvl w:val="1"/>
          <w:numId w:val="8"/>
        </w:numPr>
        <w:rPr>
          <w:rFonts w:cs="Times New Roman"/>
        </w:rPr>
      </w:pPr>
      <w:r w:rsidRPr="00654E3B">
        <w:rPr>
          <w:rFonts w:cs="Times New Roman"/>
        </w:rPr>
        <w:t>doprinos socijalnom uključivanju</w:t>
      </w:r>
      <w:r w:rsidR="006B0525" w:rsidRPr="00654E3B">
        <w:rPr>
          <w:rFonts w:cs="Times New Roman"/>
        </w:rPr>
        <w:t>.</w:t>
      </w:r>
    </w:p>
    <w:p w:rsidR="007D4A93" w:rsidRPr="00654E3B" w:rsidRDefault="00EF0BEB" w:rsidP="000C6795">
      <w:pPr>
        <w:pStyle w:val="ListParagraph"/>
        <w:numPr>
          <w:ilvl w:val="0"/>
          <w:numId w:val="7"/>
        </w:numPr>
        <w:rPr>
          <w:rFonts w:cs="Times New Roman"/>
          <w:b/>
        </w:rPr>
      </w:pPr>
      <w:r w:rsidRPr="00654E3B">
        <w:rPr>
          <w:rFonts w:cs="Times New Roman"/>
          <w:b/>
        </w:rPr>
        <w:t>Povećanje sigurnosti opskrbe energijom, održivost energetske opskrbe, povećanje dostupnosti energije i smanjenje energetske ovisnosti</w:t>
      </w:r>
      <w:r w:rsidR="006B0525" w:rsidRPr="00654E3B">
        <w:rPr>
          <w:rFonts w:cs="Times New Roman"/>
          <w:b/>
        </w:rPr>
        <w:t>;</w:t>
      </w:r>
    </w:p>
    <w:p w:rsidR="007D4A93" w:rsidRPr="00654E3B" w:rsidRDefault="00EF0BEB" w:rsidP="000C6795">
      <w:pPr>
        <w:pStyle w:val="ListParagraph"/>
        <w:numPr>
          <w:ilvl w:val="0"/>
          <w:numId w:val="7"/>
        </w:numPr>
        <w:rPr>
          <w:rFonts w:cs="Times New Roman"/>
          <w:b/>
        </w:rPr>
      </w:pPr>
      <w:r w:rsidRPr="00654E3B">
        <w:rPr>
          <w:rFonts w:cs="Times New Roman"/>
          <w:b/>
        </w:rPr>
        <w:t>Solidarnost izvršavanjem obveza Republike Hrvatske prema međunarodnim sporazumima u okviru politike EU-a, kao dio naše povijesne odgovornosti i doprinos globalnim ciljevima</w:t>
      </w:r>
      <w:r w:rsidR="006B0525" w:rsidRPr="00654E3B">
        <w:rPr>
          <w:rFonts w:cs="Times New Roman"/>
          <w:b/>
        </w:rPr>
        <w:t>;</w:t>
      </w:r>
    </w:p>
    <w:p w:rsidR="007D4A93" w:rsidRPr="00654E3B" w:rsidRDefault="00EF0BEB" w:rsidP="000C6795">
      <w:pPr>
        <w:pStyle w:val="ListParagraph"/>
        <w:numPr>
          <w:ilvl w:val="0"/>
          <w:numId w:val="7"/>
        </w:numPr>
        <w:rPr>
          <w:rFonts w:cs="Times New Roman"/>
        </w:rPr>
      </w:pPr>
      <w:r w:rsidRPr="00654E3B">
        <w:rPr>
          <w:rFonts w:cs="Times New Roman"/>
          <w:b/>
        </w:rPr>
        <w:t xml:space="preserve">Smanjenje onečišćenja zraka i utjecaja na zdravlje te kvalitetu života građana. </w:t>
      </w:r>
    </w:p>
    <w:p w:rsidR="007D4A93" w:rsidRPr="00654E3B" w:rsidRDefault="00EF0BEB">
      <w:pPr>
        <w:rPr>
          <w:rFonts w:cs="Times New Roman"/>
        </w:rPr>
      </w:pPr>
      <w:r w:rsidRPr="00654E3B">
        <w:rPr>
          <w:rFonts w:cs="Times New Roman"/>
        </w:rPr>
        <w:t xml:space="preserve">U pogledu međunarodnih obveza Republika Hrvatska podržava načelo zajedničke, ali različite odgovornosti. Gospodarske i druge nacionalne osobitosti trebaju se uzeti u obzir pri određivanju tranzicijskog razdoblja za prijelaz na niskougljično gospodarstvo. Republika Hrvatska treba kroz Niskougljičnu strategiju krenuti putem koji je za njezine građane najpovoljniji. </w:t>
      </w:r>
    </w:p>
    <w:p w:rsidR="007D4A93" w:rsidRPr="00654E3B" w:rsidRDefault="00EF0BEB">
      <w:pPr>
        <w:rPr>
          <w:rFonts w:cs="Times New Roman"/>
        </w:rPr>
      </w:pPr>
      <w:r w:rsidRPr="00654E3B">
        <w:rPr>
          <w:rFonts w:cs="Times New Roman"/>
        </w:rPr>
        <w:t>Niskougljična strategija stoga:</w:t>
      </w:r>
    </w:p>
    <w:p w:rsidR="007D4A93" w:rsidRPr="00654E3B" w:rsidRDefault="00EF0BEB">
      <w:pPr>
        <w:rPr>
          <w:rFonts w:cs="Times New Roman"/>
        </w:rPr>
      </w:pPr>
      <w:r w:rsidRPr="00654E3B">
        <w:rPr>
          <w:rFonts w:cs="Times New Roman"/>
        </w:rPr>
        <w:t>- stvara sinergiju s konceptom razvoja novih zelenih poslova i ekonomije, konceptom kružnog gospodarstva u kojem se resursi koriste maksimalno, nastanak otpada se svodi na najmanju moguću mjeru</w:t>
      </w:r>
      <w:r w:rsidR="006B0525" w:rsidRPr="00654E3B">
        <w:rPr>
          <w:rFonts w:cs="Times New Roman"/>
        </w:rPr>
        <w:t>;</w:t>
      </w:r>
    </w:p>
    <w:p w:rsidR="007D4A93" w:rsidRPr="00654E3B" w:rsidRDefault="00EF0BEB">
      <w:pPr>
        <w:rPr>
          <w:rFonts w:cs="Times New Roman"/>
        </w:rPr>
      </w:pPr>
      <w:r w:rsidRPr="00654E3B">
        <w:rPr>
          <w:rFonts w:cs="Times New Roman"/>
        </w:rPr>
        <w:t>- daje viziju pojedinih sektora do 2050. godine u kontekstu niskougljičnog razvoja, ali to je primjenjivo za čitavo društvo i gospodarstvo</w:t>
      </w:r>
      <w:r w:rsidR="006B0525" w:rsidRPr="00654E3B">
        <w:rPr>
          <w:rFonts w:cs="Times New Roman"/>
        </w:rPr>
        <w:t>;</w:t>
      </w:r>
    </w:p>
    <w:p w:rsidR="007D4A93" w:rsidRPr="00654E3B" w:rsidRDefault="00EF0BEB">
      <w:pPr>
        <w:rPr>
          <w:rFonts w:cs="Times New Roman"/>
        </w:rPr>
      </w:pPr>
      <w:r w:rsidRPr="00654E3B">
        <w:rPr>
          <w:rFonts w:cs="Times New Roman"/>
          <w:u w:val="single"/>
        </w:rPr>
        <w:t>- postavlja sljedeća opća načela</w:t>
      </w:r>
      <w:r w:rsidRPr="00654E3B">
        <w:rPr>
          <w:rFonts w:cs="Times New Roman"/>
        </w:rPr>
        <w:t>: održivi razvoj, onečišćivač plaća</w:t>
      </w:r>
      <w:r w:rsidRPr="00F01191">
        <w:rPr>
          <w:rStyle w:val="FootnoteReference"/>
          <w:rFonts w:ascii="Times New Roman" w:hAnsi="Times New Roman" w:cs="Times New Roman"/>
        </w:rPr>
        <w:footnoteReference w:id="2"/>
      </w:r>
      <w:r w:rsidRPr="00F01191">
        <w:rPr>
          <w:rFonts w:cs="Times New Roman"/>
        </w:rPr>
        <w:t>, primjena horizontalnog principa, fleksibilnost, uključ</w:t>
      </w:r>
      <w:r w:rsidR="001A4008" w:rsidRPr="00654E3B">
        <w:rPr>
          <w:rFonts w:cs="Times New Roman"/>
        </w:rPr>
        <w:t>ivost</w:t>
      </w:r>
      <w:r w:rsidRPr="00654E3B">
        <w:rPr>
          <w:rFonts w:cs="Times New Roman"/>
        </w:rPr>
        <w:t>, inovativnost, solidarnost, sinergija djelovanja, cjelokupnost (holistički pristup) i planska dugoročnost</w:t>
      </w:r>
      <w:r w:rsidR="006B0525" w:rsidRPr="00654E3B">
        <w:rPr>
          <w:rFonts w:cs="Times New Roman"/>
        </w:rPr>
        <w:t>;</w:t>
      </w:r>
    </w:p>
    <w:p w:rsidR="007D4A93" w:rsidRPr="00654E3B" w:rsidRDefault="00EF0BEB">
      <w:pPr>
        <w:rPr>
          <w:rFonts w:cs="Times New Roman"/>
        </w:rPr>
      </w:pPr>
      <w:r w:rsidRPr="00654E3B">
        <w:rPr>
          <w:rFonts w:cs="Times New Roman"/>
        </w:rPr>
        <w:t xml:space="preserve">- prepoznaje da je održivi razvoj ravnoteža između gospodarskog rasta, zaštite okoliša i društvenog razvoja. Troškovi mjera smanjenja emisija stakleničkih plinova ne smiju ugroziti gospodarski razvoj. Provođenje mjera niskougljičnog razvoja trebaju financirati onečišćivači, pri čemu raspodjela opterećenja treba biti pravedna, a modeli prikupljanja sredstava jednostavni i transparentni. </w:t>
      </w:r>
    </w:p>
    <w:p w:rsidR="007D4A93" w:rsidRPr="00654E3B" w:rsidRDefault="00EF0BEB">
      <w:pPr>
        <w:rPr>
          <w:rFonts w:cs="Times New Roman"/>
        </w:rPr>
      </w:pPr>
      <w:r w:rsidRPr="00654E3B">
        <w:rPr>
          <w:rFonts w:cs="Times New Roman"/>
        </w:rPr>
        <w:t xml:space="preserve">Primjena horizontalnog principa podrazumijeva prostiranje kroz sve sektore i kapilarno uključivanje u relevantne politike na nacionalnoj razini. Primjerice, mjere uštede energije trebaju se smatrati novim izvorom energije i jednako vrednovati kao izgradnja novih energetskih kapaciteta. Isto tako, mjere za povećanje </w:t>
      </w:r>
      <w:r w:rsidR="001A4008" w:rsidRPr="00654E3B">
        <w:rPr>
          <w:rFonts w:cs="Times New Roman"/>
        </w:rPr>
        <w:t>ponora</w:t>
      </w:r>
      <w:r w:rsidRPr="00654E3B">
        <w:rPr>
          <w:rFonts w:cs="Times New Roman"/>
        </w:rPr>
        <w:t xml:space="preserve"> stakleničkih plinova u aktivnostima gospodarenja šumama i poljoprivredi treba </w:t>
      </w:r>
      <w:r w:rsidRPr="00654E3B">
        <w:rPr>
          <w:rFonts w:cs="Times New Roman"/>
        </w:rPr>
        <w:lastRenderedPageBreak/>
        <w:t xml:space="preserve">poticati, odnosno one se trebaju smatrati mjerama smanjenja emisije. Fleksibilnost znači da niskougljični razvoj treba biti dovoljno otvoren da uvažava moguće vanjske geopolitičke okolnosti i druge poremećaje, ostavljajući pojedinim sektorima dovoljno mogućnosti da sami odlučuju o svojim ciljevima. </w:t>
      </w:r>
      <w:r w:rsidR="00481971" w:rsidRPr="00654E3B">
        <w:rPr>
          <w:rFonts w:cs="Times New Roman"/>
        </w:rPr>
        <w:t>Uključivost</w:t>
      </w:r>
      <w:r w:rsidRPr="00654E3B">
        <w:rPr>
          <w:rFonts w:cs="Times New Roman"/>
        </w:rPr>
        <w:t xml:space="preserve"> podrazumijeva </w:t>
      </w:r>
      <w:r w:rsidR="00481971" w:rsidRPr="00654E3B">
        <w:rPr>
          <w:rFonts w:cs="Times New Roman"/>
        </w:rPr>
        <w:t>doprinos</w:t>
      </w:r>
      <w:r w:rsidRPr="00654E3B">
        <w:rPr>
          <w:rFonts w:cs="Times New Roman"/>
        </w:rPr>
        <w:t xml:space="preserve"> svih sektora smanjenju emisije stakleničkih plinova pa i onih koji doprinose emisiji indirektno. </w:t>
      </w:r>
    </w:p>
    <w:p w:rsidR="007D4A93" w:rsidRPr="00654E3B" w:rsidRDefault="00EF0BEB">
      <w:pPr>
        <w:rPr>
          <w:rFonts w:cs="Times New Roman"/>
        </w:rPr>
      </w:pPr>
      <w:r w:rsidRPr="00654E3B">
        <w:rPr>
          <w:rFonts w:cs="Times New Roman"/>
        </w:rPr>
        <w:t>Inovativnost i pametna rješenja preduvjeti su za međunarodnu i globalnu konkurentnost. Republika Hrvatska treba biti solidarna međunarodno, a solidarnost treba poticati i između sektora. Veći učinci se postižu ako se uspijevaju stvoriti uvjeti za sinergijsko djelovanje te treba poticati aktivnosti i mjere takvog djelovanja. Načelo cjelovitosti pri planiranju niskougljičnog razvoja osobito je važno.</w:t>
      </w:r>
    </w:p>
    <w:p w:rsidR="007D4A93" w:rsidRPr="00654E3B" w:rsidRDefault="00EF0BEB">
      <w:pPr>
        <w:rPr>
          <w:rFonts w:cs="Times New Roman"/>
        </w:rPr>
      </w:pPr>
      <w:r w:rsidRPr="00654E3B">
        <w:rPr>
          <w:rFonts w:cs="Times New Roman"/>
        </w:rPr>
        <w:t>Niskougljična strategija podupire dvanaest od ukupno trinaest ciljeva Nacionalne razvojne strategije</w:t>
      </w:r>
      <w:r w:rsidR="001F4285" w:rsidRPr="00654E3B">
        <w:rPr>
          <w:rFonts w:cs="Times New Roman"/>
        </w:rPr>
        <w:t xml:space="preserve"> Republike Hrvatske do 2030. godine</w:t>
      </w:r>
      <w:r w:rsidRPr="00654E3B">
        <w:rPr>
          <w:rFonts w:cs="Times New Roman"/>
        </w:rPr>
        <w:t xml:space="preserve">: Konkurentno i inovativno gospodarstvo, obrazovani i zaposleni ljudi, globalna prepoznatljivost i jačanje međunarodnog položaja i uloge </w:t>
      </w:r>
      <w:r w:rsidR="006B0525" w:rsidRPr="00654E3B">
        <w:rPr>
          <w:rFonts w:cs="Times New Roman"/>
        </w:rPr>
        <w:t xml:space="preserve">Republike </w:t>
      </w:r>
      <w:r w:rsidRPr="00654E3B">
        <w:rPr>
          <w:rFonts w:cs="Times New Roman"/>
        </w:rPr>
        <w:t xml:space="preserve">Hrvatske, </w:t>
      </w:r>
      <w:r w:rsidR="006B0525" w:rsidRPr="00654E3B">
        <w:rPr>
          <w:rFonts w:cs="Times New Roman"/>
        </w:rPr>
        <w:t>zdrav</w:t>
      </w:r>
      <w:r w:rsidRPr="00654E3B">
        <w:rPr>
          <w:rFonts w:cs="Times New Roman"/>
        </w:rPr>
        <w:t>, aktivan i kvalitetan život, demografska revitalizacija i bolji položaj obitelji, sigurnost za stabilan razvoj, ekološka i energetska tranzicija za klimatsku neutralnost, samodostatnost u hrani i razvoj biogospodarstva, održiva mobilnost, digitalna tranzicija društva i gospodarstva, razvoj potpomognutih područja i područja s razvojnim posebnostima i jačanje regionalne konkurentnosti.</w:t>
      </w:r>
    </w:p>
    <w:p w:rsidR="007D4A93" w:rsidRPr="00654E3B" w:rsidRDefault="00EF0BEB">
      <w:pPr>
        <w:pStyle w:val="Heading2"/>
        <w:rPr>
          <w:rFonts w:ascii="Times New Roman" w:hAnsi="Times New Roman" w:cs="Times New Roman"/>
        </w:rPr>
      </w:pPr>
      <w:bookmarkStart w:id="122" w:name="_Toc20841285"/>
      <w:bookmarkStart w:id="123" w:name="_Toc20841391"/>
      <w:bookmarkStart w:id="124" w:name="_Toc69297723"/>
      <w:r w:rsidRPr="00654E3B">
        <w:rPr>
          <w:rFonts w:ascii="Times New Roman" w:hAnsi="Times New Roman" w:cs="Times New Roman"/>
        </w:rPr>
        <w:t>1.3.</w:t>
      </w:r>
      <w:r w:rsidRPr="00654E3B">
        <w:rPr>
          <w:rFonts w:ascii="Times New Roman" w:hAnsi="Times New Roman" w:cs="Times New Roman"/>
        </w:rPr>
        <w:tab/>
        <w:t>KRONOLOGIJA IZRADE NISKOUGLJIČNE STRATEGIJE I JAVNO SAVJETOVANJE</w:t>
      </w:r>
      <w:bookmarkEnd w:id="122"/>
      <w:bookmarkEnd w:id="123"/>
      <w:bookmarkEnd w:id="124"/>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Niskougljična strategija izrađena je kroz četiri koraka. Svaki korak je uključivao konzultacije sa stručnom i zainteresiranom javnosti. </w:t>
      </w:r>
    </w:p>
    <w:p w:rsidR="007D4A93" w:rsidRPr="00654E3B" w:rsidRDefault="00EF0BEB">
      <w:pPr>
        <w:rPr>
          <w:rFonts w:cs="Times New Roman"/>
          <w:u w:val="single"/>
        </w:rPr>
      </w:pPr>
      <w:r w:rsidRPr="00654E3B">
        <w:rPr>
          <w:rFonts w:cs="Times New Roman"/>
          <w:u w:val="single"/>
        </w:rPr>
        <w:t>Prvi korak (2012. – 2013. godina)</w:t>
      </w:r>
    </w:p>
    <w:p w:rsidR="007D4A93" w:rsidRPr="00654E3B" w:rsidRDefault="00EF0BEB">
      <w:pPr>
        <w:rPr>
          <w:rFonts w:cs="Times New Roman"/>
        </w:rPr>
      </w:pPr>
      <w:r w:rsidRPr="00654E3B">
        <w:rPr>
          <w:rFonts w:cs="Times New Roman"/>
        </w:rPr>
        <w:t xml:space="preserve">Prvi korak započeo je 2012. godine kroz LEDS projekt u partnerstvu s UNDP-om, čime je izrađen Okvir za izradu Strategije niskougljičnog razvoja. Fokus projekta bio je na širokim konzultacijama po sektorima, održavanjem niza sektorskih radionica: energetska postrojenja (proizvodnja, potrošnja, uvoz i izvoz energije), zgradarstvo, promet, industrija, poljoprivreda i šumarstvo, otpad i turizam. Na radionicama su sudionici aktivno sudjelovali u analizi snaga, slabosti, prilika i prijetnji (SWOT analiza) te u utvrđivanju vizije niskougljičnog razvoja. Utvrđene su i prioritetne mjere i smjernice za izradu Niskougljične strategije. Okvir za izradu Niskougljične strategije je potom usvojen u okviru Plana zaštite zraka, ozonskog sloja i ublažavanja klimatskih promjena u Republici Hrvatskoj za razdoblje od 2013. do 2017. godine. </w:t>
      </w:r>
    </w:p>
    <w:p w:rsidR="007D4A93" w:rsidRPr="00654E3B" w:rsidRDefault="00EF0BEB">
      <w:pPr>
        <w:rPr>
          <w:rFonts w:cs="Times New Roman"/>
          <w:u w:val="single"/>
        </w:rPr>
      </w:pPr>
      <w:r w:rsidRPr="00654E3B">
        <w:rPr>
          <w:rFonts w:cs="Times New Roman"/>
          <w:u w:val="single"/>
        </w:rPr>
        <w:t>Drugi korak (2014. – 2015. godina)</w:t>
      </w:r>
    </w:p>
    <w:p w:rsidR="007D4A93" w:rsidRPr="00654E3B" w:rsidRDefault="00EF0BEB">
      <w:pPr>
        <w:rPr>
          <w:rFonts w:cs="Times New Roman"/>
        </w:rPr>
      </w:pPr>
      <w:r w:rsidRPr="00654E3B">
        <w:rPr>
          <w:rFonts w:cs="Times New Roman"/>
        </w:rPr>
        <w:t>U drugom koraku izrađene su stručne podloge za Niskougljičnu strategiju. Proces izrade tekao je po dvije linije, analitičkim poslom pripreme stručnih podloga i paralelnim konzultacijama s dionicima i zainteresiranom javnosti. Konzultacije s dionicima obuhvatile su i sektorske radionice za energetska postrojenja (proizvodnja, potrošnja, uvoz i izvoz energije) i industriju, promet, zgradarstvo, poljoprivredu i šumarstvo te otpad. Na radionicama su sudionici prikazali unutarnje čimbenike (snage i slabosti) i vanjske čimbenike (prilike i prijetnje) koji karakteriziraju postojeće stanje u sektorima. Niskougljični razvoj razmatran je u okviru općeg gospodarskog i društvenog razvoja Republike Hrvatske i strukturnih reformi u pojedinim sektorima koje direktno ili indirektno utječu na racionalnije i učinkovitije gospodarenje prirodnim resursima i smanjenje utjecaja na okoliš. Osim navedenih radionica, rezultati stručnih podloga Niskougljične strategije prezentirani su na konferencijama, forumima i stručnim skupovima.</w:t>
      </w:r>
    </w:p>
    <w:p w:rsidR="007D4A93" w:rsidRPr="00654E3B" w:rsidRDefault="00EF0BEB">
      <w:pPr>
        <w:rPr>
          <w:rFonts w:cs="Times New Roman"/>
        </w:rPr>
      </w:pPr>
      <w:r w:rsidRPr="00654E3B">
        <w:rPr>
          <w:rFonts w:cs="Times New Roman"/>
        </w:rPr>
        <w:t>Izrađena je Zelena knjiga, u kojoj su dani detaljni tehnički opisi i podaci, opisani modeli, metode, mjere, scenariji, učinci niskougljičnih scenarija na gospodarstvo, društvo i okoliš, analiza osjetljivosti, smjernice, financiranje</w:t>
      </w:r>
      <w:r w:rsidR="00B34C1F" w:rsidRPr="00654E3B">
        <w:rPr>
          <w:rFonts w:cs="Times New Roman"/>
        </w:rPr>
        <w:t>,</w:t>
      </w:r>
      <w:r w:rsidRPr="00654E3B">
        <w:rPr>
          <w:rFonts w:cs="Times New Roman"/>
        </w:rPr>
        <w:t xml:space="preserve"> itd. Na temelju Zelene knjige izrađena je prva </w:t>
      </w:r>
      <w:r w:rsidR="007C1C68" w:rsidRPr="00654E3B">
        <w:rPr>
          <w:rFonts w:cs="Times New Roman"/>
        </w:rPr>
        <w:t>verzija</w:t>
      </w:r>
      <w:r w:rsidRPr="00654E3B">
        <w:rPr>
          <w:rFonts w:cs="Times New Roman"/>
        </w:rPr>
        <w:t xml:space="preserve"> Bijele knjige koja </w:t>
      </w:r>
      <w:r w:rsidRPr="00654E3B">
        <w:rPr>
          <w:rFonts w:cs="Times New Roman"/>
        </w:rPr>
        <w:lastRenderedPageBreak/>
        <w:t>predstavlja sažetak rezultata, fokusirani tekst na odabrane mjere, scenarije i politike, sa smjernicama provedbe, uključujući potrebne financijske mehanizme. Bijela knjiga predstavlja prijedlog Niskougljične strategije.</w:t>
      </w:r>
      <w:r w:rsidR="007C1C68" w:rsidRPr="00654E3B">
        <w:rPr>
          <w:rFonts w:cs="Times New Roman"/>
        </w:rPr>
        <w:t xml:space="preserve"> Započeo je postupak strateške procjene utjecaja na okoliš.</w:t>
      </w:r>
    </w:p>
    <w:p w:rsidR="007D4A93" w:rsidRPr="00654E3B" w:rsidRDefault="00EF0BEB">
      <w:pPr>
        <w:rPr>
          <w:rFonts w:cs="Times New Roman"/>
          <w:u w:val="single"/>
        </w:rPr>
      </w:pPr>
      <w:r w:rsidRPr="00654E3B">
        <w:rPr>
          <w:rFonts w:cs="Times New Roman"/>
          <w:u w:val="single"/>
        </w:rPr>
        <w:t>Treći korak (2016. – 2017. godina)</w:t>
      </w:r>
    </w:p>
    <w:p w:rsidR="007D4A93" w:rsidRPr="00654E3B" w:rsidRDefault="00EF0BEB">
      <w:pPr>
        <w:rPr>
          <w:rFonts w:cs="Times New Roman"/>
        </w:rPr>
      </w:pPr>
      <w:r w:rsidRPr="00654E3B">
        <w:rPr>
          <w:rFonts w:cs="Times New Roman"/>
        </w:rPr>
        <w:t xml:space="preserve">U trećem koraku provedeni su novi proračuni i novelacija niskougljičnih scenarija te je izrađena </w:t>
      </w:r>
      <w:r w:rsidR="007C1C68" w:rsidRPr="00654E3B">
        <w:rPr>
          <w:rFonts w:cs="Times New Roman"/>
        </w:rPr>
        <w:t>prva</w:t>
      </w:r>
      <w:r w:rsidRPr="00654E3B">
        <w:rPr>
          <w:rFonts w:cs="Times New Roman"/>
        </w:rPr>
        <w:t xml:space="preserve"> revizija Bijele knjige. Tri su glavna razloga zašto je bilo razložno provesti ponovljeni proračun. </w:t>
      </w:r>
    </w:p>
    <w:p w:rsidR="007D4A93" w:rsidRPr="00654E3B" w:rsidRDefault="00EF0BEB">
      <w:pPr>
        <w:rPr>
          <w:rFonts w:cs="Times New Roman"/>
        </w:rPr>
      </w:pPr>
      <w:r w:rsidRPr="00654E3B">
        <w:rPr>
          <w:rFonts w:cs="Times New Roman"/>
        </w:rPr>
        <w:t xml:space="preserve">Prvi razlog je što je tijekom 2016. godine došlo do promjena u povijesnom nizu podataka energetike, pa je s tim u vezi bilo potrebno ponoviti proračun emisija stakleničkih plinova za razdoblje od 1990. godine. Drugi razlog je promjena ključnih čimbenika: cijena fosilnog goriva (posebice plina), prognoza u cijenama </w:t>
      </w:r>
      <w:r w:rsidR="00500F34" w:rsidRPr="00654E3B">
        <w:rPr>
          <w:rFonts w:cs="Times New Roman"/>
        </w:rPr>
        <w:t>emisijskih jedinica</w:t>
      </w:r>
      <w:r w:rsidRPr="00654E3B">
        <w:rPr>
          <w:rFonts w:cs="Times New Roman"/>
        </w:rPr>
        <w:t xml:space="preserve">, značajnijeg pada cijena tehnologija obnovljivih izvora energije (posebice sunčanih elektrana). Treći razlog je promjena Vlade Republike Hrvatske krajem 2016. godine, čime su postavljene nove razvojne smjernice za razdoblje od 2017. do 2020. godine, pa se s tim u vezi javila potreba preispitivanja pojedinih ciljeva, politika i mjera. </w:t>
      </w:r>
    </w:p>
    <w:p w:rsidR="007D4A93" w:rsidRPr="00654E3B" w:rsidRDefault="00EF0BEB">
      <w:pPr>
        <w:rPr>
          <w:rFonts w:cs="Times New Roman"/>
        </w:rPr>
      </w:pPr>
      <w:r w:rsidRPr="00654E3B">
        <w:rPr>
          <w:rFonts w:cs="Times New Roman"/>
        </w:rPr>
        <w:t>Tijekom izrade revizije Bijele knjige</w:t>
      </w:r>
      <w:r w:rsidR="00B34C1F" w:rsidRPr="00654E3B">
        <w:rPr>
          <w:rFonts w:cs="Times New Roman"/>
        </w:rPr>
        <w:t>,</w:t>
      </w:r>
      <w:r w:rsidRPr="00654E3B">
        <w:rPr>
          <w:rFonts w:cs="Times New Roman"/>
        </w:rPr>
        <w:t xml:space="preserve"> provedeni su konzultativni sastanci s </w:t>
      </w:r>
      <w:r w:rsidR="00500F34" w:rsidRPr="00654E3B">
        <w:rPr>
          <w:rFonts w:cs="Times New Roman"/>
        </w:rPr>
        <w:t xml:space="preserve">nadležnim </w:t>
      </w:r>
      <w:r w:rsidRPr="00654E3B">
        <w:rPr>
          <w:rFonts w:cs="Times New Roman"/>
        </w:rPr>
        <w:t xml:space="preserve">ministarstvima. </w:t>
      </w:r>
      <w:r w:rsidR="007C1C68" w:rsidRPr="00654E3B">
        <w:rPr>
          <w:rFonts w:cs="Times New Roman"/>
        </w:rPr>
        <w:t>Nastavljen</w:t>
      </w:r>
      <w:r w:rsidRPr="00654E3B">
        <w:rPr>
          <w:rFonts w:cs="Times New Roman"/>
        </w:rPr>
        <w:t xml:space="preserve"> je postupak strateške procjene utjecaja na okoliš te je tijekom 2017. godine provedeno javno savjetovanje o prijedlogu Strategije niskougljičnog razvoja Republike Hrvatske do 2030. godine s pogledom na 2050. godinu i Strateškoj studiji utjecaja na okoliš Strategije niskougljičnog razvoja Republike Hrvatske do 2030. godine s pogledom na 2050. godinu.</w:t>
      </w:r>
    </w:p>
    <w:p w:rsidR="007D4A93" w:rsidRPr="00654E3B" w:rsidRDefault="00EF0BEB">
      <w:pPr>
        <w:rPr>
          <w:rFonts w:cs="Times New Roman"/>
        </w:rPr>
      </w:pPr>
      <w:r w:rsidRPr="00654E3B">
        <w:rPr>
          <w:rFonts w:cs="Times New Roman"/>
        </w:rPr>
        <w:t xml:space="preserve">Krajem 2017. godine se prišlo izradi </w:t>
      </w:r>
      <w:r w:rsidR="007C1C68" w:rsidRPr="00654E3B">
        <w:rPr>
          <w:rFonts w:cs="Times New Roman"/>
        </w:rPr>
        <w:t>Energetske s</w:t>
      </w:r>
      <w:r w:rsidRPr="00654E3B">
        <w:rPr>
          <w:rFonts w:cs="Times New Roman"/>
        </w:rPr>
        <w:t>trategije te NECP-a  za razdoblje od 2021. do 2030. godine. Obveza usklađivanja NECP-a i Niskougljične strategije proizlazi iz EU Uredbe o upravljanju</w:t>
      </w:r>
      <w:r w:rsidR="007C1C68" w:rsidRPr="00654E3B">
        <w:rPr>
          <w:rFonts w:cs="Times New Roman"/>
        </w:rPr>
        <w:t>,</w:t>
      </w:r>
      <w:r w:rsidRPr="00654E3B">
        <w:rPr>
          <w:rFonts w:cs="Times New Roman"/>
        </w:rPr>
        <w:t xml:space="preserve"> </w:t>
      </w:r>
      <w:r w:rsidR="007C1C68" w:rsidRPr="00654E3B">
        <w:rPr>
          <w:rFonts w:cs="Times New Roman"/>
        </w:rPr>
        <w:t>s</w:t>
      </w:r>
      <w:r w:rsidRPr="00654E3B">
        <w:rPr>
          <w:rFonts w:cs="Times New Roman"/>
        </w:rPr>
        <w:t xml:space="preserve">toga je donošenje Niskougljične strategije odgođeno kako bi ciljevi svih tih dokumenata bili usklađeni. </w:t>
      </w:r>
    </w:p>
    <w:p w:rsidR="007D4A93" w:rsidRPr="00654E3B" w:rsidRDefault="00EF0BEB">
      <w:pPr>
        <w:rPr>
          <w:rFonts w:cs="Times New Roman"/>
          <w:u w:val="single"/>
        </w:rPr>
      </w:pPr>
      <w:r w:rsidRPr="00654E3B">
        <w:rPr>
          <w:rFonts w:cs="Times New Roman"/>
          <w:u w:val="single"/>
        </w:rPr>
        <w:t>Četvrti korak (2019. – 2020. godina)</w:t>
      </w:r>
    </w:p>
    <w:p w:rsidR="007D4A93" w:rsidRPr="00654E3B" w:rsidRDefault="00EF0BEB">
      <w:pPr>
        <w:rPr>
          <w:rFonts w:cs="Times New Roman"/>
        </w:rPr>
      </w:pPr>
      <w:r w:rsidRPr="00654E3B">
        <w:rPr>
          <w:rFonts w:cs="Times New Roman"/>
        </w:rPr>
        <w:t>Energetska strategija utvrđuje smanjenje emisija u sektorima energetike: postrojenja za proizvodnju i transformaciju energije, industrija i građevinarstvo, cestovni i vancestovni promet, neindustrijska ložišta te fugitivna emisija iz fosilnih goriva. Izrađena je Strateška studija utjecaja na okoliš Energetske strategije te je sredinom 2019. godine provedena javna rasprava o oba dokumenta. Strategija energetskog razvoja Republike Hrvatske do 2030. godine s pogledom na 2050. godinu usvojena je u veljači 2020. (</w:t>
      </w:r>
      <w:r w:rsidR="0097190B" w:rsidRPr="00654E3B">
        <w:rPr>
          <w:rFonts w:cs="Times New Roman"/>
        </w:rPr>
        <w:t>Narodne novine</w:t>
      </w:r>
      <w:r w:rsidRPr="00654E3B">
        <w:rPr>
          <w:rFonts w:cs="Times New Roman"/>
        </w:rPr>
        <w:t>, broj 25/2020).</w:t>
      </w:r>
    </w:p>
    <w:p w:rsidR="007D4A93" w:rsidRPr="00654E3B" w:rsidRDefault="00EF0BEB">
      <w:pPr>
        <w:rPr>
          <w:rFonts w:cs="Times New Roman"/>
        </w:rPr>
      </w:pPr>
      <w:r w:rsidRPr="00654E3B">
        <w:rPr>
          <w:rFonts w:cs="Times New Roman"/>
        </w:rPr>
        <w:t>Paralelno s izradom Energetske strategije započela je i izrada NECP-a</w:t>
      </w:r>
      <w:r w:rsidR="00B34C1F" w:rsidRPr="00654E3B">
        <w:rPr>
          <w:rFonts w:cs="Times New Roman"/>
        </w:rPr>
        <w:t>,</w:t>
      </w:r>
      <w:r w:rsidRPr="00654E3B">
        <w:rPr>
          <w:rFonts w:cs="Times New Roman"/>
        </w:rPr>
        <w:t xml:space="preserve"> koji daje pregled ciljeva Republike Hrvatske za svaku od pet ključnih dimenzija Energetske unije: dekarbonizacija, energetska učinkovitost, energetska sigurnost, unutarnje energetsko tržište te istraživanje, inovacije i konkurentnost i odgovarajuće politike i mjere za ostvarivanje tih ciljeva.</w:t>
      </w:r>
    </w:p>
    <w:p w:rsidR="007D4A93" w:rsidRPr="00654E3B" w:rsidRDefault="00EF0BEB">
      <w:pPr>
        <w:rPr>
          <w:rFonts w:cs="Times New Roman"/>
        </w:rPr>
      </w:pPr>
      <w:r w:rsidRPr="00654E3B">
        <w:rPr>
          <w:rFonts w:cs="Times New Roman"/>
        </w:rPr>
        <w:t>U koordinaciji s izradom Energetske strategije, NECP-a te kroz iterativni pristup provedena je novelacija Niskougljične strategije. Uvažavajući obaveze Republike Hrvatske prema EU te druge međunarodne obveze, usklađeni su ciljevi smanjenja emisije stakleničkih plinova u energetskim sektorima. Istovremeno su ažurirani referentni i niskougljični scenariji ne-energetskih sektora (industrijski procesi i uporaba proizvoda, poljoprivreda, otpad, korištenje zemljišta, prenamjene zemljišta i šumarstvo - LULUCF).</w:t>
      </w:r>
    </w:p>
    <w:p w:rsidR="007D4A93" w:rsidRPr="00654E3B" w:rsidRDefault="00EF0BEB">
      <w:pPr>
        <w:rPr>
          <w:rFonts w:cs="Times New Roman"/>
        </w:rPr>
      </w:pPr>
      <w:r w:rsidRPr="00654E3B">
        <w:rPr>
          <w:rFonts w:cs="Times New Roman"/>
        </w:rPr>
        <w:t>Paralelno s izradom novelirane Bijele knjige Niskougljične strategije Republike Hrvatske</w:t>
      </w:r>
      <w:r w:rsidR="00B34C1F" w:rsidRPr="00654E3B">
        <w:rPr>
          <w:rFonts w:cs="Times New Roman"/>
        </w:rPr>
        <w:t>,</w:t>
      </w:r>
      <w:r w:rsidRPr="00654E3B">
        <w:rPr>
          <w:rFonts w:cs="Times New Roman"/>
        </w:rPr>
        <w:t xml:space="preserve"> izrađena je Strateška studija utjecaja na okoliš Strategije niskougljičnog razvoja Republike Hrvatske do 2030. s pogledom na 2050. godinu te je u II. </w:t>
      </w:r>
      <w:r w:rsidR="0016799F" w:rsidRPr="00654E3B">
        <w:rPr>
          <w:rFonts w:cs="Times New Roman"/>
        </w:rPr>
        <w:t>kvartalu 2020. godine provedeno</w:t>
      </w:r>
      <w:r w:rsidRPr="00654E3B">
        <w:rPr>
          <w:rFonts w:cs="Times New Roman"/>
        </w:rPr>
        <w:t xml:space="preserve"> javno savjetovanje o oba dokumenta.</w:t>
      </w:r>
    </w:p>
    <w:p w:rsidR="007D4A93" w:rsidRPr="00654E3B" w:rsidRDefault="00EF0BEB" w:rsidP="009F6651">
      <w:pPr>
        <w:pStyle w:val="Heading3"/>
      </w:pPr>
      <w:bookmarkStart w:id="125" w:name="_Toc69297724"/>
      <w:r w:rsidRPr="00654E3B">
        <w:lastRenderedPageBreak/>
        <w:t>1.3.1. Vizije za 2050. godinu i prepoznate potrebe po sektorima</w:t>
      </w:r>
      <w:bookmarkEnd w:id="125"/>
    </w:p>
    <w:p w:rsidR="007D4A93" w:rsidRPr="00654E3B" w:rsidRDefault="007D4A93">
      <w:pPr>
        <w:keepNext/>
        <w:rPr>
          <w:rFonts w:cs="Times New Roman"/>
        </w:rPr>
      </w:pPr>
    </w:p>
    <w:p w:rsidR="007D4A93" w:rsidRPr="00654E3B" w:rsidRDefault="00EF0BEB">
      <w:pPr>
        <w:keepNext/>
        <w:rPr>
          <w:rFonts w:cs="Times New Roman"/>
        </w:rPr>
      </w:pPr>
      <w:r w:rsidRPr="00654E3B">
        <w:rPr>
          <w:rFonts w:cs="Times New Roman"/>
        </w:rPr>
        <w:t xml:space="preserve">Niskougljične sektorske vizije određuju smjer i cilj razvoja pojedinih sektora do 2050. godine. Vizije niskougljičnog razvoja određene su kroz proces konzultacija sa stručnom i zainteresiranom javnosti i one su navedene u tablici 1-1. Kroz proces konzultacija prepoznate su i </w:t>
      </w:r>
      <w:r w:rsidRPr="00654E3B">
        <w:rPr>
          <w:rFonts w:cs="Times New Roman"/>
          <w:bCs/>
        </w:rPr>
        <w:t xml:space="preserve">glavne potrebe pojedinih sektora za niskougljični razvoj i </w:t>
      </w:r>
      <w:r w:rsidRPr="00654E3B">
        <w:rPr>
          <w:rFonts w:cs="Times New Roman"/>
        </w:rPr>
        <w:t>one su navedene u tablici 1-2.</w:t>
      </w:r>
    </w:p>
    <w:p w:rsidR="007D4A93" w:rsidRPr="00654E3B" w:rsidRDefault="00EF0BEB">
      <w:pPr>
        <w:pStyle w:val="Tablicanaslov"/>
        <w:spacing w:after="120"/>
        <w:ind w:left="1416" w:hanging="1416"/>
        <w:rPr>
          <w:rFonts w:cs="Times New Roman"/>
          <w:i/>
          <w:sz w:val="22"/>
          <w:szCs w:val="22"/>
        </w:rPr>
      </w:pPr>
      <w:r w:rsidRPr="00654E3B">
        <w:rPr>
          <w:rFonts w:cs="Times New Roman"/>
          <w:i/>
          <w:sz w:val="22"/>
          <w:szCs w:val="22"/>
        </w:rPr>
        <w:t xml:space="preserve">Tablica 1-1: </w:t>
      </w:r>
      <w:r w:rsidRPr="00654E3B">
        <w:rPr>
          <w:rFonts w:cs="Times New Roman"/>
          <w:i/>
          <w:sz w:val="22"/>
          <w:szCs w:val="22"/>
        </w:rPr>
        <w:tab/>
        <w:t>Vizije niskougljičnog razvoja pojedinih sektora do 2050. godine (rezultat konzultacija sa dionicima i javnosti)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1"/>
        <w:gridCol w:w="6979"/>
      </w:tblGrid>
      <w:tr w:rsidR="007D4A93" w:rsidRPr="00654E3B">
        <w:trPr>
          <w:trHeight w:val="397"/>
          <w:tblHeader/>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b/>
              </w:rPr>
              <w:t>SEKTOR</w:t>
            </w:r>
          </w:p>
        </w:tc>
        <w:tc>
          <w:tcPr>
            <w:tcW w:w="6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VIZIJA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Energetska postrojenja (proizvodnja, potrošnja, uvoz i izvoz energije), industrija i zgradarstvo</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pPr>
              <w:spacing w:after="60" w:line="240" w:lineRule="auto"/>
              <w:jc w:val="left"/>
              <w:rPr>
                <w:rFonts w:cs="Times New Roman"/>
                <w:iCs/>
              </w:rPr>
            </w:pPr>
            <w:r w:rsidRPr="00654E3B">
              <w:rPr>
                <w:rFonts w:cs="Times New Roman"/>
                <w:iCs/>
              </w:rPr>
              <w:t xml:space="preserve">U niskougljičnom društvu živjet ćemo i raditi u nisko energetskim zgradama male emisije, s pametnim sustavima grijanja i hlađenja, tj. u zgradama gotovo nulte energije ili zgradama koje imaju vrlo visoku energetsku učinkovitost.  </w:t>
            </w:r>
          </w:p>
          <w:p w:rsidR="007D4A93" w:rsidRPr="00654E3B" w:rsidRDefault="00EF0BEB">
            <w:pPr>
              <w:spacing w:after="60" w:line="240" w:lineRule="auto"/>
              <w:jc w:val="left"/>
              <w:rPr>
                <w:rFonts w:cs="Times New Roman"/>
              </w:rPr>
            </w:pPr>
            <w:r w:rsidRPr="00654E3B">
              <w:rPr>
                <w:rFonts w:cs="Times New Roman"/>
              </w:rPr>
              <w:t>Primjena energetske učinkovitosti, učinkovito korištenje resursa, primjena obnovljivih izvora energije, inovativnih i novih tehnoloških rješenja, uz očuvanje sigurnosti opskrbe energijom.</w:t>
            </w:r>
          </w:p>
          <w:p w:rsidR="007D4A93" w:rsidRPr="00654E3B" w:rsidRDefault="00EF0BEB">
            <w:pPr>
              <w:spacing w:after="60" w:line="240" w:lineRule="auto"/>
              <w:jc w:val="left"/>
              <w:rPr>
                <w:rFonts w:cs="Times New Roman"/>
              </w:rPr>
            </w:pPr>
            <w:r w:rsidRPr="00654E3B">
              <w:rPr>
                <w:rFonts w:cs="Times New Roman"/>
              </w:rPr>
              <w:t>Decentralizacija proizvodnje električne energije, potrošači energije će postati i proizvođači energije, korištenje naprednih mreža, pametnih sustava i spremišta energije omogućit će fleksibilnu potrošnju i snažnu integraciju obnovljivih izvora energije.</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Promet</w:t>
            </w:r>
          </w:p>
          <w:p w:rsidR="007D4A93" w:rsidRPr="00654E3B" w:rsidRDefault="007D4A93">
            <w:pPr>
              <w:spacing w:line="240" w:lineRule="auto"/>
              <w:jc w:val="left"/>
              <w:rPr>
                <w:rFonts w:cs="Times New Roman"/>
                <w:b/>
              </w:rPr>
            </w:pP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pPr>
              <w:spacing w:after="60" w:line="240" w:lineRule="auto"/>
              <w:jc w:val="left"/>
              <w:rPr>
                <w:rFonts w:cs="Times New Roman"/>
                <w:iCs/>
              </w:rPr>
            </w:pPr>
            <w:r w:rsidRPr="00654E3B">
              <w:rPr>
                <w:rFonts w:cs="Times New Roman"/>
                <w:iCs/>
              </w:rPr>
              <w:t>Vozit ćemo električna i hibridna vozila, koristiti alternativna niskougljična goriva i goriva neutralna za klimu.</w:t>
            </w:r>
          </w:p>
          <w:p w:rsidR="007D4A93" w:rsidRPr="00654E3B" w:rsidRDefault="00EF0BEB">
            <w:pPr>
              <w:spacing w:after="60" w:line="240" w:lineRule="auto"/>
              <w:jc w:val="left"/>
              <w:rPr>
                <w:rFonts w:cs="Times New Roman"/>
              </w:rPr>
            </w:pPr>
            <w:r w:rsidRPr="00654E3B">
              <w:rPr>
                <w:rFonts w:cs="Times New Roman"/>
                <w:iCs/>
              </w:rPr>
              <w:t>U gradovima ćemo, uz manje korištenje motornih vozila, unaprijediti kvalitetu života tako da za većinu gradskih putovanja automobili uopće neće biti potrebni.</w:t>
            </w:r>
          </w:p>
          <w:p w:rsidR="007D4A93" w:rsidRPr="00654E3B" w:rsidRDefault="00EF0BEB">
            <w:pPr>
              <w:spacing w:after="60" w:line="240" w:lineRule="auto"/>
              <w:jc w:val="left"/>
              <w:rPr>
                <w:rFonts w:cs="Times New Roman"/>
              </w:rPr>
            </w:pPr>
            <w:r w:rsidRPr="00654E3B">
              <w:rPr>
                <w:rFonts w:cs="Times New Roman"/>
              </w:rPr>
              <w:t>Kroz razvoj industrijskih grana u segmentu održivih tehnologija (električna vozila, punionice, željeznička infrastruktura)</w:t>
            </w:r>
            <w:r w:rsidR="00B34C1F" w:rsidRPr="00654E3B">
              <w:rPr>
                <w:rFonts w:cs="Times New Roman"/>
              </w:rPr>
              <w:t>,</w:t>
            </w:r>
            <w:r w:rsidRPr="00654E3B">
              <w:rPr>
                <w:rFonts w:cs="Times New Roman"/>
              </w:rPr>
              <w:t xml:space="preserve"> vozit ćemo se više u električnim, hibridnim vozilima, kao i vozilima s većim udjelom biogoriva što će značiti prijelaz na niskougljičnu mobilnost. Sve će više biti autonomnih vozila s pametnim punjenjem električnih baterija.</w:t>
            </w:r>
          </w:p>
          <w:p w:rsidR="007D4A93" w:rsidRPr="00654E3B" w:rsidRDefault="00EF0BEB">
            <w:pPr>
              <w:spacing w:after="60" w:line="240" w:lineRule="auto"/>
              <w:jc w:val="left"/>
              <w:rPr>
                <w:rFonts w:cs="Times New Roman"/>
              </w:rPr>
            </w:pPr>
            <w:r w:rsidRPr="00654E3B">
              <w:rPr>
                <w:rFonts w:cs="Times New Roman"/>
              </w:rPr>
              <w:t>Održivi prometni sustavi u većim naseljima, prioritetno niskougljičan javni gradski prijevoz, uže središte bez prometa, razvijen biciklistički promet, kvalitetnija goriva i nove tehnologije znatno će smanjiti utrošak energije i emisije stakleničkih plinova.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 xml:space="preserve">Poljoprivreda </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16799F">
            <w:pPr>
              <w:spacing w:after="60" w:line="240" w:lineRule="auto"/>
              <w:jc w:val="left"/>
              <w:rPr>
                <w:rFonts w:cs="Times New Roman"/>
              </w:rPr>
            </w:pPr>
            <w:r w:rsidRPr="00654E3B">
              <w:rPr>
                <w:rFonts w:cs="Times New Roman"/>
              </w:rPr>
              <w:t>Poljoprivreda će postati privlačnija za mlade</w:t>
            </w:r>
            <w:r w:rsidR="00EF0BEB" w:rsidRPr="00654E3B">
              <w:rPr>
                <w:rFonts w:cs="Times New Roman"/>
              </w:rPr>
              <w:t xml:space="preserve"> i obrazovan</w:t>
            </w:r>
            <w:r w:rsidRPr="00654E3B">
              <w:rPr>
                <w:rFonts w:cs="Times New Roman"/>
              </w:rPr>
              <w:t>e</w:t>
            </w:r>
            <w:r w:rsidR="00EF0BEB" w:rsidRPr="00654E3B">
              <w:rPr>
                <w:rFonts w:cs="Times New Roman"/>
              </w:rPr>
              <w:t xml:space="preserve"> poljoprivredni</w:t>
            </w:r>
            <w:r w:rsidRPr="00654E3B">
              <w:rPr>
                <w:rFonts w:cs="Times New Roman"/>
              </w:rPr>
              <w:t>ke</w:t>
            </w:r>
            <w:r w:rsidR="00F557A7" w:rsidRPr="00654E3B">
              <w:rPr>
                <w:rFonts w:cs="Times New Roman"/>
              </w:rPr>
              <w:t xml:space="preserve"> </w:t>
            </w:r>
            <w:r w:rsidR="00EF0BEB" w:rsidRPr="00654E3B">
              <w:rPr>
                <w:rFonts w:cs="Times New Roman"/>
              </w:rPr>
              <w:t xml:space="preserve">u obnovljenim selima, raznolikih kultura otpornih na klimatske promjene. </w:t>
            </w:r>
          </w:p>
          <w:p w:rsidR="007D4A93" w:rsidRPr="00654E3B" w:rsidRDefault="00EF0BEB">
            <w:pPr>
              <w:spacing w:after="60" w:line="240" w:lineRule="auto"/>
              <w:jc w:val="left"/>
              <w:rPr>
                <w:rFonts w:cs="Times New Roman"/>
              </w:rPr>
            </w:pPr>
            <w:r w:rsidRPr="00654E3B">
              <w:rPr>
                <w:rFonts w:cs="Times New Roman"/>
              </w:rPr>
              <w:t>Gospodarstva će biti ekonomski održiva i konkurentna, s uzgojem koji je orijentiran eko-proizvodnji i zelenom tržištu,</w:t>
            </w:r>
            <w:r w:rsidR="00336B59" w:rsidRPr="00654E3B">
              <w:rPr>
                <w:rFonts w:cs="Times New Roman"/>
              </w:rPr>
              <w:t xml:space="preserve"> uz</w:t>
            </w:r>
            <w:r w:rsidRPr="00654E3B">
              <w:rPr>
                <w:rFonts w:cs="Times New Roman"/>
              </w:rPr>
              <w:t xml:space="preserve"> </w:t>
            </w:r>
            <w:r w:rsidR="00336B59" w:rsidRPr="00654E3B">
              <w:rPr>
                <w:rFonts w:cs="Times New Roman"/>
              </w:rPr>
              <w:t xml:space="preserve">poštivanje </w:t>
            </w:r>
            <w:r w:rsidRPr="00654E3B">
              <w:rPr>
                <w:rFonts w:cs="Times New Roman"/>
              </w:rPr>
              <w:t xml:space="preserve">agrookolišnih </w:t>
            </w:r>
            <w:r w:rsidR="00336B59" w:rsidRPr="00654E3B">
              <w:rPr>
                <w:rFonts w:cs="Times New Roman"/>
              </w:rPr>
              <w:t xml:space="preserve">mjera </w:t>
            </w:r>
            <w:r w:rsidRPr="00654E3B">
              <w:rPr>
                <w:rFonts w:cs="Times New Roman"/>
              </w:rPr>
              <w:t xml:space="preserve">i </w:t>
            </w:r>
            <w:r w:rsidR="00336B59" w:rsidRPr="00654E3B">
              <w:rPr>
                <w:rFonts w:cs="Times New Roman"/>
              </w:rPr>
              <w:t xml:space="preserve">korištenja </w:t>
            </w:r>
            <w:r w:rsidRPr="00654E3B">
              <w:rPr>
                <w:rFonts w:cs="Times New Roman"/>
              </w:rPr>
              <w:t>agrošumarskih sustava.</w:t>
            </w:r>
          </w:p>
          <w:p w:rsidR="007D4A93" w:rsidRPr="00654E3B" w:rsidRDefault="00EF0BEB">
            <w:pPr>
              <w:spacing w:after="60" w:line="240" w:lineRule="auto"/>
              <w:jc w:val="left"/>
              <w:rPr>
                <w:rFonts w:cs="Times New Roman"/>
              </w:rPr>
            </w:pPr>
            <w:r w:rsidRPr="00654E3B">
              <w:rPr>
                <w:rFonts w:cs="Times New Roman"/>
              </w:rPr>
              <w:t>Ruralna područja i gospodarstva će biti energetski gotovo neutralna i resursno učinkovita.</w:t>
            </w:r>
          </w:p>
          <w:p w:rsidR="007D4A93" w:rsidRPr="00654E3B" w:rsidRDefault="00EF0BEB">
            <w:pPr>
              <w:spacing w:after="60" w:line="240" w:lineRule="auto"/>
              <w:jc w:val="left"/>
              <w:rPr>
                <w:rFonts w:cs="Times New Roman"/>
              </w:rPr>
            </w:pPr>
            <w:r w:rsidRPr="00654E3B">
              <w:rPr>
                <w:rFonts w:cs="Times New Roman"/>
              </w:rPr>
              <w:t xml:space="preserve">Proizvodit će se biomasa za goriva bez ugrožavanja proizvodnje hrane, pri čemu će proaktivno doprinositi smanjenu emisije stakleničkih plinova s neznatnim utjecajima na okoliš. </w:t>
            </w:r>
          </w:p>
          <w:p w:rsidR="007D4A93" w:rsidRPr="00654E3B" w:rsidRDefault="00EF0BEB">
            <w:pPr>
              <w:spacing w:after="60" w:line="240" w:lineRule="auto"/>
              <w:jc w:val="left"/>
              <w:rPr>
                <w:rFonts w:cs="Times New Roman"/>
              </w:rPr>
            </w:pPr>
            <w:r w:rsidRPr="00654E3B">
              <w:rPr>
                <w:rFonts w:cs="Times New Roman"/>
              </w:rPr>
              <w:t>Poljoprivreda s punom primjenom dobre poljoprivredne prakse.</w:t>
            </w:r>
          </w:p>
          <w:p w:rsidR="007D4A93" w:rsidRPr="00654E3B" w:rsidRDefault="00EF0BEB">
            <w:pPr>
              <w:spacing w:after="60" w:line="240" w:lineRule="auto"/>
              <w:jc w:val="left"/>
              <w:rPr>
                <w:rFonts w:cs="Times New Roman"/>
              </w:rPr>
            </w:pPr>
            <w:r w:rsidRPr="00654E3B">
              <w:rPr>
                <w:rFonts w:cs="Times New Roman"/>
              </w:rPr>
              <w:t>Gospodarenje poljoprivrednim površinama i gospodarenje pašnjacima provodi se na načine koji osiguravaju nisku emisiju ugljikova dioksida.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lastRenderedPageBreak/>
              <w:t>Korištenje zemljišta, prenamjene u korištenju zemljišta i šumarstvo (LULUCF)</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pPr>
              <w:spacing w:after="60" w:line="240" w:lineRule="auto"/>
              <w:jc w:val="left"/>
              <w:rPr>
                <w:rFonts w:cs="Times New Roman"/>
              </w:rPr>
            </w:pPr>
            <w:r w:rsidRPr="00654E3B">
              <w:rPr>
                <w:rFonts w:cs="Times New Roman"/>
              </w:rPr>
              <w:t xml:space="preserve">Korištenje zemljišta, prenamjene korištenja zemljišta i šumarstvo treba biti takvo da trajno predstavlja </w:t>
            </w:r>
            <w:r w:rsidR="0016799F" w:rsidRPr="00654E3B">
              <w:rPr>
                <w:rFonts w:cs="Times New Roman"/>
              </w:rPr>
              <w:t>ponor</w:t>
            </w:r>
            <w:r w:rsidRPr="00654E3B">
              <w:rPr>
                <w:rFonts w:cs="Times New Roman"/>
              </w:rPr>
              <w:t xml:space="preserve"> za CO</w:t>
            </w:r>
            <w:r w:rsidRPr="00654E3B">
              <w:rPr>
                <w:rFonts w:cs="Times New Roman"/>
                <w:vertAlign w:val="subscript"/>
              </w:rPr>
              <w:t xml:space="preserve">2 </w:t>
            </w:r>
          </w:p>
          <w:p w:rsidR="007D4A93" w:rsidRPr="00654E3B" w:rsidRDefault="00EF0BEB">
            <w:pPr>
              <w:spacing w:after="60" w:line="240" w:lineRule="auto"/>
              <w:jc w:val="left"/>
              <w:rPr>
                <w:rFonts w:cs="Times New Roman"/>
              </w:rPr>
            </w:pPr>
            <w:r w:rsidRPr="00654E3B">
              <w:rPr>
                <w:rFonts w:cs="Times New Roman"/>
              </w:rPr>
              <w:t xml:space="preserve">Šumarstvo će nastaviti s tradicijom potrajnog gospodarenja šumom. </w:t>
            </w:r>
          </w:p>
          <w:p w:rsidR="007D4A93" w:rsidRPr="00654E3B" w:rsidRDefault="00EF0BEB">
            <w:pPr>
              <w:jc w:val="left"/>
              <w:rPr>
                <w:rFonts w:cs="Times New Roman"/>
              </w:rPr>
            </w:pPr>
            <w:r w:rsidRPr="00654E3B">
              <w:rPr>
                <w:rFonts w:cs="Times New Roman"/>
              </w:rPr>
              <w:t>Na pojedinim površinama šuma povećati će se prirast putem šumskouzgojnih radova (konverzijama)</w:t>
            </w:r>
            <w:r w:rsidR="00B40652" w:rsidRPr="00654E3B">
              <w:rPr>
                <w:rFonts w:cs="Times New Roman"/>
              </w:rPr>
              <w:t>, prevođenjem šuma niskog uzgojnog oblika u viši uzgojni oblik</w:t>
            </w:r>
            <w:r w:rsidRPr="00654E3B">
              <w:rPr>
                <w:rFonts w:cs="Times New Roman"/>
              </w:rPr>
              <w:t xml:space="preserve">, čime se povećava kapacitet </w:t>
            </w:r>
            <w:r w:rsidR="00BF4CA8" w:rsidRPr="00654E3B">
              <w:rPr>
                <w:rFonts w:cs="Times New Roman"/>
              </w:rPr>
              <w:t>ponora</w:t>
            </w:r>
            <w:r w:rsidRPr="00654E3B">
              <w:rPr>
                <w:rFonts w:cs="Times New Roman"/>
              </w:rPr>
              <w:t xml:space="preserve"> ugljika u šumskoj biomasi. Na pojedinom neobraslom šumskom zemljištu podizati će se nove šumske sastojine. Ostaci drvne biomase iz šuma i drvne proizvodnje iskoristiti će se na ekološki i ekonomski održiv način.</w:t>
            </w:r>
          </w:p>
          <w:p w:rsidR="007D4A93" w:rsidRPr="00654E3B" w:rsidRDefault="00EF0BEB">
            <w:pPr>
              <w:spacing w:after="60" w:line="240" w:lineRule="auto"/>
              <w:jc w:val="left"/>
              <w:rPr>
                <w:rFonts w:cs="Times New Roman"/>
              </w:rPr>
            </w:pPr>
            <w:r w:rsidRPr="00654E3B">
              <w:rPr>
                <w:rFonts w:cs="Times New Roman"/>
              </w:rPr>
              <w:t>Zalihe ugljika u šumskoj biomasi (drvnoj biomasi, tlu, listincu i mrtvom drvu)</w:t>
            </w:r>
            <w:r w:rsidR="00B34C1F" w:rsidRPr="00654E3B">
              <w:rPr>
                <w:rFonts w:cs="Times New Roman"/>
              </w:rPr>
              <w:t>,</w:t>
            </w:r>
            <w:r w:rsidRPr="00654E3B">
              <w:rPr>
                <w:rFonts w:cs="Times New Roman"/>
              </w:rPr>
              <w:t xml:space="preserve"> povećavat će se kako bi sektor korištenja zemljišta i šumarstvo bio trajni ponor za stakleničke plinove. </w:t>
            </w:r>
          </w:p>
          <w:p w:rsidR="007D4A93" w:rsidRPr="00654E3B" w:rsidRDefault="00EF0BEB">
            <w:pPr>
              <w:spacing w:after="60" w:line="240" w:lineRule="auto"/>
              <w:jc w:val="left"/>
              <w:rPr>
                <w:rFonts w:cs="Times New Roman"/>
              </w:rPr>
            </w:pPr>
            <w:r w:rsidRPr="00654E3B">
              <w:rPr>
                <w:rFonts w:cs="Times New Roman"/>
              </w:rPr>
              <w:t xml:space="preserve">Drvni proizvodi su spremište ugljika, s emisijom koja se odlaže na dulje vrijeme, ovisno o vrsti proizvoda. Poticat će se korištenje drvnih proizvoda u tradicionalnim i novim proizvodima. Šumarstvo će raspolagati visokim stupnjem informacija o stanju šuma, inventaru, ugroženosti i projekcijama trendova. </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Otpad</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pPr>
              <w:spacing w:after="60" w:line="240" w:lineRule="auto"/>
              <w:jc w:val="left"/>
              <w:rPr>
                <w:rFonts w:cs="Times New Roman"/>
              </w:rPr>
            </w:pPr>
            <w:r w:rsidRPr="00654E3B">
              <w:rPr>
                <w:rFonts w:cs="Times New Roman"/>
              </w:rPr>
              <w:t xml:space="preserve">Sprječavanjem nastajanja otpada, odvojenim prikupljanjem, recikliranjem i oporabom otpada, količina otpada za odlaganje svest će se na minimum. </w:t>
            </w:r>
          </w:p>
          <w:p w:rsidR="007D4A93" w:rsidRPr="00654E3B" w:rsidRDefault="00EF0BEB">
            <w:pPr>
              <w:spacing w:after="60" w:line="240" w:lineRule="auto"/>
              <w:jc w:val="left"/>
              <w:rPr>
                <w:rFonts w:cs="Times New Roman"/>
              </w:rPr>
            </w:pPr>
            <w:r w:rsidRPr="00654E3B">
              <w:rPr>
                <w:rFonts w:cs="Times New Roman"/>
              </w:rPr>
              <w:t xml:space="preserve">Sva odlagališta biti će sanirana, a centri za gospodarenje otpadom koristiti će napredne tehnologije kojima se, osim za dobivanje sirovina za materijalnu oporabu, otpad kemijski reciklira čime se dobivaju različiti kemijski spojevi koji se mogu koristiti u industrijskoj proizvodnji (etilen, amonijak i sl.) kao i različita goriva (vodik, sintetski plin, tekuća goriva). </w:t>
            </w:r>
          </w:p>
          <w:p w:rsidR="007D4A93" w:rsidRPr="00654E3B" w:rsidRDefault="00EF0BEB">
            <w:pPr>
              <w:spacing w:after="60" w:line="240" w:lineRule="auto"/>
              <w:jc w:val="left"/>
              <w:rPr>
                <w:rFonts w:cs="Times New Roman"/>
              </w:rPr>
            </w:pPr>
            <w:r w:rsidRPr="00654E3B">
              <w:rPr>
                <w:rFonts w:cs="Times New Roman"/>
              </w:rPr>
              <w:t xml:space="preserve">Uspostava sustava gospodarenja otpadom sukladno načelima kružnog gospodarstva doprinijet će resursnoj učinkovitosti s manjim negativnim utjecajem na ljude i okoliš. Kružnim gospodarstvom će se vrijednost proizvoda, materijala i resursa što je dulje moguće zadržavati u gospodarstvu. Poticat će se korištenje proizvodnih procesa koji troše manje materijala i energenata, koriste resurse bez otpada i uključuju potpuno recikliranje na kraju životnog vijeka proizvoda. Projektiranje, gradnja i obnova zgrada provodit će se prema načelima kružnog gospodarenja prostorom i zgradama uz usklađeno korištenje resursa s potrebama i funkcionalnošću zgrada. Održivo gospodarenje resursima i produžavanje životnog vijeka materijala i proizvoda glavna je odrednica s prelaska s postojećeg linearnog na održivo i konkurentno kružno gospodarstvo s niskim emisijama ugljika.  </w:t>
            </w:r>
          </w:p>
        </w:tc>
      </w:tr>
    </w:tbl>
    <w:p w:rsidR="007D4A93" w:rsidRPr="00654E3B" w:rsidRDefault="00EF0BEB">
      <w:pPr>
        <w:pStyle w:val="Tablicanaslov"/>
        <w:spacing w:before="120" w:after="120"/>
        <w:ind w:left="1418" w:hanging="1418"/>
        <w:rPr>
          <w:rFonts w:cs="Times New Roman"/>
          <w:i/>
          <w:sz w:val="22"/>
          <w:szCs w:val="22"/>
        </w:rPr>
      </w:pPr>
      <w:r w:rsidRPr="00654E3B">
        <w:rPr>
          <w:rFonts w:cs="Times New Roman"/>
          <w:i/>
          <w:sz w:val="22"/>
          <w:szCs w:val="22"/>
        </w:rPr>
        <w:t xml:space="preserve">Tablica 1-2: </w:t>
      </w:r>
      <w:r w:rsidRPr="00654E3B">
        <w:rPr>
          <w:rFonts w:cs="Times New Roman"/>
          <w:i/>
          <w:sz w:val="22"/>
          <w:szCs w:val="22"/>
        </w:rPr>
        <w:tab/>
        <w:t xml:space="preserve">Potrebe pojedinih sektora za niskougljični razvoj (rezultat konzultacija sa dionicima i javnosti)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1"/>
        <w:gridCol w:w="6979"/>
      </w:tblGrid>
      <w:tr w:rsidR="007D4A93" w:rsidRPr="00654E3B">
        <w:trPr>
          <w:trHeight w:val="397"/>
          <w:tblHeader/>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b/>
              </w:rPr>
              <w:t>SEKTOR</w:t>
            </w:r>
          </w:p>
        </w:tc>
        <w:tc>
          <w:tcPr>
            <w:tcW w:w="6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POTREBA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Energetska postrojenja (proizvodnja, potrošnja, uvoz i izvoz energije), industrija i zgradarstvo</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 xml:space="preserve">energetska neovisnost i održivost </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razvoj industrije energetske opreme i postrojenja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razvoj industrije vozila i opreme za infrastrukturu</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 xml:space="preserve">primjena novih tehnologija (upravljanje potrošnjom, tehnologije za hvatanje i skladištenje ugljikova dioksida, novi obnovljivi izvori, </w:t>
            </w:r>
            <w:r w:rsidRPr="00654E3B">
              <w:rPr>
                <w:rFonts w:cs="Times New Roman"/>
                <w:lang w:eastAsia="hr-HR"/>
              </w:rPr>
              <w:lastRenderedPageBreak/>
              <w:t>tehnologija za kemijsko recikliranje otpada i korištenje energenata dobivenih iz otpada)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razvoj prijenosne mreže za priključak novih proizvodnih kapaciteta (pretežito OIE)</w:t>
            </w:r>
            <w:r w:rsidR="00B34C1F" w:rsidRPr="00654E3B">
              <w:rPr>
                <w:rFonts w:cs="Times New Roman"/>
                <w:lang w:eastAsia="hr-HR"/>
              </w:rPr>
              <w:t>,</w:t>
            </w:r>
            <w:r w:rsidRPr="00654E3B">
              <w:rPr>
                <w:rFonts w:cs="Times New Roman"/>
                <w:lang w:eastAsia="hr-HR"/>
              </w:rPr>
              <w:t xml:space="preserve"> nužnih za energetsku samodostatnost, prihvat i prijenos električne energije proizvedene u OIE i osiguranje sigurnosti opskrbe i EES-a uz visoki udio OIE  </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napredne mreže za otkup energije proizvedene iz obnovljivih izvora i za sigurnost opreme</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jasna strategija razvoja i akcijski planovi</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modernizacija i transformacija rafinerija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ulaganje u nove djelatnosti</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ulaganje u istraživanje i razvoj domaćih nalazišta nafte i plina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energetska obnova postojećeg nacionalnog fonda zgrada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 xml:space="preserve">gradnja </w:t>
            </w:r>
            <w:r w:rsidR="00365078" w:rsidRPr="00654E3B">
              <w:rPr>
                <w:rFonts w:cs="Times New Roman"/>
                <w:lang w:eastAsia="hr-HR"/>
              </w:rPr>
              <w:t>zgrada gotovo nulte energije</w:t>
            </w:r>
          </w:p>
          <w:p w:rsidR="007D4A93" w:rsidRPr="00654E3B" w:rsidRDefault="00EF0BEB" w:rsidP="000C6795">
            <w:pPr>
              <w:pStyle w:val="ListParagraph"/>
              <w:keepNext/>
              <w:numPr>
                <w:ilvl w:val="0"/>
                <w:numId w:val="9"/>
              </w:numPr>
              <w:spacing w:after="60" w:line="240" w:lineRule="auto"/>
              <w:ind w:left="397" w:hanging="227"/>
              <w:jc w:val="left"/>
              <w:rPr>
                <w:rFonts w:cs="Times New Roman"/>
                <w:lang w:eastAsia="hr-HR"/>
              </w:rPr>
            </w:pPr>
            <w:r w:rsidRPr="00654E3B">
              <w:rPr>
                <w:rFonts w:cs="Times New Roman"/>
                <w:lang w:eastAsia="hr-HR"/>
              </w:rPr>
              <w:t>podignuta društvena svijest o proizvodnji energije u zgradama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lastRenderedPageBreak/>
              <w:t>Promet</w:t>
            </w:r>
          </w:p>
          <w:p w:rsidR="007D4A93" w:rsidRPr="00654E3B" w:rsidRDefault="007D4A93">
            <w:pPr>
              <w:spacing w:line="240" w:lineRule="auto"/>
              <w:jc w:val="left"/>
              <w:rPr>
                <w:rFonts w:cs="Times New Roman"/>
                <w:b/>
              </w:rPr>
            </w:pP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niskougljični promet (udio prijevoznih sredstava u sektoru transporta roba (kamioni, brodovi, vlakovi) i javnog prijevoza (autobusi, tramvaji, prigradska željeznica)</w:t>
            </w:r>
            <w:r w:rsidR="00B34C1F" w:rsidRPr="00654E3B">
              <w:rPr>
                <w:rFonts w:cs="Times New Roman"/>
                <w:lang w:eastAsia="hr-HR"/>
              </w:rPr>
              <w:t>,</w:t>
            </w:r>
            <w:r w:rsidRPr="00654E3B">
              <w:rPr>
                <w:rFonts w:cs="Times New Roman"/>
                <w:lang w:eastAsia="hr-HR"/>
              </w:rPr>
              <w:t xml:space="preserve"> koji kao gorivo koriste vodikove ćelije, rasti će eksponencijalno</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visoka razina javne svijesti o javnom prijevozu te čišćim oblicima prijevoza</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 xml:space="preserve">razvijen željeznički i riječni promet </w:t>
            </w:r>
          </w:p>
          <w:p w:rsidR="007D4A93" w:rsidRPr="00654E3B" w:rsidRDefault="00EF0BEB" w:rsidP="000C6795">
            <w:pPr>
              <w:pStyle w:val="ListParagraph"/>
              <w:numPr>
                <w:ilvl w:val="0"/>
                <w:numId w:val="9"/>
              </w:numPr>
              <w:spacing w:line="240" w:lineRule="auto"/>
              <w:ind w:left="397" w:hanging="227"/>
              <w:jc w:val="left"/>
              <w:rPr>
                <w:rFonts w:cs="Times New Roman"/>
              </w:rPr>
            </w:pPr>
            <w:r w:rsidRPr="00654E3B">
              <w:rPr>
                <w:rFonts w:cs="Times New Roman"/>
                <w:lang w:eastAsia="hr-HR"/>
              </w:rPr>
              <w:t xml:space="preserve">poticaji za vozila na osnovi manje potrošnje fosilnih goriva </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 xml:space="preserve">Poljoprivreda </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održivo gospodarenje poljoprivrednim područjima</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 xml:space="preserve">održiva i ekološka proizvodnja </w:t>
            </w:r>
          </w:p>
          <w:p w:rsidR="007D4A93" w:rsidRPr="00654E3B" w:rsidRDefault="00B75C13" w:rsidP="00D76967">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upotreba mineralnog gnojiva u skladu s uvjetima dobre poljoprivredne prakse</w:t>
            </w:r>
            <w:r w:rsidR="00D76967" w:rsidRPr="00654E3B">
              <w:rPr>
                <w:rFonts w:cs="Times New Roman"/>
                <w:lang w:eastAsia="hr-HR"/>
              </w:rPr>
              <w:t xml:space="preserve">, </w:t>
            </w:r>
            <w:r w:rsidRPr="00654E3B">
              <w:rPr>
                <w:rFonts w:cs="Times New Roman"/>
                <w:lang w:eastAsia="hr-HR"/>
              </w:rPr>
              <w:t>adekvatno zbrinjavanje organskog gnojiva i proizvodnja bioplina, unaprijeđen sustav gospodarenja stajskim gnojivom</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integralni pristup razvoju poljoprivrede</w:t>
            </w:r>
          </w:p>
          <w:p w:rsidR="007D4A93" w:rsidRPr="00654E3B" w:rsidRDefault="00EF0BEB" w:rsidP="000C6795">
            <w:pPr>
              <w:pStyle w:val="ListParagraph"/>
              <w:numPr>
                <w:ilvl w:val="0"/>
                <w:numId w:val="9"/>
              </w:numPr>
              <w:spacing w:after="60" w:line="240" w:lineRule="auto"/>
              <w:ind w:left="397" w:hanging="227"/>
              <w:jc w:val="left"/>
              <w:rPr>
                <w:rFonts w:cs="Times New Roman"/>
              </w:rPr>
            </w:pPr>
            <w:r w:rsidRPr="00654E3B">
              <w:rPr>
                <w:rFonts w:cs="Times New Roman"/>
                <w:lang w:eastAsia="hr-HR"/>
              </w:rPr>
              <w:t>samoodrživost u proizvodnji hrane</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Korištenje zemljišta, prenamjene u korištenju zemljišta i šumarstvo</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numPr>
                <w:ilvl w:val="0"/>
                <w:numId w:val="9"/>
              </w:numPr>
              <w:ind w:left="397" w:hanging="227"/>
              <w:jc w:val="left"/>
              <w:rPr>
                <w:rFonts w:cs="Times New Roman"/>
                <w:lang w:eastAsia="hr-HR"/>
              </w:rPr>
            </w:pPr>
            <w:r w:rsidRPr="00654E3B">
              <w:rPr>
                <w:rFonts w:cs="Times New Roman"/>
                <w:lang w:eastAsia="hr-HR"/>
              </w:rPr>
              <w:t>u prenamjenama zemljišta vodit će se računa da svaka prenamjena zemljišta ima odraza na promjene u emisijama/</w:t>
            </w:r>
            <w:r w:rsidR="00BF4CA8" w:rsidRPr="00654E3B">
              <w:rPr>
                <w:rFonts w:cs="Times New Roman"/>
                <w:lang w:eastAsia="hr-HR"/>
              </w:rPr>
              <w:t>ponorima</w:t>
            </w:r>
            <w:r w:rsidRPr="00654E3B">
              <w:rPr>
                <w:rFonts w:cs="Times New Roman"/>
                <w:lang w:eastAsia="hr-HR"/>
              </w:rPr>
              <w:t xml:space="preserve"> stakleničkih plinova </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 xml:space="preserve">mjere koje potiču povećanje količine ugljika u tlu, </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povećanje vrijednosti šuma, održati ili poboljšati postojeći fond šumskog zemljišta</w:t>
            </w:r>
          </w:p>
          <w:p w:rsidR="007D4A93" w:rsidRPr="00654E3B" w:rsidRDefault="00EF0BEB" w:rsidP="000C6795">
            <w:pPr>
              <w:pStyle w:val="ListParagraph"/>
              <w:numPr>
                <w:ilvl w:val="0"/>
                <w:numId w:val="9"/>
              </w:numPr>
              <w:spacing w:after="60" w:line="240" w:lineRule="auto"/>
              <w:ind w:left="397" w:hanging="227"/>
              <w:jc w:val="left"/>
              <w:rPr>
                <w:rFonts w:cs="Times New Roman"/>
              </w:rPr>
            </w:pPr>
            <w:r w:rsidRPr="00654E3B">
              <w:rPr>
                <w:rFonts w:cs="Times New Roman"/>
              </w:rPr>
              <w:t xml:space="preserve">provedba pošumljavanja neobraslog proizvodnog šumskog zemljišta prema šumskogospodarskim planovima </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Otpad</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smanjenje (izbjegavanje) nastajanja otpada</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uspostavljen sustav gospodarenja otpadom</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sanirana odlagališta otpada</w:t>
            </w:r>
          </w:p>
          <w:p w:rsidR="007D4A93" w:rsidRPr="00654E3B" w:rsidRDefault="00EF0BEB" w:rsidP="000C6795">
            <w:pPr>
              <w:pStyle w:val="ListParagraph"/>
              <w:numPr>
                <w:ilvl w:val="0"/>
                <w:numId w:val="9"/>
              </w:numPr>
              <w:spacing w:after="60" w:line="240" w:lineRule="auto"/>
              <w:ind w:left="397" w:hanging="227"/>
              <w:jc w:val="left"/>
              <w:rPr>
                <w:rFonts w:cs="Times New Roman"/>
              </w:rPr>
            </w:pPr>
            <w:r w:rsidRPr="00654E3B">
              <w:rPr>
                <w:rFonts w:cs="Times New Roman"/>
                <w:lang w:eastAsia="hr-HR"/>
              </w:rPr>
              <w:t>potpuna oporaba otpada koja uključuje sve stupnjeve u hijerarhiji gospodarenja otpadom i korištenje tehnologija koje imaju za cilj minimiziranje njegovog odlaganja</w:t>
            </w:r>
          </w:p>
        </w:tc>
      </w:tr>
    </w:tbl>
    <w:p w:rsidR="007D4A93" w:rsidRPr="00654E3B" w:rsidRDefault="00EF0BEB">
      <w:pPr>
        <w:pStyle w:val="Heading2"/>
        <w:rPr>
          <w:rFonts w:ascii="Times New Roman" w:hAnsi="Times New Roman" w:cs="Times New Roman"/>
        </w:rPr>
      </w:pPr>
      <w:bookmarkStart w:id="126" w:name="_Toc20841286"/>
      <w:bookmarkStart w:id="127" w:name="_Toc20841392"/>
      <w:bookmarkStart w:id="128" w:name="_Toc69297725"/>
      <w:r w:rsidRPr="00654E3B">
        <w:rPr>
          <w:rFonts w:ascii="Times New Roman" w:hAnsi="Times New Roman" w:cs="Times New Roman"/>
        </w:rPr>
        <w:t>1.4.</w:t>
      </w:r>
      <w:r w:rsidRPr="00654E3B">
        <w:rPr>
          <w:rFonts w:ascii="Times New Roman" w:hAnsi="Times New Roman" w:cs="Times New Roman"/>
        </w:rPr>
        <w:tab/>
        <w:t>METODOLOŠKI PRISTUP</w:t>
      </w:r>
      <w:bookmarkEnd w:id="126"/>
      <w:bookmarkEnd w:id="127"/>
      <w:bookmarkEnd w:id="128"/>
    </w:p>
    <w:p w:rsidR="007D4A93" w:rsidRPr="00654E3B" w:rsidRDefault="007D4A93">
      <w:pPr>
        <w:keepNext/>
        <w:rPr>
          <w:rFonts w:cs="Times New Roman"/>
        </w:rPr>
      </w:pPr>
    </w:p>
    <w:p w:rsidR="007D4A93" w:rsidRPr="00654E3B" w:rsidRDefault="00EF0BEB">
      <w:pPr>
        <w:keepNext/>
        <w:spacing w:line="240" w:lineRule="auto"/>
        <w:rPr>
          <w:rFonts w:cs="Times New Roman"/>
        </w:rPr>
      </w:pPr>
      <w:r w:rsidRPr="00654E3B">
        <w:rPr>
          <w:rFonts w:cs="Times New Roman"/>
        </w:rPr>
        <w:t xml:space="preserve">U izradi Niskougljične strategije analiziran je niz scenarija, primijenjeni su mnogobrojni modeli za simulacije i optimiranje, a razvijen je i integralni model za nacionalne projekcije stakleničkih plinova </w:t>
      </w:r>
      <w:r w:rsidRPr="00654E3B">
        <w:rPr>
          <w:rFonts w:cs="Times New Roman"/>
        </w:rPr>
        <w:lastRenderedPageBreak/>
        <w:t xml:space="preserve">NUSPCRO (Niskougljično strateško planiranje Republike Hrvatske). Dodatna vrijednost je što NUSPCRO omogućava i planiranje scenarija za ostale onečišćujuće tvari, tako se usklađivanje ciljeva po obvezama UNFCCC-a i Konvencije o dalekosežnom prekograničnom onečišćenju zraka (LRTAP) može provoditi istovremeno. </w:t>
      </w:r>
    </w:p>
    <w:p w:rsidR="007D4A93" w:rsidRPr="00654E3B" w:rsidRDefault="00EF0BEB">
      <w:pPr>
        <w:rPr>
          <w:rFonts w:cs="Times New Roman"/>
        </w:rPr>
      </w:pPr>
      <w:r w:rsidRPr="00654E3B">
        <w:rPr>
          <w:rFonts w:cs="Times New Roman"/>
        </w:rPr>
        <w:t xml:space="preserve">Emisije i </w:t>
      </w:r>
      <w:r w:rsidR="00CC6349" w:rsidRPr="00654E3B">
        <w:rPr>
          <w:rFonts w:cs="Times New Roman"/>
        </w:rPr>
        <w:t>ponori</w:t>
      </w:r>
      <w:r w:rsidRPr="00654E3B">
        <w:rPr>
          <w:rFonts w:cs="Times New Roman"/>
        </w:rPr>
        <w:t xml:space="preserve"> stakleničkih plinova i projekcije iskazane u ovom dokumentu u skladu su s metodologijom iz </w:t>
      </w:r>
      <w:r w:rsidR="00907BA1" w:rsidRPr="00654E3B">
        <w:rPr>
          <w:rFonts w:cs="Times New Roman"/>
        </w:rPr>
        <w:t>smjernica</w:t>
      </w:r>
      <w:r w:rsidRPr="00654E3B">
        <w:rPr>
          <w:rFonts w:cs="Times New Roman"/>
        </w:rPr>
        <w:t xml:space="preserve"> Međuvladinog panela za klimatske promjene iz 2006. godine (IPCC 2006) i odgovarajućih faktora stakleničkog potencijala za izračun ekvivalenata emisija CO</w:t>
      </w:r>
      <w:r w:rsidRPr="00654E3B">
        <w:rPr>
          <w:rFonts w:cs="Times New Roman"/>
          <w:vertAlign w:val="subscript"/>
        </w:rPr>
        <w:t>2</w:t>
      </w:r>
      <w:r w:rsidRPr="00654E3B">
        <w:rPr>
          <w:rFonts w:cs="Times New Roman"/>
        </w:rPr>
        <w:t>. U skladu s ovom metodologijom promatra se samo emisija do koje je došlo na teritoriju države te emisija iz goriva koje je ukrcano na teritoriju države kad se radi o prometu. Staklenički potencijal (promatrano u 100 godina)</w:t>
      </w:r>
      <w:r w:rsidR="00B34C1F" w:rsidRPr="00654E3B">
        <w:rPr>
          <w:rFonts w:cs="Times New Roman"/>
        </w:rPr>
        <w:t>,</w:t>
      </w:r>
      <w:r w:rsidRPr="00654E3B">
        <w:rPr>
          <w:rFonts w:cs="Times New Roman"/>
        </w:rPr>
        <w:t xml:space="preserve"> s kojim se izračunava ekvivalentna količina CO</w:t>
      </w:r>
      <w:r w:rsidRPr="00654E3B">
        <w:rPr>
          <w:rFonts w:cs="Times New Roman"/>
          <w:vertAlign w:val="subscript"/>
        </w:rPr>
        <w:t>2</w:t>
      </w:r>
      <w:r w:rsidRPr="00654E3B">
        <w:rPr>
          <w:rFonts w:cs="Times New Roman"/>
        </w:rPr>
        <w:t xml:space="preserve"> za glavne stakleničke plinove je slijedeći: ugljikov dioksid CO</w:t>
      </w:r>
      <w:r w:rsidRPr="00654E3B">
        <w:rPr>
          <w:rFonts w:cs="Times New Roman"/>
          <w:vertAlign w:val="subscript"/>
        </w:rPr>
        <w:t>2</w:t>
      </w:r>
      <w:r w:rsidRPr="00654E3B">
        <w:rPr>
          <w:rFonts w:cs="Times New Roman"/>
        </w:rPr>
        <w:t xml:space="preserve"> = 1, didušikov oksid N</w:t>
      </w:r>
      <w:r w:rsidRPr="00654E3B">
        <w:rPr>
          <w:rFonts w:cs="Times New Roman"/>
          <w:vertAlign w:val="subscript"/>
        </w:rPr>
        <w:t>2</w:t>
      </w:r>
      <w:r w:rsidRPr="00654E3B">
        <w:rPr>
          <w:rFonts w:cs="Times New Roman"/>
        </w:rPr>
        <w:t>O = 298 i metan CH</w:t>
      </w:r>
      <w:r w:rsidRPr="00654E3B">
        <w:rPr>
          <w:rFonts w:cs="Times New Roman"/>
          <w:vertAlign w:val="subscript"/>
        </w:rPr>
        <w:t>4</w:t>
      </w:r>
      <w:r w:rsidRPr="00654E3B">
        <w:rPr>
          <w:rFonts w:cs="Times New Roman"/>
        </w:rPr>
        <w:t>=25.</w:t>
      </w:r>
    </w:p>
    <w:p w:rsidR="007D4A93" w:rsidRPr="00654E3B" w:rsidRDefault="00EF0BEB">
      <w:pPr>
        <w:pStyle w:val="Heading1"/>
        <w:rPr>
          <w:rFonts w:ascii="Times New Roman" w:hAnsi="Times New Roman" w:cs="Times New Roman"/>
        </w:rPr>
      </w:pPr>
      <w:bookmarkStart w:id="129" w:name="_Toc20841291"/>
      <w:bookmarkStart w:id="130" w:name="_Toc20841397"/>
      <w:bookmarkStart w:id="131" w:name="_Toc69297726"/>
      <w:r w:rsidRPr="00654E3B">
        <w:rPr>
          <w:rFonts w:ascii="Times New Roman" w:hAnsi="Times New Roman" w:cs="Times New Roman"/>
        </w:rPr>
        <w:t>2.</w:t>
      </w:r>
      <w:r w:rsidRPr="00654E3B">
        <w:rPr>
          <w:rFonts w:ascii="Times New Roman" w:hAnsi="Times New Roman" w:cs="Times New Roman"/>
        </w:rPr>
        <w:tab/>
        <w:t>SITUACIJA U REPUBLICI HRVATSKOJ</w:t>
      </w:r>
      <w:bookmarkEnd w:id="129"/>
      <w:bookmarkEnd w:id="130"/>
      <w:bookmarkEnd w:id="131"/>
    </w:p>
    <w:p w:rsidR="007D4A93" w:rsidRPr="00654E3B" w:rsidRDefault="00EF0BEB">
      <w:pPr>
        <w:pStyle w:val="Heading2"/>
        <w:rPr>
          <w:rFonts w:ascii="Times New Roman" w:hAnsi="Times New Roman" w:cs="Times New Roman"/>
        </w:rPr>
      </w:pPr>
      <w:bookmarkStart w:id="132" w:name="_Toc484158961"/>
      <w:bookmarkStart w:id="133" w:name="_Toc436823689"/>
      <w:bookmarkStart w:id="134" w:name="_Toc20841292"/>
      <w:bookmarkStart w:id="135" w:name="_Toc20841398"/>
      <w:bookmarkStart w:id="136" w:name="_Toc69297727"/>
      <w:r w:rsidRPr="00654E3B">
        <w:rPr>
          <w:rFonts w:ascii="Times New Roman" w:hAnsi="Times New Roman" w:cs="Times New Roman"/>
        </w:rPr>
        <w:t>2.1.</w:t>
      </w:r>
      <w:r w:rsidRPr="00654E3B">
        <w:rPr>
          <w:rFonts w:ascii="Times New Roman" w:hAnsi="Times New Roman" w:cs="Times New Roman"/>
        </w:rPr>
        <w:tab/>
        <w:t>GOSPODARSKI POKAZATELJI</w:t>
      </w:r>
      <w:bookmarkEnd w:id="132"/>
      <w:bookmarkEnd w:id="133"/>
      <w:bookmarkEnd w:id="134"/>
      <w:bookmarkEnd w:id="135"/>
      <w:bookmarkEnd w:id="136"/>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Nakon što je od 2000. do 2008. godine hrvatsko gospodarstvo raslo po prosječnoj godišnjoj stopi od 4,3</w:t>
      </w:r>
      <w:r w:rsidR="00060992" w:rsidRPr="00654E3B">
        <w:rPr>
          <w:rFonts w:cs="Times New Roman"/>
        </w:rPr>
        <w:t xml:space="preserve"> %</w:t>
      </w:r>
      <w:r w:rsidRPr="00654E3B">
        <w:rPr>
          <w:rFonts w:cs="Times New Roman"/>
        </w:rPr>
        <w:t xml:space="preserve"> koja je bila usporediva s rastom novih članica EU, 2009. godine započela je produljena recesija . Realni BDP se 2014. godine nalazio na 12,4</w:t>
      </w:r>
      <w:r w:rsidR="00060992" w:rsidRPr="00654E3B">
        <w:rPr>
          <w:rFonts w:cs="Times New Roman"/>
        </w:rPr>
        <w:t xml:space="preserve"> %</w:t>
      </w:r>
      <w:r w:rsidRPr="00654E3B">
        <w:rPr>
          <w:rFonts w:cs="Times New Roman"/>
        </w:rPr>
        <w:t xml:space="preserve"> nižoj razini u odnosu na 2008. godinu. Fizički obujam industrijske proizvodnje smanjen je za 17</w:t>
      </w:r>
      <w:r w:rsidR="00060992" w:rsidRPr="00654E3B">
        <w:rPr>
          <w:rFonts w:cs="Times New Roman"/>
        </w:rPr>
        <w:t xml:space="preserve"> %</w:t>
      </w:r>
      <w:r w:rsidRPr="00654E3B">
        <w:rPr>
          <w:rFonts w:cs="Times New Roman"/>
        </w:rPr>
        <w:t xml:space="preserve"> od 2008. do 2014. godine, a aktivnost u graditeljstvu zabilježila je još veći pad.</w:t>
      </w:r>
    </w:p>
    <w:p w:rsidR="007D4A93" w:rsidRPr="00654E3B" w:rsidRDefault="00EF0BEB">
      <w:pPr>
        <w:rPr>
          <w:rFonts w:cs="Times New Roman"/>
        </w:rPr>
      </w:pPr>
      <w:r w:rsidRPr="00654E3B">
        <w:rPr>
          <w:rFonts w:cs="Times New Roman"/>
        </w:rPr>
        <w:t>Gospodarski oporavak započeo je 2015. godine. Stopa rasta BDP-a u  2016. godini</w:t>
      </w:r>
      <w:r w:rsidR="00500F34" w:rsidRPr="00654E3B">
        <w:rPr>
          <w:rFonts w:cs="Times New Roman"/>
        </w:rPr>
        <w:t xml:space="preserve"> bi</w:t>
      </w:r>
      <w:r w:rsidR="00B47071" w:rsidRPr="00654E3B">
        <w:rPr>
          <w:rFonts w:cs="Times New Roman"/>
        </w:rPr>
        <w:t>la</w:t>
      </w:r>
      <w:r w:rsidR="00500F34" w:rsidRPr="00654E3B">
        <w:rPr>
          <w:rFonts w:cs="Times New Roman"/>
        </w:rPr>
        <w:t xml:space="preserve"> je</w:t>
      </w:r>
      <w:r w:rsidRPr="00654E3B">
        <w:rPr>
          <w:rFonts w:cs="Times New Roman"/>
        </w:rPr>
        <w:t xml:space="preserve"> 3,5</w:t>
      </w:r>
      <w:r w:rsidR="00060992" w:rsidRPr="00654E3B">
        <w:rPr>
          <w:rFonts w:cs="Times New Roman"/>
        </w:rPr>
        <w:t xml:space="preserve"> %</w:t>
      </w:r>
      <w:r w:rsidRPr="00654E3B">
        <w:rPr>
          <w:rFonts w:cs="Times New Roman"/>
        </w:rPr>
        <w:t xml:space="preserve">, </w:t>
      </w:r>
      <w:r w:rsidR="00616F44" w:rsidRPr="00654E3B">
        <w:rPr>
          <w:rFonts w:cs="Times New Roman"/>
        </w:rPr>
        <w:t>u 2017. godini 3,4</w:t>
      </w:r>
      <w:r w:rsidR="00060992" w:rsidRPr="00654E3B">
        <w:rPr>
          <w:rFonts w:cs="Times New Roman"/>
        </w:rPr>
        <w:t xml:space="preserve"> %</w:t>
      </w:r>
      <w:r w:rsidR="00616F44" w:rsidRPr="00654E3B">
        <w:rPr>
          <w:rFonts w:cs="Times New Roman"/>
        </w:rPr>
        <w:t>, u 2018. godini 2,8</w:t>
      </w:r>
      <w:r w:rsidR="00060992" w:rsidRPr="00654E3B">
        <w:rPr>
          <w:rFonts w:cs="Times New Roman"/>
        </w:rPr>
        <w:t xml:space="preserve"> %</w:t>
      </w:r>
      <w:r w:rsidR="00CC6349" w:rsidRPr="00654E3B">
        <w:rPr>
          <w:rFonts w:cs="Times New Roman"/>
        </w:rPr>
        <w:t xml:space="preserve">, u 2019. godini </w:t>
      </w:r>
      <w:r w:rsidR="00616F44" w:rsidRPr="00654E3B">
        <w:rPr>
          <w:rFonts w:cs="Times New Roman"/>
        </w:rPr>
        <w:t>2,9</w:t>
      </w:r>
      <w:r w:rsidR="00060992" w:rsidRPr="00654E3B">
        <w:rPr>
          <w:rFonts w:cs="Times New Roman"/>
        </w:rPr>
        <w:t xml:space="preserve"> %</w:t>
      </w:r>
      <w:r w:rsidR="00E11490" w:rsidRPr="00654E3B">
        <w:rPr>
          <w:rFonts w:cs="Times New Roman"/>
        </w:rPr>
        <w:t>, a u 2020. godini -8,4</w:t>
      </w:r>
      <w:r w:rsidR="00060992" w:rsidRPr="00654E3B">
        <w:rPr>
          <w:rFonts w:cs="Times New Roman"/>
        </w:rPr>
        <w:t xml:space="preserve"> %</w:t>
      </w:r>
      <w:r w:rsidRPr="00654E3B">
        <w:rPr>
          <w:rFonts w:cs="Times New Roman"/>
        </w:rPr>
        <w:t xml:space="preserve">. </w:t>
      </w:r>
    </w:p>
    <w:p w:rsidR="007D4A93" w:rsidRPr="00654E3B" w:rsidRDefault="00EF0BEB">
      <w:pPr>
        <w:rPr>
          <w:rFonts w:cs="Times New Roman"/>
          <w:szCs w:val="24"/>
          <w:lang w:eastAsia="ja-JP"/>
        </w:rPr>
      </w:pPr>
      <w:r w:rsidRPr="00654E3B">
        <w:rPr>
          <w:rFonts w:cs="Times New Roman"/>
        </w:rPr>
        <w:t xml:space="preserve">Hrvatsko gospodarstvo nalazi se u procesu strukturne transformacije iz gospodarstva </w:t>
      </w:r>
      <w:r w:rsidR="00112B0D" w:rsidRPr="00654E3B">
        <w:rPr>
          <w:rFonts w:cs="Times New Roman"/>
        </w:rPr>
        <w:t xml:space="preserve">ovisnog </w:t>
      </w:r>
      <w:r w:rsidRPr="00654E3B">
        <w:rPr>
          <w:rFonts w:cs="Times New Roman"/>
        </w:rPr>
        <w:t xml:space="preserve">o domaćoj potražnji i građevinskim ulaganjima, u međunarodno konkurentno, izvozno orijentirano gospodarstvo, u čemu turizam, ITC sektor i ostale usluge imaju važnu ulogu. Ubrzanju rasta znatno doprinosi i bolje korištenje sredstava europskih strukturnih i investicijskih fondova. </w:t>
      </w:r>
      <w:r w:rsidR="005B355A" w:rsidRPr="00654E3B">
        <w:rPr>
          <w:rFonts w:cs="Times New Roman"/>
        </w:rPr>
        <w:t>Početkom 2021. godine</w:t>
      </w:r>
      <w:r w:rsidRPr="00654E3B">
        <w:rPr>
          <w:rFonts w:cs="Times New Roman"/>
        </w:rPr>
        <w:t xml:space="preserve"> ukupno je isplaćeno </w:t>
      </w:r>
      <w:r w:rsidR="00E71777" w:rsidRPr="00654E3B">
        <w:rPr>
          <w:rFonts w:cs="Times New Roman"/>
        </w:rPr>
        <w:t>5</w:t>
      </w:r>
      <w:r w:rsidRPr="00654E3B">
        <w:rPr>
          <w:rFonts w:cs="Times New Roman"/>
        </w:rPr>
        <w:t>,</w:t>
      </w:r>
      <w:r w:rsidR="00E71777" w:rsidRPr="00654E3B">
        <w:rPr>
          <w:rFonts w:cs="Times New Roman"/>
        </w:rPr>
        <w:t xml:space="preserve">36 </w:t>
      </w:r>
      <w:r w:rsidRPr="00654E3B">
        <w:rPr>
          <w:rFonts w:cs="Times New Roman"/>
        </w:rPr>
        <w:t xml:space="preserve">mlrd. eura odnosno </w:t>
      </w:r>
      <w:r w:rsidR="00E71777" w:rsidRPr="00654E3B">
        <w:rPr>
          <w:rFonts w:cs="Times New Roman"/>
        </w:rPr>
        <w:t>49,94</w:t>
      </w:r>
      <w:r w:rsidR="00060992" w:rsidRPr="00654E3B">
        <w:rPr>
          <w:rFonts w:cs="Times New Roman"/>
        </w:rPr>
        <w:t xml:space="preserve"> %</w:t>
      </w:r>
      <w:r w:rsidRPr="00654E3B">
        <w:rPr>
          <w:rFonts w:cs="Times New Roman"/>
        </w:rPr>
        <w:t xml:space="preserve"> od ukupne alokacije za sedmogodišnje razdoblje (2014. – 2020.) te je zabilježen značajni porast objavljenih natječaja i ugovorenih projekata. Očekuje se da će se efikasnost korištenja sredstava EU fondova u narednim godinama povećati.</w:t>
      </w:r>
    </w:p>
    <w:p w:rsidR="007D4A93" w:rsidRPr="00654E3B" w:rsidRDefault="00EF0BEB">
      <w:pPr>
        <w:rPr>
          <w:rFonts w:cs="Times New Roman"/>
        </w:rPr>
      </w:pPr>
      <w:r w:rsidRPr="00654E3B">
        <w:rPr>
          <w:rFonts w:cs="Times New Roman"/>
        </w:rPr>
        <w:t>Gospodarski rast i fiskalna disciplina na strani rashoda proračuna u toku 2016. godine zaustavili su rast deficita proračuna i javnog duga, čiji su se omjeri u odnosu na BDP počeli smanjivati. Deficit je i tijekom 2017. i 2018. godine bio ispod 2</w:t>
      </w:r>
      <w:r w:rsidR="00060992" w:rsidRPr="00654E3B">
        <w:rPr>
          <w:rFonts w:cs="Times New Roman"/>
        </w:rPr>
        <w:t xml:space="preserve"> %</w:t>
      </w:r>
      <w:r w:rsidRPr="00654E3B">
        <w:rPr>
          <w:rFonts w:cs="Times New Roman"/>
        </w:rPr>
        <w:t xml:space="preserve"> BDP-a, a omjer javnog duga u odnosu na BDP je na kraju 2018. godine iznosio 74,6</w:t>
      </w:r>
      <w:r w:rsidR="00060992" w:rsidRPr="00654E3B">
        <w:rPr>
          <w:rFonts w:cs="Times New Roman"/>
        </w:rPr>
        <w:t xml:space="preserve"> %</w:t>
      </w:r>
      <w:r w:rsidRPr="00654E3B">
        <w:rPr>
          <w:rFonts w:cs="Times New Roman"/>
        </w:rPr>
        <w:t>. Početkom 2020. godine</w:t>
      </w:r>
      <w:r w:rsidR="003A6B35" w:rsidRPr="00654E3B">
        <w:rPr>
          <w:rFonts w:cs="Times New Roman"/>
        </w:rPr>
        <w:t>,</w:t>
      </w:r>
      <w:r w:rsidRPr="00654E3B">
        <w:rPr>
          <w:rFonts w:cs="Times New Roman"/>
        </w:rPr>
        <w:t xml:space="preserve"> Hrvatska</w:t>
      </w:r>
      <w:r w:rsidR="00B47071" w:rsidRPr="00654E3B">
        <w:rPr>
          <w:rFonts w:cs="Times New Roman"/>
        </w:rPr>
        <w:t>,</w:t>
      </w:r>
      <w:r w:rsidRPr="00654E3B">
        <w:rPr>
          <w:rFonts w:cs="Times New Roman"/>
        </w:rPr>
        <w:t xml:space="preserve"> kao i čitav svijet</w:t>
      </w:r>
      <w:r w:rsidR="00B47071" w:rsidRPr="00654E3B">
        <w:rPr>
          <w:rFonts w:cs="Times New Roman"/>
        </w:rPr>
        <w:t>,</w:t>
      </w:r>
      <w:r w:rsidRPr="00654E3B">
        <w:rPr>
          <w:rFonts w:cs="Times New Roman"/>
        </w:rPr>
        <w:t xml:space="preserve"> suočila se s pandemijom te je od strane EU planirana pomoć </w:t>
      </w:r>
      <w:r w:rsidR="00CC6349" w:rsidRPr="00654E3B">
        <w:rPr>
          <w:rFonts w:cs="Times New Roman"/>
        </w:rPr>
        <w:t>putem</w:t>
      </w:r>
      <w:r w:rsidRPr="00654E3B">
        <w:rPr>
          <w:rFonts w:cs="Times New Roman"/>
        </w:rPr>
        <w:t xml:space="preserve"> Fond</w:t>
      </w:r>
      <w:r w:rsidR="00CC6349" w:rsidRPr="00654E3B">
        <w:rPr>
          <w:rFonts w:cs="Times New Roman"/>
        </w:rPr>
        <w:t>a za oporavak</w:t>
      </w:r>
      <w:r w:rsidRPr="00654E3B">
        <w:rPr>
          <w:rFonts w:cs="Times New Roman"/>
        </w:rPr>
        <w:t xml:space="preserve">. </w:t>
      </w:r>
    </w:p>
    <w:p w:rsidR="007D4A93" w:rsidRPr="00654E3B" w:rsidRDefault="00EF0BEB">
      <w:pPr>
        <w:pStyle w:val="Heading2"/>
        <w:rPr>
          <w:rFonts w:ascii="Times New Roman" w:hAnsi="Times New Roman" w:cs="Times New Roman"/>
        </w:rPr>
      </w:pPr>
      <w:bookmarkStart w:id="137" w:name="_Toc20841293"/>
      <w:bookmarkStart w:id="138" w:name="_Toc20841399"/>
      <w:bookmarkStart w:id="139" w:name="_Toc69297728"/>
      <w:r w:rsidRPr="00654E3B">
        <w:rPr>
          <w:rFonts w:ascii="Times New Roman" w:hAnsi="Times New Roman" w:cs="Times New Roman"/>
        </w:rPr>
        <w:t>2.2.</w:t>
      </w:r>
      <w:r w:rsidRPr="00654E3B">
        <w:rPr>
          <w:rFonts w:ascii="Times New Roman" w:hAnsi="Times New Roman" w:cs="Times New Roman"/>
        </w:rPr>
        <w:tab/>
        <w:t>SOCIOLOŠKI POKAZATELJI</w:t>
      </w:r>
      <w:bookmarkEnd w:id="137"/>
      <w:bookmarkEnd w:id="138"/>
      <w:bookmarkEnd w:id="139"/>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Prema zadnjem Popisu stanovništva iz 2011. godine, broj stanovnika u Republici Hrvatskoj iznosi 4.284.889. Prosječna starost u 2011. godini iznosila je 41,7 godina. </w:t>
      </w:r>
    </w:p>
    <w:p w:rsidR="007D4A93" w:rsidRPr="00654E3B" w:rsidRDefault="00EF0BEB">
      <w:pPr>
        <w:rPr>
          <w:rFonts w:cs="Times New Roman"/>
        </w:rPr>
      </w:pPr>
      <w:r w:rsidRPr="00654E3B">
        <w:rPr>
          <w:rFonts w:cs="Times New Roman"/>
        </w:rPr>
        <w:t>Republika Hrvatska već dugi niz godina bilježi vrlo nepovoljne demografske trendove. Demografsko starenje i depopulacija</w:t>
      </w:r>
      <w:r w:rsidR="003A6B35" w:rsidRPr="00654E3B">
        <w:rPr>
          <w:rFonts w:cs="Times New Roman"/>
        </w:rPr>
        <w:t>,</w:t>
      </w:r>
      <w:r w:rsidRPr="00654E3B">
        <w:rPr>
          <w:rFonts w:cs="Times New Roman"/>
        </w:rPr>
        <w:t xml:space="preserve"> temeljni su demografski procesi u Republici Hrvatskoj. Hrvatska je jedna od rijetkih europskih država koja već dva desetljeća ima smanjenje broja stanovnika zbog negativnog prirodnog prirasta, a iseljavanje mladih i stručno obrazovanih ljudi zbog nezaposlenosti i nezadovoljstva svojim primanjima postaje ozbiljan problem. </w:t>
      </w:r>
    </w:p>
    <w:p w:rsidR="007D4A93" w:rsidRPr="00654E3B" w:rsidRDefault="00EF0BEB">
      <w:pPr>
        <w:rPr>
          <w:rFonts w:cs="Times New Roman"/>
        </w:rPr>
      </w:pPr>
      <w:r w:rsidRPr="00654E3B">
        <w:rPr>
          <w:rFonts w:cs="Times New Roman"/>
        </w:rPr>
        <w:lastRenderedPageBreak/>
        <w:t>U Republici Hrvatskoj vidljive su velike i rastuće razlike između pojedinih regija i mikro regija Hrvatske. Indeks razvijenosti ukazuje na velike teritorijalne i razvojne razlike. Isto tako, zabrinjavajuća je konstantna depopulacija ruralnog prostora.</w:t>
      </w:r>
    </w:p>
    <w:p w:rsidR="007D4A93" w:rsidRPr="00654E3B" w:rsidRDefault="00EF0BEB">
      <w:pPr>
        <w:pStyle w:val="Heading2"/>
        <w:rPr>
          <w:rFonts w:ascii="Times New Roman" w:hAnsi="Times New Roman" w:cs="Times New Roman"/>
        </w:rPr>
      </w:pPr>
      <w:bookmarkStart w:id="140" w:name="_Toc20841294"/>
      <w:bookmarkStart w:id="141" w:name="_Toc20841400"/>
      <w:bookmarkStart w:id="142" w:name="_Toc69297729"/>
      <w:r w:rsidRPr="00654E3B">
        <w:rPr>
          <w:rFonts w:ascii="Times New Roman" w:hAnsi="Times New Roman" w:cs="Times New Roman"/>
        </w:rPr>
        <w:t>2.3.</w:t>
      </w:r>
      <w:r w:rsidRPr="00654E3B">
        <w:rPr>
          <w:rFonts w:ascii="Times New Roman" w:hAnsi="Times New Roman" w:cs="Times New Roman"/>
        </w:rPr>
        <w:tab/>
        <w:t>EMISIJE STAKLENIČKIH PLINOVA</w:t>
      </w:r>
      <w:bookmarkEnd w:id="140"/>
      <w:bookmarkEnd w:id="141"/>
      <w:bookmarkEnd w:id="142"/>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Inventar emisija i </w:t>
      </w:r>
      <w:r w:rsidR="00CC6349" w:rsidRPr="00654E3B">
        <w:rPr>
          <w:rFonts w:cs="Times New Roman"/>
        </w:rPr>
        <w:t>ponora</w:t>
      </w:r>
      <w:r w:rsidRPr="00654E3B">
        <w:rPr>
          <w:rFonts w:cs="Times New Roman"/>
        </w:rPr>
        <w:t xml:space="preserve"> stakleničkih plinova</w:t>
      </w:r>
      <w:r w:rsidR="003A6B35" w:rsidRPr="00654E3B">
        <w:rPr>
          <w:rFonts w:cs="Times New Roman"/>
        </w:rPr>
        <w:t>,</w:t>
      </w:r>
      <w:r w:rsidRPr="00654E3B">
        <w:rPr>
          <w:rFonts w:cs="Times New Roman"/>
        </w:rPr>
        <w:t xml:space="preserve"> izrađuje se u skladu sa UNFCCC smjernicama za izvješćivanje o godišnjim inventarima, koje su prihvaćene odlukom 24/CP.19 COP-a (Conference of Parties). Pri izradi proračuna emisije stakleničkih plinova</w:t>
      </w:r>
      <w:r w:rsidR="003A6B35" w:rsidRPr="00654E3B">
        <w:rPr>
          <w:rFonts w:cs="Times New Roman"/>
        </w:rPr>
        <w:t>,</w:t>
      </w:r>
      <w:r w:rsidRPr="00654E3B">
        <w:rPr>
          <w:rFonts w:cs="Times New Roman"/>
        </w:rPr>
        <w:t xml:space="preserve"> koristi se metodologija opisana u IPCC Vodiču za izradu Nacionalnih inventara emisija stakleničkih plinova iz 2006. godine. U skladu s Vodičem</w:t>
      </w:r>
      <w:r w:rsidR="003A6B35" w:rsidRPr="00654E3B">
        <w:rPr>
          <w:rFonts w:cs="Times New Roman"/>
        </w:rPr>
        <w:t>,</w:t>
      </w:r>
      <w:r w:rsidRPr="00654E3B">
        <w:rPr>
          <w:rFonts w:cs="Times New Roman"/>
        </w:rPr>
        <w:t xml:space="preserve"> izvori emisija i </w:t>
      </w:r>
      <w:r w:rsidR="00BF4CA8" w:rsidRPr="00654E3B">
        <w:rPr>
          <w:rFonts w:cs="Times New Roman"/>
        </w:rPr>
        <w:t>ponori</w:t>
      </w:r>
      <w:r w:rsidRPr="00654E3B">
        <w:rPr>
          <w:rFonts w:cs="Times New Roman"/>
        </w:rPr>
        <w:t xml:space="preserve"> stakleničkih plinova podijeljeni su u pet glavnih sektora: energetika, industrijski procesi i uporaba proizvoda, poljoprivreda, korištenje zemljišta, prenamjena </w:t>
      </w:r>
      <w:r w:rsidR="006542E1" w:rsidRPr="00654E3B">
        <w:rPr>
          <w:rFonts w:cs="Times New Roman"/>
        </w:rPr>
        <w:t>zemljišta i šumarstvo (LULUCF)</w:t>
      </w:r>
      <w:r w:rsidRPr="00654E3B">
        <w:rPr>
          <w:rFonts w:cs="Times New Roman"/>
        </w:rPr>
        <w:t xml:space="preserve"> te otpad. Sektor energetike uključuje: proizvodnju električne energij</w:t>
      </w:r>
      <w:r w:rsidR="006542E1" w:rsidRPr="00654E3B">
        <w:rPr>
          <w:rFonts w:cs="Times New Roman"/>
        </w:rPr>
        <w:t>e i topline, promet te potrošnju</w:t>
      </w:r>
      <w:r w:rsidRPr="00654E3B">
        <w:rPr>
          <w:rFonts w:cs="Times New Roman"/>
        </w:rPr>
        <w:t xml:space="preserve"> energije za grijanje i hlađenje zgrada odnosno zgradarstvo.</w:t>
      </w:r>
    </w:p>
    <w:p w:rsidR="007D4A93" w:rsidRPr="00654E3B" w:rsidRDefault="00EF0BEB">
      <w:pPr>
        <w:rPr>
          <w:rFonts w:cs="Times New Roman"/>
        </w:rPr>
      </w:pPr>
      <w:r w:rsidRPr="00654E3B">
        <w:rPr>
          <w:rFonts w:cs="Times New Roman"/>
        </w:rPr>
        <w:t>Proračun obuhvaća emisije koje su posljedica ljudskih djelatnosti i to direktne stakleničke plinove: ugljikov dioksid (CO</w:t>
      </w:r>
      <w:r w:rsidRPr="00654E3B">
        <w:rPr>
          <w:rFonts w:cs="Times New Roman"/>
          <w:vertAlign w:val="subscript"/>
        </w:rPr>
        <w:t>2</w:t>
      </w:r>
      <w:r w:rsidRPr="00654E3B">
        <w:rPr>
          <w:rFonts w:cs="Times New Roman"/>
        </w:rPr>
        <w:t>), metan (CH</w:t>
      </w:r>
      <w:r w:rsidRPr="00654E3B">
        <w:rPr>
          <w:rFonts w:cs="Times New Roman"/>
          <w:vertAlign w:val="subscript"/>
        </w:rPr>
        <w:t>4</w:t>
      </w:r>
      <w:r w:rsidRPr="00654E3B">
        <w:rPr>
          <w:rFonts w:cs="Times New Roman"/>
        </w:rPr>
        <w:t>), didušikov oksid (N</w:t>
      </w:r>
      <w:r w:rsidRPr="00654E3B">
        <w:rPr>
          <w:rFonts w:cs="Times New Roman"/>
          <w:vertAlign w:val="subscript"/>
        </w:rPr>
        <w:t>2</w:t>
      </w:r>
      <w:r w:rsidRPr="00654E3B">
        <w:rPr>
          <w:rFonts w:cs="Times New Roman"/>
        </w:rPr>
        <w:t>O), fluorirane ugljikovodike (HFC-e i PFC-e) i sumporov heksafluorid (SF</w:t>
      </w:r>
      <w:r w:rsidRPr="00654E3B">
        <w:rPr>
          <w:rFonts w:cs="Times New Roman"/>
          <w:vertAlign w:val="subscript"/>
        </w:rPr>
        <w:t>6</w:t>
      </w:r>
      <w:r w:rsidRPr="00654E3B">
        <w:rPr>
          <w:rFonts w:cs="Times New Roman"/>
        </w:rPr>
        <w:t>) te indirektne stakleničke plinove: ugljikov monoksid (CO), dušikove okside (NO</w:t>
      </w:r>
      <w:r w:rsidRPr="00654E3B">
        <w:rPr>
          <w:rFonts w:cs="Times New Roman"/>
          <w:vertAlign w:val="subscript"/>
        </w:rPr>
        <w:t>X</w:t>
      </w:r>
      <w:r w:rsidRPr="00654E3B">
        <w:rPr>
          <w:rFonts w:cs="Times New Roman"/>
        </w:rPr>
        <w:t>), ne-metanske hlapive organske spojeve (NMHOS) i sumporov dioksid (SO</w:t>
      </w:r>
      <w:r w:rsidRPr="00654E3B">
        <w:rPr>
          <w:rFonts w:cs="Times New Roman"/>
          <w:vertAlign w:val="subscript"/>
        </w:rPr>
        <w:t>2</w:t>
      </w:r>
      <w:r w:rsidRPr="00654E3B">
        <w:rPr>
          <w:rFonts w:cs="Times New Roman"/>
        </w:rPr>
        <w:t xml:space="preserve">). </w:t>
      </w:r>
    </w:p>
    <w:p w:rsidR="007D4A93" w:rsidRPr="00654E3B" w:rsidRDefault="00EF0BEB" w:rsidP="009F6651">
      <w:pPr>
        <w:pStyle w:val="Heading3"/>
      </w:pPr>
      <w:bookmarkStart w:id="143" w:name="_Toc69297730"/>
      <w:r w:rsidRPr="00654E3B">
        <w:t>2.3.1. Trend emisija</w:t>
      </w:r>
      <w:bookmarkEnd w:id="143"/>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Ukupna emisija stakleničkih plinova u Republici Hrvatskoj, isključujući </w:t>
      </w:r>
      <w:r w:rsidR="00BF4CA8" w:rsidRPr="00654E3B">
        <w:rPr>
          <w:rFonts w:cs="Times New Roman"/>
        </w:rPr>
        <w:t>ponore</w:t>
      </w:r>
      <w:r w:rsidRPr="00654E3B">
        <w:rPr>
          <w:rFonts w:cs="Times New Roman"/>
        </w:rPr>
        <w:t>, u 2018. godini iznosila je 23.792,80 kt CO</w:t>
      </w:r>
      <w:r w:rsidRPr="00654E3B">
        <w:rPr>
          <w:rFonts w:cs="Times New Roman"/>
          <w:vertAlign w:val="subscript"/>
        </w:rPr>
        <w:t>2</w:t>
      </w:r>
      <w:r w:rsidRPr="00654E3B">
        <w:rPr>
          <w:rFonts w:cs="Times New Roman"/>
        </w:rPr>
        <w:t>e, što predstavlja smanjenje emisija za 25,36</w:t>
      </w:r>
      <w:r w:rsidR="00060992" w:rsidRPr="00654E3B">
        <w:rPr>
          <w:rFonts w:cs="Times New Roman"/>
        </w:rPr>
        <w:t xml:space="preserve"> %</w:t>
      </w:r>
      <w:r w:rsidRPr="00654E3B">
        <w:rPr>
          <w:rFonts w:cs="Times New Roman"/>
        </w:rPr>
        <w:t xml:space="preserve"> u odnosu na emisiju stakleničkih plinova u 1990. godini. Trend emisija stakleničkih plinova po sektorima, prikazan je na slici 2-1. i tablici 2-1.</w:t>
      </w:r>
    </w:p>
    <w:p w:rsidR="007D4A93" w:rsidRPr="00654E3B" w:rsidRDefault="007D4A93">
      <w:pPr>
        <w:jc w:val="center"/>
        <w:rPr>
          <w:rFonts w:cs="Times New Roman"/>
        </w:rPr>
      </w:pPr>
    </w:p>
    <w:p w:rsidR="007D4A93" w:rsidRPr="00F01191" w:rsidRDefault="00EF0BEB">
      <w:pPr>
        <w:pStyle w:val="Slika"/>
        <w:spacing w:before="120"/>
        <w:jc w:val="center"/>
        <w:rPr>
          <w:rFonts w:ascii="Times New Roman" w:hAnsi="Times New Roman"/>
          <w:i/>
        </w:rPr>
      </w:pPr>
      <w:bookmarkStart w:id="144" w:name="_Toc33417095"/>
      <w:r w:rsidRPr="00F01191">
        <w:rPr>
          <w:rFonts w:ascii="Times New Roman" w:hAnsi="Times New Roman"/>
          <w:i/>
          <w:noProof/>
          <w:lang w:eastAsia="hr-HR"/>
        </w:rPr>
        <w:drawing>
          <wp:inline distT="0" distB="0" distL="0" distR="0" wp14:anchorId="2CB91109" wp14:editId="52CF4D73">
            <wp:extent cx="3761232" cy="246278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jpg"/>
                    <pic:cNvPicPr>
                      <a:picLocks noChangeAspect="1"/>
                    </pic:cNvPicPr>
                  </pic:nvPicPr>
                  <pic:blipFill>
                    <a:blip r:embed="rId13"/>
                    <a:stretch/>
                  </pic:blipFill>
                  <pic:spPr bwMode="auto">
                    <a:xfrm>
                      <a:off x="0" y="0"/>
                      <a:ext cx="3761232" cy="2462784"/>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2-1: Trend emisija stakleničkih plinova po sektorima</w:t>
      </w:r>
      <w:bookmarkEnd w:id="144"/>
    </w:p>
    <w:p w:rsidR="007D4A93" w:rsidRPr="00654E3B" w:rsidRDefault="00EF0BEB">
      <w:pPr>
        <w:pStyle w:val="Tablicanaslov"/>
        <w:spacing w:after="120"/>
        <w:ind w:left="1416" w:hanging="1416"/>
        <w:rPr>
          <w:rFonts w:cs="Times New Roman"/>
          <w:i/>
          <w:sz w:val="22"/>
          <w:szCs w:val="22"/>
        </w:rPr>
      </w:pPr>
      <w:bookmarkStart w:id="145" w:name="_Toc28613854"/>
      <w:r w:rsidRPr="00654E3B">
        <w:rPr>
          <w:rFonts w:cs="Times New Roman"/>
          <w:i/>
          <w:sz w:val="22"/>
          <w:szCs w:val="22"/>
        </w:rPr>
        <w:t>Tablica 2-1: Emisije/</w:t>
      </w:r>
      <w:r w:rsidR="00BF4CA8" w:rsidRPr="00654E3B">
        <w:rPr>
          <w:rFonts w:cs="Times New Roman"/>
          <w:i/>
          <w:sz w:val="22"/>
          <w:szCs w:val="22"/>
        </w:rPr>
        <w:t>ponori</w:t>
      </w:r>
      <w:r w:rsidRPr="00654E3B">
        <w:rPr>
          <w:rFonts w:cs="Times New Roman"/>
          <w:i/>
          <w:sz w:val="22"/>
          <w:szCs w:val="22"/>
        </w:rPr>
        <w:t xml:space="preserve"> stakleničkih plinova po sektorima u razdoblju od 1990. do 2018. godine (kt CO</w:t>
      </w:r>
      <w:r w:rsidRPr="00654E3B">
        <w:rPr>
          <w:rFonts w:cs="Times New Roman"/>
          <w:i/>
          <w:sz w:val="22"/>
          <w:szCs w:val="22"/>
          <w:vertAlign w:val="subscript"/>
        </w:rPr>
        <w:t>2</w:t>
      </w:r>
      <w:r w:rsidRPr="00654E3B">
        <w:rPr>
          <w:rFonts w:cs="Times New Roman"/>
          <w:i/>
          <w:sz w:val="22"/>
          <w:szCs w:val="22"/>
        </w:rPr>
        <w:t>-eq)</w:t>
      </w:r>
      <w:bookmarkEnd w:id="145"/>
      <w:r w:rsidRPr="00654E3B">
        <w:rPr>
          <w:rFonts w:cs="Times New Roman"/>
          <w:i/>
          <w:sz w:val="22"/>
          <w:szCs w:val="22"/>
        </w:rPr>
        <w:t xml:space="preserve"> </w:t>
      </w:r>
    </w:p>
    <w:tbl>
      <w:tblPr>
        <w:tblW w:w="5083" w:type="pct"/>
        <w:tblInd w:w="-150"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left w:w="57" w:type="dxa"/>
          <w:right w:w="57" w:type="dxa"/>
        </w:tblCellMar>
        <w:tblLook w:val="0000" w:firstRow="0" w:lastRow="0" w:firstColumn="0" w:lastColumn="0" w:noHBand="0" w:noVBand="0"/>
      </w:tblPr>
      <w:tblGrid>
        <w:gridCol w:w="1785"/>
        <w:gridCol w:w="1061"/>
        <w:gridCol w:w="1058"/>
        <w:gridCol w:w="1058"/>
        <w:gridCol w:w="1058"/>
        <w:gridCol w:w="1058"/>
        <w:gridCol w:w="1058"/>
        <w:gridCol w:w="1068"/>
      </w:tblGrid>
      <w:tr w:rsidR="007D4A93" w:rsidRPr="00654E3B">
        <w:trPr>
          <w:cantSplit/>
          <w:trHeight w:val="312"/>
          <w:tblHeader/>
        </w:trPr>
        <w:tc>
          <w:tcPr>
            <w:tcW w:w="969" w:type="pct"/>
            <w:vMerge w:val="restart"/>
            <w:tcBorders>
              <w:left w:val="single" w:sz="6" w:space="0" w:color="4F81BD"/>
              <w:bottom w:val="single" w:sz="6" w:space="0" w:color="FFFFFF"/>
              <w:right w:val="single" w:sz="6" w:space="0" w:color="FFFFFF"/>
            </w:tcBorders>
            <w:shd w:val="clear" w:color="auto" w:fill="4F81BD"/>
            <w:vAlign w:val="center"/>
          </w:tcPr>
          <w:p w:rsidR="007D4A93" w:rsidRPr="00654E3B" w:rsidRDefault="00EF0BEB" w:rsidP="00BF4CA8">
            <w:pPr>
              <w:keepNext/>
              <w:spacing w:line="240" w:lineRule="auto"/>
              <w:jc w:val="left"/>
              <w:rPr>
                <w:rFonts w:eastAsia="Times New Roman" w:cs="Times New Roman"/>
                <w:b/>
                <w:i/>
                <w:color w:val="FFFFFF"/>
                <w:sz w:val="20"/>
                <w:lang w:eastAsia="hr-HR"/>
              </w:rPr>
            </w:pPr>
            <w:r w:rsidRPr="00654E3B">
              <w:rPr>
                <w:rFonts w:eastAsia="MS Mincho" w:cs="Times New Roman"/>
                <w:b/>
                <w:color w:val="FFFFFF"/>
                <w:sz w:val="20"/>
                <w:lang w:eastAsia="hr-HR"/>
              </w:rPr>
              <w:lastRenderedPageBreak/>
              <w:t>Izvor emisije /</w:t>
            </w:r>
            <w:r w:rsidR="00BF4CA8" w:rsidRPr="00654E3B">
              <w:rPr>
                <w:rFonts w:eastAsia="MS Mincho" w:cs="Times New Roman"/>
                <w:b/>
                <w:color w:val="FFFFFF"/>
                <w:sz w:val="20"/>
                <w:lang w:eastAsia="hr-HR"/>
              </w:rPr>
              <w:t>ponor</w:t>
            </w:r>
            <w:r w:rsidRPr="00654E3B">
              <w:rPr>
                <w:rFonts w:eastAsia="MS Mincho" w:cs="Times New Roman"/>
                <w:b/>
                <w:color w:val="FFFFFF"/>
                <w:sz w:val="20"/>
                <w:lang w:eastAsia="hr-HR"/>
              </w:rPr>
              <w:t>a stakleničkih plinova</w:t>
            </w:r>
          </w:p>
        </w:tc>
        <w:tc>
          <w:tcPr>
            <w:tcW w:w="4031" w:type="pct"/>
            <w:gridSpan w:val="7"/>
            <w:tcBorders>
              <w:left w:val="single" w:sz="6" w:space="0" w:color="FFFFFF"/>
              <w:bottom w:val="single" w:sz="6" w:space="0" w:color="FFFFFF"/>
            </w:tcBorders>
            <w:shd w:val="clear" w:color="auto" w:fill="4F81BD"/>
            <w:vAlign w:val="center"/>
          </w:tcPr>
          <w:p w:rsidR="007D4A93" w:rsidRPr="00654E3B" w:rsidRDefault="00BF4CA8">
            <w:pPr>
              <w:keepNext/>
              <w:spacing w:line="276" w:lineRule="auto"/>
              <w:jc w:val="center"/>
              <w:rPr>
                <w:rFonts w:eastAsia="Times New Roman" w:cs="Times New Roman"/>
                <w:b/>
                <w:color w:val="FFFFFF"/>
                <w:sz w:val="20"/>
                <w:lang w:eastAsia="hr-HR"/>
              </w:rPr>
            </w:pPr>
            <w:r w:rsidRPr="00654E3B">
              <w:rPr>
                <w:rFonts w:eastAsia="Times New Roman" w:cs="Times New Roman"/>
                <w:b/>
                <w:color w:val="FFFFFF"/>
                <w:sz w:val="20"/>
                <w:lang w:eastAsia="hr-HR"/>
              </w:rPr>
              <w:t>Emisije / ponor</w:t>
            </w:r>
            <w:r w:rsidR="00EF0BEB" w:rsidRPr="00654E3B">
              <w:rPr>
                <w:rFonts w:eastAsia="Times New Roman" w:cs="Times New Roman"/>
                <w:b/>
                <w:color w:val="FFFFFF"/>
                <w:sz w:val="20"/>
                <w:lang w:eastAsia="hr-HR"/>
              </w:rPr>
              <w:t>i stakleničkih plinova (kt CO</w:t>
            </w:r>
            <w:r w:rsidR="00EF0BEB" w:rsidRPr="00654E3B">
              <w:rPr>
                <w:rFonts w:eastAsia="Times New Roman" w:cs="Times New Roman"/>
                <w:b/>
                <w:color w:val="FFFFFF"/>
                <w:sz w:val="20"/>
                <w:vertAlign w:val="subscript"/>
                <w:lang w:eastAsia="hr-HR"/>
              </w:rPr>
              <w:t>2</w:t>
            </w:r>
            <w:r w:rsidR="00EF0BEB" w:rsidRPr="00654E3B">
              <w:rPr>
                <w:rFonts w:eastAsia="Times New Roman" w:cs="Times New Roman"/>
                <w:b/>
                <w:color w:val="FFFFFF"/>
                <w:sz w:val="20"/>
                <w:lang w:eastAsia="hr-HR"/>
              </w:rPr>
              <w:t>-eq)</w:t>
            </w:r>
          </w:p>
        </w:tc>
      </w:tr>
      <w:tr w:rsidR="007D4A93" w:rsidRPr="00654E3B">
        <w:trPr>
          <w:cantSplit/>
          <w:trHeight w:val="358"/>
          <w:tblHeader/>
        </w:trPr>
        <w:tc>
          <w:tcPr>
            <w:tcW w:w="969" w:type="pct"/>
            <w:vMerge/>
            <w:tcBorders>
              <w:top w:val="single" w:sz="6" w:space="0" w:color="FFFFFF"/>
              <w:left w:val="single" w:sz="6" w:space="0" w:color="4F81BD"/>
              <w:right w:val="single" w:sz="6" w:space="0" w:color="FFFFFF"/>
            </w:tcBorders>
            <w:shd w:val="clear" w:color="auto" w:fill="4F81BD"/>
            <w:vAlign w:val="center"/>
          </w:tcPr>
          <w:p w:rsidR="007D4A93" w:rsidRPr="00654E3B" w:rsidRDefault="007D4A93">
            <w:pPr>
              <w:spacing w:line="240" w:lineRule="auto"/>
              <w:rPr>
                <w:rFonts w:eastAsia="Times New Roman" w:cs="Times New Roman"/>
                <w:b/>
                <w:i/>
                <w:color w:val="FFFFFF"/>
                <w:sz w:val="20"/>
                <w:lang w:eastAsia="hr-HR"/>
              </w:rPr>
            </w:pPr>
          </w:p>
        </w:tc>
        <w:tc>
          <w:tcPr>
            <w:tcW w:w="576"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1990.</w:t>
            </w:r>
          </w:p>
        </w:tc>
        <w:tc>
          <w:tcPr>
            <w:tcW w:w="575"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2000.</w:t>
            </w:r>
          </w:p>
        </w:tc>
        <w:tc>
          <w:tcPr>
            <w:tcW w:w="575"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2010.</w:t>
            </w:r>
          </w:p>
        </w:tc>
        <w:tc>
          <w:tcPr>
            <w:tcW w:w="575"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2015.</w:t>
            </w:r>
          </w:p>
        </w:tc>
        <w:tc>
          <w:tcPr>
            <w:tcW w:w="575"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2016.</w:t>
            </w:r>
          </w:p>
        </w:tc>
        <w:tc>
          <w:tcPr>
            <w:tcW w:w="575" w:type="pct"/>
            <w:tcBorders>
              <w:top w:val="single" w:sz="6" w:space="0" w:color="FFFFFF"/>
              <w:left w:val="single" w:sz="6" w:space="0" w:color="FFFFFF"/>
              <w:bottom w:val="none" w:sz="4" w:space="0" w:color="000000"/>
              <w:right w:val="single" w:sz="4"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2017.</w:t>
            </w:r>
          </w:p>
        </w:tc>
        <w:tc>
          <w:tcPr>
            <w:tcW w:w="579" w:type="pct"/>
            <w:tcBorders>
              <w:top w:val="single" w:sz="6" w:space="0" w:color="FFFFFF"/>
              <w:left w:val="single" w:sz="4" w:space="0" w:color="FFFFFF"/>
              <w:bottom w:val="none" w:sz="4" w:space="0" w:color="000000"/>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2018.</w:t>
            </w:r>
          </w:p>
        </w:tc>
      </w:tr>
      <w:tr w:rsidR="007D4A93" w:rsidRPr="00654E3B">
        <w:trPr>
          <w:cantSplit/>
          <w:trHeight w:val="312"/>
        </w:trPr>
        <w:tc>
          <w:tcPr>
            <w:tcW w:w="969" w:type="pct"/>
            <w:tcBorders>
              <w:left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Energetika (uključujući promet)</w:t>
            </w:r>
          </w:p>
        </w:tc>
        <w:tc>
          <w:tcPr>
            <w:tcW w:w="576" w:type="pct"/>
            <w:tcBorders>
              <w:top w:val="none" w:sz="4" w:space="0" w:color="000000"/>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21.731,3</w:t>
            </w:r>
          </w:p>
        </w:tc>
        <w:tc>
          <w:tcPr>
            <w:tcW w:w="575" w:type="pct"/>
            <w:tcBorders>
              <w:top w:val="none" w:sz="4" w:space="0" w:color="000000"/>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18.194,8</w:t>
            </w:r>
          </w:p>
        </w:tc>
        <w:tc>
          <w:tcPr>
            <w:tcW w:w="575" w:type="pct"/>
            <w:tcBorders>
              <w:top w:val="none" w:sz="4" w:space="0" w:color="000000"/>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19.749,5</w:t>
            </w:r>
          </w:p>
        </w:tc>
        <w:tc>
          <w:tcPr>
            <w:tcW w:w="575" w:type="pct"/>
            <w:tcBorders>
              <w:top w:val="none" w:sz="4" w:space="0" w:color="000000"/>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16.625,2</w:t>
            </w:r>
          </w:p>
        </w:tc>
        <w:tc>
          <w:tcPr>
            <w:tcW w:w="575" w:type="pct"/>
            <w:tcBorders>
              <w:top w:val="none" w:sz="4" w:space="0" w:color="000000"/>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17.009,5</w:t>
            </w:r>
          </w:p>
        </w:tc>
        <w:tc>
          <w:tcPr>
            <w:tcW w:w="575" w:type="pct"/>
            <w:tcBorders>
              <w:top w:val="none" w:sz="4" w:space="0" w:color="000000"/>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17.388,1</w:t>
            </w:r>
          </w:p>
        </w:tc>
        <w:tc>
          <w:tcPr>
            <w:tcW w:w="579" w:type="pct"/>
            <w:tcBorders>
              <w:top w:val="none" w:sz="4" w:space="0" w:color="000000"/>
              <w:lef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16.443,0</w:t>
            </w:r>
          </w:p>
        </w:tc>
      </w:tr>
      <w:tr w:rsidR="007D4A93" w:rsidRPr="00654E3B">
        <w:trPr>
          <w:cantSplit/>
          <w:trHeight w:val="312"/>
        </w:trPr>
        <w:tc>
          <w:tcPr>
            <w:tcW w:w="969" w:type="pct"/>
            <w:tcBorders>
              <w:left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Industrijski procesi i uporaba proizvoda</w:t>
            </w:r>
          </w:p>
        </w:tc>
        <w:tc>
          <w:tcPr>
            <w:tcW w:w="576"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4.669,7</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3.132,3</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3.317,1</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2.823,2</w:t>
            </w:r>
          </w:p>
        </w:tc>
        <w:tc>
          <w:tcPr>
            <w:tcW w:w="575" w:type="pct"/>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2.489,0</w:t>
            </w:r>
          </w:p>
        </w:tc>
        <w:tc>
          <w:tcPr>
            <w:tcW w:w="575" w:type="pct"/>
            <w:tcBorders>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2.738,0</w:t>
            </w:r>
          </w:p>
        </w:tc>
        <w:tc>
          <w:tcPr>
            <w:tcW w:w="579" w:type="pct"/>
            <w:tcBorders>
              <w:lef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2.590,9</w:t>
            </w:r>
          </w:p>
        </w:tc>
      </w:tr>
      <w:tr w:rsidR="007D4A93" w:rsidRPr="00654E3B">
        <w:trPr>
          <w:cantSplit/>
          <w:trHeight w:val="312"/>
        </w:trPr>
        <w:tc>
          <w:tcPr>
            <w:tcW w:w="969" w:type="pct"/>
            <w:tcBorders>
              <w:left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Poljoprivreda</w:t>
            </w:r>
          </w:p>
        </w:tc>
        <w:tc>
          <w:tcPr>
            <w:tcW w:w="576"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4.423,5</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3.042,4</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3.056,3</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2.722,3</w:t>
            </w:r>
          </w:p>
        </w:tc>
        <w:tc>
          <w:tcPr>
            <w:tcW w:w="575" w:type="pct"/>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2.678,8</w:t>
            </w:r>
          </w:p>
        </w:tc>
        <w:tc>
          <w:tcPr>
            <w:tcW w:w="575" w:type="pct"/>
            <w:tcBorders>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2.805,1</w:t>
            </w:r>
          </w:p>
        </w:tc>
        <w:tc>
          <w:tcPr>
            <w:tcW w:w="579" w:type="pct"/>
            <w:tcBorders>
              <w:lef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2.720,37</w:t>
            </w:r>
          </w:p>
        </w:tc>
      </w:tr>
      <w:tr w:rsidR="007D4A93" w:rsidRPr="00654E3B">
        <w:trPr>
          <w:cantSplit/>
          <w:trHeight w:val="312"/>
        </w:trPr>
        <w:tc>
          <w:tcPr>
            <w:tcW w:w="969" w:type="pct"/>
            <w:tcBorders>
              <w:left w:val="single" w:sz="6" w:space="0" w:color="4F81BD"/>
              <w:bottom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LULUCF</w:t>
            </w:r>
          </w:p>
        </w:tc>
        <w:tc>
          <w:tcPr>
            <w:tcW w:w="576"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-6.421,4</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-6.950,4</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-6.926,0</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-5.122,1</w:t>
            </w:r>
          </w:p>
        </w:tc>
        <w:tc>
          <w:tcPr>
            <w:tcW w:w="575" w:type="pct"/>
            <w:tcBorders>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-5.179,07</w:t>
            </w:r>
          </w:p>
        </w:tc>
        <w:tc>
          <w:tcPr>
            <w:tcW w:w="575" w:type="pct"/>
            <w:tcBorders>
              <w:bottom w:val="single" w:sz="6" w:space="0" w:color="4F81BD"/>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-4.489,6</w:t>
            </w:r>
          </w:p>
        </w:tc>
        <w:tc>
          <w:tcPr>
            <w:tcW w:w="579" w:type="pct"/>
            <w:tcBorders>
              <w:left w:val="single" w:sz="4" w:space="0" w:color="4F81BD"/>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-5.094,2</w:t>
            </w:r>
          </w:p>
        </w:tc>
      </w:tr>
      <w:tr w:rsidR="007D4A93" w:rsidRPr="00654E3B">
        <w:trPr>
          <w:cantSplit/>
          <w:trHeight w:val="312"/>
        </w:trPr>
        <w:tc>
          <w:tcPr>
            <w:tcW w:w="969" w:type="pct"/>
            <w:tcBorders>
              <w:left w:val="single" w:sz="6" w:space="0" w:color="4F81BD"/>
              <w:bottom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Otpad</w:t>
            </w:r>
          </w:p>
        </w:tc>
        <w:tc>
          <w:tcPr>
            <w:tcW w:w="576"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1.051,4</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1.339,4</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1.910,9</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1.954,6</w:t>
            </w:r>
          </w:p>
        </w:tc>
        <w:tc>
          <w:tcPr>
            <w:tcW w:w="575" w:type="pct"/>
            <w:tcBorders>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2.098,1</w:t>
            </w:r>
          </w:p>
        </w:tc>
        <w:tc>
          <w:tcPr>
            <w:tcW w:w="575" w:type="pct"/>
            <w:tcBorders>
              <w:bottom w:val="single" w:sz="6" w:space="0" w:color="4F81BD"/>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2.100,9</w:t>
            </w:r>
          </w:p>
        </w:tc>
        <w:tc>
          <w:tcPr>
            <w:tcW w:w="579" w:type="pct"/>
            <w:tcBorders>
              <w:left w:val="single" w:sz="4" w:space="0" w:color="4F81BD"/>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2.038,6</w:t>
            </w:r>
          </w:p>
        </w:tc>
      </w:tr>
      <w:tr w:rsidR="007D4A93" w:rsidRPr="00654E3B">
        <w:trPr>
          <w:cantSplit/>
          <w:trHeight w:val="312"/>
        </w:trPr>
        <w:tc>
          <w:tcPr>
            <w:tcW w:w="969" w:type="pct"/>
            <w:tcBorders>
              <w:left w:val="single" w:sz="6" w:space="0" w:color="4F81BD"/>
              <w:bottom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Ostalo</w:t>
            </w:r>
          </w:p>
        </w:tc>
        <w:tc>
          <w:tcPr>
            <w:tcW w:w="576"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9" w:type="pct"/>
            <w:tcBorders>
              <w:left w:val="single" w:sz="4" w:space="0" w:color="4F81BD"/>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r>
      <w:tr w:rsidR="007D4A93" w:rsidRPr="00654E3B">
        <w:trPr>
          <w:cantSplit/>
          <w:trHeight w:val="312"/>
        </w:trPr>
        <w:tc>
          <w:tcPr>
            <w:tcW w:w="969" w:type="pct"/>
            <w:tcBorders>
              <w:left w:val="single" w:sz="6" w:space="0" w:color="4F81BD"/>
            </w:tcBorders>
            <w:shd w:val="clear" w:color="auto" w:fill="DBE5F1"/>
          </w:tcPr>
          <w:p w:rsidR="007D4A93" w:rsidRPr="00654E3B" w:rsidRDefault="00EF0BEB">
            <w:pPr>
              <w:spacing w:line="240" w:lineRule="auto"/>
              <w:jc w:val="left"/>
              <w:rPr>
                <w:rFonts w:eastAsia="Times New Roman" w:cs="Times New Roman"/>
                <w:b/>
                <w:sz w:val="20"/>
                <w:lang w:eastAsia="hr-HR"/>
              </w:rPr>
            </w:pPr>
            <w:r w:rsidRPr="00654E3B">
              <w:rPr>
                <w:rFonts w:eastAsia="Times New Roman" w:cs="Times New Roman"/>
                <w:b/>
                <w:sz w:val="20"/>
                <w:lang w:eastAsia="hr-HR"/>
              </w:rPr>
              <w:t>Ukupna emisija (uključujući neto CO</w:t>
            </w:r>
            <w:r w:rsidRPr="00654E3B">
              <w:rPr>
                <w:rFonts w:eastAsia="Times New Roman" w:cs="Times New Roman"/>
                <w:b/>
                <w:sz w:val="20"/>
                <w:vertAlign w:val="subscript"/>
                <w:lang w:eastAsia="hr-HR"/>
              </w:rPr>
              <w:t>2</w:t>
            </w:r>
            <w:r w:rsidRPr="00654E3B">
              <w:rPr>
                <w:rFonts w:eastAsia="Times New Roman" w:cs="Times New Roman"/>
                <w:b/>
                <w:sz w:val="20"/>
                <w:lang w:eastAsia="hr-HR"/>
              </w:rPr>
              <w:t xml:space="preserve"> iz LULUCF)</w:t>
            </w:r>
          </w:p>
        </w:tc>
        <w:tc>
          <w:tcPr>
            <w:tcW w:w="576"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25.454,4</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18.758,5</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21.107,7</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19.003,2</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19.095,6</w:t>
            </w:r>
          </w:p>
        </w:tc>
        <w:tc>
          <w:tcPr>
            <w:tcW w:w="575" w:type="pct"/>
            <w:tcBorders>
              <w:right w:val="single" w:sz="4" w:space="0" w:color="4F81BD"/>
            </w:tcBorders>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20.542,5</w:t>
            </w:r>
          </w:p>
        </w:tc>
        <w:tc>
          <w:tcPr>
            <w:tcW w:w="579" w:type="pct"/>
            <w:tcBorders>
              <w:left w:val="single" w:sz="4" w:space="0" w:color="4F81BD"/>
            </w:tcBorders>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18.698,6</w:t>
            </w:r>
          </w:p>
        </w:tc>
      </w:tr>
      <w:tr w:rsidR="007D4A93" w:rsidRPr="00654E3B">
        <w:trPr>
          <w:cantSplit/>
          <w:trHeight w:val="312"/>
        </w:trPr>
        <w:tc>
          <w:tcPr>
            <w:tcW w:w="969" w:type="pct"/>
            <w:tcBorders>
              <w:left w:val="single" w:sz="6" w:space="0" w:color="4F81BD"/>
            </w:tcBorders>
            <w:shd w:val="clear" w:color="auto" w:fill="DBE5F1"/>
          </w:tcPr>
          <w:p w:rsidR="007D4A93" w:rsidRPr="00654E3B" w:rsidRDefault="00EF0BEB">
            <w:pPr>
              <w:spacing w:line="240" w:lineRule="auto"/>
              <w:jc w:val="left"/>
              <w:rPr>
                <w:rFonts w:eastAsia="Times New Roman" w:cs="Times New Roman"/>
                <w:b/>
                <w:sz w:val="20"/>
                <w:lang w:eastAsia="hr-HR"/>
              </w:rPr>
            </w:pPr>
            <w:r w:rsidRPr="00654E3B">
              <w:rPr>
                <w:rFonts w:eastAsia="Times New Roman" w:cs="Times New Roman"/>
                <w:b/>
                <w:sz w:val="20"/>
                <w:lang w:eastAsia="hr-HR"/>
              </w:rPr>
              <w:t>Ukupna emisija (isključujući neto CO</w:t>
            </w:r>
            <w:r w:rsidRPr="00654E3B">
              <w:rPr>
                <w:rFonts w:eastAsia="Times New Roman" w:cs="Times New Roman"/>
                <w:b/>
                <w:sz w:val="20"/>
                <w:vertAlign w:val="subscript"/>
                <w:lang w:eastAsia="hr-HR"/>
              </w:rPr>
              <w:t>2</w:t>
            </w:r>
            <w:r w:rsidRPr="00654E3B">
              <w:rPr>
                <w:rFonts w:eastAsia="Times New Roman" w:cs="Times New Roman"/>
                <w:b/>
                <w:sz w:val="20"/>
                <w:lang w:eastAsia="hr-HR"/>
              </w:rPr>
              <w:t xml:space="preserve"> iz LULUCF)</w:t>
            </w:r>
          </w:p>
        </w:tc>
        <w:tc>
          <w:tcPr>
            <w:tcW w:w="576"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31.875,82</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25.708,8</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28.033,7</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24.125,3</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24.275,3</w:t>
            </w:r>
          </w:p>
        </w:tc>
        <w:tc>
          <w:tcPr>
            <w:tcW w:w="575" w:type="pct"/>
            <w:tcBorders>
              <w:right w:val="single" w:sz="4" w:space="0" w:color="4F81BD"/>
            </w:tcBorders>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25.032,1</w:t>
            </w:r>
          </w:p>
        </w:tc>
        <w:tc>
          <w:tcPr>
            <w:tcW w:w="579" w:type="pct"/>
            <w:tcBorders>
              <w:left w:val="single" w:sz="4" w:space="0" w:color="4F81BD"/>
            </w:tcBorders>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23.792,8</w:t>
            </w:r>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Najveći doprinos emisiji stakleničkih plinova u 2018. godini, isključujući </w:t>
      </w:r>
      <w:r w:rsidR="00BF4CA8" w:rsidRPr="00654E3B">
        <w:rPr>
          <w:rFonts w:cs="Times New Roman"/>
        </w:rPr>
        <w:t>ponor</w:t>
      </w:r>
      <w:r w:rsidRPr="00654E3B">
        <w:rPr>
          <w:rFonts w:cs="Times New Roman"/>
        </w:rPr>
        <w:t>e, imao je sektor energetike s 69,3</w:t>
      </w:r>
      <w:r w:rsidR="00060992" w:rsidRPr="00654E3B">
        <w:rPr>
          <w:rFonts w:cs="Times New Roman"/>
        </w:rPr>
        <w:t xml:space="preserve"> %</w:t>
      </w:r>
      <w:r w:rsidRPr="00654E3B">
        <w:rPr>
          <w:rFonts w:cs="Times New Roman"/>
        </w:rPr>
        <w:t xml:space="preserve">, slijedi sektor </w:t>
      </w:r>
      <w:r w:rsidR="003A6B35" w:rsidRPr="00654E3B">
        <w:rPr>
          <w:rFonts w:cs="Times New Roman"/>
        </w:rPr>
        <w:t xml:space="preserve">poljoprivrede </w:t>
      </w:r>
      <w:r w:rsidRPr="00654E3B">
        <w:rPr>
          <w:rFonts w:cs="Times New Roman"/>
        </w:rPr>
        <w:t>s 11,2</w:t>
      </w:r>
      <w:r w:rsidR="00060992" w:rsidRPr="00654E3B">
        <w:rPr>
          <w:rFonts w:cs="Times New Roman"/>
        </w:rPr>
        <w:t xml:space="preserve"> %</w:t>
      </w:r>
      <w:r w:rsidRPr="00654E3B">
        <w:rPr>
          <w:rFonts w:cs="Times New Roman"/>
        </w:rPr>
        <w:t>, industrijski procesi i uporaba proizvoda s 10.9</w:t>
      </w:r>
      <w:r w:rsidR="00060992" w:rsidRPr="00654E3B">
        <w:rPr>
          <w:rFonts w:cs="Times New Roman"/>
        </w:rPr>
        <w:t xml:space="preserve"> %</w:t>
      </w:r>
      <w:r w:rsidRPr="00654E3B">
        <w:rPr>
          <w:rFonts w:cs="Times New Roman"/>
        </w:rPr>
        <w:t xml:space="preserve"> i sektor otpad s 8,6</w:t>
      </w:r>
      <w:r w:rsidR="00060992" w:rsidRPr="00654E3B">
        <w:rPr>
          <w:rFonts w:cs="Times New Roman"/>
        </w:rPr>
        <w:t xml:space="preserve"> %</w:t>
      </w:r>
      <w:r w:rsidRPr="00654E3B">
        <w:rPr>
          <w:rFonts w:cs="Times New Roman"/>
        </w:rPr>
        <w:t xml:space="preserve">. Ova struktura je, uz neznatne promjene, zadržana tijekom cijelog razdoblja 1990. - 2018. godine. U 2018. godini ukupna emisija stakleničkih plinova u Hrvatskoj je iznosila 23.792,8 kt CO2-eq isključujući </w:t>
      </w:r>
      <w:r w:rsidR="00BF4CA8" w:rsidRPr="00654E3B">
        <w:rPr>
          <w:rFonts w:cs="Times New Roman"/>
        </w:rPr>
        <w:t>ponor</w:t>
      </w:r>
      <w:r w:rsidRPr="00654E3B">
        <w:rPr>
          <w:rFonts w:cs="Times New Roman"/>
        </w:rPr>
        <w:t>e (LULUCF sektor), dok je ukupna emisija kada se uključi LULUCF sektor</w:t>
      </w:r>
      <w:r w:rsidR="003A6B35" w:rsidRPr="00654E3B">
        <w:rPr>
          <w:rFonts w:cs="Times New Roman"/>
        </w:rPr>
        <w:t>,</w:t>
      </w:r>
      <w:r w:rsidRPr="00654E3B">
        <w:rPr>
          <w:rFonts w:cs="Times New Roman"/>
        </w:rPr>
        <w:t xml:space="preserve"> iznosila 18.698,6 kt CO2-eq, što predstavlja </w:t>
      </w:r>
      <w:r w:rsidR="00BF4CA8" w:rsidRPr="00654E3B">
        <w:rPr>
          <w:rFonts w:cs="Times New Roman"/>
        </w:rPr>
        <w:t>ponor</w:t>
      </w:r>
      <w:r w:rsidRPr="00654E3B">
        <w:rPr>
          <w:rFonts w:cs="Times New Roman"/>
        </w:rPr>
        <w:t xml:space="preserve"> od 21,4</w:t>
      </w:r>
      <w:r w:rsidR="00060992" w:rsidRPr="00654E3B">
        <w:rPr>
          <w:rFonts w:cs="Times New Roman"/>
        </w:rPr>
        <w:t xml:space="preserve"> %</w:t>
      </w:r>
      <w:r w:rsidRPr="00654E3B">
        <w:rPr>
          <w:rFonts w:cs="Times New Roman"/>
        </w:rPr>
        <w:t xml:space="preserve"> u 2018. godini.</w:t>
      </w:r>
    </w:p>
    <w:p w:rsidR="007D4A93" w:rsidRPr="00654E3B" w:rsidRDefault="00EF0BEB">
      <w:pPr>
        <w:rPr>
          <w:rFonts w:cs="Times New Roman"/>
        </w:rPr>
      </w:pPr>
      <w:r w:rsidRPr="00654E3B">
        <w:rPr>
          <w:rFonts w:cs="Times New Roman"/>
        </w:rPr>
        <w:t>Opći pad gospodarskih aktivnosti i potrošnje energije u razdoblju od 1991. do 1994. godine u Republici Hrvatskoj, primarno zbog ratnih zbivanja, uzrokovao je pad ukupnih emisija stakleničkih plinova u tom razdoblju. Budući je čitavo nacionalno gospodarstvo tada bilo u procesu tranzicije, neke energetski intenzivne industrije smanjile su svoje aktivnosti ili su čak prekinule s proizvodnjom što se značajno odrazilo na smanjenje emisija stakleničkih plinova. Emisije su počele rasti 1995. godine, s prosječnom stopom od 3</w:t>
      </w:r>
      <w:r w:rsidR="00060992" w:rsidRPr="00654E3B">
        <w:rPr>
          <w:rFonts w:cs="Times New Roman"/>
        </w:rPr>
        <w:t xml:space="preserve"> %</w:t>
      </w:r>
      <w:r w:rsidRPr="00654E3B">
        <w:rPr>
          <w:rFonts w:cs="Times New Roman"/>
        </w:rPr>
        <w:t xml:space="preserve"> godišnje do 2008. godine. Zbog smanjenja gospodarske aktivnosti u razdoblju od 2008. godine</w:t>
      </w:r>
      <w:r w:rsidR="003A6B35" w:rsidRPr="00654E3B">
        <w:rPr>
          <w:rFonts w:cs="Times New Roman"/>
        </w:rPr>
        <w:t>,</w:t>
      </w:r>
      <w:r w:rsidRPr="00654E3B">
        <w:rPr>
          <w:rFonts w:cs="Times New Roman"/>
        </w:rPr>
        <w:t xml:space="preserve"> emisije stakleničkih plinova su se konstantno smanjivale do 2014. godine kada su počele sporo rasti. </w:t>
      </w:r>
    </w:p>
    <w:p w:rsidR="007D4A93" w:rsidRPr="00654E3B" w:rsidRDefault="00EF0BEB">
      <w:pPr>
        <w:rPr>
          <w:rFonts w:cs="Times New Roman"/>
        </w:rPr>
      </w:pPr>
      <w:r w:rsidRPr="00654E3B">
        <w:rPr>
          <w:rFonts w:cs="Times New Roman"/>
        </w:rPr>
        <w:t xml:space="preserve">Najveći razlog porastu emisija u razdoblju od 1995. do 2008. godine je sektor energetika (proizvodnja električne energije i topline, promet te potrošnja energije za grijanje i hlađenje zgrada), industrijski procesi i uporaba proizvoda (proizvodnja cementa, proizvodnja vapna, proizvodnja amonijaka, proizvodnja dušične kiseline, potrošnja halogeniranih ugljikovodika) te sektor otpad.  </w:t>
      </w:r>
    </w:p>
    <w:p w:rsidR="007D4A93" w:rsidRPr="00654E3B" w:rsidRDefault="00EF0BEB">
      <w:pPr>
        <w:rPr>
          <w:rFonts w:cs="Times New Roman"/>
        </w:rPr>
      </w:pPr>
      <w:r w:rsidRPr="00654E3B">
        <w:rPr>
          <w:rFonts w:cs="Times New Roman"/>
        </w:rPr>
        <w:t>Osnovni razlozi smanjenja emisija stakleničkih plinova u razdoblju od 2008. do 2016. godine su gospodarska kriza</w:t>
      </w:r>
      <w:r w:rsidR="003A6B35" w:rsidRPr="00654E3B">
        <w:rPr>
          <w:rFonts w:cs="Times New Roman"/>
        </w:rPr>
        <w:t>,</w:t>
      </w:r>
      <w:r w:rsidRPr="00654E3B">
        <w:rPr>
          <w:rFonts w:cs="Times New Roman"/>
        </w:rPr>
        <w:t xml:space="preserve"> kao i početak primjene mjera za smanjenje emisije CO</w:t>
      </w:r>
      <w:r w:rsidRPr="00654E3B">
        <w:rPr>
          <w:rFonts w:cs="Times New Roman"/>
          <w:vertAlign w:val="subscript"/>
        </w:rPr>
        <w:t>2</w:t>
      </w:r>
      <w:r w:rsidRPr="00654E3B">
        <w:rPr>
          <w:rFonts w:cs="Times New Roman"/>
        </w:rPr>
        <w:t xml:space="preserve"> prema Nacionalnom akcijskom planu energetske učinkovitosti za razdoblje od 2014. do 2016. godine. </w:t>
      </w:r>
    </w:p>
    <w:p w:rsidR="007D4A93" w:rsidRPr="00654E3B" w:rsidRDefault="00EF0BEB">
      <w:pPr>
        <w:rPr>
          <w:rFonts w:cs="Times New Roman"/>
        </w:rPr>
      </w:pPr>
      <w:r w:rsidRPr="00654E3B">
        <w:rPr>
          <w:rFonts w:cs="Times New Roman"/>
        </w:rPr>
        <w:t>Trend kretanja emisije pojedinih stakleničkih plinova prikazan je na slici 2-2.</w:t>
      </w:r>
    </w:p>
    <w:p w:rsidR="007D4A93" w:rsidRPr="00F01191" w:rsidRDefault="00EF0BEB">
      <w:pPr>
        <w:pStyle w:val="Slika"/>
        <w:spacing w:before="120"/>
        <w:jc w:val="center"/>
        <w:rPr>
          <w:rFonts w:ascii="Times New Roman" w:hAnsi="Times New Roman"/>
          <w:i/>
        </w:rPr>
      </w:pPr>
      <w:bookmarkStart w:id="146" w:name="_Toc33417096"/>
      <w:r w:rsidRPr="00F01191">
        <w:rPr>
          <w:rFonts w:ascii="Times New Roman" w:hAnsi="Times New Roman"/>
          <w:noProof/>
          <w:lang w:eastAsia="hr-HR"/>
        </w:rPr>
        <w:lastRenderedPageBreak/>
        <w:drawing>
          <wp:inline distT="0" distB="0" distL="0" distR="0" wp14:anchorId="75DB240B" wp14:editId="7302B015">
            <wp:extent cx="3761232" cy="2468880"/>
            <wp:effectExtent l="0" t="0" r="0" b="7620"/>
            <wp:docPr id="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jpg"/>
                    <pic:cNvPicPr>
                      <a:picLocks noChangeAspect="1"/>
                    </pic:cNvPicPr>
                  </pic:nvPicPr>
                  <pic:blipFill>
                    <a:blip r:embed="rId14"/>
                    <a:stretch/>
                  </pic:blipFill>
                  <pic:spPr bwMode="auto">
                    <a:xfrm>
                      <a:off x="0" y="0"/>
                      <a:ext cx="3761232" cy="2468880"/>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2-2: Trend emisija stakleničkih plinova po plinovima</w:t>
      </w:r>
      <w:bookmarkEnd w:id="146"/>
    </w:p>
    <w:p w:rsidR="007D4A93" w:rsidRPr="00654E3B" w:rsidRDefault="00EF0BEB">
      <w:pPr>
        <w:rPr>
          <w:rFonts w:cs="Times New Roman"/>
        </w:rPr>
      </w:pPr>
      <w:r w:rsidRPr="00654E3B">
        <w:rPr>
          <w:rFonts w:cs="Times New Roman"/>
        </w:rPr>
        <w:t>Najveći doprinos emisij</w:t>
      </w:r>
      <w:r w:rsidR="003A6B35" w:rsidRPr="00654E3B">
        <w:rPr>
          <w:rFonts w:cs="Times New Roman"/>
        </w:rPr>
        <w:t>ama</w:t>
      </w:r>
      <w:r w:rsidRPr="00654E3B">
        <w:rPr>
          <w:rFonts w:cs="Times New Roman"/>
        </w:rPr>
        <w:t xml:space="preserve"> stakleničkih plinova u 2018. godini, imala je emisija ugljikovog dioksida (CO</w:t>
      </w:r>
      <w:r w:rsidRPr="00654E3B">
        <w:rPr>
          <w:rFonts w:cs="Times New Roman"/>
          <w:vertAlign w:val="subscript"/>
        </w:rPr>
        <w:t>2</w:t>
      </w:r>
      <w:r w:rsidRPr="00654E3B">
        <w:rPr>
          <w:rFonts w:cs="Times New Roman"/>
        </w:rPr>
        <w:t>) sa 74,5</w:t>
      </w:r>
      <w:r w:rsidR="00060992" w:rsidRPr="00654E3B">
        <w:rPr>
          <w:rFonts w:cs="Times New Roman"/>
        </w:rPr>
        <w:t xml:space="preserve"> %</w:t>
      </w:r>
      <w:r w:rsidRPr="00654E3B">
        <w:rPr>
          <w:rFonts w:cs="Times New Roman"/>
        </w:rPr>
        <w:t>. Slijedi emisija metana (CH</w:t>
      </w:r>
      <w:r w:rsidRPr="00654E3B">
        <w:rPr>
          <w:rFonts w:cs="Times New Roman"/>
          <w:vertAlign w:val="subscript"/>
        </w:rPr>
        <w:t>4</w:t>
      </w:r>
      <w:r w:rsidRPr="00654E3B">
        <w:rPr>
          <w:rFonts w:cs="Times New Roman"/>
        </w:rPr>
        <w:t>) s</w:t>
      </w:r>
      <w:r w:rsidR="00CB4E40" w:rsidRPr="00654E3B">
        <w:rPr>
          <w:rFonts w:cs="Times New Roman"/>
        </w:rPr>
        <w:t>a</w:t>
      </w:r>
      <w:r w:rsidRPr="00654E3B">
        <w:rPr>
          <w:rFonts w:cs="Times New Roman"/>
        </w:rPr>
        <w:t xml:space="preserve"> 16,3</w:t>
      </w:r>
      <w:r w:rsidR="00060992" w:rsidRPr="00654E3B">
        <w:rPr>
          <w:rFonts w:cs="Times New Roman"/>
        </w:rPr>
        <w:t xml:space="preserve"> %</w:t>
      </w:r>
      <w:r w:rsidRPr="00654E3B">
        <w:rPr>
          <w:rFonts w:cs="Times New Roman"/>
        </w:rPr>
        <w:t>, didušikova oksida (N</w:t>
      </w:r>
      <w:r w:rsidRPr="00654E3B">
        <w:rPr>
          <w:rFonts w:cs="Times New Roman"/>
          <w:vertAlign w:val="subscript"/>
        </w:rPr>
        <w:t>2</w:t>
      </w:r>
      <w:r w:rsidRPr="00654E3B">
        <w:rPr>
          <w:rFonts w:cs="Times New Roman"/>
        </w:rPr>
        <w:t>O) s</w:t>
      </w:r>
      <w:r w:rsidR="00CB4E40" w:rsidRPr="00654E3B">
        <w:rPr>
          <w:rFonts w:cs="Times New Roman"/>
        </w:rPr>
        <w:t>a</w:t>
      </w:r>
      <w:r w:rsidRPr="00654E3B">
        <w:rPr>
          <w:rFonts w:cs="Times New Roman"/>
        </w:rPr>
        <w:t xml:space="preserve"> 7,1</w:t>
      </w:r>
      <w:r w:rsidR="00060992" w:rsidRPr="00654E3B">
        <w:rPr>
          <w:rFonts w:cs="Times New Roman"/>
        </w:rPr>
        <w:t xml:space="preserve"> %</w:t>
      </w:r>
      <w:r w:rsidRPr="00654E3B">
        <w:rPr>
          <w:rFonts w:cs="Times New Roman"/>
        </w:rPr>
        <w:t xml:space="preserve"> te emisija fluoriranih ugljikovodika s 2,1</w:t>
      </w:r>
      <w:r w:rsidR="00060992" w:rsidRPr="00654E3B">
        <w:rPr>
          <w:rFonts w:cs="Times New Roman"/>
        </w:rPr>
        <w:t xml:space="preserve"> %</w:t>
      </w:r>
      <w:r w:rsidRPr="00654E3B">
        <w:rPr>
          <w:rFonts w:cs="Times New Roman"/>
        </w:rPr>
        <w:t>. Opisana struktura prisutna je, tijekom cijelog razdoblja od 1990. godine.</w:t>
      </w:r>
    </w:p>
    <w:p w:rsidR="007D4A93" w:rsidRPr="00654E3B" w:rsidRDefault="00EF0BEB" w:rsidP="009F6651">
      <w:pPr>
        <w:pStyle w:val="Heading3"/>
      </w:pPr>
      <w:bookmarkStart w:id="147" w:name="_Toc69297731"/>
      <w:r w:rsidRPr="00654E3B">
        <w:t>2.3.2.</w:t>
      </w:r>
      <w:r w:rsidRPr="00654E3B">
        <w:tab/>
        <w:t>Trend emisija s obzirom na sustav trgovanja emisijskim jedinicama (ETS)</w:t>
      </w:r>
      <w:bookmarkEnd w:id="147"/>
    </w:p>
    <w:p w:rsidR="007D4A93" w:rsidRPr="00654E3B" w:rsidRDefault="007D4A93">
      <w:pPr>
        <w:rPr>
          <w:rFonts w:cs="Times New Roman"/>
        </w:rPr>
      </w:pPr>
    </w:p>
    <w:p w:rsidR="007D4A93" w:rsidRPr="00654E3B" w:rsidRDefault="00EF0BEB">
      <w:pPr>
        <w:rPr>
          <w:rFonts w:cs="Times New Roman"/>
          <w:szCs w:val="24"/>
        </w:rPr>
      </w:pPr>
      <w:r w:rsidRPr="00654E3B">
        <w:rPr>
          <w:rFonts w:cs="Times New Roman"/>
        </w:rPr>
        <w:t>Republika Hrvatska postala je obveznica</w:t>
      </w:r>
      <w:r w:rsidR="00CB4E40" w:rsidRPr="00654E3B">
        <w:rPr>
          <w:rFonts w:cs="Times New Roman"/>
        </w:rPr>
        <w:t xml:space="preserve"> EU</w:t>
      </w:r>
      <w:r w:rsidRPr="00654E3B">
        <w:rPr>
          <w:rFonts w:cs="Times New Roman"/>
        </w:rPr>
        <w:t xml:space="preserve"> ETS sustava od 1. siječnja 2013. godine. </w:t>
      </w:r>
      <w:r w:rsidRPr="00654E3B">
        <w:rPr>
          <w:rFonts w:cs="Times New Roman"/>
          <w:szCs w:val="24"/>
        </w:rPr>
        <w:t xml:space="preserve">Obveznici sustava trgovanja emisijskim jedinicama stakleničkih plinova uključeni su tada u jedinstveni plan raspodjele emisijskih jedinica i obvezu kupovanja cjelokupnog ili djelomičnog iznosa emisijskih jedinica po modelu dražbe. </w:t>
      </w:r>
    </w:p>
    <w:p w:rsidR="007D4A93" w:rsidRPr="00654E3B" w:rsidRDefault="00EF0BEB">
      <w:pPr>
        <w:rPr>
          <w:rFonts w:cs="Times New Roman"/>
        </w:rPr>
      </w:pPr>
      <w:r w:rsidRPr="00654E3B">
        <w:rPr>
          <w:rFonts w:cs="Times New Roman"/>
        </w:rPr>
        <w:t xml:space="preserve">U Republici Hrvatskoj zastupljene su sljedeće djelatnosti EU ETS-a: izgaranje goriva, rafiniranje mineralnog ulja, proizvodnja sirovog željeza ili čelika, proizvodnja cementnog klinkera, proizvodnja vapna, proizvodnja stakla, proizvodnja keramičkih proizvoda, proizvodnja izolacijskih materijala od mineralne vune, proizvodnja papira i kartona, proizvodnja čađe, proizvodnja dušične kiseline, proizvodnja amonijaka i zrakoplovna djelatnost. Skoro polovica broja postrojenja uključena je u sustav na temelju djelatnosti izgaranja goriva. Ostala postrojenja su uključena prvenstveno na temelju njihove proizvodne djelatnosti, međutim i ona koriste gorivo za izgaranje. </w:t>
      </w:r>
    </w:p>
    <w:p w:rsidR="007D4A93" w:rsidRPr="00654E3B" w:rsidRDefault="00EF0BEB">
      <w:pPr>
        <w:keepNext/>
        <w:rPr>
          <w:rFonts w:cs="Times New Roman"/>
        </w:rPr>
      </w:pPr>
      <w:r w:rsidRPr="00654E3B">
        <w:rPr>
          <w:rFonts w:cs="Times New Roman"/>
        </w:rPr>
        <w:lastRenderedPageBreak/>
        <w:t xml:space="preserve">Na slici 2-3 prikazana je ukupna emisija stakleničkih plinova podijeljena na ETS te sektore izvan ETS-a. </w:t>
      </w:r>
    </w:p>
    <w:p w:rsidR="007D4A93" w:rsidRPr="00F01191" w:rsidRDefault="00EF0BEB">
      <w:pPr>
        <w:pStyle w:val="Slika"/>
        <w:spacing w:before="120"/>
        <w:jc w:val="center"/>
        <w:rPr>
          <w:rFonts w:ascii="Times New Roman" w:hAnsi="Times New Roman"/>
        </w:rPr>
      </w:pPr>
      <w:bookmarkStart w:id="148" w:name="_Toc484158366"/>
      <w:bookmarkStart w:id="149" w:name="_Toc436823623"/>
      <w:bookmarkStart w:id="150" w:name="_Toc33417097"/>
      <w:r w:rsidRPr="00F01191">
        <w:rPr>
          <w:rFonts w:ascii="Times New Roman" w:hAnsi="Times New Roman"/>
          <w:noProof/>
          <w:lang w:eastAsia="hr-HR"/>
        </w:rPr>
        <w:drawing>
          <wp:inline distT="0" distB="0" distL="0" distR="0" wp14:anchorId="4929F9A8" wp14:editId="6A5B8EC0">
            <wp:extent cx="3858768" cy="2401824"/>
            <wp:effectExtent l="0" t="0" r="8890" b="0"/>
            <wp:docPr id="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jpg"/>
                    <pic:cNvPicPr>
                      <a:picLocks noChangeAspect="1"/>
                    </pic:cNvPicPr>
                  </pic:nvPicPr>
                  <pic:blipFill>
                    <a:blip r:embed="rId15"/>
                    <a:stretch/>
                  </pic:blipFill>
                  <pic:spPr bwMode="auto">
                    <a:xfrm>
                      <a:off x="0" y="0"/>
                      <a:ext cx="3858768" cy="2401824"/>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2-3: Ukupna emisija stakleničkih plinova u ETS-u i sektorima izvan ETS-a</w:t>
      </w:r>
      <w:bookmarkEnd w:id="148"/>
      <w:bookmarkEnd w:id="149"/>
      <w:bookmarkEnd w:id="150"/>
    </w:p>
    <w:p w:rsidR="007D4A93" w:rsidRPr="00654E3B" w:rsidRDefault="00EF0BEB">
      <w:pPr>
        <w:rPr>
          <w:rFonts w:cs="Times New Roman"/>
        </w:rPr>
      </w:pPr>
      <w:r w:rsidRPr="00654E3B">
        <w:rPr>
          <w:rFonts w:cs="Times New Roman"/>
        </w:rPr>
        <w:t>Staklenički plinovi obuhvaćeni EU ETS-om koji su zastupljeni u Republici Hrvatskoj su CO</w:t>
      </w:r>
      <w:r w:rsidRPr="00654E3B">
        <w:rPr>
          <w:rFonts w:cs="Times New Roman"/>
          <w:vertAlign w:val="subscript"/>
        </w:rPr>
        <w:t>2</w:t>
      </w:r>
      <w:r w:rsidRPr="00654E3B">
        <w:rPr>
          <w:rFonts w:cs="Times New Roman"/>
        </w:rPr>
        <w:t xml:space="preserve"> i N</w:t>
      </w:r>
      <w:r w:rsidRPr="00654E3B">
        <w:rPr>
          <w:rFonts w:cs="Times New Roman"/>
          <w:vertAlign w:val="subscript"/>
        </w:rPr>
        <w:t>2</w:t>
      </w:r>
      <w:r w:rsidRPr="00654E3B">
        <w:rPr>
          <w:rFonts w:cs="Times New Roman"/>
        </w:rPr>
        <w:t>O, od kojih ovaj drugi nastaje samo kao rezultat proizvodnje dušične kiseline. U Republici Hrvatskoj je 2018</w:t>
      </w:r>
      <w:r w:rsidRPr="00F01191">
        <w:rPr>
          <w:rStyle w:val="FootnoteReference"/>
          <w:rFonts w:ascii="Times New Roman" w:hAnsi="Times New Roman" w:cs="Times New Roman"/>
        </w:rPr>
        <w:footnoteReference w:id="3"/>
      </w:r>
      <w:r w:rsidRPr="00F01191">
        <w:rPr>
          <w:rFonts w:cs="Times New Roman"/>
        </w:rPr>
        <w:t>. godine u radu bilo 5</w:t>
      </w:r>
      <w:r w:rsidR="00FB45C0" w:rsidRPr="00654E3B">
        <w:rPr>
          <w:rFonts w:cs="Times New Roman"/>
        </w:rPr>
        <w:t>3</w:t>
      </w:r>
      <w:r w:rsidRPr="00654E3B">
        <w:rPr>
          <w:rFonts w:cs="Times New Roman"/>
        </w:rPr>
        <w:t xml:space="preserve"> postrojenja uključenih u EU ETS i jedan operator zrakoplova, koji su odgovorni za 31,3</w:t>
      </w:r>
      <w:r w:rsidR="00060992" w:rsidRPr="00654E3B">
        <w:rPr>
          <w:rFonts w:cs="Times New Roman"/>
        </w:rPr>
        <w:t xml:space="preserve"> %</w:t>
      </w:r>
      <w:r w:rsidRPr="00654E3B">
        <w:rPr>
          <w:rFonts w:cs="Times New Roman"/>
        </w:rPr>
        <w:t xml:space="preserve"> ukupne emisije stakleničkih plinova Hrvatske.</w:t>
      </w:r>
    </w:p>
    <w:p w:rsidR="007D4A93" w:rsidRPr="00654E3B" w:rsidRDefault="00EF0BEB" w:rsidP="009F6651">
      <w:pPr>
        <w:pStyle w:val="Heading3"/>
      </w:pPr>
      <w:bookmarkStart w:id="151" w:name="_Toc476226498"/>
      <w:bookmarkStart w:id="152" w:name="_Toc475716124"/>
      <w:bookmarkStart w:id="153" w:name="_Toc475714711"/>
      <w:bookmarkStart w:id="154" w:name="_Toc436823695"/>
      <w:bookmarkStart w:id="155" w:name="_Toc477868465"/>
      <w:bookmarkStart w:id="156" w:name="_Toc478995863"/>
      <w:bookmarkStart w:id="157" w:name="_Toc484158967"/>
      <w:bookmarkStart w:id="158" w:name="_Toc69297732"/>
      <w:r w:rsidRPr="00654E3B">
        <w:t>2.3.3. Odvajanje trenda gospodarskog rasta od emisije stakleničkih plinova</w:t>
      </w:r>
      <w:bookmarkEnd w:id="151"/>
      <w:bookmarkEnd w:id="152"/>
      <w:bookmarkEnd w:id="153"/>
      <w:bookmarkEnd w:id="154"/>
      <w:bookmarkEnd w:id="155"/>
      <w:bookmarkEnd w:id="156"/>
      <w:bookmarkEnd w:id="157"/>
      <w:bookmarkEnd w:id="158"/>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Temeljni cilj Niskougljične strategije je odvajanje trenda gospodarskog rasta od emisija stakleničkih plinova. Na slici 2-4 je prikazan porast BDP-a, krivulja emisije stakleničkih plinova te krivulja intenziteta emisije stakleničkih plinova kao postotak vrijednosti iz 1995. godine. </w:t>
      </w:r>
    </w:p>
    <w:p w:rsidR="007D4A93" w:rsidRPr="00654E3B" w:rsidRDefault="007D4A93">
      <w:pPr>
        <w:spacing w:line="240" w:lineRule="auto"/>
        <w:jc w:val="center"/>
        <w:rPr>
          <w:rFonts w:cs="Times New Roman"/>
        </w:rPr>
      </w:pPr>
    </w:p>
    <w:p w:rsidR="007D4A93" w:rsidRPr="00F01191" w:rsidRDefault="00EF0BEB">
      <w:pPr>
        <w:pStyle w:val="Slika"/>
        <w:spacing w:before="120"/>
        <w:jc w:val="center"/>
        <w:rPr>
          <w:rFonts w:ascii="Times New Roman" w:hAnsi="Times New Roman"/>
        </w:rPr>
      </w:pPr>
      <w:bookmarkStart w:id="159" w:name="_Toc33417098"/>
      <w:r w:rsidRPr="00F01191">
        <w:rPr>
          <w:rFonts w:ascii="Times New Roman" w:hAnsi="Times New Roman"/>
          <w:noProof/>
          <w:lang w:eastAsia="hr-HR"/>
        </w:rPr>
        <w:drawing>
          <wp:inline distT="0" distB="0" distL="0" distR="0" wp14:anchorId="55804B18" wp14:editId="35CDAE69">
            <wp:extent cx="4456176" cy="2078736"/>
            <wp:effectExtent l="0" t="0" r="1905" b="0"/>
            <wp:docPr id="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jpg"/>
                    <pic:cNvPicPr>
                      <a:picLocks noChangeAspect="1"/>
                    </pic:cNvPicPr>
                  </pic:nvPicPr>
                  <pic:blipFill>
                    <a:blip r:embed="rId16"/>
                    <a:stretch/>
                  </pic:blipFill>
                  <pic:spPr bwMode="auto">
                    <a:xfrm>
                      <a:off x="0" y="0"/>
                      <a:ext cx="4456176" cy="2078736"/>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2-4: Trend BDP-a, emisija stakleničkih plinova i krivulja intenziteta emisije stakleničkih plinova</w:t>
      </w:r>
      <w:bookmarkEnd w:id="159"/>
      <w:r w:rsidRPr="00654E3B">
        <w:rPr>
          <w:rFonts w:ascii="Times New Roman" w:hAnsi="Times New Roman"/>
          <w:i/>
        </w:rPr>
        <w:t xml:space="preserve"> </w:t>
      </w:r>
    </w:p>
    <w:p w:rsidR="007D4A93" w:rsidRPr="00654E3B" w:rsidRDefault="00EF0BEB">
      <w:pPr>
        <w:rPr>
          <w:rFonts w:cs="Times New Roman"/>
        </w:rPr>
      </w:pPr>
      <w:r w:rsidRPr="00654E3B">
        <w:rPr>
          <w:rFonts w:cs="Times New Roman"/>
        </w:rPr>
        <w:lastRenderedPageBreak/>
        <w:t>Vidi se početak razdvajanja gospodarskog razvoja od emisija stakleničkih plinova od 2003. godine. Intenzitet emisije po BDP-u se smanjio za 34</w:t>
      </w:r>
      <w:r w:rsidR="00060992" w:rsidRPr="00654E3B">
        <w:rPr>
          <w:rFonts w:cs="Times New Roman"/>
        </w:rPr>
        <w:t xml:space="preserve"> %</w:t>
      </w:r>
      <w:r w:rsidRPr="00654E3B">
        <w:rPr>
          <w:rFonts w:cs="Times New Roman"/>
        </w:rPr>
        <w:t xml:space="preserve"> u razdoblju od 2004. do 2018. godine, odnosno za oko 2,5</w:t>
      </w:r>
      <w:r w:rsidR="00060992" w:rsidRPr="00654E3B">
        <w:rPr>
          <w:rFonts w:cs="Times New Roman"/>
        </w:rPr>
        <w:t xml:space="preserve"> %</w:t>
      </w:r>
      <w:r w:rsidRPr="00654E3B">
        <w:rPr>
          <w:rFonts w:cs="Times New Roman"/>
        </w:rPr>
        <w:t xml:space="preserve"> godišnje. Pritom je visina BDP-a u 2018.</w:t>
      </w:r>
      <w:r w:rsidR="00777EC2" w:rsidRPr="00654E3B">
        <w:rPr>
          <w:rFonts w:cs="Times New Roman"/>
        </w:rPr>
        <w:t xml:space="preserve"> godini, </w:t>
      </w:r>
      <w:r w:rsidRPr="00654E3B">
        <w:rPr>
          <w:rFonts w:cs="Times New Roman"/>
        </w:rPr>
        <w:t>bila 22</w:t>
      </w:r>
      <w:r w:rsidR="00060992" w:rsidRPr="00654E3B">
        <w:rPr>
          <w:rFonts w:cs="Times New Roman"/>
        </w:rPr>
        <w:t xml:space="preserve"> %</w:t>
      </w:r>
      <w:r w:rsidRPr="00654E3B">
        <w:rPr>
          <w:rFonts w:cs="Times New Roman"/>
        </w:rPr>
        <w:t xml:space="preserve"> iznad one u 2004. godini, a emisije su smanjenje za 19,6</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 xml:space="preserve">Međutim, ostvareno razdvajanje samo je relativno jer je do smanjenja emisija došlo uz pad BDP-a. Kroz niskougljični razvoj očekuje se da će doći do razdvajanja BDP-a i emisija, odnosno da će doći do rasta BDP-a, a </w:t>
      </w:r>
      <w:r w:rsidR="00777EC2" w:rsidRPr="00654E3B">
        <w:rPr>
          <w:rFonts w:cs="Times New Roman"/>
        </w:rPr>
        <w:t xml:space="preserve">smanjivanja </w:t>
      </w:r>
      <w:r w:rsidRPr="00654E3B">
        <w:rPr>
          <w:rFonts w:cs="Times New Roman"/>
        </w:rPr>
        <w:t>emisija stakleničkih plinova.</w:t>
      </w:r>
    </w:p>
    <w:p w:rsidR="007D4A93" w:rsidRPr="00654E3B" w:rsidRDefault="00EF0BEB">
      <w:pPr>
        <w:pStyle w:val="Heading1"/>
        <w:rPr>
          <w:rFonts w:ascii="Times New Roman" w:hAnsi="Times New Roman" w:cs="Times New Roman"/>
        </w:rPr>
      </w:pPr>
      <w:bookmarkStart w:id="160" w:name="_Toc69297733"/>
      <w:bookmarkStart w:id="161" w:name="_Toc20841296"/>
      <w:bookmarkStart w:id="162" w:name="_Toc20841402"/>
      <w:r w:rsidRPr="00654E3B">
        <w:rPr>
          <w:rFonts w:ascii="Times New Roman" w:hAnsi="Times New Roman" w:cs="Times New Roman"/>
        </w:rPr>
        <w:t xml:space="preserve">3. </w:t>
      </w:r>
      <w:r w:rsidRPr="00654E3B">
        <w:rPr>
          <w:rFonts w:ascii="Times New Roman" w:hAnsi="Times New Roman" w:cs="Times New Roman"/>
        </w:rPr>
        <w:tab/>
        <w:t>UKUPNO SMANJENJE EMISIJA STAKLENIČKIH PLINOVA</w:t>
      </w:r>
      <w:bookmarkEnd w:id="160"/>
      <w:r w:rsidRPr="00654E3B">
        <w:rPr>
          <w:rFonts w:ascii="Times New Roman" w:hAnsi="Times New Roman" w:cs="Times New Roman"/>
        </w:rPr>
        <w:t xml:space="preserve"> </w:t>
      </w:r>
      <w:bookmarkEnd w:id="161"/>
      <w:bookmarkEnd w:id="162"/>
    </w:p>
    <w:p w:rsidR="007D4A93" w:rsidRPr="00654E3B" w:rsidRDefault="00EF0BEB">
      <w:pPr>
        <w:pStyle w:val="Heading2"/>
        <w:rPr>
          <w:rFonts w:ascii="Times New Roman" w:hAnsi="Times New Roman" w:cs="Times New Roman"/>
        </w:rPr>
      </w:pPr>
      <w:bookmarkStart w:id="163" w:name="_Toc69297734"/>
      <w:r w:rsidRPr="00654E3B">
        <w:rPr>
          <w:rFonts w:ascii="Times New Roman" w:hAnsi="Times New Roman" w:cs="Times New Roman"/>
        </w:rPr>
        <w:t>3.1.</w:t>
      </w:r>
      <w:r w:rsidRPr="00654E3B">
        <w:rPr>
          <w:rFonts w:ascii="Times New Roman" w:hAnsi="Times New Roman" w:cs="Times New Roman"/>
        </w:rPr>
        <w:tab/>
        <w:t>PREDVIĐENA SMANJENJA EMISIJA DO 2050. GODINE</w:t>
      </w:r>
      <w:bookmarkEnd w:id="163"/>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Ukupno smanjenje emisija stakleničkih plinova prema scenarijima NUR, NU1 i NU2 prikazano je u tablici 3-1 i na slici 3-1, a usporedba je napravljena s 1990. godinom. </w:t>
      </w:r>
    </w:p>
    <w:p w:rsidR="007D4A93" w:rsidRPr="00654E3B" w:rsidRDefault="00EF0BEB">
      <w:pPr>
        <w:rPr>
          <w:rFonts w:cs="Times New Roman"/>
        </w:rPr>
      </w:pPr>
      <w:r w:rsidRPr="00654E3B">
        <w:rPr>
          <w:rFonts w:cs="Times New Roman"/>
        </w:rPr>
        <w:t>Ukupno smanjenje emisije prema scenariju NUR, NU1 i NU2, s obzirom na ETS i sektore izvan ETS-a, prikazano je u tablici 3-2, a usporedba je napravljena s 2005. godinom.</w:t>
      </w:r>
    </w:p>
    <w:p w:rsidR="007D4A93" w:rsidRPr="00654E3B" w:rsidRDefault="00EF0BEB">
      <w:pPr>
        <w:rPr>
          <w:rFonts w:cs="Times New Roman"/>
        </w:rPr>
      </w:pPr>
      <w:r w:rsidRPr="00654E3B">
        <w:rPr>
          <w:rFonts w:cs="Times New Roman"/>
        </w:rPr>
        <w:t>Pokazatelji obnovljivih izvora energije i energetske učinkovitosti u scenarijima NUR, NU1 i NU2 prikazani su u tablici 3-3.</w:t>
      </w:r>
    </w:p>
    <w:p w:rsidR="007D4A93" w:rsidRPr="00654E3B" w:rsidRDefault="00EF0BEB">
      <w:pPr>
        <w:pStyle w:val="Tablicanaslov"/>
        <w:spacing w:after="120"/>
        <w:rPr>
          <w:rFonts w:cs="Times New Roman"/>
          <w:i/>
          <w:sz w:val="22"/>
          <w:szCs w:val="22"/>
        </w:rPr>
      </w:pPr>
      <w:bookmarkStart w:id="164" w:name="_Toc434994798"/>
      <w:bookmarkStart w:id="165" w:name="_Toc484158410"/>
      <w:bookmarkStart w:id="166" w:name="_Toc33417110"/>
      <w:r w:rsidRPr="00654E3B">
        <w:rPr>
          <w:rFonts w:cs="Times New Roman"/>
          <w:i/>
          <w:sz w:val="22"/>
          <w:szCs w:val="22"/>
        </w:rPr>
        <w:t xml:space="preserve">Tablica 3-1: Projekcije smanjenja emisija </w:t>
      </w:r>
      <w:bookmarkEnd w:id="164"/>
      <w:r w:rsidRPr="00654E3B">
        <w:rPr>
          <w:rFonts w:cs="Times New Roman"/>
          <w:i/>
          <w:sz w:val="22"/>
          <w:szCs w:val="22"/>
        </w:rPr>
        <w:t>u niskougljičnim scenarijima</w:t>
      </w:r>
      <w:bookmarkEnd w:id="165"/>
      <w:bookmarkEnd w:id="166"/>
    </w:p>
    <w:tbl>
      <w:tblPr>
        <w:tblW w:w="9109" w:type="dxa"/>
        <w:tblLook w:val="04A0" w:firstRow="1" w:lastRow="0" w:firstColumn="1" w:lastColumn="0" w:noHBand="0" w:noVBand="1"/>
      </w:tblPr>
      <w:tblGrid>
        <w:gridCol w:w="1716"/>
        <w:gridCol w:w="1139"/>
        <w:gridCol w:w="639"/>
        <w:gridCol w:w="1396"/>
        <w:gridCol w:w="639"/>
        <w:gridCol w:w="1418"/>
        <w:gridCol w:w="639"/>
        <w:gridCol w:w="1523"/>
      </w:tblGrid>
      <w:tr w:rsidR="007D4A93" w:rsidRPr="00654E3B">
        <w:trPr>
          <w:trHeight w:val="308"/>
        </w:trPr>
        <w:tc>
          <w:tcPr>
            <w:tcW w:w="1716" w:type="dxa"/>
            <w:vMerge w:val="restart"/>
            <w:tcBorders>
              <w:top w:val="single" w:sz="4" w:space="0" w:color="auto"/>
              <w:left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Emisije u odnosu na emisije u 1990. godini (</w:t>
            </w:r>
            <w:r w:rsidR="00060992" w:rsidRPr="00654E3B">
              <w:rPr>
                <w:rFonts w:cs="Times New Roman"/>
                <w:b/>
                <w:sz w:val="20"/>
                <w:lang w:eastAsia="hr-HR"/>
              </w:rPr>
              <w:t xml:space="preserve"> %</w:t>
            </w:r>
            <w:r w:rsidRPr="00654E3B">
              <w:rPr>
                <w:rFonts w:cs="Times New Roman"/>
                <w:b/>
                <w:sz w:val="20"/>
                <w:lang w:eastAsia="hr-HR"/>
              </w:rPr>
              <w:t>)</w:t>
            </w:r>
          </w:p>
        </w:tc>
        <w:tc>
          <w:tcPr>
            <w:tcW w:w="1139" w:type="dxa"/>
            <w:tcBorders>
              <w:top w:val="single" w:sz="4" w:space="0" w:color="auto"/>
              <w:left w:val="none" w:sz="4" w:space="0" w:color="000000"/>
              <w:bottom w:val="single" w:sz="4" w:space="0" w:color="auto"/>
              <w:right w:val="single" w:sz="4" w:space="0" w:color="auto"/>
            </w:tcBorders>
            <w:shd w:val="clear" w:color="auto" w:fill="F2F2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2016.</w:t>
            </w:r>
          </w:p>
        </w:tc>
        <w:tc>
          <w:tcPr>
            <w:tcW w:w="2035" w:type="dxa"/>
            <w:gridSpan w:val="2"/>
            <w:tcBorders>
              <w:top w:val="single" w:sz="4" w:space="0" w:color="auto"/>
              <w:left w:val="none" w:sz="4" w:space="0" w:color="000000"/>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2030.</w:t>
            </w:r>
          </w:p>
        </w:tc>
        <w:tc>
          <w:tcPr>
            <w:tcW w:w="205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2040.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2050.</w:t>
            </w:r>
          </w:p>
        </w:tc>
      </w:tr>
      <w:tr w:rsidR="007D4A93" w:rsidRPr="00654E3B">
        <w:trPr>
          <w:trHeight w:val="308"/>
        </w:trPr>
        <w:tc>
          <w:tcPr>
            <w:tcW w:w="1716" w:type="dxa"/>
            <w:vMerge/>
            <w:tcBorders>
              <w:left w:val="single" w:sz="4" w:space="0" w:color="auto"/>
              <w:bottom w:val="single" w:sz="4" w:space="0" w:color="auto"/>
              <w:right w:val="single" w:sz="4" w:space="0" w:color="auto"/>
            </w:tcBorders>
            <w:shd w:val="clear" w:color="auto" w:fill="F2F2F2"/>
            <w:noWrap/>
            <w:vAlign w:val="center"/>
          </w:tcPr>
          <w:p w:rsidR="007D4A93" w:rsidRPr="00654E3B" w:rsidRDefault="007D4A93">
            <w:pPr>
              <w:jc w:val="left"/>
              <w:rPr>
                <w:rFonts w:cs="Times New Roman"/>
                <w:sz w:val="20"/>
                <w:lang w:eastAsia="hr-HR"/>
              </w:rPr>
            </w:pPr>
          </w:p>
        </w:tc>
        <w:tc>
          <w:tcPr>
            <w:tcW w:w="1139" w:type="dxa"/>
            <w:tcBorders>
              <w:top w:val="none" w:sz="4" w:space="0" w:color="000000"/>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sz w:val="20"/>
                <w:lang w:eastAsia="hr-HR"/>
              </w:rPr>
            </w:pPr>
            <w:r w:rsidRPr="00654E3B">
              <w:rPr>
                <w:rFonts w:cs="Times New Roman"/>
                <w:sz w:val="20"/>
                <w:lang w:eastAsia="hr-HR"/>
              </w:rPr>
              <w:t>Ostvareno</w:t>
            </w:r>
          </w:p>
        </w:tc>
        <w:tc>
          <w:tcPr>
            <w:tcW w:w="639"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Proizvodnja električne energije i topline</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-9,9</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-42,8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-49,7 do -53,3</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-65,6 do -79,3</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-56,7</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-61,0 do -93,3</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Proizvodnja i prerada goriva</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-55,7</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-55,4</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-55,8 do -56,0</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-61,5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-62,8 do -63,7</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-72,9</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-74,7 do -75,9</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Promet</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59,1</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63,8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51,4 do 44,0</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20,7 do 16,8</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-1,4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-28,3 do -55,4</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 xml:space="preserve">Sektor opće potrošnje </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-22,3</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-22,5</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-30,2 do -34,0</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-40,2 do -53,3</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-33,2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-55,3 do -73,8</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Industrija</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-53,9</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-51,9</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-54,1 do -57,5</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-58,6 do -64,1</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-56,6</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-64,4 do -83,0</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Poljoprivreda</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-36,0</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-40,8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-44,5 do -46,3</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-48,1 do -51,5</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-43,8</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-50,9 do -55,8</w:t>
            </w:r>
          </w:p>
        </w:tc>
      </w:tr>
      <w:tr w:rsidR="007D4A93" w:rsidRPr="00654E3B">
        <w:trPr>
          <w:trHeight w:val="323"/>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Otpad</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100,5</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35,0</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35,0</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-7,6</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-29,4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-29,4</w:t>
            </w:r>
          </w:p>
        </w:tc>
      </w:tr>
      <w:tr w:rsidR="007D4A93" w:rsidRPr="00654E3B">
        <w:trPr>
          <w:trHeight w:val="323"/>
        </w:trPr>
        <w:tc>
          <w:tcPr>
            <w:tcW w:w="171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Ukupno projekcije</w:t>
            </w:r>
          </w:p>
        </w:tc>
        <w:tc>
          <w:tcPr>
            <w:tcW w:w="1139" w:type="dxa"/>
            <w:tcBorders>
              <w:top w:val="single" w:sz="4" w:space="0" w:color="auto"/>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-23,5</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-28,9</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-33,5 do -36,7</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-44,8 do -50,9</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-46,3</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-56,8 do -73,1</w:t>
            </w:r>
          </w:p>
        </w:tc>
      </w:tr>
    </w:tbl>
    <w:p w:rsidR="007D4A93" w:rsidRPr="00654E3B" w:rsidRDefault="00EF0BEB">
      <w:pPr>
        <w:spacing w:line="240" w:lineRule="auto"/>
        <w:jc w:val="center"/>
        <w:rPr>
          <w:rFonts w:cs="Times New Roman"/>
          <w:lang w:eastAsia="hr-HR"/>
        </w:rPr>
      </w:pPr>
      <w:r w:rsidRPr="00654E3B">
        <w:rPr>
          <w:rFonts w:cs="Times New Roman"/>
          <w:lang w:eastAsia="hr-HR"/>
        </w:rPr>
        <w:t xml:space="preserve">  </w:t>
      </w:r>
    </w:p>
    <w:p w:rsidR="007D4A93" w:rsidRPr="00F01191" w:rsidRDefault="00EF0BEB">
      <w:pPr>
        <w:spacing w:line="240" w:lineRule="auto"/>
        <w:jc w:val="center"/>
        <w:rPr>
          <w:rFonts w:cs="Times New Roman"/>
          <w:lang w:eastAsia="hr-HR"/>
        </w:rPr>
      </w:pPr>
      <w:r w:rsidRPr="00F01191">
        <w:rPr>
          <w:rFonts w:cs="Times New Roman"/>
          <w:noProof/>
          <w:lang w:eastAsia="hr-HR"/>
        </w:rPr>
        <w:lastRenderedPageBreak/>
        <w:drawing>
          <wp:inline distT="0" distB="0" distL="0" distR="0" wp14:anchorId="2EA8D20E" wp14:editId="1D8F29BF">
            <wp:extent cx="3907536" cy="2371344"/>
            <wp:effectExtent l="0" t="0" r="0" b="0"/>
            <wp:docPr id="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1.jpg"/>
                    <pic:cNvPicPr>
                      <a:picLocks noChangeAspect="1"/>
                    </pic:cNvPicPr>
                  </pic:nvPicPr>
                  <pic:blipFill>
                    <a:blip r:embed="rId17"/>
                    <a:stretch/>
                  </pic:blipFill>
                  <pic:spPr bwMode="auto">
                    <a:xfrm>
                      <a:off x="0" y="0"/>
                      <a:ext cx="3907536" cy="2371344"/>
                    </a:xfrm>
                    <a:prstGeom prst="rect">
                      <a:avLst/>
                    </a:prstGeom>
                  </pic:spPr>
                </pic:pic>
              </a:graphicData>
            </a:graphic>
          </wp:inline>
        </w:drawing>
      </w:r>
    </w:p>
    <w:p w:rsidR="007D4A93" w:rsidRPr="00F01191" w:rsidRDefault="00EF0BEB">
      <w:pPr>
        <w:spacing w:line="240" w:lineRule="auto"/>
        <w:jc w:val="center"/>
        <w:rPr>
          <w:rFonts w:cs="Times New Roman"/>
          <w:lang w:eastAsia="hr-HR"/>
        </w:rPr>
      </w:pPr>
      <w:r w:rsidRPr="00F01191">
        <w:rPr>
          <w:rFonts w:cs="Times New Roman"/>
          <w:noProof/>
          <w:lang w:eastAsia="hr-HR"/>
        </w:rPr>
        <w:drawing>
          <wp:inline distT="0" distB="0" distL="0" distR="0" wp14:anchorId="184142E1" wp14:editId="1AAF77F3">
            <wp:extent cx="3901440" cy="2377440"/>
            <wp:effectExtent l="0" t="0" r="3810" b="3810"/>
            <wp:docPr id="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2.jpg"/>
                    <pic:cNvPicPr>
                      <a:picLocks noChangeAspect="1"/>
                    </pic:cNvPicPr>
                  </pic:nvPicPr>
                  <pic:blipFill>
                    <a:blip r:embed="rId18"/>
                    <a:stretch/>
                  </pic:blipFill>
                  <pic:spPr bwMode="auto">
                    <a:xfrm>
                      <a:off x="0" y="0"/>
                      <a:ext cx="3901440" cy="2377440"/>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bookmarkStart w:id="167" w:name="_Toc33417099"/>
      <w:r w:rsidRPr="00654E3B">
        <w:rPr>
          <w:rFonts w:ascii="Times New Roman" w:hAnsi="Times New Roman"/>
          <w:i/>
        </w:rPr>
        <w:t>Slika 3-1: Projekcije smanjenja emisija u niskougljičnim scenarijima</w:t>
      </w:r>
      <w:bookmarkEnd w:id="167"/>
    </w:p>
    <w:p w:rsidR="00380CA9" w:rsidRPr="00654E3B" w:rsidRDefault="00380CA9">
      <w:pPr>
        <w:pStyle w:val="Tablicanaslov"/>
        <w:spacing w:after="120"/>
        <w:rPr>
          <w:rFonts w:cs="Times New Roman"/>
          <w:i/>
          <w:sz w:val="22"/>
          <w:szCs w:val="22"/>
        </w:rPr>
      </w:pPr>
      <w:bookmarkStart w:id="168" w:name="_Toc33417111"/>
    </w:p>
    <w:p w:rsidR="007D4A93" w:rsidRPr="00654E3B" w:rsidRDefault="00EF0BEB">
      <w:pPr>
        <w:pStyle w:val="Tablicanaslov"/>
        <w:spacing w:after="120"/>
        <w:rPr>
          <w:rFonts w:cs="Times New Roman"/>
          <w:i/>
          <w:sz w:val="22"/>
          <w:szCs w:val="22"/>
        </w:rPr>
      </w:pPr>
      <w:r w:rsidRPr="00654E3B">
        <w:rPr>
          <w:rFonts w:cs="Times New Roman"/>
          <w:i/>
          <w:sz w:val="22"/>
          <w:szCs w:val="22"/>
        </w:rPr>
        <w:t>Tablica 3-2: Smanjenje emisija u niskougljičnim scenarijima, ETS i sektori izvan ETS-a</w:t>
      </w:r>
      <w:bookmarkEnd w:id="168"/>
    </w:p>
    <w:tbl>
      <w:tblPr>
        <w:tblW w:w="9109" w:type="dxa"/>
        <w:tblLayout w:type="fixed"/>
        <w:tblLook w:val="04A0" w:firstRow="1" w:lastRow="0" w:firstColumn="1" w:lastColumn="0" w:noHBand="0" w:noVBand="1"/>
      </w:tblPr>
      <w:tblGrid>
        <w:gridCol w:w="1716"/>
        <w:gridCol w:w="1139"/>
        <w:gridCol w:w="639"/>
        <w:gridCol w:w="1396"/>
        <w:gridCol w:w="639"/>
        <w:gridCol w:w="1418"/>
        <w:gridCol w:w="639"/>
        <w:gridCol w:w="1523"/>
      </w:tblGrid>
      <w:tr w:rsidR="007D4A93" w:rsidRPr="00654E3B">
        <w:trPr>
          <w:trHeight w:val="308"/>
        </w:trPr>
        <w:tc>
          <w:tcPr>
            <w:tcW w:w="1716" w:type="dxa"/>
            <w:vMerge w:val="restart"/>
            <w:tcBorders>
              <w:top w:val="single" w:sz="4" w:space="0" w:color="auto"/>
              <w:left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Emisije u odnosu na emisije u 2005. godini (</w:t>
            </w:r>
            <w:r w:rsidR="00060992" w:rsidRPr="00654E3B">
              <w:rPr>
                <w:rFonts w:cs="Times New Roman"/>
                <w:b/>
                <w:sz w:val="20"/>
                <w:lang w:eastAsia="hr-HR"/>
              </w:rPr>
              <w:t xml:space="preserve"> %</w:t>
            </w:r>
            <w:r w:rsidRPr="00654E3B">
              <w:rPr>
                <w:rFonts w:cs="Times New Roman"/>
                <w:b/>
                <w:sz w:val="20"/>
                <w:lang w:eastAsia="hr-HR"/>
              </w:rPr>
              <w:t>)</w:t>
            </w:r>
          </w:p>
        </w:tc>
        <w:tc>
          <w:tcPr>
            <w:tcW w:w="1139" w:type="dxa"/>
            <w:tcBorders>
              <w:top w:val="single" w:sz="4" w:space="0" w:color="auto"/>
              <w:left w:val="none" w:sz="4" w:space="0" w:color="000000"/>
              <w:bottom w:val="single" w:sz="4" w:space="0" w:color="auto"/>
              <w:right w:val="single" w:sz="4" w:space="0" w:color="auto"/>
            </w:tcBorders>
            <w:shd w:val="clear" w:color="auto" w:fill="F2F2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2016.</w:t>
            </w:r>
          </w:p>
        </w:tc>
        <w:tc>
          <w:tcPr>
            <w:tcW w:w="2035" w:type="dxa"/>
            <w:gridSpan w:val="2"/>
            <w:tcBorders>
              <w:top w:val="single" w:sz="4" w:space="0" w:color="auto"/>
              <w:left w:val="none" w:sz="4" w:space="0" w:color="000000"/>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2030.</w:t>
            </w:r>
          </w:p>
        </w:tc>
        <w:tc>
          <w:tcPr>
            <w:tcW w:w="205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2040.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2050.</w:t>
            </w:r>
          </w:p>
        </w:tc>
      </w:tr>
      <w:tr w:rsidR="007D4A93" w:rsidRPr="00654E3B">
        <w:trPr>
          <w:trHeight w:val="308"/>
        </w:trPr>
        <w:tc>
          <w:tcPr>
            <w:tcW w:w="1716" w:type="dxa"/>
            <w:vMerge/>
            <w:tcBorders>
              <w:left w:val="single" w:sz="4" w:space="0" w:color="auto"/>
              <w:bottom w:val="single" w:sz="4" w:space="0" w:color="auto"/>
              <w:right w:val="single" w:sz="4" w:space="0" w:color="auto"/>
            </w:tcBorders>
            <w:shd w:val="clear" w:color="auto" w:fill="F2F2F2"/>
            <w:noWrap/>
            <w:vAlign w:val="center"/>
          </w:tcPr>
          <w:p w:rsidR="007D4A93" w:rsidRPr="00654E3B" w:rsidRDefault="007D4A93">
            <w:pPr>
              <w:jc w:val="left"/>
              <w:rPr>
                <w:rFonts w:cs="Times New Roman"/>
                <w:sz w:val="20"/>
                <w:lang w:eastAsia="hr-HR"/>
              </w:rPr>
            </w:pPr>
          </w:p>
        </w:tc>
        <w:tc>
          <w:tcPr>
            <w:tcW w:w="1139" w:type="dxa"/>
            <w:tcBorders>
              <w:top w:val="none" w:sz="4" w:space="0" w:color="000000"/>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sz w:val="20"/>
                <w:lang w:eastAsia="hr-HR"/>
              </w:rPr>
            </w:pPr>
            <w:r w:rsidRPr="00654E3B">
              <w:rPr>
                <w:rFonts w:cs="Times New Roman"/>
                <w:sz w:val="20"/>
                <w:lang w:eastAsia="hr-HR"/>
              </w:rPr>
              <w:t>Ostvareno</w:t>
            </w:r>
          </w:p>
        </w:tc>
        <w:tc>
          <w:tcPr>
            <w:tcW w:w="639"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r>
      <w:tr w:rsidR="007D4A93" w:rsidRPr="00654E3B">
        <w:trPr>
          <w:trHeight w:val="308"/>
        </w:trPr>
        <w:tc>
          <w:tcPr>
            <w:tcW w:w="171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ETS</w:t>
            </w:r>
          </w:p>
        </w:tc>
        <w:tc>
          <w:tcPr>
            <w:tcW w:w="1139" w:type="dxa"/>
            <w:tcBorders>
              <w:top w:val="single" w:sz="4" w:space="0" w:color="auto"/>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-22,4</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-30,1</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-34,3 do -38,6</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-45,4 do -54,9</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-43,2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-51,4 do -78,5</w:t>
            </w:r>
          </w:p>
        </w:tc>
      </w:tr>
      <w:tr w:rsidR="007D4A93" w:rsidRPr="00654E3B">
        <w:trPr>
          <w:trHeight w:val="20"/>
        </w:trPr>
        <w:tc>
          <w:tcPr>
            <w:tcW w:w="1716" w:type="dxa"/>
            <w:tcBorders>
              <w:top w:val="single" w:sz="4" w:space="0" w:color="auto"/>
              <w:left w:val="single" w:sz="4" w:space="0" w:color="auto"/>
              <w:bottom w:val="single" w:sz="4" w:space="0" w:color="auto"/>
            </w:tcBorders>
            <w:shd w:val="clear" w:color="auto" w:fill="auto"/>
            <w:noWrap/>
            <w:vAlign w:val="center"/>
          </w:tcPr>
          <w:p w:rsidR="007D4A93" w:rsidRPr="00654E3B" w:rsidRDefault="007D4A93">
            <w:pPr>
              <w:spacing w:line="240" w:lineRule="auto"/>
              <w:jc w:val="left"/>
              <w:rPr>
                <w:rFonts w:cs="Times New Roman"/>
                <w:sz w:val="6"/>
                <w:szCs w:val="6"/>
                <w:lang w:eastAsia="hr-HR"/>
              </w:rPr>
            </w:pPr>
          </w:p>
        </w:tc>
        <w:tc>
          <w:tcPr>
            <w:tcW w:w="1139" w:type="dxa"/>
            <w:tcBorders>
              <w:top w:val="single" w:sz="4" w:space="0" w:color="auto"/>
              <w:bottom w:val="single" w:sz="4" w:space="0" w:color="auto"/>
            </w:tcBorders>
            <w:shd w:val="clear" w:color="auto" w:fill="auto"/>
            <w:noWrap/>
            <w:vAlign w:val="center"/>
          </w:tcPr>
          <w:p w:rsidR="007D4A93" w:rsidRPr="00654E3B" w:rsidRDefault="007D4A93">
            <w:pPr>
              <w:spacing w:line="240" w:lineRule="auto"/>
              <w:jc w:val="center"/>
              <w:rPr>
                <w:rFonts w:cs="Times New Roman"/>
                <w:sz w:val="6"/>
                <w:szCs w:val="6"/>
                <w:lang w:eastAsia="hr-HR"/>
              </w:rPr>
            </w:pPr>
          </w:p>
        </w:tc>
        <w:tc>
          <w:tcPr>
            <w:tcW w:w="639" w:type="dxa"/>
            <w:tcBorders>
              <w:top w:val="single" w:sz="4" w:space="0" w:color="auto"/>
              <w:bottom w:val="single" w:sz="4" w:space="0" w:color="auto"/>
            </w:tcBorders>
            <w:shd w:val="clear" w:color="auto" w:fill="auto"/>
            <w:vAlign w:val="center"/>
          </w:tcPr>
          <w:p w:rsidR="007D4A93" w:rsidRPr="00654E3B" w:rsidRDefault="007D4A93">
            <w:pPr>
              <w:spacing w:line="240" w:lineRule="auto"/>
              <w:jc w:val="center"/>
              <w:rPr>
                <w:rFonts w:cs="Times New Roman"/>
                <w:sz w:val="6"/>
                <w:szCs w:val="6"/>
                <w:lang w:eastAsia="hr-HR"/>
              </w:rPr>
            </w:pPr>
          </w:p>
        </w:tc>
        <w:tc>
          <w:tcPr>
            <w:tcW w:w="1396" w:type="dxa"/>
            <w:tcBorders>
              <w:top w:val="single" w:sz="4" w:space="0" w:color="auto"/>
              <w:bottom w:val="single" w:sz="4" w:space="0" w:color="auto"/>
            </w:tcBorders>
            <w:shd w:val="clear" w:color="auto" w:fill="auto"/>
            <w:noWrap/>
            <w:vAlign w:val="center"/>
          </w:tcPr>
          <w:p w:rsidR="007D4A93" w:rsidRPr="00654E3B" w:rsidRDefault="007D4A93">
            <w:pPr>
              <w:spacing w:line="240" w:lineRule="auto"/>
              <w:jc w:val="center"/>
              <w:rPr>
                <w:rFonts w:cs="Times New Roman"/>
                <w:b/>
                <w:sz w:val="6"/>
                <w:szCs w:val="6"/>
                <w:lang w:eastAsia="hr-HR"/>
              </w:rPr>
            </w:pPr>
          </w:p>
        </w:tc>
        <w:tc>
          <w:tcPr>
            <w:tcW w:w="639" w:type="dxa"/>
            <w:tcBorders>
              <w:top w:val="single" w:sz="4" w:space="0" w:color="auto"/>
              <w:bottom w:val="single" w:sz="4" w:space="0" w:color="auto"/>
            </w:tcBorders>
            <w:shd w:val="clear" w:color="auto" w:fill="auto"/>
            <w:vAlign w:val="center"/>
          </w:tcPr>
          <w:p w:rsidR="007D4A93" w:rsidRPr="00654E3B" w:rsidRDefault="007D4A93">
            <w:pPr>
              <w:spacing w:line="240" w:lineRule="auto"/>
              <w:jc w:val="center"/>
              <w:rPr>
                <w:rFonts w:cs="Times New Roman"/>
                <w:sz w:val="6"/>
                <w:szCs w:val="6"/>
                <w:lang w:eastAsia="hr-HR"/>
              </w:rPr>
            </w:pPr>
          </w:p>
        </w:tc>
        <w:tc>
          <w:tcPr>
            <w:tcW w:w="1418" w:type="dxa"/>
            <w:tcBorders>
              <w:top w:val="single" w:sz="4" w:space="0" w:color="auto"/>
              <w:bottom w:val="single" w:sz="4" w:space="0" w:color="auto"/>
            </w:tcBorders>
            <w:shd w:val="clear" w:color="auto" w:fill="auto"/>
            <w:noWrap/>
            <w:vAlign w:val="center"/>
          </w:tcPr>
          <w:p w:rsidR="007D4A93" w:rsidRPr="00654E3B" w:rsidRDefault="007D4A93">
            <w:pPr>
              <w:spacing w:line="240" w:lineRule="auto"/>
              <w:jc w:val="center"/>
              <w:rPr>
                <w:rFonts w:cs="Times New Roman"/>
                <w:b/>
                <w:sz w:val="6"/>
                <w:szCs w:val="6"/>
                <w:lang w:eastAsia="hr-HR"/>
              </w:rPr>
            </w:pPr>
          </w:p>
        </w:tc>
        <w:tc>
          <w:tcPr>
            <w:tcW w:w="639" w:type="dxa"/>
            <w:tcBorders>
              <w:top w:val="single" w:sz="4" w:space="0" w:color="auto"/>
              <w:bottom w:val="single" w:sz="4" w:space="0" w:color="auto"/>
            </w:tcBorders>
            <w:shd w:val="clear" w:color="auto" w:fill="auto"/>
            <w:vAlign w:val="center"/>
          </w:tcPr>
          <w:p w:rsidR="007D4A93" w:rsidRPr="00654E3B" w:rsidRDefault="007D4A93">
            <w:pPr>
              <w:spacing w:line="240" w:lineRule="auto"/>
              <w:jc w:val="center"/>
              <w:rPr>
                <w:rFonts w:cs="Times New Roman"/>
                <w:sz w:val="6"/>
                <w:szCs w:val="6"/>
                <w:lang w:eastAsia="hr-HR"/>
              </w:rPr>
            </w:pPr>
          </w:p>
        </w:tc>
        <w:tc>
          <w:tcPr>
            <w:tcW w:w="1523" w:type="dxa"/>
            <w:tcBorders>
              <w:top w:val="single" w:sz="4" w:space="0" w:color="auto"/>
              <w:left w:val="none" w:sz="4" w:space="0" w:color="000000"/>
              <w:bottom w:val="single" w:sz="4" w:space="0" w:color="auto"/>
              <w:right w:val="single" w:sz="4" w:space="0" w:color="auto"/>
            </w:tcBorders>
            <w:shd w:val="clear" w:color="auto" w:fill="auto"/>
            <w:noWrap/>
            <w:vAlign w:val="center"/>
          </w:tcPr>
          <w:p w:rsidR="007D4A93" w:rsidRPr="00654E3B" w:rsidRDefault="007D4A93">
            <w:pPr>
              <w:spacing w:line="240" w:lineRule="auto"/>
              <w:jc w:val="center"/>
              <w:rPr>
                <w:rFonts w:cs="Times New Roman"/>
                <w:b/>
                <w:sz w:val="6"/>
                <w:szCs w:val="6"/>
                <w:lang w:eastAsia="hr-HR"/>
              </w:rPr>
            </w:pPr>
          </w:p>
        </w:tc>
      </w:tr>
      <w:tr w:rsidR="007D4A93" w:rsidRPr="00654E3B">
        <w:trPr>
          <w:trHeight w:val="308"/>
        </w:trPr>
        <w:tc>
          <w:tcPr>
            <w:tcW w:w="1716" w:type="dxa"/>
            <w:vMerge w:val="restart"/>
            <w:tcBorders>
              <w:top w:val="single" w:sz="4" w:space="0" w:color="auto"/>
              <w:left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Emisije u odnosu na baznu 2005. godinu (</w:t>
            </w:r>
            <w:r w:rsidR="00060992" w:rsidRPr="00654E3B">
              <w:rPr>
                <w:rFonts w:cs="Times New Roman"/>
                <w:b/>
                <w:sz w:val="20"/>
                <w:lang w:eastAsia="hr-HR"/>
              </w:rPr>
              <w:t xml:space="preserve"> %</w:t>
            </w:r>
            <w:r w:rsidRPr="00654E3B">
              <w:rPr>
                <w:rFonts w:cs="Times New Roman"/>
                <w:b/>
                <w:sz w:val="20"/>
                <w:lang w:eastAsia="hr-HR"/>
              </w:rPr>
              <w:t>)</w:t>
            </w:r>
          </w:p>
        </w:tc>
        <w:tc>
          <w:tcPr>
            <w:tcW w:w="1139" w:type="dxa"/>
            <w:tcBorders>
              <w:top w:val="single" w:sz="4" w:space="0" w:color="auto"/>
              <w:left w:val="none" w:sz="4" w:space="0" w:color="000000"/>
              <w:bottom w:val="single" w:sz="4" w:space="0" w:color="auto"/>
              <w:right w:val="single" w:sz="4" w:space="0" w:color="auto"/>
            </w:tcBorders>
            <w:shd w:val="clear" w:color="auto" w:fill="F2F2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2016.</w:t>
            </w:r>
          </w:p>
        </w:tc>
        <w:tc>
          <w:tcPr>
            <w:tcW w:w="2035" w:type="dxa"/>
            <w:gridSpan w:val="2"/>
            <w:tcBorders>
              <w:top w:val="single" w:sz="4" w:space="0" w:color="auto"/>
              <w:left w:val="none" w:sz="4" w:space="0" w:color="000000"/>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2030.</w:t>
            </w:r>
          </w:p>
        </w:tc>
        <w:tc>
          <w:tcPr>
            <w:tcW w:w="205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2040.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2050.</w:t>
            </w:r>
          </w:p>
        </w:tc>
      </w:tr>
      <w:tr w:rsidR="007D4A93" w:rsidRPr="00654E3B">
        <w:trPr>
          <w:trHeight w:val="308"/>
        </w:trPr>
        <w:tc>
          <w:tcPr>
            <w:tcW w:w="1716" w:type="dxa"/>
            <w:vMerge/>
            <w:tcBorders>
              <w:left w:val="single" w:sz="4" w:space="0" w:color="auto"/>
              <w:bottom w:val="single" w:sz="4" w:space="0" w:color="auto"/>
              <w:right w:val="single" w:sz="4" w:space="0" w:color="auto"/>
            </w:tcBorders>
            <w:shd w:val="clear" w:color="auto" w:fill="F2F2F2"/>
            <w:noWrap/>
            <w:vAlign w:val="center"/>
          </w:tcPr>
          <w:p w:rsidR="007D4A93" w:rsidRPr="00654E3B" w:rsidRDefault="007D4A93">
            <w:pPr>
              <w:jc w:val="left"/>
              <w:rPr>
                <w:rFonts w:cs="Times New Roman"/>
                <w:sz w:val="20"/>
                <w:lang w:eastAsia="hr-HR"/>
              </w:rPr>
            </w:pPr>
          </w:p>
        </w:tc>
        <w:tc>
          <w:tcPr>
            <w:tcW w:w="1139" w:type="dxa"/>
            <w:tcBorders>
              <w:top w:val="none" w:sz="4" w:space="0" w:color="000000"/>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sz w:val="20"/>
                <w:lang w:eastAsia="hr-HR"/>
              </w:rPr>
            </w:pPr>
            <w:r w:rsidRPr="00654E3B">
              <w:rPr>
                <w:rFonts w:cs="Times New Roman"/>
                <w:sz w:val="20"/>
                <w:lang w:eastAsia="hr-HR"/>
              </w:rPr>
              <w:t>Ostvareno</w:t>
            </w:r>
          </w:p>
        </w:tc>
        <w:tc>
          <w:tcPr>
            <w:tcW w:w="639"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r>
      <w:tr w:rsidR="007D4A93" w:rsidRPr="00654E3B">
        <w:trPr>
          <w:trHeight w:val="323"/>
        </w:trPr>
        <w:tc>
          <w:tcPr>
            <w:tcW w:w="171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Izvan ETS-a</w:t>
            </w:r>
          </w:p>
        </w:tc>
        <w:tc>
          <w:tcPr>
            <w:tcW w:w="1139" w:type="dxa"/>
            <w:tcBorders>
              <w:top w:val="single" w:sz="4" w:space="0" w:color="auto"/>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-8,0</w:t>
            </w:r>
          </w:p>
        </w:tc>
        <w:tc>
          <w:tcPr>
            <w:tcW w:w="639" w:type="dxa"/>
            <w:tcBorders>
              <w:top w:val="single" w:sz="4" w:space="0" w:color="auto"/>
              <w:left w:val="none" w:sz="4" w:space="0" w:color="000000"/>
              <w:bottom w:val="single" w:sz="4" w:space="0" w:color="auto"/>
              <w:right w:val="single" w:sz="4" w:space="0" w:color="auto"/>
            </w:tcBorders>
            <w:shd w:val="clear" w:color="auto" w:fill="FFFFFF" w:themeFill="background1"/>
            <w:vAlign w:val="center"/>
          </w:tcPr>
          <w:p w:rsidR="007D4A93" w:rsidRPr="00654E3B" w:rsidRDefault="00EF0BEB">
            <w:pPr>
              <w:jc w:val="center"/>
              <w:rPr>
                <w:rFonts w:cs="Times New Roman"/>
                <w:lang w:eastAsia="hr-HR"/>
              </w:rPr>
            </w:pPr>
            <w:r w:rsidRPr="00654E3B">
              <w:rPr>
                <w:rFonts w:cs="Times New Roman"/>
                <w:sz w:val="20"/>
                <w:lang w:eastAsia="hr-HR"/>
              </w:rPr>
              <w:t>-12,7</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D4A93" w:rsidRPr="00654E3B" w:rsidRDefault="00EF0BEB">
            <w:pPr>
              <w:jc w:val="center"/>
              <w:rPr>
                <w:rFonts w:cs="Times New Roman"/>
                <w:b/>
                <w:lang w:eastAsia="hr-HR"/>
              </w:rPr>
            </w:pPr>
            <w:r w:rsidRPr="00654E3B">
              <w:rPr>
                <w:rFonts w:cs="Times New Roman"/>
                <w:b/>
                <w:sz w:val="20"/>
                <w:lang w:eastAsia="hr-HR"/>
              </w:rPr>
              <w:t>-18,5 do -21,7</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4A93" w:rsidRPr="00654E3B" w:rsidRDefault="00EF0BEB">
            <w:pPr>
              <w:jc w:val="center"/>
              <w:rPr>
                <w:rFonts w:cs="Times New Roman"/>
                <w:lang w:eastAsia="hr-HR"/>
              </w:rPr>
            </w:pPr>
            <w:r w:rsidRPr="00654E3B">
              <w:rPr>
                <w:rFonts w:cs="Times New Roman"/>
                <w:sz w:val="20"/>
                <w:lang w:eastAsia="hr-HR"/>
              </w:rPr>
              <w:t>-24,4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D4A93" w:rsidRPr="00654E3B" w:rsidRDefault="00EF0BEB">
            <w:pPr>
              <w:jc w:val="center"/>
              <w:rPr>
                <w:rFonts w:cs="Times New Roman"/>
                <w:b/>
                <w:lang w:eastAsia="hr-HR"/>
              </w:rPr>
            </w:pPr>
            <w:r w:rsidRPr="00654E3B">
              <w:rPr>
                <w:rFonts w:cs="Times New Roman"/>
                <w:b/>
                <w:sz w:val="20"/>
                <w:lang w:eastAsia="hr-HR"/>
              </w:rPr>
              <w:t>-32,3 do -37,8</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4A93" w:rsidRPr="00654E3B" w:rsidRDefault="00EF0BEB">
            <w:pPr>
              <w:jc w:val="center"/>
              <w:rPr>
                <w:rFonts w:cs="Times New Roman"/>
                <w:lang w:eastAsia="hr-HR"/>
              </w:rPr>
            </w:pPr>
            <w:r w:rsidRPr="00654E3B">
              <w:rPr>
                <w:rFonts w:cs="Times New Roman"/>
                <w:sz w:val="20"/>
                <w:lang w:eastAsia="hr-HR"/>
              </w:rPr>
              <w:t>-36,5</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D4A93" w:rsidRPr="00654E3B" w:rsidRDefault="00EF0BEB">
            <w:pPr>
              <w:jc w:val="center"/>
              <w:rPr>
                <w:rFonts w:cs="Times New Roman"/>
                <w:b/>
                <w:lang w:eastAsia="hr-HR"/>
              </w:rPr>
            </w:pPr>
            <w:r w:rsidRPr="00654E3B">
              <w:rPr>
                <w:rFonts w:cs="Times New Roman"/>
                <w:b/>
                <w:sz w:val="20"/>
                <w:lang w:eastAsia="hr-HR"/>
              </w:rPr>
              <w:t>-50,6 do -64,0</w:t>
            </w:r>
          </w:p>
        </w:tc>
      </w:tr>
    </w:tbl>
    <w:p w:rsidR="007D4A93" w:rsidRPr="00654E3B" w:rsidRDefault="007D4A93">
      <w:pPr>
        <w:jc w:val="center"/>
        <w:rPr>
          <w:rFonts w:cs="Times New Roman"/>
        </w:rPr>
      </w:pPr>
      <w:bookmarkStart w:id="169" w:name="_Toc484158411"/>
    </w:p>
    <w:p w:rsidR="007D4A93" w:rsidRPr="00654E3B" w:rsidRDefault="00EF0BEB">
      <w:pPr>
        <w:pStyle w:val="Tablicanaslov"/>
        <w:keepNext/>
        <w:spacing w:after="120"/>
        <w:rPr>
          <w:rFonts w:cs="Times New Roman"/>
          <w:i/>
          <w:sz w:val="22"/>
          <w:szCs w:val="22"/>
        </w:rPr>
      </w:pPr>
      <w:bookmarkStart w:id="170" w:name="_Toc33417112"/>
      <w:r w:rsidRPr="00654E3B">
        <w:rPr>
          <w:rFonts w:cs="Times New Roman"/>
          <w:i/>
          <w:sz w:val="22"/>
          <w:szCs w:val="22"/>
        </w:rPr>
        <w:lastRenderedPageBreak/>
        <w:t>Tablica 3-3: Pokazatelji obnovljivih izvora energije i energetske učinkovitosti u niskougljičnim scenarijima</w:t>
      </w:r>
      <w:bookmarkEnd w:id="170"/>
      <w:r w:rsidRPr="00654E3B">
        <w:rPr>
          <w:rFonts w:cs="Times New Roman"/>
          <w:i/>
          <w:sz w:val="22"/>
          <w:szCs w:val="22"/>
        </w:rPr>
        <w:t xml:space="preserve"> </w:t>
      </w:r>
      <w:bookmarkEnd w:id="169"/>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038"/>
        <w:gridCol w:w="2117"/>
        <w:gridCol w:w="2117"/>
        <w:gridCol w:w="2119"/>
      </w:tblGrid>
      <w:tr w:rsidR="007D4A93" w:rsidRPr="00654E3B">
        <w:trPr>
          <w:trHeight w:val="308"/>
        </w:trPr>
        <w:tc>
          <w:tcPr>
            <w:tcW w:w="1672" w:type="dxa"/>
            <w:vMerge w:val="restart"/>
            <w:shd w:val="clear" w:color="auto" w:fill="F2F2F2"/>
            <w:noWrap/>
            <w:vAlign w:val="center"/>
          </w:tcPr>
          <w:p w:rsidR="007D4A93" w:rsidRPr="00654E3B" w:rsidRDefault="00EF0BEB">
            <w:pPr>
              <w:keepNext/>
              <w:jc w:val="left"/>
              <w:rPr>
                <w:rFonts w:cs="Times New Roman"/>
                <w:b/>
                <w:sz w:val="20"/>
                <w:lang w:eastAsia="hr-HR"/>
              </w:rPr>
            </w:pPr>
            <w:r w:rsidRPr="00654E3B">
              <w:rPr>
                <w:rFonts w:cs="Times New Roman"/>
                <w:b/>
                <w:sz w:val="20"/>
                <w:lang w:eastAsia="hr-HR"/>
              </w:rPr>
              <w:t>Obnovljivi izvori energije i energetska učinkovitost</w:t>
            </w:r>
          </w:p>
        </w:tc>
        <w:tc>
          <w:tcPr>
            <w:tcW w:w="1038" w:type="dxa"/>
            <w:shd w:val="clear" w:color="auto" w:fill="F2F2F2"/>
            <w:noWrap/>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2016.</w:t>
            </w:r>
          </w:p>
        </w:tc>
        <w:tc>
          <w:tcPr>
            <w:tcW w:w="2117" w:type="dxa"/>
            <w:shd w:val="clear" w:color="auto" w:fill="F2F2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2030.</w:t>
            </w:r>
          </w:p>
        </w:tc>
        <w:tc>
          <w:tcPr>
            <w:tcW w:w="2117" w:type="dxa"/>
            <w:shd w:val="clear" w:color="auto" w:fill="F2F2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2040.</w:t>
            </w:r>
          </w:p>
        </w:tc>
        <w:tc>
          <w:tcPr>
            <w:tcW w:w="2119" w:type="dxa"/>
            <w:shd w:val="clear" w:color="auto" w:fill="F2F2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2050.</w:t>
            </w:r>
          </w:p>
        </w:tc>
      </w:tr>
      <w:tr w:rsidR="007D4A93" w:rsidRPr="00654E3B">
        <w:trPr>
          <w:trHeight w:val="308"/>
        </w:trPr>
        <w:tc>
          <w:tcPr>
            <w:tcW w:w="1672" w:type="dxa"/>
            <w:vMerge/>
            <w:shd w:val="clear" w:color="auto" w:fill="F2F2F2"/>
            <w:noWrap/>
            <w:vAlign w:val="center"/>
          </w:tcPr>
          <w:p w:rsidR="007D4A93" w:rsidRPr="00654E3B" w:rsidRDefault="007D4A93">
            <w:pPr>
              <w:keepNext/>
              <w:jc w:val="left"/>
              <w:rPr>
                <w:rFonts w:cs="Times New Roman"/>
                <w:sz w:val="20"/>
                <w:lang w:eastAsia="hr-HR"/>
              </w:rPr>
            </w:pPr>
          </w:p>
        </w:tc>
        <w:tc>
          <w:tcPr>
            <w:tcW w:w="1038" w:type="dxa"/>
            <w:shd w:val="clear" w:color="auto" w:fill="F2F2F2" w:themeFill="background1" w:themeFillShade="F2"/>
            <w:noWrap/>
            <w:vAlign w:val="center"/>
          </w:tcPr>
          <w:p w:rsidR="007D4A93" w:rsidRPr="00654E3B" w:rsidRDefault="00EF0BEB">
            <w:pPr>
              <w:keepNext/>
              <w:jc w:val="center"/>
              <w:rPr>
                <w:rFonts w:cs="Times New Roman"/>
                <w:sz w:val="20"/>
                <w:lang w:eastAsia="hr-HR"/>
              </w:rPr>
            </w:pPr>
            <w:r w:rsidRPr="00654E3B">
              <w:rPr>
                <w:rFonts w:cs="Times New Roman"/>
                <w:sz w:val="20"/>
                <w:lang w:eastAsia="hr-HR"/>
              </w:rPr>
              <w:t>Ostvareno</w:t>
            </w:r>
          </w:p>
        </w:tc>
        <w:tc>
          <w:tcPr>
            <w:tcW w:w="2117" w:type="dxa"/>
            <w:shd w:val="clear" w:color="auto" w:fill="F2F2F2" w:themeFill="background1" w:themeFillShade="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NU1 do NU2</w:t>
            </w:r>
          </w:p>
        </w:tc>
        <w:tc>
          <w:tcPr>
            <w:tcW w:w="2117" w:type="dxa"/>
            <w:shd w:val="clear" w:color="auto" w:fill="F2F2F2" w:themeFill="background1" w:themeFillShade="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NU1 do NU2</w:t>
            </w:r>
          </w:p>
        </w:tc>
        <w:tc>
          <w:tcPr>
            <w:tcW w:w="2119" w:type="dxa"/>
            <w:shd w:val="clear" w:color="auto" w:fill="F2F2F2" w:themeFill="background1" w:themeFillShade="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NU1 do NU2</w:t>
            </w:r>
          </w:p>
        </w:tc>
      </w:tr>
      <w:tr w:rsidR="007D4A93" w:rsidRPr="00654E3B">
        <w:trPr>
          <w:trHeight w:val="308"/>
        </w:trPr>
        <w:tc>
          <w:tcPr>
            <w:tcW w:w="1672" w:type="dxa"/>
            <w:shd w:val="clear" w:color="auto" w:fill="F2F2F2"/>
            <w:noWrap/>
            <w:vAlign w:val="center"/>
          </w:tcPr>
          <w:p w:rsidR="007D4A93" w:rsidRPr="00654E3B" w:rsidRDefault="00EF0BEB">
            <w:pPr>
              <w:keepNext/>
              <w:jc w:val="left"/>
              <w:rPr>
                <w:rFonts w:cs="Times New Roman"/>
                <w:sz w:val="20"/>
                <w:lang w:eastAsia="hr-HR"/>
              </w:rPr>
            </w:pPr>
            <w:r w:rsidRPr="00654E3B">
              <w:rPr>
                <w:rFonts w:cs="Times New Roman"/>
                <w:sz w:val="20"/>
                <w:lang w:eastAsia="hr-HR"/>
              </w:rPr>
              <w:t>Udio OIE u bruto neposrednoj potrošnji energije (</w:t>
            </w:r>
            <w:r w:rsidR="00060992" w:rsidRPr="00654E3B">
              <w:rPr>
                <w:rFonts w:cs="Times New Roman"/>
                <w:sz w:val="20"/>
                <w:lang w:eastAsia="hr-HR"/>
              </w:rPr>
              <w:t xml:space="preserve"> %</w:t>
            </w:r>
            <w:r w:rsidRPr="00654E3B">
              <w:rPr>
                <w:rFonts w:cs="Times New Roman"/>
                <w:sz w:val="20"/>
                <w:lang w:eastAsia="hr-HR"/>
              </w:rPr>
              <w:t>)</w:t>
            </w:r>
          </w:p>
        </w:tc>
        <w:tc>
          <w:tcPr>
            <w:tcW w:w="1038" w:type="dxa"/>
            <w:shd w:val="clear" w:color="auto" w:fill="auto"/>
            <w:noWrap/>
            <w:vAlign w:val="center"/>
          </w:tcPr>
          <w:p w:rsidR="007D4A93" w:rsidRPr="00654E3B" w:rsidRDefault="00EF0BEB">
            <w:pPr>
              <w:keepNext/>
              <w:jc w:val="center"/>
              <w:rPr>
                <w:rFonts w:cs="Times New Roman"/>
                <w:sz w:val="20"/>
                <w:lang w:eastAsia="hr-HR"/>
              </w:rPr>
            </w:pPr>
            <w:r w:rsidRPr="00654E3B">
              <w:rPr>
                <w:rFonts w:cs="Times New Roman"/>
                <w:sz w:val="20"/>
                <w:lang w:eastAsia="hr-HR"/>
              </w:rPr>
              <w:t>28,3</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36,4</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44,1 do 45,8</w:t>
            </w:r>
          </w:p>
        </w:tc>
        <w:tc>
          <w:tcPr>
            <w:tcW w:w="2119"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53,2 do 65,6</w:t>
            </w:r>
          </w:p>
        </w:tc>
      </w:tr>
      <w:tr w:rsidR="007D4A93" w:rsidRPr="00654E3B">
        <w:trPr>
          <w:trHeight w:val="308"/>
        </w:trPr>
        <w:tc>
          <w:tcPr>
            <w:tcW w:w="1672" w:type="dxa"/>
            <w:shd w:val="clear" w:color="auto" w:fill="F2F2F2"/>
            <w:noWrap/>
            <w:vAlign w:val="center"/>
          </w:tcPr>
          <w:p w:rsidR="007D4A93" w:rsidRPr="00654E3B" w:rsidRDefault="00EF0BEB">
            <w:pPr>
              <w:keepNext/>
              <w:jc w:val="left"/>
              <w:rPr>
                <w:rFonts w:cs="Times New Roman"/>
                <w:sz w:val="20"/>
                <w:lang w:eastAsia="hr-HR"/>
              </w:rPr>
            </w:pPr>
            <w:r w:rsidRPr="00654E3B">
              <w:rPr>
                <w:rFonts w:cs="Times New Roman"/>
                <w:sz w:val="20"/>
                <w:lang w:eastAsia="hr-HR"/>
              </w:rPr>
              <w:t>Neposredna potrošnja energije (PJ)</w:t>
            </w:r>
          </w:p>
        </w:tc>
        <w:tc>
          <w:tcPr>
            <w:tcW w:w="1038" w:type="dxa"/>
            <w:shd w:val="clear" w:color="auto" w:fill="auto"/>
            <w:noWrap/>
            <w:vAlign w:val="center"/>
          </w:tcPr>
          <w:p w:rsidR="007D4A93" w:rsidRPr="00654E3B" w:rsidRDefault="00EF0BEB">
            <w:pPr>
              <w:keepNext/>
              <w:jc w:val="center"/>
              <w:rPr>
                <w:rFonts w:cs="Times New Roman"/>
                <w:sz w:val="20"/>
                <w:lang w:eastAsia="hr-HR"/>
              </w:rPr>
            </w:pPr>
            <w:r w:rsidRPr="00654E3B">
              <w:rPr>
                <w:rFonts w:cs="Times New Roman"/>
                <w:sz w:val="20"/>
                <w:lang w:eastAsia="hr-HR"/>
              </w:rPr>
              <w:t>277,3</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286,9 do 272,5</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265,2 do 238,3</w:t>
            </w:r>
          </w:p>
        </w:tc>
        <w:tc>
          <w:tcPr>
            <w:tcW w:w="2119"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225,6 do 189,6</w:t>
            </w:r>
          </w:p>
        </w:tc>
      </w:tr>
      <w:tr w:rsidR="007D4A93" w:rsidRPr="00654E3B">
        <w:trPr>
          <w:trHeight w:val="308"/>
        </w:trPr>
        <w:tc>
          <w:tcPr>
            <w:tcW w:w="1672" w:type="dxa"/>
            <w:shd w:val="clear" w:color="auto" w:fill="F2F2F2"/>
            <w:noWrap/>
            <w:vAlign w:val="center"/>
          </w:tcPr>
          <w:p w:rsidR="007D4A93" w:rsidRPr="00654E3B" w:rsidRDefault="00EF0BEB">
            <w:pPr>
              <w:keepNext/>
              <w:jc w:val="left"/>
              <w:rPr>
                <w:rFonts w:cs="Times New Roman"/>
                <w:sz w:val="20"/>
                <w:lang w:eastAsia="hr-HR"/>
              </w:rPr>
            </w:pPr>
            <w:r w:rsidRPr="00654E3B">
              <w:rPr>
                <w:rFonts w:cs="Times New Roman"/>
                <w:sz w:val="20"/>
                <w:lang w:eastAsia="hr-HR"/>
              </w:rPr>
              <w:t>Ukupna potrošnja energije* (PJ)</w:t>
            </w:r>
          </w:p>
        </w:tc>
        <w:tc>
          <w:tcPr>
            <w:tcW w:w="1038" w:type="dxa"/>
            <w:shd w:val="clear" w:color="auto" w:fill="auto"/>
            <w:noWrap/>
            <w:vAlign w:val="center"/>
          </w:tcPr>
          <w:p w:rsidR="007D4A93" w:rsidRPr="00654E3B" w:rsidRDefault="00EF0BEB">
            <w:pPr>
              <w:keepNext/>
              <w:jc w:val="center"/>
              <w:rPr>
                <w:rFonts w:cs="Times New Roman"/>
                <w:sz w:val="20"/>
                <w:lang w:eastAsia="hr-HR"/>
              </w:rPr>
            </w:pPr>
            <w:r w:rsidRPr="00654E3B">
              <w:rPr>
                <w:rFonts w:cs="Times New Roman"/>
                <w:sz w:val="20"/>
                <w:lang w:eastAsia="hr-HR"/>
              </w:rPr>
              <w:t>359,4</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344,4 do 328,7</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325,7 do 292,2</w:t>
            </w:r>
          </w:p>
        </w:tc>
        <w:tc>
          <w:tcPr>
            <w:tcW w:w="2119"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287,4 do 251,0</w:t>
            </w:r>
          </w:p>
        </w:tc>
      </w:tr>
    </w:tbl>
    <w:p w:rsidR="007D4A93" w:rsidRPr="00654E3B" w:rsidRDefault="00EF0BEB">
      <w:pPr>
        <w:rPr>
          <w:rFonts w:cs="Times New Roman"/>
          <w:sz w:val="20"/>
        </w:rPr>
      </w:pPr>
      <w:r w:rsidRPr="00654E3B">
        <w:rPr>
          <w:rFonts w:cs="Times New Roman"/>
          <w:sz w:val="20"/>
        </w:rPr>
        <w:t>* - ukupna potrošnja energije bez neenergetske potrošnje</w:t>
      </w:r>
    </w:p>
    <w:p w:rsidR="007D4A93" w:rsidRPr="00654E3B" w:rsidRDefault="00EF0BEB">
      <w:pPr>
        <w:rPr>
          <w:rFonts w:cs="Times New Roman"/>
          <w:i/>
          <w:iCs/>
        </w:rPr>
      </w:pPr>
      <w:r w:rsidRPr="00654E3B">
        <w:rPr>
          <w:rFonts w:cs="Times New Roman"/>
          <w:b/>
        </w:rPr>
        <w:t>Scenarij NU1</w:t>
      </w:r>
      <w:r w:rsidRPr="00654E3B">
        <w:rPr>
          <w:rFonts w:cs="Times New Roman"/>
        </w:rPr>
        <w:t xml:space="preserve"> prikazuje trend smanjenja emisija kontinuirano</w:t>
      </w:r>
      <w:r w:rsidR="003A3F1B" w:rsidRPr="00654E3B">
        <w:rPr>
          <w:rFonts w:cs="Times New Roman"/>
        </w:rPr>
        <w:t>,</w:t>
      </w:r>
      <w:r w:rsidRPr="00654E3B">
        <w:rPr>
          <w:rFonts w:cs="Times New Roman"/>
        </w:rPr>
        <w:t xml:space="preserve"> tako da je u 2030. godini emisija za 33,5</w:t>
      </w:r>
      <w:r w:rsidR="00060992" w:rsidRPr="00654E3B">
        <w:rPr>
          <w:rFonts w:cs="Times New Roman"/>
        </w:rPr>
        <w:t xml:space="preserve"> %</w:t>
      </w:r>
      <w:r w:rsidRPr="00654E3B">
        <w:rPr>
          <w:rFonts w:cs="Times New Roman"/>
        </w:rPr>
        <w:t xml:space="preserve"> manja od emisije 1990. godine, a u 2050. godini za 56,8</w:t>
      </w:r>
      <w:r w:rsidR="00060992" w:rsidRPr="00654E3B">
        <w:rPr>
          <w:rFonts w:cs="Times New Roman"/>
        </w:rPr>
        <w:t xml:space="preserve"> %</w:t>
      </w:r>
      <w:r w:rsidRPr="00654E3B">
        <w:rPr>
          <w:rFonts w:cs="Times New Roman"/>
        </w:rPr>
        <w:t xml:space="preserve"> manja od emisije 1990. godine. Hrvatska ovim scenarijem uvelike ispunjava obvezu smanjenja emisije do razine određene za sektore izvan ETS-a za 2030. godinu.</w:t>
      </w:r>
    </w:p>
    <w:p w:rsidR="007D4A93" w:rsidRPr="00654E3B" w:rsidRDefault="00EF0BEB">
      <w:pPr>
        <w:rPr>
          <w:rFonts w:cs="Times New Roman"/>
          <w:i/>
          <w:iCs/>
        </w:rPr>
      </w:pPr>
      <w:r w:rsidRPr="00654E3B">
        <w:rPr>
          <w:rFonts w:cs="Times New Roman"/>
          <w:b/>
        </w:rPr>
        <w:t>Scenarij NU2</w:t>
      </w:r>
      <w:r w:rsidRPr="00654E3B">
        <w:rPr>
          <w:rFonts w:cs="Times New Roman"/>
        </w:rPr>
        <w:t xml:space="preserve"> prikazuje trend smanjenja emisija, vrlo sličan trendu scenarija NU1 do 2030. godine, u 2030. godini emisija je za 36,7</w:t>
      </w:r>
      <w:r w:rsidR="00060992" w:rsidRPr="00654E3B">
        <w:rPr>
          <w:rFonts w:cs="Times New Roman"/>
        </w:rPr>
        <w:t xml:space="preserve"> %</w:t>
      </w:r>
      <w:r w:rsidRPr="00654E3B">
        <w:rPr>
          <w:rFonts w:cs="Times New Roman"/>
        </w:rPr>
        <w:t xml:space="preserve"> manja od emisije 1990. godine, a nakon 2040. godine scenarij NU2 prikazuje snažnije smanjenje, tako da je u 2050. godini emisija za 73,1</w:t>
      </w:r>
      <w:r w:rsidR="00060992" w:rsidRPr="00654E3B">
        <w:rPr>
          <w:rFonts w:cs="Times New Roman"/>
        </w:rPr>
        <w:t xml:space="preserve"> %</w:t>
      </w:r>
      <w:r w:rsidRPr="00654E3B">
        <w:rPr>
          <w:rFonts w:cs="Times New Roman"/>
        </w:rPr>
        <w:t xml:space="preserve"> manja od emisije 1990. godine. </w:t>
      </w:r>
    </w:p>
    <w:p w:rsidR="007D4A93" w:rsidRPr="00F01191" w:rsidRDefault="00EF0BEB">
      <w:pPr>
        <w:rPr>
          <w:rFonts w:cs="Times New Roman"/>
          <w:i/>
          <w:iCs/>
        </w:rPr>
      </w:pPr>
      <w:r w:rsidRPr="00654E3B">
        <w:rPr>
          <w:rFonts w:cs="Times New Roman"/>
        </w:rPr>
        <w:t xml:space="preserve">Klimatska neutralnost do 2050. </w:t>
      </w:r>
      <w:r w:rsidR="0097190B" w:rsidRPr="00654E3B">
        <w:rPr>
          <w:rFonts w:cs="Times New Roman"/>
        </w:rPr>
        <w:t xml:space="preserve">godine </w:t>
      </w:r>
      <w:r w:rsidRPr="00654E3B">
        <w:rPr>
          <w:rFonts w:cs="Times New Roman"/>
        </w:rPr>
        <w:t>u odnosu na 1990. godinu (tzv. Scenarij neto nulte emisije)</w:t>
      </w:r>
      <w:r w:rsidR="0097190B" w:rsidRPr="00654E3B">
        <w:rPr>
          <w:rFonts w:cs="Times New Roman"/>
        </w:rPr>
        <w:t>,</w:t>
      </w:r>
      <w:r w:rsidRPr="00654E3B">
        <w:rPr>
          <w:rFonts w:cs="Times New Roman"/>
        </w:rPr>
        <w:t xml:space="preserve"> je prema sadašnjem stanju spoznaja i dostupnih tehnologija teško postići. Potrebno je napraviti analizu</w:t>
      </w:r>
      <w:r w:rsidR="0097190B" w:rsidRPr="00654E3B">
        <w:rPr>
          <w:rFonts w:cs="Times New Roman"/>
        </w:rPr>
        <w:t>,</w:t>
      </w:r>
      <w:r w:rsidRPr="00654E3B">
        <w:rPr>
          <w:rFonts w:cs="Times New Roman"/>
        </w:rPr>
        <w:t xml:space="preserve"> kojim bi se to dodatnim mjerama moglo postići. Planovi o tome su navedeni na kraju u poglavlju </w:t>
      </w:r>
      <w:r w:rsidRPr="00F01191">
        <w:rPr>
          <w:rFonts w:cs="Times New Roman"/>
        </w:rPr>
        <w:fldChar w:fldCharType="begin"/>
      </w:r>
      <w:r w:rsidRPr="00654E3B">
        <w:rPr>
          <w:rFonts w:cs="Times New Roman"/>
        </w:rPr>
        <w:instrText xml:space="preserve"> REF _Ref59111247 \h  \* MERGEFORMAT </w:instrText>
      </w:r>
      <w:r w:rsidRPr="00F01191">
        <w:rPr>
          <w:rFonts w:cs="Times New Roman"/>
        </w:rPr>
      </w:r>
      <w:r w:rsidRPr="00F01191">
        <w:rPr>
          <w:rFonts w:cs="Times New Roman"/>
        </w:rPr>
        <w:fldChar w:fldCharType="separate"/>
      </w:r>
      <w:r w:rsidR="000517F0" w:rsidRPr="00F01191">
        <w:rPr>
          <w:rFonts w:cs="Times New Roman"/>
        </w:rPr>
        <w:t>15.</w:t>
      </w:r>
      <w:r w:rsidR="000517F0" w:rsidRPr="00F01191">
        <w:rPr>
          <w:rFonts w:cs="Times New Roman"/>
        </w:rPr>
        <w:tab/>
        <w:t>INFORMACIJA O SCENARIJU KLIMATSKE NEUTRALNOSTI</w:t>
      </w:r>
      <w:r w:rsidRPr="00F01191">
        <w:rPr>
          <w:rFonts w:cs="Times New Roman"/>
        </w:rPr>
        <w:fldChar w:fldCharType="end"/>
      </w:r>
      <w:r w:rsidRPr="00F01191">
        <w:rPr>
          <w:rFonts w:cs="Times New Roman"/>
        </w:rPr>
        <w:t>.</w:t>
      </w:r>
    </w:p>
    <w:p w:rsidR="007D4A93" w:rsidRPr="00654E3B" w:rsidRDefault="00EF0BEB">
      <w:pPr>
        <w:pStyle w:val="Heading2"/>
        <w:rPr>
          <w:rFonts w:ascii="Times New Roman" w:hAnsi="Times New Roman" w:cs="Times New Roman"/>
        </w:rPr>
      </w:pPr>
      <w:bookmarkStart w:id="171" w:name="_Toc69297735"/>
      <w:bookmarkStart w:id="172" w:name="_Toc20841298"/>
      <w:bookmarkStart w:id="173" w:name="_Toc20841404"/>
      <w:r w:rsidRPr="00654E3B">
        <w:rPr>
          <w:rFonts w:ascii="Times New Roman" w:hAnsi="Times New Roman" w:cs="Times New Roman"/>
        </w:rPr>
        <w:t>3.2.</w:t>
      </w:r>
      <w:r w:rsidRPr="00654E3B">
        <w:rPr>
          <w:rFonts w:ascii="Times New Roman" w:hAnsi="Times New Roman" w:cs="Times New Roman"/>
        </w:rPr>
        <w:tab/>
        <w:t>CILJEVI REPUBLIKE HRVATSKE</w:t>
      </w:r>
      <w:bookmarkEnd w:id="171"/>
    </w:p>
    <w:bookmarkEnd w:id="172"/>
    <w:bookmarkEnd w:id="173"/>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Ciljevi smanjenja emisije stakleničkih plinova temelje se na sljedećem: </w:t>
      </w:r>
    </w:p>
    <w:p w:rsidR="007D4A93" w:rsidRPr="00654E3B" w:rsidRDefault="00EF0BEB" w:rsidP="000C6795">
      <w:pPr>
        <w:pStyle w:val="ListParagraph"/>
        <w:numPr>
          <w:ilvl w:val="0"/>
          <w:numId w:val="10"/>
        </w:numPr>
        <w:rPr>
          <w:rFonts w:cs="Times New Roman"/>
        </w:rPr>
      </w:pPr>
      <w:r w:rsidRPr="00654E3B">
        <w:rPr>
          <w:rFonts w:cs="Times New Roman"/>
        </w:rPr>
        <w:t>ciljevima smanjenja emisije koji proizlaze iz UNFCCC-a i Pariškog sporazuma</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t>ciljevima smanjenja emisije koji proizlaze iz interne raspodjele EU, a vezano za sektore izvan ETS-a</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t>ciljevima udjela obnovljivih izvora energije i ciljevima smanjenja energetske potrošnje, temeljem EU politike</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t>koristima Republike Hrvatske u smislu postavljenih načela i ciljeva u Poglavlju 1.2. ove Niskougljične strategije</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t xml:space="preserve">uvažavanjem postojećeg trenda i nastavka </w:t>
      </w:r>
      <w:r w:rsidR="009B28FE" w:rsidRPr="00654E3B">
        <w:rPr>
          <w:rFonts w:cs="Times New Roman"/>
        </w:rPr>
        <w:t>temeljem usvojenih politika i planova</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t>utjecajima na gospodarstvo, okoliš i društvo.</w:t>
      </w:r>
    </w:p>
    <w:p w:rsidR="007D4A93" w:rsidRPr="00654E3B" w:rsidRDefault="00EF0BEB">
      <w:pPr>
        <w:rPr>
          <w:rFonts w:cs="Times New Roman"/>
        </w:rPr>
      </w:pPr>
      <w:r w:rsidRPr="00654E3B">
        <w:rPr>
          <w:rFonts w:cs="Times New Roman"/>
        </w:rPr>
        <w:t>Ciljevi se promatraju za razdoblje do 2030. i do 2050. godine. Postavljeni ciljevi mogu se postići različitim scenarijima koji imaju različite prateće učinke na gospodarstvo, okoliš i društvo.</w:t>
      </w:r>
    </w:p>
    <w:p w:rsidR="007D4A93" w:rsidRPr="00654E3B" w:rsidRDefault="00EF0BEB" w:rsidP="009F6651">
      <w:pPr>
        <w:pStyle w:val="Heading3"/>
      </w:pPr>
      <w:bookmarkStart w:id="174" w:name="_Toc476226508"/>
      <w:bookmarkStart w:id="175" w:name="_Toc475716134"/>
      <w:bookmarkStart w:id="176" w:name="_Toc475714721"/>
      <w:bookmarkStart w:id="177" w:name="_Toc436823711"/>
      <w:bookmarkStart w:id="178" w:name="_Toc477868475"/>
      <w:bookmarkStart w:id="179" w:name="_Toc478995873"/>
      <w:bookmarkStart w:id="180" w:name="_Toc484158977"/>
      <w:bookmarkStart w:id="181" w:name="_Toc69297736"/>
      <w:r w:rsidRPr="00515372">
        <w:t>3.2.</w:t>
      </w:r>
      <w:r w:rsidR="00515372">
        <w:t>1</w:t>
      </w:r>
      <w:r w:rsidRPr="00654E3B">
        <w:t>.</w:t>
      </w:r>
      <w:r w:rsidRPr="00654E3B">
        <w:tab/>
        <w:t>Ciljevi Republike Hrvatske do 2030. godine</w:t>
      </w:r>
      <w:bookmarkEnd w:id="174"/>
      <w:bookmarkEnd w:id="175"/>
      <w:bookmarkEnd w:id="176"/>
      <w:bookmarkEnd w:id="177"/>
      <w:bookmarkEnd w:id="178"/>
      <w:bookmarkEnd w:id="179"/>
      <w:bookmarkEnd w:id="180"/>
      <w:bookmarkEnd w:id="181"/>
      <w:r w:rsidRPr="00654E3B">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lastRenderedPageBreak/>
        <w:t>Okvirom klimatsko-energetske politike utvrđene su smjernice djelovanja EU do 2030. godine. Postavljen je cilj smanjenja emisije stakleničkih plinova za najmanje 40</w:t>
      </w:r>
      <w:r w:rsidR="00060992" w:rsidRPr="00654E3B">
        <w:rPr>
          <w:rFonts w:cs="Times New Roman"/>
        </w:rPr>
        <w:t xml:space="preserve"> %</w:t>
      </w:r>
      <w:r w:rsidRPr="00654E3B">
        <w:rPr>
          <w:rFonts w:cs="Times New Roman"/>
        </w:rPr>
        <w:t xml:space="preserve"> u odnosu na 1990. godinu. To će se provesti tako da se emisija u ETS-u smanji za 43</w:t>
      </w:r>
      <w:r w:rsidR="00060992" w:rsidRPr="00654E3B">
        <w:rPr>
          <w:rFonts w:cs="Times New Roman"/>
        </w:rPr>
        <w:t xml:space="preserve"> %</w:t>
      </w:r>
      <w:r w:rsidRPr="00654E3B">
        <w:rPr>
          <w:rFonts w:cs="Times New Roman"/>
        </w:rPr>
        <w:t xml:space="preserve"> u odnosu na 2005. godinu, a u sektorima izvan ETS-a za 30</w:t>
      </w:r>
      <w:r w:rsidR="00060992" w:rsidRPr="00654E3B">
        <w:rPr>
          <w:rFonts w:cs="Times New Roman"/>
        </w:rPr>
        <w:t xml:space="preserve"> %</w:t>
      </w:r>
      <w:r w:rsidRPr="00654E3B">
        <w:rPr>
          <w:rFonts w:cs="Times New Roman"/>
        </w:rPr>
        <w:t xml:space="preserve"> u odnosu na 2005. godinu.</w:t>
      </w:r>
    </w:p>
    <w:p w:rsidR="007D4A93" w:rsidRPr="00654E3B" w:rsidRDefault="00EF0BEB">
      <w:pPr>
        <w:rPr>
          <w:rFonts w:eastAsia="Times New Roman" w:cs="Times New Roman"/>
          <w:lang w:eastAsia="hr-HR"/>
        </w:rPr>
      </w:pPr>
      <w:r w:rsidRPr="00654E3B">
        <w:rPr>
          <w:rFonts w:cs="Times New Roman"/>
        </w:rPr>
        <w:t xml:space="preserve">Utvrđeno je da će se nastaviti s raspodjelom obveza po državama za sektore izvan ETS-a, ali se neće određivati brojčani ciljevi za obnovljive izvore energije za svaku državu primjenom jedinstvene metodologije. Svaka država sama </w:t>
      </w:r>
      <w:r w:rsidR="009B28FE" w:rsidRPr="00654E3B">
        <w:rPr>
          <w:rFonts w:cs="Times New Roman"/>
        </w:rPr>
        <w:t>odlučuje</w:t>
      </w:r>
      <w:r w:rsidRPr="00654E3B">
        <w:rPr>
          <w:rFonts w:cs="Times New Roman"/>
        </w:rPr>
        <w:t xml:space="preserve"> kako će postići ciljeve u sektorima izvan ETS-a, što uključuje i ciljeve za obnovljive izvore energije. </w:t>
      </w:r>
    </w:p>
    <w:p w:rsidR="007D4A93" w:rsidRPr="00654E3B" w:rsidRDefault="00EF0BEB">
      <w:pPr>
        <w:rPr>
          <w:rFonts w:cs="Times New Roman"/>
        </w:rPr>
      </w:pPr>
      <w:r w:rsidRPr="00654E3B">
        <w:rPr>
          <w:rFonts w:cs="Times New Roman"/>
        </w:rPr>
        <w:t>Republika Hrvatska će do 2030. godine težiti ambicioznijem smanjenju emisije, s putanjom koja se nalazi u prostoru između niskougljičnog scenarija NU1 i NU2.</w:t>
      </w:r>
    </w:p>
    <w:p w:rsidR="007D4A93" w:rsidRPr="00654E3B" w:rsidRDefault="00EF0BEB">
      <w:pPr>
        <w:rPr>
          <w:rFonts w:cs="Times New Roman"/>
        </w:rPr>
      </w:pPr>
      <w:r w:rsidRPr="00654E3B">
        <w:rPr>
          <w:rFonts w:cs="Times New Roman"/>
        </w:rPr>
        <w:t>Postavljen je temeljni cilj:</w:t>
      </w:r>
    </w:p>
    <w:p w:rsidR="007D4A93" w:rsidRPr="00654E3B" w:rsidRDefault="00EF0BEB" w:rsidP="000C6795">
      <w:pPr>
        <w:pStyle w:val="ListParagraph"/>
        <w:numPr>
          <w:ilvl w:val="0"/>
          <w:numId w:val="11"/>
        </w:numPr>
        <w:rPr>
          <w:rFonts w:cs="Times New Roman"/>
          <w:b/>
        </w:rPr>
      </w:pPr>
      <w:r w:rsidRPr="00654E3B">
        <w:rPr>
          <w:rFonts w:cs="Times New Roman"/>
          <w:b/>
        </w:rPr>
        <w:t>ostvariti smanjenje emisije za 7</w:t>
      </w:r>
      <w:r w:rsidR="00060992" w:rsidRPr="00654E3B">
        <w:rPr>
          <w:rFonts w:cs="Times New Roman"/>
          <w:b/>
        </w:rPr>
        <w:t xml:space="preserve"> %</w:t>
      </w:r>
      <w:r w:rsidRPr="00654E3B">
        <w:rPr>
          <w:rFonts w:cs="Times New Roman"/>
          <w:b/>
        </w:rPr>
        <w:t xml:space="preserve"> u sektorima izvan ETS-a, u odnosu na emisiju u 2005. godini. Ovo je minimalno što se mora ostvariti, a to je ujedno obvezujući cilj prema Europskoj uniji i Pariškom sporazumu</w:t>
      </w:r>
      <w:r w:rsidR="00CB4E40" w:rsidRPr="00654E3B">
        <w:rPr>
          <w:rFonts w:cs="Times New Roman"/>
          <w:b/>
        </w:rPr>
        <w:t>, u okviru zajedničkog EU cilja do 2030. godine</w:t>
      </w:r>
      <w:r w:rsidRPr="00654E3B">
        <w:rPr>
          <w:rFonts w:cs="Times New Roman"/>
          <w:b/>
        </w:rPr>
        <w:t xml:space="preserve">. </w:t>
      </w:r>
    </w:p>
    <w:p w:rsidR="007D4A93" w:rsidRPr="00654E3B" w:rsidRDefault="00EF0BEB">
      <w:pPr>
        <w:rPr>
          <w:rFonts w:cs="Times New Roman"/>
        </w:rPr>
      </w:pPr>
      <w:r w:rsidRPr="00654E3B">
        <w:rPr>
          <w:rFonts w:cs="Times New Roman"/>
        </w:rPr>
        <w:t>Ciljevi za obnovljive izvore energije, energetsku učinkovitost te sektorski ciljevi</w:t>
      </w:r>
      <w:r w:rsidR="001C0429" w:rsidRPr="00654E3B">
        <w:rPr>
          <w:rFonts w:cs="Times New Roman"/>
        </w:rPr>
        <w:t>,</w:t>
      </w:r>
      <w:r w:rsidRPr="00654E3B">
        <w:rPr>
          <w:rFonts w:cs="Times New Roman"/>
        </w:rPr>
        <w:t xml:space="preserve"> proizlaze iz gore navedenih ciljeva. Provedbeni dokument za razdoblje do 2030. godine je NECP za razdoblje od 2021. do 2030. godine. </w:t>
      </w:r>
    </w:p>
    <w:p w:rsidR="007D4A93" w:rsidRPr="00654E3B" w:rsidRDefault="00EF0BEB" w:rsidP="009F6651">
      <w:pPr>
        <w:pStyle w:val="Heading3"/>
      </w:pPr>
      <w:bookmarkStart w:id="182" w:name="_Toc476226509"/>
      <w:bookmarkStart w:id="183" w:name="_Toc475716135"/>
      <w:bookmarkStart w:id="184" w:name="_Toc475714722"/>
      <w:bookmarkStart w:id="185" w:name="_Toc436823712"/>
      <w:bookmarkStart w:id="186" w:name="_Toc477868476"/>
      <w:bookmarkStart w:id="187" w:name="_Toc478995874"/>
      <w:bookmarkStart w:id="188" w:name="_Toc484158978"/>
      <w:bookmarkStart w:id="189" w:name="_Toc69297737"/>
      <w:r w:rsidRPr="00654E3B">
        <w:t>3.2.</w:t>
      </w:r>
      <w:r w:rsidR="00515372">
        <w:t>2</w:t>
      </w:r>
      <w:r w:rsidRPr="00654E3B">
        <w:t>.</w:t>
      </w:r>
      <w:r w:rsidRPr="00654E3B">
        <w:tab/>
        <w:t>Ciljevi Republike Hrvatske do 2050. godine</w:t>
      </w:r>
      <w:bookmarkEnd w:id="182"/>
      <w:bookmarkEnd w:id="183"/>
      <w:bookmarkEnd w:id="184"/>
      <w:bookmarkEnd w:id="185"/>
      <w:bookmarkEnd w:id="186"/>
      <w:bookmarkEnd w:id="187"/>
      <w:bookmarkEnd w:id="188"/>
      <w:bookmarkEnd w:id="189"/>
      <w:r w:rsidRPr="00654E3B">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Cilj smanjenja emisija stakleničkih plinova do 2050. godine je: </w:t>
      </w:r>
    </w:p>
    <w:p w:rsidR="007D4A93" w:rsidRPr="00654E3B" w:rsidRDefault="00EF0BEB" w:rsidP="000C6795">
      <w:pPr>
        <w:pStyle w:val="ListParagraph"/>
        <w:numPr>
          <w:ilvl w:val="0"/>
          <w:numId w:val="11"/>
        </w:numPr>
        <w:rPr>
          <w:rFonts w:cs="Times New Roman"/>
          <w:b/>
        </w:rPr>
      </w:pPr>
      <w:r w:rsidRPr="00654E3B">
        <w:rPr>
          <w:rFonts w:cs="Times New Roman"/>
          <w:b/>
        </w:rPr>
        <w:t>smanjenje emisija stakleničkih plinova s putanjom koja se nalazi u prostoru između niskougljičnog scenarija NU1 i NU2, s težnjom prema ambicioznijem scenariju NU2.</w:t>
      </w:r>
    </w:p>
    <w:p w:rsidR="007D4A93" w:rsidRPr="00654E3B" w:rsidRDefault="00EF0BEB">
      <w:pPr>
        <w:rPr>
          <w:rFonts w:cs="Times New Roman"/>
        </w:rPr>
      </w:pPr>
      <w:r w:rsidRPr="00654E3B">
        <w:rPr>
          <w:rFonts w:cs="Times New Roman"/>
        </w:rPr>
        <w:t>U razdoblju do 2030. godine, razlike između scenarija NU1 i NU2 su relativno male, međutim u 2050. godini ovi su scenariji po dubini primjena mjera i ukupnom smanjenju emisije vrlo različiti. Republika Hrvatska treba odrediti ponov</w:t>
      </w:r>
      <w:r w:rsidR="001C0429" w:rsidRPr="00654E3B">
        <w:rPr>
          <w:rFonts w:cs="Times New Roman"/>
        </w:rPr>
        <w:t>n</w:t>
      </w:r>
      <w:r w:rsidRPr="00654E3B">
        <w:rPr>
          <w:rFonts w:cs="Times New Roman"/>
        </w:rPr>
        <w:t>o svoju niskougljičnu putanju pri kraju sljedećeg desetogodišnjeg razdoblja. Za države čiji je doprinos u okviru Pariškog sporazuma  utvrđen do 2030. godine</w:t>
      </w:r>
      <w:r w:rsidR="001C0429" w:rsidRPr="00654E3B">
        <w:rPr>
          <w:rFonts w:cs="Times New Roman"/>
        </w:rPr>
        <w:t>,</w:t>
      </w:r>
      <w:r w:rsidRPr="00654E3B">
        <w:rPr>
          <w:rFonts w:cs="Times New Roman"/>
        </w:rPr>
        <w:t xml:space="preserve"> obveza komunikacije ili ažuriranja tog doprinosa je svakih pet godina</w:t>
      </w:r>
      <w:r w:rsidR="001C0429" w:rsidRPr="00654E3B">
        <w:rPr>
          <w:rFonts w:cs="Times New Roman"/>
        </w:rPr>
        <w:t>,</w:t>
      </w:r>
      <w:r w:rsidRPr="00654E3B">
        <w:rPr>
          <w:rFonts w:cs="Times New Roman"/>
        </w:rPr>
        <w:t xml:space="preserve"> pa bi 2025. godine trebalo predvidjeti provedbu revizije ciljeva. </w:t>
      </w:r>
    </w:p>
    <w:p w:rsidR="007D4A93" w:rsidRPr="00654E3B" w:rsidRDefault="00EF0BEB">
      <w:pPr>
        <w:rPr>
          <w:rFonts w:cs="Times New Roman"/>
        </w:rPr>
      </w:pPr>
      <w:r w:rsidRPr="00654E3B">
        <w:rPr>
          <w:rFonts w:cs="Times New Roman"/>
        </w:rPr>
        <w:t xml:space="preserve">Obzirom na ambiciozni impuls koji donosi novi Europski zeleni plan iz 2019. godine i u kontekstu </w:t>
      </w:r>
      <w:r w:rsidR="001A74D3" w:rsidRPr="00654E3B">
        <w:rPr>
          <w:rFonts w:cs="Times New Roman"/>
        </w:rPr>
        <w:t xml:space="preserve">povećanja zajedničkog cilja smanjenja </w:t>
      </w:r>
      <w:r w:rsidRPr="00654E3B">
        <w:rPr>
          <w:rFonts w:cs="Times New Roman"/>
        </w:rPr>
        <w:t>emisij</w:t>
      </w:r>
      <w:r w:rsidR="001A74D3" w:rsidRPr="00654E3B">
        <w:rPr>
          <w:rFonts w:cs="Times New Roman"/>
        </w:rPr>
        <w:t>a</w:t>
      </w:r>
      <w:r w:rsidRPr="00654E3B">
        <w:rPr>
          <w:rFonts w:cs="Times New Roman"/>
        </w:rPr>
        <w:t xml:space="preserve"> stakleničkih plinova</w:t>
      </w:r>
      <w:r w:rsidR="001A74D3" w:rsidRPr="00654E3B">
        <w:rPr>
          <w:rFonts w:cs="Times New Roman"/>
        </w:rPr>
        <w:t xml:space="preserve"> EU</w:t>
      </w:r>
      <w:r w:rsidRPr="00654E3B">
        <w:rPr>
          <w:rFonts w:cs="Times New Roman"/>
        </w:rPr>
        <w:t xml:space="preserve"> </w:t>
      </w:r>
      <w:r w:rsidR="001A74D3" w:rsidRPr="00654E3B">
        <w:rPr>
          <w:rFonts w:cs="Times New Roman"/>
        </w:rPr>
        <w:t xml:space="preserve">na </w:t>
      </w:r>
      <w:r w:rsidRPr="00654E3B">
        <w:rPr>
          <w:rFonts w:cs="Times New Roman"/>
        </w:rPr>
        <w:t>-55</w:t>
      </w:r>
      <w:r w:rsidR="00060992" w:rsidRPr="00654E3B">
        <w:rPr>
          <w:rFonts w:cs="Times New Roman"/>
        </w:rPr>
        <w:t xml:space="preserve"> %</w:t>
      </w:r>
      <w:r w:rsidRPr="00654E3B">
        <w:rPr>
          <w:rFonts w:cs="Times New Roman"/>
        </w:rPr>
        <w:t xml:space="preserve"> do 2030. godine</w:t>
      </w:r>
      <w:r w:rsidR="001A74D3" w:rsidRPr="00654E3B">
        <w:rPr>
          <w:rFonts w:cs="Times New Roman"/>
        </w:rPr>
        <w:t>, usvojenog</w:t>
      </w:r>
      <w:r w:rsidRPr="00654E3B">
        <w:rPr>
          <w:rFonts w:cs="Times New Roman"/>
        </w:rPr>
        <w:t xml:space="preserve"> </w:t>
      </w:r>
      <w:r w:rsidR="003E4E8F" w:rsidRPr="00654E3B">
        <w:rPr>
          <w:rFonts w:cs="Times New Roman"/>
        </w:rPr>
        <w:t xml:space="preserve">na </w:t>
      </w:r>
      <w:r w:rsidRPr="00654E3B">
        <w:rPr>
          <w:rFonts w:cs="Times New Roman"/>
        </w:rPr>
        <w:t>Europsko</w:t>
      </w:r>
      <w:r w:rsidR="003E4E8F" w:rsidRPr="00654E3B">
        <w:rPr>
          <w:rFonts w:cs="Times New Roman"/>
        </w:rPr>
        <w:t>m vijeću</w:t>
      </w:r>
      <w:r w:rsidRPr="00654E3B">
        <w:rPr>
          <w:rFonts w:cs="Times New Roman"/>
        </w:rPr>
        <w:t xml:space="preserve">, </w:t>
      </w:r>
      <w:r w:rsidR="003E4E8F" w:rsidRPr="00654E3B">
        <w:rPr>
          <w:rFonts w:cs="Times New Roman"/>
        </w:rPr>
        <w:t>11. prosinca</w:t>
      </w:r>
      <w:r w:rsidRPr="00654E3B">
        <w:rPr>
          <w:rFonts w:cs="Times New Roman"/>
        </w:rPr>
        <w:t xml:space="preserve"> 2020., slijedeća revizija Niskougljične strategije </w:t>
      </w:r>
      <w:r w:rsidR="003E4E8F" w:rsidRPr="00654E3B">
        <w:rPr>
          <w:rFonts w:cs="Times New Roman"/>
        </w:rPr>
        <w:t>utvrđivat će</w:t>
      </w:r>
      <w:r w:rsidR="001A74D3" w:rsidRPr="00654E3B">
        <w:rPr>
          <w:rFonts w:cs="Times New Roman"/>
        </w:rPr>
        <w:t xml:space="preserve"> način</w:t>
      </w:r>
      <w:r w:rsidR="003E4E8F" w:rsidRPr="00654E3B">
        <w:rPr>
          <w:rFonts w:cs="Times New Roman"/>
        </w:rPr>
        <w:t xml:space="preserve"> postignuća neto nulte </w:t>
      </w:r>
      <w:r w:rsidRPr="00654E3B">
        <w:rPr>
          <w:rFonts w:cs="Times New Roman"/>
        </w:rPr>
        <w:t xml:space="preserve">emisije stakleničkih plinova do 2050. godine, a s tim u vezi i </w:t>
      </w:r>
      <w:r w:rsidR="003E4E8F" w:rsidRPr="00654E3B">
        <w:rPr>
          <w:rFonts w:cs="Times New Roman"/>
        </w:rPr>
        <w:t>povećanje ambicije</w:t>
      </w:r>
      <w:r w:rsidRPr="00654E3B">
        <w:rPr>
          <w:rFonts w:cs="Times New Roman"/>
        </w:rPr>
        <w:t xml:space="preserve"> do 2030. godine. </w:t>
      </w:r>
      <w:r w:rsidR="001A74D3" w:rsidRPr="00654E3B">
        <w:rPr>
          <w:rFonts w:cs="Times New Roman"/>
        </w:rPr>
        <w:t>Navedeno će uslijediti nakon izmjene i usvajanja klimatskog i energetskog EU zakonodavstva kada će biti poznati sektorski i ukupni ciljevi za pojedine države članice.</w:t>
      </w:r>
    </w:p>
    <w:p w:rsidR="007D4A93" w:rsidRPr="00654E3B" w:rsidRDefault="007D4A93">
      <w:pPr>
        <w:rPr>
          <w:rFonts w:cs="Times New Roman"/>
        </w:rPr>
      </w:pPr>
    </w:p>
    <w:p w:rsidR="007D4A93" w:rsidRPr="00654E3B" w:rsidRDefault="00EF0BEB">
      <w:pPr>
        <w:pStyle w:val="Heading2"/>
        <w:rPr>
          <w:rFonts w:ascii="Times New Roman" w:hAnsi="Times New Roman" w:cs="Times New Roman"/>
        </w:rPr>
      </w:pPr>
      <w:bookmarkStart w:id="190" w:name="_Toc69297738"/>
      <w:r w:rsidRPr="00654E3B">
        <w:rPr>
          <w:rFonts w:ascii="Times New Roman" w:hAnsi="Times New Roman" w:cs="Times New Roman"/>
        </w:rPr>
        <w:t>3.3.</w:t>
      </w:r>
      <w:r w:rsidRPr="00654E3B">
        <w:rPr>
          <w:rFonts w:ascii="Times New Roman" w:hAnsi="Times New Roman" w:cs="Times New Roman"/>
        </w:rPr>
        <w:tab/>
        <w:t>TREND RAZVOJA</w:t>
      </w:r>
      <w:bookmarkEnd w:id="190"/>
    </w:p>
    <w:p w:rsidR="007D4A93" w:rsidRPr="00654E3B" w:rsidRDefault="00EF0BEB" w:rsidP="009F6651">
      <w:pPr>
        <w:pStyle w:val="Heading3"/>
      </w:pPr>
      <w:bookmarkStart w:id="191" w:name="_Toc69297739"/>
      <w:r w:rsidRPr="00654E3B">
        <w:t>3.3.1.</w:t>
      </w:r>
      <w:r w:rsidRPr="00654E3B">
        <w:tab/>
        <w:t>Makroekonomski parametri</w:t>
      </w:r>
      <w:bookmarkEnd w:id="191"/>
    </w:p>
    <w:p w:rsidR="007D4A93" w:rsidRPr="00654E3B" w:rsidRDefault="007D4A93">
      <w:pPr>
        <w:rPr>
          <w:rFonts w:cs="Times New Roman"/>
        </w:rPr>
      </w:pPr>
    </w:p>
    <w:p w:rsidR="007D4A93" w:rsidRPr="00654E3B" w:rsidRDefault="00EF0BEB">
      <w:pPr>
        <w:rPr>
          <w:rFonts w:cs="Times New Roman"/>
          <w:u w:val="single"/>
        </w:rPr>
      </w:pPr>
      <w:bookmarkStart w:id="192" w:name="_Toc475714725"/>
      <w:bookmarkStart w:id="193" w:name="_Toc475716138"/>
      <w:bookmarkStart w:id="194" w:name="_Toc476226512"/>
      <w:bookmarkStart w:id="195" w:name="_Toc477868479"/>
      <w:bookmarkStart w:id="196" w:name="_Toc478995877"/>
      <w:bookmarkStart w:id="197" w:name="_Toc484158981"/>
      <w:r w:rsidRPr="00654E3B">
        <w:rPr>
          <w:rFonts w:cs="Times New Roman"/>
          <w:u w:val="single"/>
        </w:rPr>
        <w:t>Broj stanovnika i stopa rasta bruto domaćeg proizvoda</w:t>
      </w:r>
      <w:bookmarkEnd w:id="192"/>
      <w:bookmarkEnd w:id="193"/>
      <w:bookmarkEnd w:id="194"/>
      <w:bookmarkEnd w:id="195"/>
      <w:bookmarkEnd w:id="196"/>
      <w:bookmarkEnd w:id="197"/>
    </w:p>
    <w:p w:rsidR="007D4A93" w:rsidRPr="00654E3B" w:rsidRDefault="00EF0BEB">
      <w:pPr>
        <w:rPr>
          <w:rFonts w:cs="Times New Roman"/>
        </w:rPr>
      </w:pPr>
      <w:r w:rsidRPr="00654E3B">
        <w:rPr>
          <w:rFonts w:cs="Times New Roman"/>
        </w:rPr>
        <w:t>Broj i sastav stanovništva prema različitim demografskim i socio-gospodarskim obilježjima</w:t>
      </w:r>
      <w:r w:rsidR="007D716D" w:rsidRPr="00654E3B">
        <w:rPr>
          <w:rFonts w:cs="Times New Roman"/>
        </w:rPr>
        <w:t>,</w:t>
      </w:r>
      <w:r w:rsidRPr="00654E3B">
        <w:rPr>
          <w:rFonts w:cs="Times New Roman"/>
        </w:rPr>
        <w:t xml:space="preserve"> čini temeljnu odrednicu sadašnjeg i predvidivog društvenog i gospodarskog rasta i razvoja. Stanovništvo je temeljni čimbenik koji svojom aktivnošću mijenja društvene, gospodarske, socijalne, kulturne, </w:t>
      </w:r>
      <w:r w:rsidRPr="00654E3B">
        <w:rPr>
          <w:rFonts w:cs="Times New Roman"/>
        </w:rPr>
        <w:lastRenderedPageBreak/>
        <w:t>psihološke i druge uvjete razvoja. Osobito je važno imati u vidu činjenicu da su demografski procesi po svojoj naravi dugoročni, koliko u nastajanju, toliko i po budućim učincima. U svrhu izrade projekcije potrošnje energije za potrebe izrade Energetske strategije</w:t>
      </w:r>
      <w:r w:rsidR="007D716D" w:rsidRPr="00654E3B">
        <w:rPr>
          <w:rFonts w:cs="Times New Roman"/>
        </w:rPr>
        <w:t>,</w:t>
      </w:r>
      <w:r w:rsidRPr="00654E3B">
        <w:rPr>
          <w:rFonts w:cs="Times New Roman"/>
        </w:rPr>
        <w:t xml:space="preserve"> kreirane su projekcije demografskih kretanja za Republiku Hrvatsku. Te su projekcije korištene i pri analizama u ne-energetskim sektorima.</w:t>
      </w:r>
    </w:p>
    <w:p w:rsidR="007D4A93" w:rsidRPr="00654E3B" w:rsidRDefault="00EF0BEB">
      <w:pPr>
        <w:rPr>
          <w:rFonts w:cs="Times New Roman"/>
          <w:szCs w:val="24"/>
        </w:rPr>
      </w:pPr>
      <w:r w:rsidRPr="00654E3B">
        <w:rPr>
          <w:rFonts w:cs="Times New Roman"/>
          <w:szCs w:val="24"/>
        </w:rPr>
        <w:t>Pretpostavke pri izradi projekcija demografskih kretanja uključuju:</w:t>
      </w:r>
    </w:p>
    <w:p w:rsidR="007D4A93" w:rsidRPr="00654E3B" w:rsidRDefault="00EF0BEB" w:rsidP="000C6795">
      <w:pPr>
        <w:pStyle w:val="ListParagraph"/>
        <w:numPr>
          <w:ilvl w:val="0"/>
          <w:numId w:val="14"/>
        </w:numPr>
        <w:rPr>
          <w:rFonts w:cs="Times New Roman"/>
          <w:szCs w:val="24"/>
        </w:rPr>
      </w:pPr>
      <w:r w:rsidRPr="00654E3B">
        <w:rPr>
          <w:rFonts w:cs="Times New Roman"/>
          <w:szCs w:val="24"/>
        </w:rPr>
        <w:t>Porast buduće totalne stope fertiliteta u skladu s najnovijom projekcijom Populacijskog odjela UN-a</w:t>
      </w:r>
      <w:r w:rsidR="007D716D" w:rsidRPr="00654E3B">
        <w:rPr>
          <w:rFonts w:cs="Times New Roman"/>
          <w:szCs w:val="24"/>
        </w:rPr>
        <w:t>,</w:t>
      </w:r>
    </w:p>
    <w:p w:rsidR="007D4A93" w:rsidRPr="00654E3B" w:rsidRDefault="00EF0BEB" w:rsidP="000C6795">
      <w:pPr>
        <w:pStyle w:val="ListParagraph"/>
        <w:numPr>
          <w:ilvl w:val="0"/>
          <w:numId w:val="14"/>
        </w:numPr>
        <w:rPr>
          <w:rFonts w:cs="Times New Roman"/>
          <w:szCs w:val="24"/>
        </w:rPr>
      </w:pPr>
      <w:r w:rsidRPr="00654E3B">
        <w:rPr>
          <w:rFonts w:cs="Times New Roman"/>
          <w:szCs w:val="24"/>
        </w:rPr>
        <w:t>Rast očekivanog trajanja života za oba spola</w:t>
      </w:r>
      <w:r w:rsidR="007D716D" w:rsidRPr="00654E3B">
        <w:rPr>
          <w:rFonts w:cs="Times New Roman"/>
          <w:szCs w:val="24"/>
        </w:rPr>
        <w:t>,</w:t>
      </w:r>
    </w:p>
    <w:p w:rsidR="007D4A93" w:rsidRPr="00654E3B" w:rsidRDefault="00EF0BEB" w:rsidP="000C6795">
      <w:pPr>
        <w:pStyle w:val="ListParagraph"/>
        <w:numPr>
          <w:ilvl w:val="0"/>
          <w:numId w:val="14"/>
        </w:numPr>
        <w:rPr>
          <w:rFonts w:cs="Times New Roman"/>
          <w:szCs w:val="24"/>
        </w:rPr>
      </w:pPr>
      <w:r w:rsidRPr="00654E3B">
        <w:rPr>
          <w:rFonts w:cs="Times New Roman"/>
          <w:szCs w:val="24"/>
        </w:rPr>
        <w:t>Usporavanje iseljavanja u inozemstvo. Nulte neto migracije od 2025.</w:t>
      </w:r>
      <w:r w:rsidR="007D716D" w:rsidRPr="00654E3B">
        <w:rPr>
          <w:rFonts w:cs="Times New Roman"/>
          <w:szCs w:val="24"/>
        </w:rPr>
        <w:t xml:space="preserve"> </w:t>
      </w:r>
      <w:r w:rsidRPr="00654E3B">
        <w:rPr>
          <w:rFonts w:cs="Times New Roman"/>
          <w:szCs w:val="24"/>
        </w:rPr>
        <w:t>godine za županije s visokom stopom emigracije, a od 2020. godine za županije s niskom stopom emigracije.</w:t>
      </w:r>
    </w:p>
    <w:p w:rsidR="007D4A93" w:rsidRPr="00654E3B" w:rsidRDefault="006D11DD">
      <w:pPr>
        <w:rPr>
          <w:rFonts w:cs="Times New Roman"/>
        </w:rPr>
      </w:pPr>
      <w:r w:rsidRPr="00654E3B">
        <w:rPr>
          <w:rFonts w:cs="Times New Roman"/>
        </w:rPr>
        <w:t>Stvarni podaci o b</w:t>
      </w:r>
      <w:r w:rsidR="00B75C99" w:rsidRPr="00654E3B">
        <w:rPr>
          <w:rFonts w:cs="Times New Roman"/>
        </w:rPr>
        <w:t>roj</w:t>
      </w:r>
      <w:r w:rsidRPr="00654E3B">
        <w:rPr>
          <w:rFonts w:cs="Times New Roman"/>
        </w:rPr>
        <w:t>u</w:t>
      </w:r>
      <w:r w:rsidR="00B75C99" w:rsidRPr="00654E3B">
        <w:rPr>
          <w:rFonts w:cs="Times New Roman"/>
        </w:rPr>
        <w:t xml:space="preserve"> stanovnika Republike Hrvatske, trenutno se </w:t>
      </w:r>
      <w:r w:rsidRPr="00654E3B">
        <w:rPr>
          <w:rFonts w:cs="Times New Roman"/>
        </w:rPr>
        <w:t xml:space="preserve">ostvaruju </w:t>
      </w:r>
      <w:r w:rsidR="00B75C99" w:rsidRPr="00654E3B">
        <w:rPr>
          <w:rFonts w:cs="Times New Roman"/>
        </w:rPr>
        <w:t>samo popisom stanovništva. Kad se uspostavi registar stanovništva Republike Hrvatske</w:t>
      </w:r>
      <w:r w:rsidR="007D716D" w:rsidRPr="00654E3B">
        <w:rPr>
          <w:rFonts w:cs="Times New Roman"/>
        </w:rPr>
        <w:t>,</w:t>
      </w:r>
      <w:r w:rsidR="00B75C99" w:rsidRPr="00654E3B">
        <w:rPr>
          <w:rFonts w:cs="Times New Roman"/>
        </w:rPr>
        <w:t xml:space="preserve"> bit će dostupni stvar</w:t>
      </w:r>
      <w:r w:rsidR="003229E7" w:rsidRPr="00654E3B">
        <w:rPr>
          <w:rFonts w:cs="Times New Roman"/>
        </w:rPr>
        <w:t>n</w:t>
      </w:r>
      <w:r w:rsidR="00B75C99" w:rsidRPr="00654E3B">
        <w:rPr>
          <w:rFonts w:cs="Times New Roman"/>
        </w:rPr>
        <w:t>i podaci o broju stanovništv</w:t>
      </w:r>
      <w:r w:rsidR="003229E7" w:rsidRPr="00654E3B">
        <w:rPr>
          <w:rFonts w:cs="Times New Roman"/>
        </w:rPr>
        <w:t>a te će se moći pratiti trendovi</w:t>
      </w:r>
      <w:r w:rsidR="00B75C99" w:rsidRPr="00654E3B">
        <w:rPr>
          <w:rFonts w:cs="Times New Roman"/>
        </w:rPr>
        <w:t xml:space="preserve"> i formirati valjane projekcije za budućnost. Demografske projekcije u obzir </w:t>
      </w:r>
      <w:r w:rsidR="003229E7" w:rsidRPr="00654E3B">
        <w:rPr>
          <w:rFonts w:cs="Times New Roman"/>
        </w:rPr>
        <w:t>uzimaju</w:t>
      </w:r>
      <w:r w:rsidR="00B75C99" w:rsidRPr="00654E3B">
        <w:rPr>
          <w:rFonts w:cs="Times New Roman"/>
        </w:rPr>
        <w:t xml:space="preserve"> ne samo prirodno već i mehaničko kretanje stanovništva.</w:t>
      </w:r>
      <w:r w:rsidR="003229E7" w:rsidRPr="00654E3B">
        <w:rPr>
          <w:rFonts w:cs="Times New Roman"/>
        </w:rPr>
        <w:t xml:space="preserve"> </w:t>
      </w:r>
      <w:r w:rsidR="00EF0BEB" w:rsidRPr="00654E3B">
        <w:rPr>
          <w:rFonts w:cs="Times New Roman"/>
        </w:rPr>
        <w:t>Rezultati projekcija stanovništva pokazuju značajan pad ukupnog broja stanovnika. Također, uz pad ukupnog broja stanovnika mijenja se i dobna struktura stanovništva prema sve manjem udjelu mladog (0-14 godina) stanovništva, stagnaciji ili blagom padu stanovništva u radnoj dobi (15-64) i konstantnom udjelu ili porastu stanovništva</w:t>
      </w:r>
      <w:r w:rsidR="00C62974" w:rsidRPr="00654E3B">
        <w:rPr>
          <w:rFonts w:cs="Times New Roman"/>
        </w:rPr>
        <w:t xml:space="preserve"> starije dobi</w:t>
      </w:r>
      <w:r w:rsidR="00EF0BEB" w:rsidRPr="00654E3B">
        <w:rPr>
          <w:rFonts w:cs="Times New Roman"/>
        </w:rPr>
        <w:t xml:space="preserve"> (65+). </w:t>
      </w:r>
    </w:p>
    <w:p w:rsidR="007D4A93" w:rsidRPr="00654E3B" w:rsidRDefault="00EF0BEB">
      <w:pPr>
        <w:rPr>
          <w:rFonts w:cs="Times New Roman"/>
        </w:rPr>
      </w:pPr>
      <w:r w:rsidRPr="00654E3B">
        <w:rPr>
          <w:rFonts w:cs="Times New Roman"/>
        </w:rPr>
        <w:t>Projekcije gospodarskih kretanja u razdoblju do 2050. godine uključuju projekcije bruto domaćeg proizvoda (</w:t>
      </w:r>
      <w:r w:rsidR="00060992" w:rsidRPr="00654E3B">
        <w:rPr>
          <w:rFonts w:cs="Times New Roman"/>
        </w:rPr>
        <w:t>u daljnjem tekstuu daljnjem tekstu</w:t>
      </w:r>
      <w:r w:rsidRPr="00654E3B">
        <w:rPr>
          <w:rFonts w:cs="Times New Roman"/>
        </w:rPr>
        <w:t>: BDP) i bruto dodane vrijednosti (</w:t>
      </w:r>
      <w:r w:rsidR="00060992" w:rsidRPr="00654E3B">
        <w:rPr>
          <w:rFonts w:cs="Times New Roman"/>
        </w:rPr>
        <w:t>u daljnjem tekstuu daljnjem tekstu</w:t>
      </w:r>
      <w:r w:rsidRPr="00654E3B">
        <w:rPr>
          <w:rFonts w:cs="Times New Roman"/>
        </w:rPr>
        <w:t>: BDV)</w:t>
      </w:r>
      <w:r w:rsidR="007D716D" w:rsidRPr="00654E3B">
        <w:rPr>
          <w:rFonts w:cs="Times New Roman"/>
        </w:rPr>
        <w:t xml:space="preserve">, </w:t>
      </w:r>
      <w:r w:rsidRPr="00654E3B">
        <w:rPr>
          <w:rFonts w:cs="Times New Roman"/>
        </w:rPr>
        <w:t>Republike Hrvatske po sektorima djelatnosti: industrija, poljoprivreda, promet, kućanstva, usluge (hoteli i restorani) i ostale usluge. Polazna godina za projekcije je 2016</w:t>
      </w:r>
      <w:r w:rsidR="007D716D" w:rsidRPr="00654E3B">
        <w:rPr>
          <w:rFonts w:cs="Times New Roman"/>
        </w:rPr>
        <w:t>-a</w:t>
      </w:r>
      <w:r w:rsidRPr="00654E3B">
        <w:rPr>
          <w:rFonts w:cs="Times New Roman"/>
        </w:rPr>
        <w:t>. Prognostičke vrijednosti za BDP prikazane su u stalnim cijenama iz 2010. godine (tablica 3-5). Kompletan opis nalazi se u Prilogu IV ove Strategije</w:t>
      </w:r>
      <w:r w:rsidR="007D716D" w:rsidRPr="00654E3B">
        <w:rPr>
          <w:rFonts w:cs="Times New Roman"/>
        </w:rPr>
        <w:t>.</w:t>
      </w:r>
    </w:p>
    <w:p w:rsidR="007D4A93" w:rsidRPr="00654E3B" w:rsidRDefault="00EF0BEB">
      <w:pPr>
        <w:pStyle w:val="Tablicanaslov"/>
        <w:spacing w:after="120"/>
        <w:rPr>
          <w:rFonts w:cs="Times New Roman"/>
          <w:i/>
          <w:sz w:val="22"/>
          <w:szCs w:val="22"/>
        </w:rPr>
      </w:pPr>
      <w:bookmarkStart w:id="198" w:name="_Toc33417114"/>
      <w:r w:rsidRPr="00654E3B">
        <w:rPr>
          <w:rFonts w:cs="Times New Roman"/>
          <w:i/>
          <w:sz w:val="22"/>
          <w:szCs w:val="22"/>
        </w:rPr>
        <w:t>Tablica 3-5: Projekcija ekonomskih parametara</w:t>
      </w:r>
      <w:bookmarkEnd w:id="198"/>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2"/>
        <w:gridCol w:w="964"/>
        <w:gridCol w:w="964"/>
        <w:gridCol w:w="964"/>
        <w:gridCol w:w="964"/>
        <w:gridCol w:w="964"/>
      </w:tblGrid>
      <w:tr w:rsidR="007D4A93" w:rsidRPr="00654E3B">
        <w:trPr>
          <w:trHeight w:val="397"/>
        </w:trPr>
        <w:tc>
          <w:tcPr>
            <w:tcW w:w="4252"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Ekonomski</w:t>
            </w:r>
            <w:r w:rsidRPr="00654E3B">
              <w:rPr>
                <w:rFonts w:cs="Times New Roman"/>
                <w:b/>
                <w:spacing w:val="46"/>
              </w:rPr>
              <w:t xml:space="preserve"> </w:t>
            </w:r>
            <w:r w:rsidRPr="00654E3B">
              <w:rPr>
                <w:rFonts w:cs="Times New Roman"/>
                <w:b/>
              </w:rPr>
              <w:t>parametri</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2016.</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2020.</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2030.</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2040.</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2050.</w:t>
            </w:r>
          </w:p>
        </w:tc>
      </w:tr>
      <w:tr w:rsidR="007D4A93" w:rsidRPr="00654E3B">
        <w:trPr>
          <w:trHeight w:val="397"/>
        </w:trPr>
        <w:tc>
          <w:tcPr>
            <w:tcW w:w="4252" w:type="dxa"/>
            <w:shd w:val="clear" w:color="auto" w:fill="F2F2F2" w:themeFill="background1" w:themeFillShade="F2"/>
            <w:vAlign w:val="center"/>
          </w:tcPr>
          <w:p w:rsidR="007D4A93" w:rsidRPr="00654E3B" w:rsidRDefault="007D4A93">
            <w:pPr>
              <w:keepNext/>
              <w:spacing w:line="240" w:lineRule="auto"/>
              <w:jc w:val="center"/>
              <w:rPr>
                <w:rFonts w:cs="Times New Roman"/>
              </w:rPr>
            </w:pPr>
          </w:p>
        </w:tc>
        <w:tc>
          <w:tcPr>
            <w:tcW w:w="4820" w:type="dxa"/>
            <w:gridSpan w:val="5"/>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Bazna produktivnost</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keepNext/>
              <w:spacing w:line="240" w:lineRule="auto"/>
              <w:jc w:val="left"/>
              <w:rPr>
                <w:rFonts w:cs="Times New Roman"/>
                <w:b/>
              </w:rPr>
            </w:pPr>
            <w:r w:rsidRPr="00654E3B">
              <w:rPr>
                <w:rFonts w:cs="Times New Roman"/>
              </w:rPr>
              <w:t>BDP, stalne cijene 2010., milijarde HRK</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335,902</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373,595</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408,987</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454,649</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520,277</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keepNext/>
              <w:spacing w:line="240" w:lineRule="auto"/>
              <w:jc w:val="left"/>
              <w:rPr>
                <w:rFonts w:cs="Times New Roman"/>
                <w:b/>
              </w:rPr>
            </w:pPr>
            <w:r w:rsidRPr="00654E3B">
              <w:rPr>
                <w:rFonts w:cs="Times New Roman"/>
              </w:rPr>
              <w:t>BDP, indeks 2016. = 100</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100,0</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111,2</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121,8</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135,4</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154,9</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BDP po stanovniku, stalne cijene 2010., tisuća HRK</w:t>
            </w:r>
          </w:p>
        </w:tc>
        <w:tc>
          <w:tcPr>
            <w:tcW w:w="964" w:type="dxa"/>
            <w:vAlign w:val="center"/>
          </w:tcPr>
          <w:p w:rsidR="007D4A93" w:rsidRPr="00654E3B" w:rsidRDefault="00EF0BEB">
            <w:pPr>
              <w:spacing w:line="240" w:lineRule="auto"/>
              <w:jc w:val="center"/>
              <w:rPr>
                <w:rFonts w:cs="Times New Roman"/>
              </w:rPr>
            </w:pPr>
            <w:r w:rsidRPr="00654E3B">
              <w:rPr>
                <w:rFonts w:cs="Times New Roman"/>
              </w:rPr>
              <w:t>82</w:t>
            </w:r>
          </w:p>
        </w:tc>
        <w:tc>
          <w:tcPr>
            <w:tcW w:w="964" w:type="dxa"/>
            <w:vAlign w:val="center"/>
          </w:tcPr>
          <w:p w:rsidR="007D4A93" w:rsidRPr="00654E3B" w:rsidRDefault="00EF0BEB">
            <w:pPr>
              <w:spacing w:line="240" w:lineRule="auto"/>
              <w:jc w:val="center"/>
              <w:rPr>
                <w:rFonts w:cs="Times New Roman"/>
              </w:rPr>
            </w:pPr>
            <w:r w:rsidRPr="00654E3B">
              <w:rPr>
                <w:rFonts w:cs="Times New Roman"/>
              </w:rPr>
              <w:t>94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109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129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158</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BDP po stanovniku, indeks 2016. = 100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100,0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114,4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132,9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157,1</w:t>
            </w:r>
          </w:p>
        </w:tc>
        <w:tc>
          <w:tcPr>
            <w:tcW w:w="964" w:type="dxa"/>
            <w:vAlign w:val="center"/>
          </w:tcPr>
          <w:p w:rsidR="007D4A93" w:rsidRPr="00654E3B" w:rsidRDefault="00EF0BEB">
            <w:pPr>
              <w:spacing w:line="240" w:lineRule="auto"/>
              <w:jc w:val="center"/>
              <w:rPr>
                <w:rFonts w:cs="Times New Roman"/>
              </w:rPr>
            </w:pPr>
            <w:r w:rsidRPr="00654E3B">
              <w:rPr>
                <w:rFonts w:cs="Times New Roman"/>
              </w:rPr>
              <w:t>192,7</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Broj stanovnika, u milijunima</w:t>
            </w:r>
          </w:p>
        </w:tc>
        <w:tc>
          <w:tcPr>
            <w:tcW w:w="964" w:type="dxa"/>
            <w:vAlign w:val="center"/>
          </w:tcPr>
          <w:p w:rsidR="007D4A93" w:rsidRPr="00654E3B" w:rsidRDefault="00EF0BEB">
            <w:pPr>
              <w:spacing w:line="240" w:lineRule="auto"/>
              <w:jc w:val="center"/>
              <w:rPr>
                <w:rFonts w:cs="Times New Roman"/>
              </w:rPr>
            </w:pPr>
            <w:r w:rsidRPr="00654E3B">
              <w:rPr>
                <w:rFonts w:cs="Times New Roman"/>
              </w:rPr>
              <w:t>4,099</w:t>
            </w:r>
          </w:p>
        </w:tc>
        <w:tc>
          <w:tcPr>
            <w:tcW w:w="964" w:type="dxa"/>
            <w:vAlign w:val="center"/>
          </w:tcPr>
          <w:p w:rsidR="007D4A93" w:rsidRPr="00654E3B" w:rsidRDefault="00EF0BEB">
            <w:pPr>
              <w:spacing w:line="240" w:lineRule="auto"/>
              <w:jc w:val="center"/>
              <w:rPr>
                <w:rFonts w:cs="Times New Roman"/>
              </w:rPr>
            </w:pPr>
            <w:r w:rsidRPr="00654E3B">
              <w:rPr>
                <w:rFonts w:cs="Times New Roman"/>
              </w:rPr>
              <w:t>3,984</w:t>
            </w:r>
          </w:p>
        </w:tc>
        <w:tc>
          <w:tcPr>
            <w:tcW w:w="964" w:type="dxa"/>
            <w:vAlign w:val="center"/>
          </w:tcPr>
          <w:p w:rsidR="007D4A93" w:rsidRPr="00654E3B" w:rsidRDefault="00EF0BEB">
            <w:pPr>
              <w:spacing w:line="240" w:lineRule="auto"/>
              <w:jc w:val="center"/>
              <w:rPr>
                <w:rFonts w:cs="Times New Roman"/>
              </w:rPr>
            </w:pPr>
            <w:r w:rsidRPr="00654E3B">
              <w:rPr>
                <w:rFonts w:cs="Times New Roman"/>
              </w:rPr>
              <w:t>3,755</w:t>
            </w:r>
          </w:p>
        </w:tc>
        <w:tc>
          <w:tcPr>
            <w:tcW w:w="964" w:type="dxa"/>
            <w:vAlign w:val="center"/>
          </w:tcPr>
          <w:p w:rsidR="007D4A93" w:rsidRPr="00654E3B" w:rsidRDefault="00EF0BEB">
            <w:pPr>
              <w:spacing w:line="240" w:lineRule="auto"/>
              <w:jc w:val="center"/>
              <w:rPr>
                <w:rFonts w:cs="Times New Roman"/>
              </w:rPr>
            </w:pPr>
            <w:r w:rsidRPr="00654E3B">
              <w:rPr>
                <w:rFonts w:cs="Times New Roman"/>
              </w:rPr>
              <w:t>3,532</w:t>
            </w:r>
          </w:p>
        </w:tc>
        <w:tc>
          <w:tcPr>
            <w:tcW w:w="964" w:type="dxa"/>
            <w:vAlign w:val="center"/>
          </w:tcPr>
          <w:p w:rsidR="007D4A93" w:rsidRPr="00654E3B" w:rsidRDefault="00EF0BEB">
            <w:pPr>
              <w:spacing w:line="240" w:lineRule="auto"/>
              <w:jc w:val="center"/>
              <w:rPr>
                <w:rFonts w:cs="Times New Roman"/>
              </w:rPr>
            </w:pPr>
            <w:r w:rsidRPr="00654E3B">
              <w:rPr>
                <w:rFonts w:cs="Times New Roman"/>
              </w:rPr>
              <w:t>3,295</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Broj zaposlenih, konstantna aktivnost, u milijunima</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1,550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1,559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1,434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1,315</w:t>
            </w:r>
          </w:p>
        </w:tc>
        <w:tc>
          <w:tcPr>
            <w:tcW w:w="964" w:type="dxa"/>
            <w:vAlign w:val="center"/>
          </w:tcPr>
          <w:p w:rsidR="007D4A93" w:rsidRPr="00654E3B" w:rsidRDefault="00EF0BEB">
            <w:pPr>
              <w:spacing w:line="240" w:lineRule="auto"/>
              <w:jc w:val="center"/>
              <w:rPr>
                <w:rFonts w:cs="Times New Roman"/>
              </w:rPr>
            </w:pPr>
            <w:r w:rsidRPr="00654E3B">
              <w:rPr>
                <w:rFonts w:cs="Times New Roman"/>
              </w:rPr>
              <w:t>1,191</w:t>
            </w:r>
          </w:p>
        </w:tc>
      </w:tr>
      <w:tr w:rsidR="007D4A93" w:rsidRPr="00654E3B">
        <w:trPr>
          <w:trHeight w:val="397"/>
        </w:trPr>
        <w:tc>
          <w:tcPr>
            <w:tcW w:w="4252" w:type="dxa"/>
            <w:shd w:val="clear" w:color="auto" w:fill="F2F2F2" w:themeFill="background1" w:themeFillShade="F2"/>
            <w:vAlign w:val="center"/>
          </w:tcPr>
          <w:p w:rsidR="007D4A93" w:rsidRPr="00654E3B" w:rsidRDefault="007D4A93">
            <w:pPr>
              <w:spacing w:line="240" w:lineRule="auto"/>
              <w:jc w:val="center"/>
              <w:rPr>
                <w:rFonts w:cs="Times New Roman"/>
              </w:rPr>
            </w:pPr>
          </w:p>
        </w:tc>
        <w:tc>
          <w:tcPr>
            <w:tcW w:w="4820" w:type="dxa"/>
            <w:gridSpan w:val="5"/>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Konvergencija produktivnosti</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rPr>
              <w:t>BDP, stalne cijene 2010., milijarde HRK</w:t>
            </w:r>
          </w:p>
        </w:tc>
        <w:tc>
          <w:tcPr>
            <w:tcW w:w="964" w:type="dxa"/>
            <w:vAlign w:val="center"/>
          </w:tcPr>
          <w:p w:rsidR="007D4A93" w:rsidRPr="00654E3B" w:rsidRDefault="00EF0BEB">
            <w:pPr>
              <w:spacing w:line="240" w:lineRule="auto"/>
              <w:jc w:val="center"/>
              <w:rPr>
                <w:rFonts w:cs="Times New Roman"/>
              </w:rPr>
            </w:pPr>
            <w:r w:rsidRPr="00654E3B">
              <w:rPr>
                <w:rFonts w:cs="Times New Roman"/>
              </w:rPr>
              <w:t>335,902</w:t>
            </w:r>
          </w:p>
        </w:tc>
        <w:tc>
          <w:tcPr>
            <w:tcW w:w="964" w:type="dxa"/>
            <w:vAlign w:val="center"/>
          </w:tcPr>
          <w:p w:rsidR="007D4A93" w:rsidRPr="00654E3B" w:rsidRDefault="00EF0BEB">
            <w:pPr>
              <w:spacing w:line="240" w:lineRule="auto"/>
              <w:jc w:val="center"/>
              <w:rPr>
                <w:rFonts w:cs="Times New Roman"/>
              </w:rPr>
            </w:pPr>
            <w:r w:rsidRPr="00654E3B">
              <w:rPr>
                <w:rFonts w:cs="Times New Roman"/>
              </w:rPr>
              <w:t>373,595</w:t>
            </w:r>
          </w:p>
        </w:tc>
        <w:tc>
          <w:tcPr>
            <w:tcW w:w="964" w:type="dxa"/>
            <w:vAlign w:val="center"/>
          </w:tcPr>
          <w:p w:rsidR="007D4A93" w:rsidRPr="00654E3B" w:rsidRDefault="00EF0BEB">
            <w:pPr>
              <w:spacing w:line="240" w:lineRule="auto"/>
              <w:jc w:val="center"/>
              <w:rPr>
                <w:rFonts w:cs="Times New Roman"/>
              </w:rPr>
            </w:pPr>
            <w:r w:rsidRPr="00654E3B">
              <w:rPr>
                <w:rFonts w:cs="Times New Roman"/>
              </w:rPr>
              <w:t>462,111</w:t>
            </w:r>
          </w:p>
        </w:tc>
        <w:tc>
          <w:tcPr>
            <w:tcW w:w="964" w:type="dxa"/>
            <w:vAlign w:val="center"/>
          </w:tcPr>
          <w:p w:rsidR="007D4A93" w:rsidRPr="00654E3B" w:rsidRDefault="00EF0BEB">
            <w:pPr>
              <w:spacing w:line="240" w:lineRule="auto"/>
              <w:jc w:val="center"/>
              <w:rPr>
                <w:rFonts w:cs="Times New Roman"/>
              </w:rPr>
            </w:pPr>
            <w:r w:rsidRPr="00654E3B">
              <w:rPr>
                <w:rFonts w:cs="Times New Roman"/>
              </w:rPr>
              <w:t>551,311</w:t>
            </w:r>
          </w:p>
        </w:tc>
        <w:tc>
          <w:tcPr>
            <w:tcW w:w="964" w:type="dxa"/>
            <w:vAlign w:val="center"/>
          </w:tcPr>
          <w:p w:rsidR="007D4A93" w:rsidRPr="00654E3B" w:rsidRDefault="00EF0BEB">
            <w:pPr>
              <w:spacing w:line="240" w:lineRule="auto"/>
              <w:jc w:val="center"/>
              <w:rPr>
                <w:rFonts w:cs="Times New Roman"/>
              </w:rPr>
            </w:pPr>
            <w:r w:rsidRPr="00654E3B">
              <w:rPr>
                <w:rFonts w:cs="Times New Roman"/>
              </w:rPr>
              <w:t>649,695</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rPr>
              <w:t>BDP, indeks 2016. = 100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100,0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111,2</w:t>
            </w:r>
          </w:p>
        </w:tc>
        <w:tc>
          <w:tcPr>
            <w:tcW w:w="964" w:type="dxa"/>
            <w:vAlign w:val="center"/>
          </w:tcPr>
          <w:p w:rsidR="007D4A93" w:rsidRPr="00654E3B" w:rsidRDefault="00EF0BEB">
            <w:pPr>
              <w:spacing w:line="240" w:lineRule="auto"/>
              <w:jc w:val="center"/>
              <w:rPr>
                <w:rFonts w:cs="Times New Roman"/>
              </w:rPr>
            </w:pPr>
            <w:r w:rsidRPr="00654E3B">
              <w:rPr>
                <w:rFonts w:cs="Times New Roman"/>
              </w:rPr>
              <w:t>137,6</w:t>
            </w:r>
          </w:p>
        </w:tc>
        <w:tc>
          <w:tcPr>
            <w:tcW w:w="964" w:type="dxa"/>
            <w:vAlign w:val="center"/>
          </w:tcPr>
          <w:p w:rsidR="007D4A93" w:rsidRPr="00654E3B" w:rsidRDefault="00EF0BEB">
            <w:pPr>
              <w:spacing w:line="240" w:lineRule="auto"/>
              <w:jc w:val="center"/>
              <w:rPr>
                <w:rFonts w:cs="Times New Roman"/>
              </w:rPr>
            </w:pPr>
            <w:r w:rsidRPr="00654E3B">
              <w:rPr>
                <w:rFonts w:cs="Times New Roman"/>
              </w:rPr>
              <w:t>164,1</w:t>
            </w:r>
          </w:p>
        </w:tc>
        <w:tc>
          <w:tcPr>
            <w:tcW w:w="964" w:type="dxa"/>
            <w:vAlign w:val="center"/>
          </w:tcPr>
          <w:p w:rsidR="007D4A93" w:rsidRPr="00654E3B" w:rsidRDefault="00EF0BEB">
            <w:pPr>
              <w:spacing w:line="240" w:lineRule="auto"/>
              <w:jc w:val="center"/>
              <w:rPr>
                <w:rFonts w:cs="Times New Roman"/>
              </w:rPr>
            </w:pPr>
            <w:r w:rsidRPr="00654E3B">
              <w:rPr>
                <w:rFonts w:cs="Times New Roman"/>
              </w:rPr>
              <w:t>193,4</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BDP po stanovniku, stalne cijene 2010., tisuća HRK</w:t>
            </w:r>
          </w:p>
        </w:tc>
        <w:tc>
          <w:tcPr>
            <w:tcW w:w="964" w:type="dxa"/>
            <w:vAlign w:val="center"/>
          </w:tcPr>
          <w:p w:rsidR="007D4A93" w:rsidRPr="00654E3B" w:rsidRDefault="00EF0BEB">
            <w:pPr>
              <w:spacing w:line="240" w:lineRule="auto"/>
              <w:jc w:val="center"/>
              <w:rPr>
                <w:rFonts w:cs="Times New Roman"/>
              </w:rPr>
            </w:pPr>
            <w:r w:rsidRPr="00654E3B">
              <w:rPr>
                <w:rFonts w:cs="Times New Roman"/>
              </w:rPr>
              <w:t>82</w:t>
            </w:r>
          </w:p>
        </w:tc>
        <w:tc>
          <w:tcPr>
            <w:tcW w:w="964" w:type="dxa"/>
            <w:vAlign w:val="center"/>
          </w:tcPr>
          <w:p w:rsidR="007D4A93" w:rsidRPr="00654E3B" w:rsidRDefault="00EF0BEB">
            <w:pPr>
              <w:spacing w:line="240" w:lineRule="auto"/>
              <w:jc w:val="center"/>
              <w:rPr>
                <w:rFonts w:cs="Times New Roman"/>
              </w:rPr>
            </w:pPr>
            <w:r w:rsidRPr="00654E3B">
              <w:rPr>
                <w:rFonts w:cs="Times New Roman"/>
              </w:rPr>
              <w:t>94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123</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156</w:t>
            </w:r>
          </w:p>
        </w:tc>
        <w:tc>
          <w:tcPr>
            <w:tcW w:w="964" w:type="dxa"/>
            <w:vAlign w:val="center"/>
          </w:tcPr>
          <w:p w:rsidR="007D4A93" w:rsidRPr="00654E3B" w:rsidRDefault="00EF0BEB">
            <w:pPr>
              <w:spacing w:line="240" w:lineRule="auto"/>
              <w:jc w:val="center"/>
              <w:rPr>
                <w:rFonts w:cs="Times New Roman"/>
              </w:rPr>
            </w:pPr>
            <w:r w:rsidRPr="00654E3B">
              <w:rPr>
                <w:rFonts w:cs="Times New Roman"/>
              </w:rPr>
              <w:t>197</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BDP po stanovniku, indeks 2016. = 100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100,0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114,4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150,2</w:t>
            </w:r>
          </w:p>
        </w:tc>
        <w:tc>
          <w:tcPr>
            <w:tcW w:w="964" w:type="dxa"/>
            <w:vAlign w:val="center"/>
          </w:tcPr>
          <w:p w:rsidR="007D4A93" w:rsidRPr="00654E3B" w:rsidRDefault="00EF0BEB">
            <w:pPr>
              <w:spacing w:line="240" w:lineRule="auto"/>
              <w:jc w:val="center"/>
              <w:rPr>
                <w:rFonts w:cs="Times New Roman"/>
              </w:rPr>
            </w:pPr>
            <w:r w:rsidRPr="00654E3B">
              <w:rPr>
                <w:rFonts w:cs="Times New Roman"/>
              </w:rPr>
              <w:t>190,5</w:t>
            </w:r>
          </w:p>
        </w:tc>
        <w:tc>
          <w:tcPr>
            <w:tcW w:w="964" w:type="dxa"/>
            <w:vAlign w:val="center"/>
          </w:tcPr>
          <w:p w:rsidR="007D4A93" w:rsidRPr="00654E3B" w:rsidRDefault="00EF0BEB">
            <w:pPr>
              <w:spacing w:line="240" w:lineRule="auto"/>
              <w:jc w:val="center"/>
              <w:rPr>
                <w:rFonts w:cs="Times New Roman"/>
              </w:rPr>
            </w:pPr>
            <w:r w:rsidRPr="00654E3B">
              <w:rPr>
                <w:rFonts w:cs="Times New Roman"/>
              </w:rPr>
              <w:t>240,6</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lastRenderedPageBreak/>
              <w:t>Broj stanovnika, u milijunima</w:t>
            </w:r>
          </w:p>
        </w:tc>
        <w:tc>
          <w:tcPr>
            <w:tcW w:w="964" w:type="dxa"/>
            <w:vAlign w:val="center"/>
          </w:tcPr>
          <w:p w:rsidR="007D4A93" w:rsidRPr="00654E3B" w:rsidRDefault="00EF0BEB">
            <w:pPr>
              <w:spacing w:line="240" w:lineRule="auto"/>
              <w:jc w:val="center"/>
              <w:rPr>
                <w:rFonts w:cs="Times New Roman"/>
              </w:rPr>
            </w:pPr>
            <w:r w:rsidRPr="00654E3B">
              <w:rPr>
                <w:rFonts w:cs="Times New Roman"/>
              </w:rPr>
              <w:t>4,099</w:t>
            </w:r>
          </w:p>
        </w:tc>
        <w:tc>
          <w:tcPr>
            <w:tcW w:w="964" w:type="dxa"/>
            <w:vAlign w:val="center"/>
          </w:tcPr>
          <w:p w:rsidR="007D4A93" w:rsidRPr="00654E3B" w:rsidRDefault="00EF0BEB">
            <w:pPr>
              <w:spacing w:line="240" w:lineRule="auto"/>
              <w:jc w:val="center"/>
              <w:rPr>
                <w:rFonts w:cs="Times New Roman"/>
              </w:rPr>
            </w:pPr>
            <w:r w:rsidRPr="00654E3B">
              <w:rPr>
                <w:rFonts w:cs="Times New Roman"/>
              </w:rPr>
              <w:t>3,984</w:t>
            </w:r>
          </w:p>
        </w:tc>
        <w:tc>
          <w:tcPr>
            <w:tcW w:w="964" w:type="dxa"/>
            <w:vAlign w:val="center"/>
          </w:tcPr>
          <w:p w:rsidR="007D4A93" w:rsidRPr="00654E3B" w:rsidRDefault="00EF0BEB">
            <w:pPr>
              <w:spacing w:line="240" w:lineRule="auto"/>
              <w:jc w:val="center"/>
              <w:rPr>
                <w:rFonts w:cs="Times New Roman"/>
              </w:rPr>
            </w:pPr>
            <w:r w:rsidRPr="00654E3B">
              <w:rPr>
                <w:rFonts w:cs="Times New Roman"/>
              </w:rPr>
              <w:t>3,755</w:t>
            </w:r>
          </w:p>
        </w:tc>
        <w:tc>
          <w:tcPr>
            <w:tcW w:w="964" w:type="dxa"/>
            <w:vAlign w:val="center"/>
          </w:tcPr>
          <w:p w:rsidR="007D4A93" w:rsidRPr="00654E3B" w:rsidRDefault="00EF0BEB">
            <w:pPr>
              <w:spacing w:line="240" w:lineRule="auto"/>
              <w:jc w:val="center"/>
              <w:rPr>
                <w:rFonts w:cs="Times New Roman"/>
              </w:rPr>
            </w:pPr>
            <w:r w:rsidRPr="00654E3B">
              <w:rPr>
                <w:rFonts w:cs="Times New Roman"/>
              </w:rPr>
              <w:t>3,532</w:t>
            </w:r>
          </w:p>
        </w:tc>
        <w:tc>
          <w:tcPr>
            <w:tcW w:w="964" w:type="dxa"/>
            <w:vAlign w:val="center"/>
          </w:tcPr>
          <w:p w:rsidR="007D4A93" w:rsidRPr="00654E3B" w:rsidRDefault="00EF0BEB">
            <w:pPr>
              <w:spacing w:line="240" w:lineRule="auto"/>
              <w:jc w:val="center"/>
              <w:rPr>
                <w:rFonts w:cs="Times New Roman"/>
              </w:rPr>
            </w:pPr>
            <w:r w:rsidRPr="00654E3B">
              <w:rPr>
                <w:rFonts w:cs="Times New Roman"/>
              </w:rPr>
              <w:t>3,295</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Broj zaposlenih, konstantna aktivnost, u milijunima</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1,550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1,576</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1,502</w:t>
            </w:r>
          </w:p>
        </w:tc>
        <w:tc>
          <w:tcPr>
            <w:tcW w:w="964" w:type="dxa"/>
            <w:vAlign w:val="center"/>
          </w:tcPr>
          <w:p w:rsidR="007D4A93" w:rsidRPr="00654E3B" w:rsidRDefault="00EF0BEB">
            <w:pPr>
              <w:spacing w:line="240" w:lineRule="auto"/>
              <w:jc w:val="center"/>
              <w:rPr>
                <w:rFonts w:cs="Times New Roman"/>
              </w:rPr>
            </w:pPr>
            <w:r w:rsidRPr="00654E3B">
              <w:rPr>
                <w:rFonts w:cs="Times New Roman"/>
              </w:rPr>
              <w:t>1,429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1,342</w:t>
            </w:r>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t>Scenarij konvergencije omogućava Republici Hrvatskoj da u određenoj mjeri smanji jaz u razvijenosti prema drugim članicama EU-a, iako ni ta brzina ne osigurava dostizanje prosjeka EU. Prema scenariju konvergencije predviđa se da će BDP u 2030. biti za 37,6</w:t>
      </w:r>
      <w:r w:rsidR="00060992" w:rsidRPr="00654E3B">
        <w:rPr>
          <w:rFonts w:cs="Times New Roman"/>
        </w:rPr>
        <w:t xml:space="preserve"> %</w:t>
      </w:r>
      <w:r w:rsidRPr="00654E3B">
        <w:rPr>
          <w:rFonts w:cs="Times New Roman"/>
        </w:rPr>
        <w:t xml:space="preserve"> veći nego u 2016.</w:t>
      </w:r>
      <w:r w:rsidR="007D716D" w:rsidRPr="00654E3B">
        <w:rPr>
          <w:rFonts w:cs="Times New Roman"/>
        </w:rPr>
        <w:t>,</w:t>
      </w:r>
      <w:r w:rsidRPr="00654E3B">
        <w:rPr>
          <w:rFonts w:cs="Times New Roman"/>
        </w:rPr>
        <w:t xml:space="preserve"> te za 93,4</w:t>
      </w:r>
      <w:r w:rsidR="00060992" w:rsidRPr="00654E3B">
        <w:rPr>
          <w:rFonts w:cs="Times New Roman"/>
        </w:rPr>
        <w:t xml:space="preserve"> %</w:t>
      </w:r>
      <w:r w:rsidRPr="00654E3B">
        <w:rPr>
          <w:rFonts w:cs="Times New Roman"/>
        </w:rPr>
        <w:t xml:space="preserve"> u 2050. godini. Pritom bi BDP po stanovniku iznosio 123.000 HRK u 2030. i 197.000 HRK u 2050. godini prema 82.000 HRK u 2016. godini.</w:t>
      </w:r>
    </w:p>
    <w:p w:rsidR="007D4A93" w:rsidRPr="00654E3B" w:rsidRDefault="00EF0BEB">
      <w:pPr>
        <w:rPr>
          <w:rFonts w:cs="Times New Roman"/>
          <w:u w:val="single"/>
        </w:rPr>
      </w:pPr>
      <w:r w:rsidRPr="00654E3B">
        <w:rPr>
          <w:rFonts w:cs="Times New Roman"/>
          <w:u w:val="single"/>
        </w:rPr>
        <w:t xml:space="preserve">Cijene goriva </w:t>
      </w:r>
    </w:p>
    <w:p w:rsidR="007D4A93" w:rsidRPr="00654E3B" w:rsidRDefault="00EF0BEB">
      <w:pPr>
        <w:rPr>
          <w:rFonts w:cs="Times New Roman"/>
        </w:rPr>
      </w:pPr>
      <w:r w:rsidRPr="00654E3B">
        <w:rPr>
          <w:rFonts w:cs="Times New Roman"/>
        </w:rPr>
        <w:t xml:space="preserve">Cijene fosilnih goriva do 2050. godine pretpostavljene su u skladu s predviđanjima Međunarodne agencije za energiju. </w:t>
      </w:r>
    </w:p>
    <w:p w:rsidR="007D4A93" w:rsidRPr="00654E3B" w:rsidRDefault="00EF0BEB">
      <w:pPr>
        <w:rPr>
          <w:rFonts w:cs="Times New Roman"/>
        </w:rPr>
      </w:pPr>
      <w:r w:rsidRPr="00654E3B">
        <w:rPr>
          <w:rFonts w:cs="Times New Roman"/>
        </w:rPr>
        <w:t>Cijene za razdoblje nakon 2040. godine su ekstrapolirane i za potrebe analize svedene na euro iz 2015. godine. Na slici 3-2 prikazana je razina tako pretpostavljenih cijena za fosilna goriva u EUR/GJ.</w:t>
      </w:r>
    </w:p>
    <w:p w:rsidR="007D4A93" w:rsidRPr="00654E3B" w:rsidRDefault="00EF0BEB">
      <w:pPr>
        <w:rPr>
          <w:rFonts w:cs="Times New Roman"/>
        </w:rPr>
      </w:pPr>
      <w:r w:rsidRPr="00654E3B">
        <w:rPr>
          <w:rFonts w:cs="Times New Roman"/>
        </w:rPr>
        <w:t>Za prirodni plin i za ugljen preuzete su cijene relevantne za područje EU-a. Za nuklearno gorivo pretpostavljena je nepromjenjiva cijena od 0,74 EUR/GJ, a za biomasu 4,6 EUR/GJ.</w:t>
      </w:r>
    </w:p>
    <w:p w:rsidR="007D4A93" w:rsidRPr="00F01191" w:rsidRDefault="00EF0BEB">
      <w:pPr>
        <w:pStyle w:val="Slika"/>
        <w:spacing w:before="120"/>
        <w:jc w:val="center"/>
        <w:rPr>
          <w:rFonts w:ascii="Times New Roman" w:eastAsia="Calibri" w:hAnsi="Times New Roman"/>
        </w:rPr>
      </w:pPr>
      <w:bookmarkStart w:id="199" w:name="_Toc484158369"/>
      <w:bookmarkStart w:id="200" w:name="_Toc33417100"/>
      <w:r w:rsidRPr="00F01191">
        <w:rPr>
          <w:rFonts w:ascii="Times New Roman" w:eastAsia="Calibri" w:hAnsi="Times New Roman"/>
          <w:noProof/>
          <w:lang w:eastAsia="hr-HR"/>
        </w:rPr>
        <w:drawing>
          <wp:inline distT="0" distB="0" distL="0" distR="0" wp14:anchorId="58996052" wp14:editId="0F1108BA">
            <wp:extent cx="4255008" cy="2176272"/>
            <wp:effectExtent l="0" t="0" r="0" b="0"/>
            <wp:docPr id="1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jpg"/>
                    <pic:cNvPicPr>
                      <a:picLocks noChangeAspect="1"/>
                    </pic:cNvPicPr>
                  </pic:nvPicPr>
                  <pic:blipFill>
                    <a:blip r:embed="rId19"/>
                    <a:stretch/>
                  </pic:blipFill>
                  <pic:spPr bwMode="auto">
                    <a:xfrm>
                      <a:off x="0" y="0"/>
                      <a:ext cx="4255008" cy="2176272"/>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eastAsia="Calibri" w:hAnsi="Times New Roman"/>
          <w:i/>
        </w:rPr>
        <w:t>Slika 3-2: Projekcije kretanja cijena fosilnih goriva</w:t>
      </w:r>
      <w:bookmarkEnd w:id="199"/>
      <w:r w:rsidRPr="00654E3B">
        <w:rPr>
          <w:rFonts w:ascii="Times New Roman" w:eastAsia="Calibri" w:hAnsi="Times New Roman"/>
          <w:i/>
        </w:rPr>
        <w:t xml:space="preserve"> do 2050. godine</w:t>
      </w:r>
      <w:bookmarkEnd w:id="200"/>
    </w:p>
    <w:p w:rsidR="007D4A93" w:rsidRPr="00654E3B" w:rsidRDefault="00EF0BEB">
      <w:pPr>
        <w:rPr>
          <w:rFonts w:cs="Times New Roman"/>
          <w:u w:val="single"/>
        </w:rPr>
      </w:pPr>
      <w:r w:rsidRPr="00654E3B">
        <w:rPr>
          <w:rFonts w:cs="Times New Roman"/>
          <w:u w:val="single"/>
        </w:rPr>
        <w:t>Cijene na tržištu električne energije</w:t>
      </w:r>
    </w:p>
    <w:p w:rsidR="007D4A93" w:rsidRPr="00654E3B" w:rsidRDefault="00EF0BEB">
      <w:pPr>
        <w:rPr>
          <w:rFonts w:cs="Times New Roman"/>
        </w:rPr>
      </w:pPr>
      <w:r w:rsidRPr="00654E3B">
        <w:rPr>
          <w:rFonts w:cs="Times New Roman"/>
        </w:rPr>
        <w:t>Ukupne potrebe za električnom energijom u Republici Hrvatskoj velikim dijelom se osiguravaju iz uvoza te su cijene električne energije važan ulazni parametar u dugoročnim analizama. Za očekivati je da će se trend uvoza nastaviti u narednih 5-10 godina i da će ovisiti o cijenama, koje</w:t>
      </w:r>
      <w:r w:rsidR="00AA755C" w:rsidRPr="00654E3B">
        <w:rPr>
          <w:rFonts w:cs="Times New Roman"/>
        </w:rPr>
        <w:t xml:space="preserve"> će rasti, a</w:t>
      </w:r>
      <w:r w:rsidRPr="00654E3B">
        <w:rPr>
          <w:rFonts w:cs="Times New Roman"/>
        </w:rPr>
        <w:t xml:space="preserve"> izravno</w:t>
      </w:r>
      <w:r w:rsidR="00AA755C" w:rsidRPr="00654E3B">
        <w:rPr>
          <w:rFonts w:cs="Times New Roman"/>
        </w:rPr>
        <w:t xml:space="preserve"> su</w:t>
      </w:r>
      <w:r w:rsidRPr="00654E3B">
        <w:rPr>
          <w:rFonts w:cs="Times New Roman"/>
        </w:rPr>
        <w:t xml:space="preserve"> povezane s raspoloživim količinama na tržištu.</w:t>
      </w:r>
    </w:p>
    <w:p w:rsidR="007D4A93" w:rsidRPr="00654E3B" w:rsidRDefault="00EF0BEB">
      <w:pPr>
        <w:rPr>
          <w:rFonts w:cs="Times New Roman"/>
        </w:rPr>
      </w:pPr>
      <w:r w:rsidRPr="00654E3B">
        <w:rPr>
          <w:rFonts w:cs="Times New Roman"/>
        </w:rPr>
        <w:t>Za potrebe provedenih analiza</w:t>
      </w:r>
      <w:r w:rsidR="007D716D" w:rsidRPr="00654E3B">
        <w:rPr>
          <w:rFonts w:cs="Times New Roman"/>
        </w:rPr>
        <w:t>,</w:t>
      </w:r>
      <w:r w:rsidRPr="00654E3B">
        <w:rPr>
          <w:rFonts w:cs="Times New Roman"/>
        </w:rPr>
        <w:t xml:space="preserve"> pretpostavljeno je da će u razdoblju do 2030. godine na raspolaganju biti dovoljne količine električne energije za potrebe pokrivanja potreba u hrvatskom elektroenergetskom sustavu, a da će dugoročno (do 2050. godine), ukupna godišnja neto razmjena sa susjednim sustavima biti u ravnoteži. </w:t>
      </w:r>
    </w:p>
    <w:p w:rsidR="007D4A93" w:rsidRPr="00654E3B" w:rsidRDefault="00EF0BEB">
      <w:pPr>
        <w:rPr>
          <w:rFonts w:cs="Times New Roman"/>
          <w:sz w:val="32"/>
          <w:u w:val="single"/>
        </w:rPr>
      </w:pPr>
      <w:r w:rsidRPr="00654E3B">
        <w:rPr>
          <w:rFonts w:cs="Times New Roman"/>
          <w:u w:val="single"/>
        </w:rPr>
        <w:t>Cijene emisijskih jedinica u ETS-u</w:t>
      </w:r>
      <w:r w:rsidRPr="00654E3B">
        <w:rPr>
          <w:rFonts w:cs="Times New Roman"/>
          <w:sz w:val="32"/>
          <w:u w:val="single"/>
        </w:rPr>
        <w:t xml:space="preserve"> </w:t>
      </w:r>
    </w:p>
    <w:p w:rsidR="007D4A93" w:rsidRPr="00654E3B" w:rsidRDefault="00EF0BEB">
      <w:pPr>
        <w:rPr>
          <w:rFonts w:cs="Times New Roman"/>
        </w:rPr>
      </w:pPr>
      <w:r w:rsidRPr="00654E3B">
        <w:rPr>
          <w:rFonts w:cs="Times New Roman"/>
        </w:rPr>
        <w:t xml:space="preserve">Trend porasta cijena emisijskih jedinica </w:t>
      </w:r>
      <w:r w:rsidR="00C62974" w:rsidRPr="00654E3B">
        <w:rPr>
          <w:rFonts w:cs="Times New Roman"/>
        </w:rPr>
        <w:t>u</w:t>
      </w:r>
      <w:r w:rsidRPr="00654E3B">
        <w:rPr>
          <w:rFonts w:cs="Times New Roman"/>
        </w:rPr>
        <w:t xml:space="preserve"> </w:t>
      </w:r>
      <w:r w:rsidR="001367B3" w:rsidRPr="00654E3B">
        <w:rPr>
          <w:rFonts w:cs="Times New Roman"/>
        </w:rPr>
        <w:t xml:space="preserve">EU </w:t>
      </w:r>
      <w:r w:rsidRPr="00654E3B">
        <w:rPr>
          <w:rFonts w:cs="Times New Roman"/>
        </w:rPr>
        <w:t>ETS sustav</w:t>
      </w:r>
      <w:r w:rsidR="00C62974" w:rsidRPr="00654E3B">
        <w:rPr>
          <w:rFonts w:cs="Times New Roman"/>
        </w:rPr>
        <w:t>u</w:t>
      </w:r>
      <w:r w:rsidRPr="00654E3B">
        <w:rPr>
          <w:rFonts w:cs="Times New Roman"/>
        </w:rPr>
        <w:t xml:space="preserve"> preuzet</w:t>
      </w:r>
      <w:r w:rsidR="007D716D" w:rsidRPr="00654E3B">
        <w:rPr>
          <w:rFonts w:cs="Times New Roman"/>
        </w:rPr>
        <w:t xml:space="preserve"> je</w:t>
      </w:r>
      <w:r w:rsidRPr="00654E3B">
        <w:rPr>
          <w:rFonts w:cs="Times New Roman"/>
        </w:rPr>
        <w:t xml:space="preserve"> iz EU Referentnog scenarija 2016. U tom modelu cijene emisijskih jedinica su proizašle kao endogene veličine modeliranja sustava, kao posljedica trenda smanjenja ukupne kvote</w:t>
      </w:r>
      <w:r w:rsidR="001367B3" w:rsidRPr="00654E3B">
        <w:rPr>
          <w:rFonts w:cs="Times New Roman"/>
        </w:rPr>
        <w:t xml:space="preserve"> EU</w:t>
      </w:r>
      <w:r w:rsidRPr="00654E3B">
        <w:rPr>
          <w:rFonts w:cs="Times New Roman"/>
        </w:rPr>
        <w:t xml:space="preserve"> ETS-a (kvota se smanjuje za 1,74</w:t>
      </w:r>
      <w:r w:rsidR="00060992" w:rsidRPr="00654E3B">
        <w:rPr>
          <w:rFonts w:cs="Times New Roman"/>
        </w:rPr>
        <w:t xml:space="preserve"> %</w:t>
      </w:r>
      <w:r w:rsidRPr="00654E3B">
        <w:rPr>
          <w:rFonts w:cs="Times New Roman"/>
        </w:rPr>
        <w:t xml:space="preserve"> godišnje do 2020. </w:t>
      </w:r>
      <w:r w:rsidRPr="00654E3B">
        <w:rPr>
          <w:rFonts w:cs="Times New Roman"/>
        </w:rPr>
        <w:lastRenderedPageBreak/>
        <w:t>godine, zatim 2,2</w:t>
      </w:r>
      <w:r w:rsidR="00060992" w:rsidRPr="00654E3B">
        <w:rPr>
          <w:rFonts w:cs="Times New Roman"/>
        </w:rPr>
        <w:t xml:space="preserve"> %</w:t>
      </w:r>
      <w:r w:rsidRPr="00654E3B">
        <w:rPr>
          <w:rFonts w:cs="Times New Roman"/>
        </w:rPr>
        <w:t xml:space="preserve"> godišnje do 2030. godine). Porast cijene je gotovo konstantan do 2040. godine, </w:t>
      </w:r>
      <w:r w:rsidR="00A70575" w:rsidRPr="00654E3B">
        <w:rPr>
          <w:rFonts w:cs="Times New Roman"/>
        </w:rPr>
        <w:t xml:space="preserve">a </w:t>
      </w:r>
      <w:r w:rsidR="001367B3" w:rsidRPr="00654E3B">
        <w:rPr>
          <w:rFonts w:cs="Times New Roman"/>
        </w:rPr>
        <w:t>zatim</w:t>
      </w:r>
      <w:r w:rsidRPr="00654E3B">
        <w:rPr>
          <w:rFonts w:cs="Times New Roman"/>
        </w:rPr>
        <w:t xml:space="preserve"> se povećava do 2050. godine. Ovaj trend porasta treba shvatiti kao snažnu smjernicu za individualno planiranje u svakom investicijskom zahvatu.  </w:t>
      </w:r>
    </w:p>
    <w:p w:rsidR="007D4A93" w:rsidRPr="00654E3B" w:rsidRDefault="00EF0BEB">
      <w:pPr>
        <w:rPr>
          <w:rFonts w:cs="Times New Roman"/>
        </w:rPr>
      </w:pPr>
      <w:r w:rsidRPr="00654E3B">
        <w:rPr>
          <w:rFonts w:cs="Times New Roman"/>
        </w:rPr>
        <w:t>Osnovne cijene izražene su u eurima iz 2013. godine. U tablici 3-7 dodatno su prikazane i cijene izražene u eurima iz 2016. godine (vrijednosti koje se također navode u dokumentima EK). Trenutne cijene na tržištu pokazuju i veće vrijednosti od onih preporučenih od strane EK. Temeljem takvih kretanja procijenjena je alternativna putanja cijena do 2030. godine, svedena</w:t>
      </w:r>
      <w:r w:rsidR="00AA755C" w:rsidRPr="00654E3B">
        <w:rPr>
          <w:rFonts w:cs="Times New Roman"/>
        </w:rPr>
        <w:t xml:space="preserve"> </w:t>
      </w:r>
      <w:r w:rsidRPr="00654E3B">
        <w:rPr>
          <w:rFonts w:cs="Times New Roman"/>
        </w:rPr>
        <w:t>na euro iz 2015. godine. Ove vrijednosti korištene su u analizama za optimiranje sustava proizvodnje električne energije (tablica 3-7).</w:t>
      </w:r>
    </w:p>
    <w:p w:rsidR="007D4A93" w:rsidRPr="00654E3B" w:rsidRDefault="00EF0BEB">
      <w:pPr>
        <w:pStyle w:val="Tablicanaslov"/>
        <w:spacing w:after="120"/>
        <w:rPr>
          <w:rFonts w:cs="Times New Roman"/>
          <w:i/>
          <w:sz w:val="22"/>
          <w:szCs w:val="22"/>
        </w:rPr>
      </w:pPr>
      <w:bookmarkStart w:id="201" w:name="_Toc484158406"/>
      <w:bookmarkStart w:id="202" w:name="_Toc33417116"/>
      <w:r w:rsidRPr="00654E3B">
        <w:rPr>
          <w:rFonts w:cs="Times New Roman"/>
          <w:i/>
          <w:sz w:val="22"/>
          <w:szCs w:val="22"/>
        </w:rPr>
        <w:t xml:space="preserve">Tablica 3-7: Cijene emisijskih jedinica u </w:t>
      </w:r>
      <w:r w:rsidR="001367B3" w:rsidRPr="00654E3B">
        <w:rPr>
          <w:rFonts w:cs="Times New Roman"/>
          <w:i/>
          <w:sz w:val="22"/>
          <w:szCs w:val="22"/>
        </w:rPr>
        <w:t xml:space="preserve">EU </w:t>
      </w:r>
      <w:r w:rsidRPr="00654E3B">
        <w:rPr>
          <w:rFonts w:cs="Times New Roman"/>
          <w:i/>
          <w:sz w:val="22"/>
          <w:szCs w:val="22"/>
        </w:rPr>
        <w:t>ETS-u</w:t>
      </w:r>
      <w:bookmarkEnd w:id="201"/>
      <w:bookmarkEnd w:id="202"/>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18"/>
        <w:gridCol w:w="850"/>
        <w:gridCol w:w="850"/>
        <w:gridCol w:w="850"/>
        <w:gridCol w:w="850"/>
        <w:gridCol w:w="850"/>
        <w:gridCol w:w="850"/>
        <w:gridCol w:w="850"/>
      </w:tblGrid>
      <w:tr w:rsidR="007D4A93" w:rsidRPr="00654E3B">
        <w:trPr>
          <w:trHeight w:val="397"/>
        </w:trPr>
        <w:tc>
          <w:tcPr>
            <w:tcW w:w="3118" w:type="dxa"/>
            <w:shd w:val="clear" w:color="auto" w:fill="F2F2F2" w:themeFill="background1" w:themeFillShade="F2"/>
            <w:vAlign w:val="center"/>
          </w:tcPr>
          <w:p w:rsidR="007D4A93" w:rsidRPr="00654E3B" w:rsidRDefault="007D4A93">
            <w:pPr>
              <w:spacing w:line="240" w:lineRule="auto"/>
              <w:jc w:val="left"/>
              <w:rPr>
                <w:rFonts w:cs="Times New Roman"/>
              </w:rPr>
            </w:pP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2015.</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2020.</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2025.</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2030.</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2035.</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2040.</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2050.</w:t>
            </w:r>
          </w:p>
        </w:tc>
      </w:tr>
      <w:tr w:rsidR="007D4A93" w:rsidRPr="00654E3B">
        <w:trPr>
          <w:trHeight w:val="397"/>
        </w:trPr>
        <w:tc>
          <w:tcPr>
            <w:tcW w:w="3118" w:type="dxa"/>
            <w:shd w:val="clear" w:color="auto" w:fill="F2F2F2" w:themeFill="background1" w:themeFillShade="F2"/>
            <w:vAlign w:val="center"/>
          </w:tcPr>
          <w:p w:rsidR="007D4A93" w:rsidRPr="00654E3B" w:rsidRDefault="00EF0BEB">
            <w:pPr>
              <w:spacing w:line="240" w:lineRule="auto"/>
              <w:jc w:val="left"/>
              <w:rPr>
                <w:rFonts w:cs="Times New Roman"/>
                <w:b/>
                <w:bCs/>
                <w:spacing w:val="-1"/>
              </w:rPr>
            </w:pPr>
            <w:r w:rsidRPr="00654E3B">
              <w:rPr>
                <w:rFonts w:cs="Times New Roman"/>
                <w:b/>
              </w:rPr>
              <w:t>EUR'13/t CO</w:t>
            </w:r>
            <w:r w:rsidRPr="00654E3B">
              <w:rPr>
                <w:rFonts w:cs="Times New Roman"/>
                <w:b/>
                <w:vertAlign w:val="subscript"/>
              </w:rPr>
              <w:t>2</w:t>
            </w:r>
            <w:r w:rsidRPr="00654E3B">
              <w:rPr>
                <w:rFonts w:cs="Times New Roman"/>
                <w:b/>
              </w:rPr>
              <w:t>e</w:t>
            </w:r>
          </w:p>
        </w:tc>
        <w:tc>
          <w:tcPr>
            <w:tcW w:w="850" w:type="dxa"/>
            <w:vAlign w:val="center"/>
          </w:tcPr>
          <w:p w:rsidR="007D4A93" w:rsidRPr="00654E3B" w:rsidRDefault="00EF0BEB">
            <w:pPr>
              <w:spacing w:line="240" w:lineRule="auto"/>
              <w:jc w:val="center"/>
              <w:rPr>
                <w:rFonts w:cs="Times New Roman"/>
              </w:rPr>
            </w:pPr>
            <w:r w:rsidRPr="00654E3B">
              <w:rPr>
                <w:rFonts w:cs="Times New Roman"/>
              </w:rPr>
              <w:t>7,0</w:t>
            </w:r>
          </w:p>
        </w:tc>
        <w:tc>
          <w:tcPr>
            <w:tcW w:w="850" w:type="dxa"/>
            <w:vAlign w:val="center"/>
          </w:tcPr>
          <w:p w:rsidR="007D4A93" w:rsidRPr="00654E3B" w:rsidRDefault="00EF0BEB">
            <w:pPr>
              <w:spacing w:line="240" w:lineRule="auto"/>
              <w:jc w:val="center"/>
              <w:rPr>
                <w:rFonts w:cs="Times New Roman"/>
              </w:rPr>
            </w:pPr>
            <w:r w:rsidRPr="00654E3B">
              <w:rPr>
                <w:rFonts w:cs="Times New Roman"/>
              </w:rPr>
              <w:t>15,0</w:t>
            </w:r>
          </w:p>
        </w:tc>
        <w:tc>
          <w:tcPr>
            <w:tcW w:w="850" w:type="dxa"/>
            <w:vAlign w:val="center"/>
          </w:tcPr>
          <w:p w:rsidR="007D4A93" w:rsidRPr="00654E3B" w:rsidRDefault="00EF0BEB">
            <w:pPr>
              <w:spacing w:line="240" w:lineRule="auto"/>
              <w:jc w:val="center"/>
              <w:rPr>
                <w:rFonts w:cs="Times New Roman"/>
              </w:rPr>
            </w:pPr>
            <w:r w:rsidRPr="00654E3B">
              <w:rPr>
                <w:rFonts w:cs="Times New Roman"/>
              </w:rPr>
              <w:t>22,5</w:t>
            </w:r>
          </w:p>
        </w:tc>
        <w:tc>
          <w:tcPr>
            <w:tcW w:w="850" w:type="dxa"/>
            <w:vAlign w:val="center"/>
          </w:tcPr>
          <w:p w:rsidR="007D4A93" w:rsidRPr="00654E3B" w:rsidRDefault="00EF0BEB">
            <w:pPr>
              <w:spacing w:line="240" w:lineRule="auto"/>
              <w:jc w:val="center"/>
              <w:rPr>
                <w:rFonts w:cs="Times New Roman"/>
              </w:rPr>
            </w:pPr>
            <w:r w:rsidRPr="00654E3B">
              <w:rPr>
                <w:rFonts w:cs="Times New Roman"/>
              </w:rPr>
              <w:t>33,5</w:t>
            </w:r>
          </w:p>
        </w:tc>
        <w:tc>
          <w:tcPr>
            <w:tcW w:w="850" w:type="dxa"/>
            <w:vAlign w:val="center"/>
          </w:tcPr>
          <w:p w:rsidR="007D4A93" w:rsidRPr="00654E3B" w:rsidRDefault="00EF0BEB">
            <w:pPr>
              <w:spacing w:line="240" w:lineRule="auto"/>
              <w:jc w:val="center"/>
              <w:rPr>
                <w:rFonts w:cs="Times New Roman"/>
              </w:rPr>
            </w:pPr>
            <w:r w:rsidRPr="00654E3B">
              <w:rPr>
                <w:rFonts w:cs="Times New Roman"/>
              </w:rPr>
              <w:t>42,0</w:t>
            </w:r>
          </w:p>
        </w:tc>
        <w:tc>
          <w:tcPr>
            <w:tcW w:w="850" w:type="dxa"/>
            <w:vAlign w:val="center"/>
          </w:tcPr>
          <w:p w:rsidR="007D4A93" w:rsidRPr="00654E3B" w:rsidRDefault="00EF0BEB">
            <w:pPr>
              <w:spacing w:line="240" w:lineRule="auto"/>
              <w:jc w:val="center"/>
              <w:rPr>
                <w:rFonts w:cs="Times New Roman"/>
              </w:rPr>
            </w:pPr>
            <w:r w:rsidRPr="00654E3B">
              <w:rPr>
                <w:rFonts w:eastAsia="MS Mincho" w:cs="Times New Roman"/>
              </w:rPr>
              <w:t>50,0</w:t>
            </w:r>
          </w:p>
        </w:tc>
        <w:tc>
          <w:tcPr>
            <w:tcW w:w="850" w:type="dxa"/>
            <w:vAlign w:val="center"/>
          </w:tcPr>
          <w:p w:rsidR="007D4A93" w:rsidRPr="00654E3B" w:rsidRDefault="00EF0BEB">
            <w:pPr>
              <w:spacing w:line="240" w:lineRule="auto"/>
              <w:jc w:val="center"/>
              <w:rPr>
                <w:rFonts w:cs="Times New Roman"/>
              </w:rPr>
            </w:pPr>
            <w:r w:rsidRPr="00654E3B">
              <w:rPr>
                <w:rFonts w:cs="Times New Roman"/>
              </w:rPr>
              <w:t>90,0</w:t>
            </w:r>
          </w:p>
        </w:tc>
      </w:tr>
      <w:tr w:rsidR="007D4A93" w:rsidRPr="00654E3B">
        <w:trPr>
          <w:trHeight w:val="397"/>
        </w:trPr>
        <w:tc>
          <w:tcPr>
            <w:tcW w:w="3118" w:type="dxa"/>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b/>
              </w:rPr>
              <w:t>EUR'16/t CO</w:t>
            </w:r>
            <w:r w:rsidRPr="00654E3B">
              <w:rPr>
                <w:rFonts w:cs="Times New Roman"/>
                <w:b/>
                <w:vertAlign w:val="subscript"/>
              </w:rPr>
              <w:t>2</w:t>
            </w:r>
            <w:r w:rsidRPr="00654E3B">
              <w:rPr>
                <w:rFonts w:cs="Times New Roman"/>
                <w:b/>
              </w:rPr>
              <w:t>e</w:t>
            </w:r>
          </w:p>
        </w:tc>
        <w:tc>
          <w:tcPr>
            <w:tcW w:w="850" w:type="dxa"/>
            <w:vAlign w:val="center"/>
          </w:tcPr>
          <w:p w:rsidR="007D4A93" w:rsidRPr="00654E3B" w:rsidRDefault="00EF0BEB">
            <w:pPr>
              <w:spacing w:line="240" w:lineRule="auto"/>
              <w:jc w:val="center"/>
              <w:rPr>
                <w:rFonts w:cs="Times New Roman"/>
              </w:rPr>
            </w:pPr>
            <w:r w:rsidRPr="00654E3B">
              <w:rPr>
                <w:rFonts w:cs="Times New Roman"/>
              </w:rPr>
              <w:t>7,8</w:t>
            </w:r>
          </w:p>
        </w:tc>
        <w:tc>
          <w:tcPr>
            <w:tcW w:w="850" w:type="dxa"/>
            <w:vAlign w:val="center"/>
          </w:tcPr>
          <w:p w:rsidR="007D4A93" w:rsidRPr="00654E3B" w:rsidRDefault="00EF0BEB">
            <w:pPr>
              <w:spacing w:line="240" w:lineRule="auto"/>
              <w:jc w:val="center"/>
              <w:rPr>
                <w:rFonts w:cs="Times New Roman"/>
              </w:rPr>
            </w:pPr>
            <w:r w:rsidRPr="00654E3B">
              <w:rPr>
                <w:rFonts w:cs="Times New Roman"/>
              </w:rPr>
              <w:t>15,5</w:t>
            </w:r>
          </w:p>
        </w:tc>
        <w:tc>
          <w:tcPr>
            <w:tcW w:w="850" w:type="dxa"/>
            <w:vAlign w:val="center"/>
          </w:tcPr>
          <w:p w:rsidR="007D4A93" w:rsidRPr="00654E3B" w:rsidRDefault="00EF0BEB">
            <w:pPr>
              <w:spacing w:line="240" w:lineRule="auto"/>
              <w:jc w:val="center"/>
              <w:rPr>
                <w:rFonts w:cs="Times New Roman"/>
              </w:rPr>
            </w:pPr>
            <w:r w:rsidRPr="00654E3B">
              <w:rPr>
                <w:rFonts w:cs="Times New Roman"/>
              </w:rPr>
              <w:t>23,3</w:t>
            </w:r>
          </w:p>
        </w:tc>
        <w:tc>
          <w:tcPr>
            <w:tcW w:w="850" w:type="dxa"/>
            <w:vAlign w:val="center"/>
          </w:tcPr>
          <w:p w:rsidR="007D4A93" w:rsidRPr="00654E3B" w:rsidRDefault="00EF0BEB">
            <w:pPr>
              <w:spacing w:line="240" w:lineRule="auto"/>
              <w:jc w:val="center"/>
              <w:rPr>
                <w:rFonts w:cs="Times New Roman"/>
              </w:rPr>
            </w:pPr>
            <w:r w:rsidRPr="00654E3B">
              <w:rPr>
                <w:rFonts w:cs="Times New Roman"/>
              </w:rPr>
              <w:t>34,7</w:t>
            </w:r>
          </w:p>
        </w:tc>
        <w:tc>
          <w:tcPr>
            <w:tcW w:w="850" w:type="dxa"/>
            <w:vAlign w:val="center"/>
          </w:tcPr>
          <w:p w:rsidR="007D4A93" w:rsidRPr="00654E3B" w:rsidRDefault="00EF0BEB">
            <w:pPr>
              <w:spacing w:line="240" w:lineRule="auto"/>
              <w:jc w:val="center"/>
              <w:rPr>
                <w:rFonts w:cs="Times New Roman"/>
              </w:rPr>
            </w:pPr>
            <w:r w:rsidRPr="00654E3B">
              <w:rPr>
                <w:rFonts w:cs="Times New Roman"/>
              </w:rPr>
              <w:t>43,5</w:t>
            </w:r>
          </w:p>
        </w:tc>
        <w:tc>
          <w:tcPr>
            <w:tcW w:w="850" w:type="dxa"/>
            <w:vAlign w:val="center"/>
          </w:tcPr>
          <w:p w:rsidR="007D4A93" w:rsidRPr="00654E3B" w:rsidRDefault="00EF0BEB">
            <w:pPr>
              <w:spacing w:line="240" w:lineRule="auto"/>
              <w:jc w:val="center"/>
              <w:rPr>
                <w:rFonts w:cs="Times New Roman"/>
              </w:rPr>
            </w:pPr>
            <w:r w:rsidRPr="00654E3B">
              <w:rPr>
                <w:rFonts w:cs="Times New Roman"/>
              </w:rPr>
              <w:t>51,7</w:t>
            </w:r>
          </w:p>
        </w:tc>
        <w:tc>
          <w:tcPr>
            <w:tcW w:w="850" w:type="dxa"/>
            <w:vAlign w:val="center"/>
          </w:tcPr>
          <w:p w:rsidR="007D4A93" w:rsidRPr="00654E3B" w:rsidRDefault="00EF0BEB">
            <w:pPr>
              <w:spacing w:line="240" w:lineRule="auto"/>
              <w:jc w:val="center"/>
              <w:rPr>
                <w:rFonts w:cs="Times New Roman"/>
              </w:rPr>
            </w:pPr>
            <w:r w:rsidRPr="00654E3B">
              <w:rPr>
                <w:rFonts w:cs="Times New Roman"/>
              </w:rPr>
              <w:t>93,1</w:t>
            </w:r>
          </w:p>
        </w:tc>
      </w:tr>
      <w:tr w:rsidR="007D4A93" w:rsidRPr="00654E3B">
        <w:trPr>
          <w:trHeight w:val="397"/>
        </w:trPr>
        <w:tc>
          <w:tcPr>
            <w:tcW w:w="3118" w:type="dxa"/>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b/>
              </w:rPr>
              <w:t>Korekcija povijesnih cijena EUR'15/t CO</w:t>
            </w:r>
            <w:r w:rsidRPr="00654E3B">
              <w:rPr>
                <w:rFonts w:cs="Times New Roman"/>
                <w:b/>
                <w:vertAlign w:val="subscript"/>
              </w:rPr>
              <w:t>2</w:t>
            </w:r>
            <w:r w:rsidRPr="00654E3B">
              <w:rPr>
                <w:rFonts w:cs="Times New Roman"/>
                <w:b/>
              </w:rPr>
              <w:t>e</w:t>
            </w:r>
          </w:p>
        </w:tc>
        <w:tc>
          <w:tcPr>
            <w:tcW w:w="850" w:type="dxa"/>
            <w:vAlign w:val="center"/>
          </w:tcPr>
          <w:p w:rsidR="007D4A93" w:rsidRPr="00654E3B" w:rsidRDefault="00EF0BEB">
            <w:pPr>
              <w:spacing w:line="240" w:lineRule="auto"/>
              <w:jc w:val="center"/>
              <w:rPr>
                <w:rFonts w:cs="Times New Roman"/>
              </w:rPr>
            </w:pPr>
            <w:r w:rsidRPr="00654E3B">
              <w:rPr>
                <w:rFonts w:cs="Times New Roman"/>
              </w:rPr>
              <w:t>7,7</w:t>
            </w:r>
          </w:p>
        </w:tc>
        <w:tc>
          <w:tcPr>
            <w:tcW w:w="850" w:type="dxa"/>
            <w:vAlign w:val="center"/>
          </w:tcPr>
          <w:p w:rsidR="007D4A93" w:rsidRPr="00654E3B" w:rsidRDefault="00EF0BEB">
            <w:pPr>
              <w:spacing w:line="240" w:lineRule="auto"/>
              <w:jc w:val="center"/>
              <w:rPr>
                <w:rFonts w:cs="Times New Roman"/>
              </w:rPr>
            </w:pPr>
            <w:r w:rsidRPr="00654E3B">
              <w:rPr>
                <w:rFonts w:cs="Times New Roman"/>
              </w:rPr>
              <w:t>25,6</w:t>
            </w:r>
          </w:p>
        </w:tc>
        <w:tc>
          <w:tcPr>
            <w:tcW w:w="850" w:type="dxa"/>
            <w:vAlign w:val="center"/>
          </w:tcPr>
          <w:p w:rsidR="007D4A93" w:rsidRPr="00654E3B" w:rsidRDefault="00EF0BEB">
            <w:pPr>
              <w:spacing w:line="240" w:lineRule="auto"/>
              <w:jc w:val="center"/>
              <w:rPr>
                <w:rFonts w:cs="Times New Roman"/>
              </w:rPr>
            </w:pPr>
            <w:r w:rsidRPr="00654E3B">
              <w:rPr>
                <w:rFonts w:cs="Times New Roman"/>
              </w:rPr>
              <w:t>29,9</w:t>
            </w:r>
          </w:p>
        </w:tc>
        <w:tc>
          <w:tcPr>
            <w:tcW w:w="850" w:type="dxa"/>
            <w:vAlign w:val="center"/>
          </w:tcPr>
          <w:p w:rsidR="007D4A93" w:rsidRPr="00654E3B" w:rsidRDefault="00EF0BEB">
            <w:pPr>
              <w:spacing w:line="240" w:lineRule="auto"/>
              <w:jc w:val="center"/>
              <w:rPr>
                <w:rFonts w:cs="Times New Roman"/>
              </w:rPr>
            </w:pPr>
            <w:r w:rsidRPr="00654E3B">
              <w:rPr>
                <w:rFonts w:cs="Times New Roman"/>
              </w:rPr>
              <w:t>34,3</w:t>
            </w:r>
          </w:p>
        </w:tc>
        <w:tc>
          <w:tcPr>
            <w:tcW w:w="850" w:type="dxa"/>
            <w:vAlign w:val="center"/>
          </w:tcPr>
          <w:p w:rsidR="007D4A93" w:rsidRPr="00654E3B" w:rsidRDefault="00EF0BEB">
            <w:pPr>
              <w:spacing w:line="240" w:lineRule="auto"/>
              <w:jc w:val="center"/>
              <w:rPr>
                <w:rFonts w:cs="Times New Roman"/>
              </w:rPr>
            </w:pPr>
            <w:r w:rsidRPr="00654E3B">
              <w:rPr>
                <w:rFonts w:cs="Times New Roman"/>
              </w:rPr>
              <w:t>43,0</w:t>
            </w:r>
          </w:p>
        </w:tc>
        <w:tc>
          <w:tcPr>
            <w:tcW w:w="850" w:type="dxa"/>
            <w:vAlign w:val="center"/>
          </w:tcPr>
          <w:p w:rsidR="007D4A93" w:rsidRPr="00654E3B" w:rsidRDefault="00EF0BEB">
            <w:pPr>
              <w:spacing w:line="240" w:lineRule="auto"/>
              <w:jc w:val="center"/>
              <w:rPr>
                <w:rFonts w:cs="Times New Roman"/>
              </w:rPr>
            </w:pPr>
            <w:r w:rsidRPr="00654E3B">
              <w:rPr>
                <w:rFonts w:cs="Times New Roman"/>
              </w:rPr>
              <w:t>51,1</w:t>
            </w:r>
          </w:p>
        </w:tc>
        <w:tc>
          <w:tcPr>
            <w:tcW w:w="850" w:type="dxa"/>
            <w:vAlign w:val="center"/>
          </w:tcPr>
          <w:p w:rsidR="007D4A93" w:rsidRPr="00654E3B" w:rsidRDefault="00EF0BEB">
            <w:pPr>
              <w:spacing w:line="240" w:lineRule="auto"/>
              <w:jc w:val="center"/>
              <w:rPr>
                <w:rFonts w:cs="Times New Roman"/>
              </w:rPr>
            </w:pPr>
            <w:r w:rsidRPr="00654E3B">
              <w:rPr>
                <w:rFonts w:cs="Times New Roman"/>
              </w:rPr>
              <w:t>92,1</w:t>
            </w:r>
          </w:p>
        </w:tc>
      </w:tr>
    </w:tbl>
    <w:p w:rsidR="00AB40C9" w:rsidRPr="00654E3B" w:rsidRDefault="00AB40C9" w:rsidP="00AB40C9">
      <w:pPr>
        <w:rPr>
          <w:rFonts w:cs="Times New Roman"/>
        </w:rPr>
      </w:pPr>
      <w:bookmarkStart w:id="203" w:name="_Toc20841300"/>
      <w:bookmarkStart w:id="204" w:name="_Toc20841406"/>
    </w:p>
    <w:p w:rsidR="007D4A93" w:rsidRPr="00654E3B" w:rsidRDefault="00EF0BEB" w:rsidP="009F6651">
      <w:pPr>
        <w:pStyle w:val="Heading3"/>
      </w:pPr>
      <w:bookmarkStart w:id="205" w:name="_Toc69297740"/>
      <w:r w:rsidRPr="00654E3B">
        <w:t>3.3.2.</w:t>
      </w:r>
      <w:r w:rsidRPr="00654E3B">
        <w:tab/>
        <w:t>Utvrđivanje scenarija</w:t>
      </w:r>
      <w:bookmarkEnd w:id="205"/>
    </w:p>
    <w:p w:rsidR="007D4A93" w:rsidRPr="00654E3B" w:rsidRDefault="007D4A93">
      <w:pPr>
        <w:rPr>
          <w:rFonts w:cs="Times New Roman"/>
        </w:rPr>
      </w:pPr>
    </w:p>
    <w:p w:rsidR="007D4A93" w:rsidRPr="00654E3B" w:rsidRDefault="00EF0BEB">
      <w:pPr>
        <w:rPr>
          <w:rFonts w:cs="Times New Roman"/>
        </w:rPr>
      </w:pPr>
      <w:r w:rsidRPr="00654E3B">
        <w:rPr>
          <w:rFonts w:cs="Times New Roman"/>
        </w:rPr>
        <w:t>Veliki broj čimbenika određuje konstrukciju i odabir scenarija, ovdje se navode neki važniji:</w:t>
      </w:r>
    </w:p>
    <w:p w:rsidR="007D4A93" w:rsidRPr="00654E3B" w:rsidRDefault="00EF0BEB" w:rsidP="000C6795">
      <w:pPr>
        <w:pStyle w:val="ListParagraph"/>
        <w:numPr>
          <w:ilvl w:val="0"/>
          <w:numId w:val="15"/>
        </w:numPr>
        <w:rPr>
          <w:rFonts w:cs="Times New Roman"/>
        </w:rPr>
      </w:pPr>
      <w:r w:rsidRPr="00654E3B">
        <w:rPr>
          <w:rFonts w:cs="Times New Roman"/>
        </w:rPr>
        <w:t>nužnost kompatibilnosti s postojećim trendovima i politikom</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 xml:space="preserve">postizanje ciljeva koje </w:t>
      </w:r>
      <w:r w:rsidR="00A70575" w:rsidRPr="00654E3B">
        <w:rPr>
          <w:rFonts w:cs="Times New Roman"/>
        </w:rPr>
        <w:t xml:space="preserve">EU </w:t>
      </w:r>
      <w:r w:rsidRPr="00654E3B">
        <w:rPr>
          <w:rFonts w:cs="Times New Roman"/>
        </w:rPr>
        <w:t xml:space="preserve">postavlja </w:t>
      </w:r>
      <w:r w:rsidR="00A70575" w:rsidRPr="00654E3B">
        <w:rPr>
          <w:rFonts w:cs="Times New Roman"/>
        </w:rPr>
        <w:t>z</w:t>
      </w:r>
      <w:r w:rsidRPr="00654E3B">
        <w:rPr>
          <w:rFonts w:cs="Times New Roman"/>
        </w:rPr>
        <w:t>a pojedine</w:t>
      </w:r>
      <w:r w:rsidR="00A70575" w:rsidRPr="00654E3B">
        <w:rPr>
          <w:rFonts w:cs="Times New Roman"/>
        </w:rPr>
        <w:t xml:space="preserve"> države</w:t>
      </w:r>
      <w:r w:rsidRPr="00654E3B">
        <w:rPr>
          <w:rFonts w:cs="Times New Roman"/>
        </w:rPr>
        <w:t xml:space="preserve"> članice: ukupnog cilja smanjenj</w:t>
      </w:r>
      <w:r w:rsidR="00A70575" w:rsidRPr="00654E3B">
        <w:rPr>
          <w:rFonts w:cs="Times New Roman"/>
        </w:rPr>
        <w:t>a</w:t>
      </w:r>
      <w:r w:rsidRPr="00654E3B">
        <w:rPr>
          <w:rFonts w:cs="Times New Roman"/>
        </w:rPr>
        <w:t xml:space="preserve"> emisij</w:t>
      </w:r>
      <w:r w:rsidR="00A70575" w:rsidRPr="00654E3B">
        <w:rPr>
          <w:rFonts w:cs="Times New Roman"/>
        </w:rPr>
        <w:t>a</w:t>
      </w:r>
      <w:r w:rsidRPr="00654E3B">
        <w:rPr>
          <w:rFonts w:cs="Times New Roman"/>
        </w:rPr>
        <w:t>, smanjenje emisij</w:t>
      </w:r>
      <w:r w:rsidR="00A70575" w:rsidRPr="00654E3B">
        <w:rPr>
          <w:rFonts w:cs="Times New Roman"/>
        </w:rPr>
        <w:t>a</w:t>
      </w:r>
      <w:r w:rsidRPr="00654E3B">
        <w:rPr>
          <w:rFonts w:cs="Times New Roman"/>
        </w:rPr>
        <w:t xml:space="preserve"> u sektorima izvan ETS-a, udio obnovljivih izvora energije i energetske učinkovitosti</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nacionalni ciljevi iz važećih strategija i planova po sektorima</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raspoloživost tehnologija</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troškovi i koristi</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ispunjenje cilja sigurnosti opskrbe energijom i jačanje gospodarstva, te ostalih ciljeva koji su utvrđeni u Poglavlju 1.2. ove Strategije.</w:t>
      </w:r>
    </w:p>
    <w:p w:rsidR="007D4A93" w:rsidRPr="00654E3B" w:rsidRDefault="00EF0BEB">
      <w:pPr>
        <w:rPr>
          <w:rFonts w:cs="Times New Roman"/>
        </w:rPr>
      </w:pPr>
      <w:r w:rsidRPr="00654E3B">
        <w:rPr>
          <w:rFonts w:cs="Times New Roman"/>
        </w:rPr>
        <w:t>Scenariji predstavljaju kombinacije različitih mjera s različitom 'dubinom' primjene pojedinih mjera. U scenarijima, za razdoblje do 2030. godine okvir je provedbeno jasniji, a nakon 2030. godine mnogo je otvorenih pitanja i pretpostavki. Rezultate koji se odnose na razdoblje nakon 2030. godine treba prihvatiti kroz takvu prizmu promatranja.</w:t>
      </w:r>
    </w:p>
    <w:p w:rsidR="007D4A93" w:rsidRPr="00654E3B" w:rsidRDefault="00EF0BEB">
      <w:pPr>
        <w:rPr>
          <w:rFonts w:cs="Times New Roman"/>
        </w:rPr>
      </w:pPr>
      <w:r w:rsidRPr="00654E3B">
        <w:rPr>
          <w:rFonts w:cs="Times New Roman"/>
        </w:rPr>
        <w:t xml:space="preserve">U nastavku se prikazuju tri scenarija koji predstavljaju sintezu niza analiziranih scenarija, odnosno prezentiraju širi raspon njima bliskih scenarija, to su: </w:t>
      </w:r>
      <w:r w:rsidRPr="00654E3B">
        <w:rPr>
          <w:rFonts w:cs="Times New Roman"/>
          <w:b/>
        </w:rPr>
        <w:t>referentni scenarij (NUR), scenarij postupne tranzicije (NU1) i scenarij snažne tranzicije (NU2)</w:t>
      </w:r>
      <w:r w:rsidRPr="00654E3B">
        <w:rPr>
          <w:rFonts w:cs="Times New Roman"/>
        </w:rPr>
        <w:t xml:space="preserve">. Prema uobičajenom obilježavanju, na način kako se izvještava za potrebe UNFCCC-a, ovdje utvrđeni referentni scenarij pripada kategoriji scenarija 's mjerama' (eng. </w:t>
      </w:r>
      <w:r w:rsidRPr="00654E3B">
        <w:rPr>
          <w:rFonts w:cs="Times New Roman"/>
          <w:i/>
        </w:rPr>
        <w:t>With Existing Measures – WEM</w:t>
      </w:r>
      <w:r w:rsidRPr="00654E3B">
        <w:rPr>
          <w:rFonts w:cs="Times New Roman"/>
        </w:rPr>
        <w:t xml:space="preserve">), a scenariji postupne i snažne tranzicije pripadaju kategoriji scenarija 's dodatnim mjerama' (eng. </w:t>
      </w:r>
      <w:r w:rsidRPr="00654E3B">
        <w:rPr>
          <w:rFonts w:cs="Times New Roman"/>
          <w:i/>
        </w:rPr>
        <w:t>With Additional Measures – WAM</w:t>
      </w:r>
      <w:r w:rsidRPr="00654E3B">
        <w:rPr>
          <w:rFonts w:cs="Times New Roman"/>
        </w:rPr>
        <w:t>).  Na slici 3-3 prikazani su odnosi među scenarijima, shematski veličina kruga približno predstavlja emisiju u 2016. i 2050. godini.</w:t>
      </w:r>
    </w:p>
    <w:p w:rsidR="007D4A93" w:rsidRPr="00F01191" w:rsidRDefault="00EF0BEB">
      <w:pPr>
        <w:pStyle w:val="Slika"/>
        <w:spacing w:before="120"/>
        <w:jc w:val="center"/>
        <w:rPr>
          <w:rFonts w:ascii="Times New Roman" w:eastAsia="Calibri" w:hAnsi="Times New Roman"/>
        </w:rPr>
      </w:pPr>
      <w:bookmarkStart w:id="206" w:name="_Toc484158370"/>
      <w:bookmarkStart w:id="207" w:name="_Toc33417101"/>
      <w:r w:rsidRPr="00F01191">
        <w:rPr>
          <w:rFonts w:ascii="Times New Roman" w:eastAsia="Calibri" w:hAnsi="Times New Roman"/>
          <w:noProof/>
          <w:lang w:eastAsia="hr-HR"/>
        </w:rPr>
        <w:lastRenderedPageBreak/>
        <w:drawing>
          <wp:inline distT="0" distB="0" distL="0" distR="0" wp14:anchorId="1B88805E" wp14:editId="5EB163D9">
            <wp:extent cx="3657917" cy="1774090"/>
            <wp:effectExtent l="0" t="0" r="0" b="0"/>
            <wp:docPr id="1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png"/>
                    <pic:cNvPicPr>
                      <a:picLocks noChangeAspect="1"/>
                    </pic:cNvPicPr>
                  </pic:nvPicPr>
                  <pic:blipFill>
                    <a:blip r:embed="rId20"/>
                    <a:stretch/>
                  </pic:blipFill>
                  <pic:spPr bwMode="auto">
                    <a:xfrm>
                      <a:off x="0" y="0"/>
                      <a:ext cx="3657916" cy="1774090"/>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eastAsia="Calibri" w:hAnsi="Times New Roman"/>
          <w:i/>
        </w:rPr>
        <w:t>Slika 3-3: Niskougljični scenariji NU1 i NU2</w:t>
      </w:r>
      <w:bookmarkEnd w:id="206"/>
      <w:bookmarkEnd w:id="207"/>
    </w:p>
    <w:p w:rsidR="007D4A93" w:rsidRPr="00654E3B" w:rsidRDefault="00EF0BEB">
      <w:pPr>
        <w:rPr>
          <w:rFonts w:cs="Times New Roman"/>
        </w:rPr>
      </w:pPr>
      <w:r w:rsidRPr="00654E3B">
        <w:rPr>
          <w:rFonts w:cs="Times New Roman"/>
          <w:b/>
        </w:rPr>
        <w:t>Referentni scenarij NUR</w:t>
      </w:r>
      <w:r w:rsidRPr="00654E3B">
        <w:rPr>
          <w:rFonts w:cs="Times New Roman"/>
        </w:rPr>
        <w:t xml:space="preserve"> uključuje postojeći pravni okvir Republike Hrvatske i usvojen pravni okvir EU te simulaciju mjera koje bi se ostvarile tehnološkim napretkom bez politika ublažavanja klimatskih promjena. Referentni scenarij </w:t>
      </w:r>
      <w:r w:rsidRPr="00654E3B">
        <w:rPr>
          <w:rFonts w:cs="Times New Roman"/>
          <w:u w:val="single"/>
        </w:rPr>
        <w:t>nije scenarij 'zamrznutog stanja'</w:t>
      </w:r>
      <w:r w:rsidRPr="00654E3B">
        <w:rPr>
          <w:rFonts w:cs="Times New Roman"/>
        </w:rPr>
        <w:t xml:space="preserve">, već pretpostavlja razvoj tehnologija i njihovo korištenje. U odnosu na niskougljične scenarije za dostizanje ciljeva, to je scenarij s </w:t>
      </w:r>
      <w:r w:rsidR="00982D90" w:rsidRPr="00654E3B">
        <w:rPr>
          <w:rFonts w:cs="Times New Roman"/>
        </w:rPr>
        <w:t xml:space="preserve">blažim povećanjem udjela </w:t>
      </w:r>
      <w:r w:rsidRPr="00654E3B">
        <w:rPr>
          <w:rFonts w:cs="Times New Roman"/>
        </w:rPr>
        <w:t>obnovljivih izvora energije i energetske učinkovitosti zbog odsustva snažne poticajne politike niskougljičnih rješenja, osobito potrebnih nakon 2030. godine. Strategije, planovi i programi koji su doneseni, a još ih ne prate provedbeni propisi, nisu uključeni u referentni scenarij. Scenarij se u svom energetskom dijelu temelji na scenariju S0 iz Energetske strategije. Kompletan opis mjera nalazi se u Prilogu I ove Strategije.</w:t>
      </w:r>
    </w:p>
    <w:p w:rsidR="007D4A93" w:rsidRPr="00654E3B" w:rsidRDefault="00EF0BEB">
      <w:pPr>
        <w:rPr>
          <w:rFonts w:cs="Times New Roman"/>
        </w:rPr>
      </w:pPr>
      <w:r w:rsidRPr="00654E3B">
        <w:rPr>
          <w:rFonts w:cs="Times New Roman"/>
          <w:b/>
        </w:rPr>
        <w:t>Scenarij postupne tranzicije NU1</w:t>
      </w:r>
      <w:r w:rsidRPr="00654E3B">
        <w:rPr>
          <w:rFonts w:cs="Times New Roman"/>
        </w:rPr>
        <w:t xml:space="preserve"> dimenzioniran </w:t>
      </w:r>
      <w:r w:rsidR="007D716D" w:rsidRPr="00654E3B">
        <w:rPr>
          <w:rFonts w:cs="Times New Roman"/>
        </w:rPr>
        <w:t xml:space="preserve">je </w:t>
      </w:r>
      <w:r w:rsidRPr="00654E3B">
        <w:rPr>
          <w:rFonts w:cs="Times New Roman"/>
        </w:rPr>
        <w:t>tako da se sigurno ispune ciljevi smanjenja emisije</w:t>
      </w:r>
      <w:r w:rsidR="007D716D" w:rsidRPr="00654E3B">
        <w:rPr>
          <w:rFonts w:cs="Times New Roman"/>
        </w:rPr>
        <w:t>,</w:t>
      </w:r>
      <w:r w:rsidRPr="00654E3B">
        <w:rPr>
          <w:rFonts w:cs="Times New Roman"/>
        </w:rPr>
        <w:t xml:space="preserve"> koj</w:t>
      </w:r>
      <w:r w:rsidR="004328E1" w:rsidRPr="00654E3B">
        <w:rPr>
          <w:rFonts w:cs="Times New Roman"/>
        </w:rPr>
        <w:t>i</w:t>
      </w:r>
      <w:r w:rsidRPr="00654E3B">
        <w:rPr>
          <w:rFonts w:cs="Times New Roman"/>
        </w:rPr>
        <w:t xml:space="preserve"> bi mogli biti obveza u okviru interne sheme obveza EU i s tim u vezi ciljevi međunarodnog dugoročnog dogovora da se porast temperature održi unutar 2°C, a po mogućnosti i unutar 1,5°C. U ovom scenariju smanjenje emisije se postiže primjenom niza troškovno učinkovitih mjera, snažnim poticanjem energetske učinkovitosti i primjeni obnovljivih izvora energije koji bi, u proizvodnji električne energije, nakon 2030. godine mogli velikim dijelom biti potpuno tržišno konkurentni. Scenarij pretpostavlja snažan rast cijena </w:t>
      </w:r>
      <w:r w:rsidR="002A48C9" w:rsidRPr="00654E3B">
        <w:rPr>
          <w:rFonts w:cs="Times New Roman"/>
        </w:rPr>
        <w:t>emisijskih jedinica</w:t>
      </w:r>
      <w:r w:rsidRPr="00654E3B">
        <w:rPr>
          <w:rFonts w:cs="Times New Roman"/>
        </w:rPr>
        <w:t>, do 92,1 EUR/t CO</w:t>
      </w:r>
      <w:r w:rsidRPr="00654E3B">
        <w:rPr>
          <w:rFonts w:cs="Times New Roman"/>
          <w:vertAlign w:val="subscript"/>
        </w:rPr>
        <w:t>2</w:t>
      </w:r>
      <w:r w:rsidRPr="00654E3B">
        <w:rPr>
          <w:rFonts w:cs="Times New Roman"/>
        </w:rPr>
        <w:t xml:space="preserve"> u 2050. godini, što je glavni pokretač tranzicije. Scenarij se u svom energetskom dijelu temelji na scenariju S2 iz Energetske strategije.</w:t>
      </w:r>
    </w:p>
    <w:p w:rsidR="007D4A93" w:rsidRPr="00654E3B" w:rsidRDefault="00EF0BEB">
      <w:pPr>
        <w:rPr>
          <w:rFonts w:cs="Times New Roman"/>
        </w:rPr>
      </w:pPr>
      <w:r w:rsidRPr="00654E3B">
        <w:rPr>
          <w:rFonts w:cs="Times New Roman"/>
          <w:b/>
        </w:rPr>
        <w:t>Scenarij snažne tranzicije NU2</w:t>
      </w:r>
      <w:r w:rsidRPr="00654E3B">
        <w:rPr>
          <w:rFonts w:cs="Times New Roman"/>
        </w:rPr>
        <w:t xml:space="preserve"> je dimenzioniran s ciljem da se u 2050. godini postigne smanjenje emisije</w:t>
      </w:r>
      <w:r w:rsidR="004328E1" w:rsidRPr="00654E3B">
        <w:rPr>
          <w:rFonts w:cs="Times New Roman"/>
        </w:rPr>
        <w:t xml:space="preserve"> za</w:t>
      </w:r>
      <w:r w:rsidRPr="00654E3B">
        <w:rPr>
          <w:rFonts w:cs="Times New Roman"/>
        </w:rPr>
        <w:t xml:space="preserve"> 80</w:t>
      </w:r>
      <w:r w:rsidR="00060992" w:rsidRPr="00654E3B">
        <w:rPr>
          <w:rFonts w:cs="Times New Roman"/>
        </w:rPr>
        <w:t xml:space="preserve"> %</w:t>
      </w:r>
      <w:r w:rsidRPr="00654E3B">
        <w:rPr>
          <w:rFonts w:cs="Times New Roman"/>
        </w:rPr>
        <w:t xml:space="preserve"> u odnosu na 1990. godinu. U ovom scenariju kao i u NU1 pretpostavlja se snažan porast cijena </w:t>
      </w:r>
      <w:r w:rsidR="002A48C9" w:rsidRPr="00654E3B">
        <w:rPr>
          <w:rFonts w:cs="Times New Roman"/>
        </w:rPr>
        <w:t>emisijskih jedinica</w:t>
      </w:r>
      <w:r w:rsidR="002A48C9" w:rsidRPr="00654E3B">
        <w:rPr>
          <w:rFonts w:cs="Times New Roman"/>
          <w:vertAlign w:val="subscript"/>
        </w:rPr>
        <w:t xml:space="preserve"> </w:t>
      </w:r>
      <w:r w:rsidRPr="00654E3B">
        <w:rPr>
          <w:rFonts w:cs="Times New Roman"/>
        </w:rPr>
        <w:t>do 92,1 EUR/t CO</w:t>
      </w:r>
      <w:r w:rsidRPr="00654E3B">
        <w:rPr>
          <w:rFonts w:cs="Times New Roman"/>
          <w:vertAlign w:val="subscript"/>
        </w:rPr>
        <w:t>2</w:t>
      </w:r>
      <w:r w:rsidRPr="00654E3B">
        <w:rPr>
          <w:rFonts w:cs="Times New Roman"/>
        </w:rPr>
        <w:t xml:space="preserve"> u 2050. godini te vrlo snažne mjere energetske učinkovitosti. Scenarij se u svom energetskom dijelu temelji na scenariju S1 iz Energetske strategije.</w:t>
      </w:r>
    </w:p>
    <w:p w:rsidR="007D4A93" w:rsidRPr="00654E3B" w:rsidRDefault="00EF0BEB" w:rsidP="004C7797">
      <w:pPr>
        <w:rPr>
          <w:rFonts w:cs="Times New Roman"/>
        </w:rPr>
      </w:pPr>
      <w:r w:rsidRPr="00654E3B">
        <w:rPr>
          <w:rFonts w:cs="Times New Roman"/>
          <w:b/>
        </w:rPr>
        <w:t>Scenarij neto nulte emisije</w:t>
      </w:r>
      <w:r w:rsidR="00AA755C" w:rsidRPr="00654E3B">
        <w:rPr>
          <w:rFonts w:cs="Times New Roman"/>
          <w:b/>
        </w:rPr>
        <w:t xml:space="preserve"> </w:t>
      </w:r>
      <w:r w:rsidR="00AA755C" w:rsidRPr="00654E3B">
        <w:rPr>
          <w:rFonts w:cs="Times New Roman"/>
        </w:rPr>
        <w:t xml:space="preserve">je u ovom dokumentu uključen u obliku informacije </w:t>
      </w:r>
      <w:r w:rsidRPr="00654E3B">
        <w:rPr>
          <w:rFonts w:cs="Times New Roman"/>
        </w:rPr>
        <w:t xml:space="preserve">jer su političke odluke na razini EU u tom smjeru donesene nedavno. Krajem 2018. godine usvojen je dokument </w:t>
      </w:r>
      <w:r w:rsidRPr="00654E3B">
        <w:rPr>
          <w:rFonts w:cs="Times New Roman"/>
          <w:i/>
        </w:rPr>
        <w:t>Čist planet za sve - Europska strateška dugoročna vizija za perspektivno, moderno, konkurentno i klimatski neutralno gospodarstvo</w:t>
      </w:r>
      <w:r w:rsidRPr="00654E3B">
        <w:rPr>
          <w:rFonts w:cs="Times New Roman"/>
        </w:rPr>
        <w:t>. Svrha je ove dugoročne strategije potvrditi vodeću ulogu Europe u oblikovanju globalne klimatske politike te predstaviti viziju koja može pomoći da se do 2050. godine</w:t>
      </w:r>
      <w:r w:rsidR="007D716D" w:rsidRPr="00654E3B">
        <w:rPr>
          <w:rFonts w:cs="Times New Roman"/>
        </w:rPr>
        <w:t>,</w:t>
      </w:r>
      <w:r w:rsidRPr="00654E3B">
        <w:rPr>
          <w:rFonts w:cs="Times New Roman"/>
        </w:rPr>
        <w:t xml:space="preserve"> na troškovno učinkovit način i putem društveno pravedne tranzicije postigne neto nulta stopa emisija stakleničkih plinova. Krajem 2019. godine EU postavlja novi strateški okvir - </w:t>
      </w:r>
      <w:r w:rsidRPr="00654E3B">
        <w:rPr>
          <w:rFonts w:cs="Times New Roman"/>
          <w:i/>
        </w:rPr>
        <w:t>Europski zeleni plan</w:t>
      </w:r>
      <w:r w:rsidRPr="00654E3B">
        <w:rPr>
          <w:rFonts w:cs="Times New Roman"/>
        </w:rPr>
        <w:t xml:space="preserve"> kojim se gospodarski napredak temelji na klimatski neutralnom gospodarstvu do 2050. godine</w:t>
      </w:r>
      <w:r w:rsidR="00781BDB" w:rsidRPr="00654E3B">
        <w:rPr>
          <w:rFonts w:cs="Times New Roman"/>
        </w:rPr>
        <w:t>.</w:t>
      </w:r>
      <w:r w:rsidR="00AA755C" w:rsidRPr="00654E3B">
        <w:rPr>
          <w:rFonts w:cs="Times New Roman"/>
        </w:rPr>
        <w:t xml:space="preserve"> Krajem 2020. godine usvojen je </w:t>
      </w:r>
      <w:r w:rsidR="00781BDB" w:rsidRPr="00654E3B">
        <w:rPr>
          <w:rFonts w:cs="Times New Roman"/>
        </w:rPr>
        <w:t>novi cilj</w:t>
      </w:r>
      <w:r w:rsidRPr="00654E3B">
        <w:rPr>
          <w:rFonts w:cs="Times New Roman"/>
        </w:rPr>
        <w:t xml:space="preserve"> EU do 2030.</w:t>
      </w:r>
      <w:r w:rsidR="007D716D" w:rsidRPr="00654E3B">
        <w:rPr>
          <w:rFonts w:cs="Times New Roman"/>
        </w:rPr>
        <w:t>,</w:t>
      </w:r>
      <w:r w:rsidRPr="00654E3B">
        <w:rPr>
          <w:rFonts w:cs="Times New Roman"/>
        </w:rPr>
        <w:t xml:space="preserve"> </w:t>
      </w:r>
      <w:r w:rsidR="00781BDB" w:rsidRPr="00654E3B">
        <w:rPr>
          <w:rFonts w:cs="Times New Roman"/>
        </w:rPr>
        <w:t>smanjenja</w:t>
      </w:r>
      <w:r w:rsidR="004328E1" w:rsidRPr="00654E3B">
        <w:rPr>
          <w:rFonts w:cs="Times New Roman"/>
        </w:rPr>
        <w:t xml:space="preserve"> neto</w:t>
      </w:r>
      <w:r w:rsidRPr="00654E3B">
        <w:rPr>
          <w:rFonts w:cs="Times New Roman"/>
        </w:rPr>
        <w:t xml:space="preserve"> emisij</w:t>
      </w:r>
      <w:r w:rsidR="00781BDB" w:rsidRPr="00654E3B">
        <w:rPr>
          <w:rFonts w:cs="Times New Roman"/>
        </w:rPr>
        <w:t>a</w:t>
      </w:r>
      <w:r w:rsidRPr="00654E3B">
        <w:rPr>
          <w:rFonts w:cs="Times New Roman"/>
        </w:rPr>
        <w:t xml:space="preserve"> za 55</w:t>
      </w:r>
      <w:r w:rsidR="00060992" w:rsidRPr="00654E3B">
        <w:rPr>
          <w:rFonts w:cs="Times New Roman"/>
        </w:rPr>
        <w:t xml:space="preserve"> %</w:t>
      </w:r>
      <w:r w:rsidRPr="00654E3B">
        <w:rPr>
          <w:rFonts w:cs="Times New Roman"/>
        </w:rPr>
        <w:t xml:space="preserve"> u odnosu na 1990. godinu</w:t>
      </w:r>
      <w:r w:rsidR="00781BDB" w:rsidRPr="00654E3B">
        <w:rPr>
          <w:rFonts w:cs="Times New Roman"/>
        </w:rPr>
        <w:t>.</w:t>
      </w:r>
      <w:r w:rsidRPr="00654E3B">
        <w:rPr>
          <w:rFonts w:cs="Times New Roman"/>
        </w:rPr>
        <w:t xml:space="preserve"> U narednim godinama kroz intenzivne analize i rasprave</w:t>
      </w:r>
      <w:r w:rsidR="007D716D" w:rsidRPr="00654E3B">
        <w:rPr>
          <w:rFonts w:cs="Times New Roman"/>
        </w:rPr>
        <w:t>,</w:t>
      </w:r>
      <w:r w:rsidRPr="00654E3B">
        <w:rPr>
          <w:rFonts w:cs="Times New Roman"/>
        </w:rPr>
        <w:t xml:space="preserve"> države članice analizirat će moguće scenarije neto nulte emisije do 2050. godine</w:t>
      </w:r>
      <w:r w:rsidR="004328E1" w:rsidRPr="00654E3B">
        <w:rPr>
          <w:rFonts w:cs="Times New Roman"/>
        </w:rPr>
        <w:t xml:space="preserve">, </w:t>
      </w:r>
      <w:r w:rsidRPr="00654E3B">
        <w:rPr>
          <w:rFonts w:cs="Times New Roman"/>
        </w:rPr>
        <w:t>revidirati</w:t>
      </w:r>
      <w:r w:rsidR="004328E1" w:rsidRPr="00654E3B">
        <w:rPr>
          <w:rFonts w:cs="Times New Roman"/>
        </w:rPr>
        <w:t xml:space="preserve"> ciljeve do 2030. godine, kao i</w:t>
      </w:r>
      <w:r w:rsidRPr="00654E3B">
        <w:rPr>
          <w:rFonts w:cs="Times New Roman"/>
        </w:rPr>
        <w:t xml:space="preserve"> svoje niskougljične strategije, što se odnosi i na Republiku Hrvatsku. </w:t>
      </w:r>
    </w:p>
    <w:p w:rsidR="007D4A93" w:rsidRPr="00654E3B" w:rsidRDefault="00EF0BEB">
      <w:pPr>
        <w:pStyle w:val="Heading1"/>
        <w:rPr>
          <w:rFonts w:ascii="Times New Roman" w:hAnsi="Times New Roman" w:cs="Times New Roman"/>
        </w:rPr>
      </w:pPr>
      <w:bookmarkStart w:id="208" w:name="_Toc69297741"/>
      <w:r w:rsidRPr="00654E3B">
        <w:rPr>
          <w:rFonts w:ascii="Times New Roman" w:hAnsi="Times New Roman" w:cs="Times New Roman"/>
        </w:rPr>
        <w:t>4.</w:t>
      </w:r>
      <w:r w:rsidRPr="00654E3B">
        <w:rPr>
          <w:rFonts w:ascii="Times New Roman" w:hAnsi="Times New Roman" w:cs="Times New Roman"/>
        </w:rPr>
        <w:tab/>
        <w:t>ENERGIJA IZ OBNOVLJIVIH IZVORA</w:t>
      </w:r>
      <w:bookmarkEnd w:id="203"/>
      <w:bookmarkEnd w:id="204"/>
      <w:bookmarkEnd w:id="208"/>
    </w:p>
    <w:p w:rsidR="007D4A93" w:rsidRPr="00654E3B" w:rsidRDefault="007D4A93">
      <w:pPr>
        <w:rPr>
          <w:rFonts w:cs="Times New Roman"/>
        </w:rPr>
      </w:pPr>
    </w:p>
    <w:p w:rsidR="007D4A93" w:rsidRPr="00654E3B" w:rsidRDefault="00EF0BEB">
      <w:pPr>
        <w:rPr>
          <w:rFonts w:cs="Times New Roman"/>
        </w:rPr>
      </w:pPr>
      <w:r w:rsidRPr="00654E3B">
        <w:rPr>
          <w:rFonts w:cs="Times New Roman"/>
        </w:rPr>
        <w:lastRenderedPageBreak/>
        <w:t>U energetskoj politici EU i Energetske unije</w:t>
      </w:r>
      <w:r w:rsidR="00383702" w:rsidRPr="00654E3B">
        <w:rPr>
          <w:rFonts w:cs="Times New Roman"/>
        </w:rPr>
        <w:t>,</w:t>
      </w:r>
      <w:r w:rsidRPr="00654E3B">
        <w:rPr>
          <w:rFonts w:cs="Times New Roman"/>
        </w:rPr>
        <w:t xml:space="preserve"> jedan od glavnih ciljeva je povećanje udjela obnovljivih izvora energije</w:t>
      </w:r>
      <w:r w:rsidR="00383702" w:rsidRPr="00654E3B">
        <w:rPr>
          <w:rFonts w:cs="Times New Roman"/>
        </w:rPr>
        <w:t>,</w:t>
      </w:r>
      <w:r w:rsidRPr="00654E3B">
        <w:rPr>
          <w:rFonts w:cs="Times New Roman"/>
        </w:rPr>
        <w:t xml:space="preserve"> čime se pozitivno utječe na smanjenje ovisnosti o uvozu energenata, smanjenje emisija stakleničkih plinova u proizvodnji električne i toplinske energije, zbrinjavanju organskog otpada, učinkovitom grijanju putem kogeneracijskih postrojenja i otvaranju nove niše u uslužnom i industrijskom sektoru vezanom za tehnološki razvoj postrojenja za korištenje energije iz obnovljivih izvora, što u konačnici doprinosi i povećanoj stopi zaposlenosti.</w:t>
      </w:r>
    </w:p>
    <w:p w:rsidR="007D4A93" w:rsidRPr="00654E3B" w:rsidRDefault="00EF0BEB">
      <w:pPr>
        <w:rPr>
          <w:rFonts w:cs="Times New Roman"/>
        </w:rPr>
      </w:pPr>
      <w:r w:rsidRPr="00654E3B">
        <w:rPr>
          <w:rFonts w:cs="Times New Roman"/>
        </w:rPr>
        <w:t>Nacionalni cilj za energiju iz obnovljivih izvora do 2020. godine</w:t>
      </w:r>
      <w:r w:rsidR="00383702" w:rsidRPr="00654E3B">
        <w:rPr>
          <w:rFonts w:cs="Times New Roman"/>
        </w:rPr>
        <w:t>,</w:t>
      </w:r>
      <w:r w:rsidRPr="00654E3B">
        <w:rPr>
          <w:rFonts w:cs="Times New Roman"/>
        </w:rPr>
        <w:t xml:space="preserve"> utvrđen je Direktivom 2009/28/EK i Ugovorom o pristupanju Republike Hrvatske u EU</w:t>
      </w:r>
      <w:r w:rsidR="00383702" w:rsidRPr="00654E3B">
        <w:rPr>
          <w:rFonts w:cs="Times New Roman"/>
        </w:rPr>
        <w:t>,</w:t>
      </w:r>
      <w:r w:rsidRPr="00654E3B">
        <w:rPr>
          <w:rFonts w:cs="Times New Roman"/>
        </w:rPr>
        <w:t xml:space="preserve"> na 20</w:t>
      </w:r>
      <w:r w:rsidR="00060992" w:rsidRPr="00654E3B">
        <w:rPr>
          <w:rFonts w:cs="Times New Roman"/>
        </w:rPr>
        <w:t xml:space="preserve"> %</w:t>
      </w:r>
      <w:r w:rsidRPr="00654E3B">
        <w:rPr>
          <w:rFonts w:cs="Times New Roman"/>
        </w:rPr>
        <w:t xml:space="preserve"> udjela energije iz obnovljivih izvora u bruto neposrednoj potrošnji energije. Izračun cilja temelji se na udjelu energije iz obnovljivih izvora u bruto neposrednoj potrošnji u 2005. godini</w:t>
      </w:r>
      <w:r w:rsidR="00383702" w:rsidRPr="00654E3B">
        <w:rPr>
          <w:rFonts w:cs="Times New Roman"/>
        </w:rPr>
        <w:t>,</w:t>
      </w:r>
      <w:r w:rsidRPr="00654E3B">
        <w:rPr>
          <w:rFonts w:cs="Times New Roman"/>
        </w:rPr>
        <w:t xml:space="preserve"> koja je prilikom izračuna bila određena kao 12,6</w:t>
      </w:r>
      <w:r w:rsidR="00060992" w:rsidRPr="00654E3B">
        <w:rPr>
          <w:rFonts w:cs="Times New Roman"/>
        </w:rPr>
        <w:t xml:space="preserve"> %</w:t>
      </w:r>
      <w:r w:rsidRPr="00654E3B">
        <w:rPr>
          <w:rFonts w:cs="Times New Roman"/>
        </w:rPr>
        <w:t>. Uslijed korekcija energetske bilance zbog istraživanja o većoj potrošnji biomase u sektoru kućanstva (Državni zavod za statistiku, 2015. godina)</w:t>
      </w:r>
      <w:r w:rsidR="00383702" w:rsidRPr="00654E3B">
        <w:rPr>
          <w:rFonts w:cs="Times New Roman"/>
        </w:rPr>
        <w:t>,</w:t>
      </w:r>
      <w:r w:rsidRPr="00654E3B">
        <w:rPr>
          <w:rFonts w:cs="Times New Roman"/>
        </w:rPr>
        <w:t xml:space="preserve"> promijenjen je i povijesni niz podataka te je prema takvim podacima izračunato da je udio energije iz obnovljivih izvora u 2005. godini iznosio 23,8</w:t>
      </w:r>
      <w:r w:rsidR="00060992" w:rsidRPr="00654E3B">
        <w:rPr>
          <w:rFonts w:cs="Times New Roman"/>
        </w:rPr>
        <w:t xml:space="preserve"> %</w:t>
      </w:r>
      <w:r w:rsidRPr="00654E3B">
        <w:rPr>
          <w:rFonts w:cs="Times New Roman"/>
        </w:rPr>
        <w:t xml:space="preserve">. Na temelju korigiranog udjela za energiju iz obnovljivih izvora u 2005. godini, indikativni cilj za udio energije iz obnovljivih izvora u bruto neposrednoj potrošnji energije za Republiku Hrvatsku u 2020. godini iznosio </w:t>
      </w:r>
      <w:r w:rsidR="007E0AD0" w:rsidRPr="00654E3B">
        <w:rPr>
          <w:rFonts w:cs="Times New Roman"/>
        </w:rPr>
        <w:t xml:space="preserve">je </w:t>
      </w:r>
      <w:r w:rsidRPr="00654E3B">
        <w:rPr>
          <w:rFonts w:cs="Times New Roman"/>
        </w:rPr>
        <w:t>28,6</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Okvirom klimatsko-energetske politike EU</w:t>
      </w:r>
      <w:r w:rsidR="00383702" w:rsidRPr="00654E3B">
        <w:rPr>
          <w:rFonts w:cs="Times New Roman"/>
        </w:rPr>
        <w:t>,</w:t>
      </w:r>
      <w:r w:rsidRPr="00654E3B">
        <w:rPr>
          <w:rFonts w:cs="Times New Roman"/>
        </w:rPr>
        <w:t xml:space="preserve"> definiran je zajednički cilj na razini EU do 2030. godine u iznosu od 32</w:t>
      </w:r>
      <w:r w:rsidR="00060992" w:rsidRPr="00654E3B">
        <w:rPr>
          <w:rFonts w:cs="Times New Roman"/>
        </w:rPr>
        <w:t xml:space="preserve"> %</w:t>
      </w:r>
      <w:r w:rsidRPr="00654E3B">
        <w:rPr>
          <w:rFonts w:cs="Times New Roman"/>
        </w:rPr>
        <w:t xml:space="preserve"> udjela energije iz obnovljivih izvora u bruto neposrednoj potrošnji energije. Republika Hrvatska će sukladno preuzetim obvezama</w:t>
      </w:r>
      <w:r w:rsidR="00383702" w:rsidRPr="00654E3B">
        <w:rPr>
          <w:rFonts w:cs="Times New Roman"/>
        </w:rPr>
        <w:t>,</w:t>
      </w:r>
      <w:r w:rsidRPr="00654E3B">
        <w:rPr>
          <w:rFonts w:cs="Times New Roman"/>
        </w:rPr>
        <w:t xml:space="preserve"> težiti ka ostvarenju cilja od 3</w:t>
      </w:r>
      <w:r w:rsidR="004C7797" w:rsidRPr="00654E3B">
        <w:rPr>
          <w:rFonts w:cs="Times New Roman"/>
        </w:rPr>
        <w:t>6,6</w:t>
      </w:r>
      <w:r w:rsidR="00060992" w:rsidRPr="00654E3B">
        <w:rPr>
          <w:rFonts w:cs="Times New Roman"/>
        </w:rPr>
        <w:t xml:space="preserve"> %</w:t>
      </w:r>
      <w:r w:rsidRPr="00654E3B">
        <w:rPr>
          <w:rFonts w:cs="Times New Roman"/>
        </w:rPr>
        <w:t xml:space="preserve"> udjela energije iz obnovljivih izvora u bruto neposrednoj potrošnji energije do 2030. godine</w:t>
      </w:r>
      <w:r w:rsidR="004C7797" w:rsidRPr="00654E3B">
        <w:rPr>
          <w:rFonts w:cs="Times New Roman"/>
        </w:rPr>
        <w:t>.</w:t>
      </w:r>
    </w:p>
    <w:p w:rsidR="007D4A93" w:rsidRPr="00654E3B" w:rsidRDefault="00EF0BEB">
      <w:pPr>
        <w:spacing w:line="280" w:lineRule="exact"/>
        <w:rPr>
          <w:rFonts w:cs="Times New Roman"/>
        </w:rPr>
      </w:pPr>
      <w:r w:rsidRPr="00654E3B">
        <w:rPr>
          <w:rFonts w:cs="Times New Roman"/>
        </w:rPr>
        <w:t>U svim scenarijima udio energije iz obnovljivih izvora se povećava. U razdoblju do 2030. godine</w:t>
      </w:r>
      <w:r w:rsidR="00383702" w:rsidRPr="00654E3B">
        <w:rPr>
          <w:rFonts w:cs="Times New Roman"/>
        </w:rPr>
        <w:t>,</w:t>
      </w:r>
      <w:r w:rsidRPr="00654E3B">
        <w:rPr>
          <w:rFonts w:cs="Times New Roman"/>
        </w:rPr>
        <w:t xml:space="preserve"> očekivani udio energije iz obnovljivih izvora je 36,</w:t>
      </w:r>
      <w:r w:rsidR="002128E5" w:rsidRPr="00654E3B">
        <w:rPr>
          <w:rFonts w:cs="Times New Roman"/>
        </w:rPr>
        <w:t>6</w:t>
      </w:r>
      <w:r w:rsidR="00060992" w:rsidRPr="00654E3B">
        <w:rPr>
          <w:rFonts w:cs="Times New Roman"/>
        </w:rPr>
        <w:t xml:space="preserve"> %</w:t>
      </w:r>
      <w:r w:rsidRPr="00654E3B">
        <w:rPr>
          <w:rFonts w:cs="Times New Roman"/>
        </w:rPr>
        <w:t xml:space="preserve">, što je veći cilj od EU cilja, a što će omogućiti korištenje dodatnih mehanizama iz </w:t>
      </w:r>
      <w:r w:rsidRPr="00654E3B">
        <w:rPr>
          <w:rFonts w:cs="Times New Roman"/>
          <w:szCs w:val="18"/>
        </w:rPr>
        <w:t>uredbe o izmjenama i dopunama Uredbe o uspostavi sustava jamstva podrijetla električne energije (</w:t>
      </w:r>
      <w:r w:rsidR="001C0429" w:rsidRPr="00654E3B">
        <w:rPr>
          <w:rFonts w:cs="Times New Roman"/>
          <w:szCs w:val="18"/>
        </w:rPr>
        <w:t>N</w:t>
      </w:r>
      <w:r w:rsidR="00566C24" w:rsidRPr="00654E3B">
        <w:rPr>
          <w:rFonts w:cs="Times New Roman"/>
          <w:szCs w:val="18"/>
        </w:rPr>
        <w:t>arodne novine</w:t>
      </w:r>
      <w:r w:rsidR="00430F83" w:rsidRPr="00654E3B">
        <w:rPr>
          <w:rFonts w:cs="Times New Roman"/>
          <w:szCs w:val="18"/>
        </w:rPr>
        <w:t>,</w:t>
      </w:r>
      <w:r w:rsidRPr="00654E3B">
        <w:rPr>
          <w:rFonts w:cs="Times New Roman"/>
          <w:szCs w:val="18"/>
        </w:rPr>
        <w:t xml:space="preserve"> </w:t>
      </w:r>
      <w:r w:rsidR="001C0429" w:rsidRPr="00654E3B">
        <w:rPr>
          <w:rFonts w:cs="Times New Roman"/>
          <w:szCs w:val="18"/>
        </w:rPr>
        <w:t xml:space="preserve">broj </w:t>
      </w:r>
      <w:r w:rsidRPr="00654E3B">
        <w:rPr>
          <w:rFonts w:cs="Times New Roman"/>
          <w:szCs w:val="18"/>
        </w:rPr>
        <w:t>55/2019),</w:t>
      </w:r>
      <w:r w:rsidRPr="00654E3B">
        <w:rPr>
          <w:rFonts w:cs="Times New Roman"/>
        </w:rPr>
        <w:t xml:space="preserve"> kao što je mogućnost izvoza certifikata „zelene“ energije iz obnovljivih izvora. Povećanje udjela energije iz obnovljivih izvora je posljedica povećanja udjela potrošnje električne energije, povećanja proizvodnje električne energije iz obnovljivih izvora i smanjenja ukupne potrošnje energije.</w:t>
      </w:r>
    </w:p>
    <w:p w:rsidR="007D4A93" w:rsidRPr="00654E3B" w:rsidRDefault="00EF0BEB">
      <w:pPr>
        <w:rPr>
          <w:rFonts w:cs="Times New Roman"/>
        </w:rPr>
      </w:pPr>
      <w:r w:rsidRPr="00654E3B">
        <w:rPr>
          <w:rFonts w:cs="Times New Roman"/>
        </w:rPr>
        <w:t>U razdoblju do 2040. godine očekivani udio energije iz obnovljivih izvora, ovisno o scenariju, je od 44,1 do 45,8</w:t>
      </w:r>
      <w:r w:rsidR="00060992" w:rsidRPr="00654E3B">
        <w:rPr>
          <w:rFonts w:cs="Times New Roman"/>
        </w:rPr>
        <w:t xml:space="preserve"> %</w:t>
      </w:r>
      <w:r w:rsidRPr="00654E3B">
        <w:rPr>
          <w:rFonts w:cs="Times New Roman"/>
        </w:rPr>
        <w:t>, dok je u razdoblju do 2050. godine očekivani udio energije iz obnovljivih izvora na razini od 53,2</w:t>
      </w:r>
      <w:r w:rsidR="00060992" w:rsidRPr="00654E3B">
        <w:rPr>
          <w:rFonts w:cs="Times New Roman"/>
        </w:rPr>
        <w:t xml:space="preserve"> %</w:t>
      </w:r>
      <w:r w:rsidRPr="00654E3B">
        <w:rPr>
          <w:rFonts w:cs="Times New Roman"/>
        </w:rPr>
        <w:t xml:space="preserve"> do 65,6</w:t>
      </w:r>
      <w:r w:rsidR="00060992" w:rsidRPr="00654E3B">
        <w:rPr>
          <w:rFonts w:cs="Times New Roman"/>
        </w:rPr>
        <w:t xml:space="preserve"> %</w:t>
      </w:r>
      <w:r w:rsidRPr="00654E3B">
        <w:rPr>
          <w:rFonts w:cs="Times New Roman"/>
        </w:rPr>
        <w:t xml:space="preserve"> (tablica 4-1).</w:t>
      </w:r>
    </w:p>
    <w:p w:rsidR="007D4A93" w:rsidRPr="00654E3B" w:rsidRDefault="00EF0BEB">
      <w:pPr>
        <w:pStyle w:val="Tablicanaslov"/>
        <w:spacing w:after="120"/>
        <w:rPr>
          <w:rFonts w:cs="Times New Roman"/>
          <w:i/>
          <w:sz w:val="22"/>
          <w:szCs w:val="22"/>
        </w:rPr>
      </w:pPr>
      <w:bookmarkStart w:id="209" w:name="_Toc33417117"/>
      <w:r w:rsidRPr="00654E3B">
        <w:rPr>
          <w:rFonts w:cs="Times New Roman"/>
          <w:i/>
          <w:sz w:val="22"/>
          <w:szCs w:val="22"/>
        </w:rPr>
        <w:t>Tablica 4-1: Udio energije iz obnovljivih izvora u bruto neposrednoj potrošnji energije</w:t>
      </w:r>
      <w:bookmarkEnd w:id="209"/>
    </w:p>
    <w:tbl>
      <w:tblPr>
        <w:tblW w:w="9072" w:type="dxa"/>
        <w:tblLayout w:type="fixed"/>
        <w:tblCellMar>
          <w:left w:w="0" w:type="dxa"/>
          <w:right w:w="0" w:type="dxa"/>
        </w:tblCellMar>
        <w:tblLook w:val="0000" w:firstRow="0" w:lastRow="0" w:firstColumn="0" w:lastColumn="0" w:noHBand="0" w:noVBand="0"/>
      </w:tblPr>
      <w:tblGrid>
        <w:gridCol w:w="3288"/>
        <w:gridCol w:w="964"/>
        <w:gridCol w:w="964"/>
        <w:gridCol w:w="964"/>
        <w:gridCol w:w="964"/>
        <w:gridCol w:w="964"/>
        <w:gridCol w:w="964"/>
      </w:tblGrid>
      <w:tr w:rsidR="007D4A93" w:rsidRPr="00654E3B">
        <w:trPr>
          <w:trHeight w:val="397"/>
        </w:trPr>
        <w:tc>
          <w:tcPr>
            <w:tcW w:w="32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7D4A93">
            <w:pPr>
              <w:keepNext/>
              <w:spacing w:line="240" w:lineRule="auto"/>
              <w:jc w:val="left"/>
              <w:rPr>
                <w:rFonts w:cs="Times New Roman"/>
              </w:rPr>
            </w:pPr>
            <w:bookmarkStart w:id="210" w:name="_Hlk38266758"/>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center"/>
              <w:rPr>
                <w:rFonts w:cs="Times New Roman"/>
                <w:b/>
                <w:bCs/>
                <w:spacing w:val="-5"/>
              </w:rPr>
            </w:pPr>
            <w:r w:rsidRPr="00654E3B">
              <w:rPr>
                <w:rFonts w:cs="Times New Roman"/>
                <w:b/>
                <w:bCs/>
              </w:rPr>
              <w:t>SCENARIJ</w:t>
            </w:r>
            <w:r w:rsidRPr="00654E3B">
              <w:rPr>
                <w:rFonts w:cs="Times New Roman"/>
                <w:b/>
                <w:bCs/>
                <w:spacing w:val="-6"/>
              </w:rPr>
              <w:t xml:space="preserve"> NU1</w:t>
            </w:r>
            <w:r w:rsidRPr="00654E3B">
              <w:rPr>
                <w:rFonts w:cs="Times New Roman"/>
                <w:b/>
                <w:bCs/>
                <w:spacing w:val="-5"/>
              </w:rPr>
              <w:t xml:space="preserve"> </w:t>
            </w:r>
          </w:p>
          <w:p w:rsidR="007D4A93" w:rsidRPr="00654E3B" w:rsidRDefault="00EF0BEB">
            <w:pPr>
              <w:keepNext/>
              <w:spacing w:line="240" w:lineRule="auto"/>
              <w:jc w:val="center"/>
              <w:rPr>
                <w:rFonts w:cs="Times New Roman"/>
              </w:rPr>
            </w:pPr>
            <w:r w:rsidRPr="00654E3B">
              <w:rPr>
                <w:rFonts w:cs="Times New Roman"/>
                <w:b/>
                <w:bCs/>
                <w:spacing w:val="-1"/>
              </w:rPr>
              <w:t>(</w:t>
            </w:r>
            <w:r w:rsidR="00060992" w:rsidRPr="00654E3B">
              <w:rPr>
                <w:rFonts w:cs="Times New Roman"/>
                <w:b/>
                <w:bCs/>
                <w:spacing w:val="-1"/>
              </w:rPr>
              <w:t xml:space="preserve"> %</w:t>
            </w:r>
            <w:r w:rsidRPr="00654E3B">
              <w:rPr>
                <w:rFonts w:cs="Times New Roman"/>
                <w:b/>
                <w:bCs/>
                <w:spacing w:val="-1"/>
              </w:rPr>
              <w:t>)</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center"/>
              <w:rPr>
                <w:rFonts w:cs="Times New Roman"/>
                <w:b/>
                <w:bCs/>
                <w:spacing w:val="-6"/>
              </w:rPr>
            </w:pPr>
            <w:r w:rsidRPr="00654E3B">
              <w:rPr>
                <w:rFonts w:cs="Times New Roman"/>
                <w:b/>
                <w:bCs/>
              </w:rPr>
              <w:t>SCENARIJ</w:t>
            </w:r>
            <w:r w:rsidRPr="00654E3B">
              <w:rPr>
                <w:rFonts w:cs="Times New Roman"/>
                <w:b/>
                <w:bCs/>
                <w:spacing w:val="-6"/>
              </w:rPr>
              <w:t xml:space="preserve"> NU2</w:t>
            </w:r>
          </w:p>
          <w:p w:rsidR="007D4A93" w:rsidRPr="00654E3B" w:rsidRDefault="00EF0BEB">
            <w:pPr>
              <w:keepNext/>
              <w:spacing w:line="240" w:lineRule="auto"/>
              <w:jc w:val="center"/>
              <w:rPr>
                <w:rFonts w:cs="Times New Roman"/>
              </w:rPr>
            </w:pPr>
            <w:r w:rsidRPr="00654E3B">
              <w:rPr>
                <w:rFonts w:cs="Times New Roman"/>
                <w:b/>
                <w:bCs/>
                <w:spacing w:val="-1"/>
              </w:rPr>
              <w:t>(</w:t>
            </w:r>
            <w:r w:rsidR="00060992" w:rsidRPr="00654E3B">
              <w:rPr>
                <w:rFonts w:cs="Times New Roman"/>
                <w:b/>
                <w:bCs/>
                <w:spacing w:val="-1"/>
              </w:rPr>
              <w:t xml:space="preserve"> %</w:t>
            </w:r>
            <w:r w:rsidRPr="00654E3B">
              <w:rPr>
                <w:rFonts w:cs="Times New Roman"/>
                <w:b/>
                <w:bCs/>
                <w:spacing w:val="-1"/>
              </w:rPr>
              <w:t>)</w:t>
            </w:r>
          </w:p>
        </w:tc>
      </w:tr>
      <w:tr w:rsidR="007D4A93" w:rsidRPr="00654E3B">
        <w:trPr>
          <w:trHeight w:val="397"/>
        </w:trPr>
        <w:tc>
          <w:tcPr>
            <w:tcW w:w="3288"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left"/>
              <w:rPr>
                <w:rFonts w:cs="Times New Roman"/>
              </w:rPr>
            </w:pPr>
            <w:r w:rsidRPr="00654E3B">
              <w:rPr>
                <w:rFonts w:cs="Times New Roman"/>
                <w:b/>
                <w:bCs/>
                <w:spacing w:val="-1"/>
              </w:rPr>
              <w:t>Udio energije iz obnovljivih izvora u bruto neposrednoj potrošnji energije</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2030.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2040.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2050.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2030.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2040.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2050.</w:t>
            </w:r>
          </w:p>
        </w:tc>
      </w:tr>
      <w:tr w:rsidR="007D4A93" w:rsidRPr="00654E3B">
        <w:trPr>
          <w:trHeight w:val="397"/>
        </w:trPr>
        <w:tc>
          <w:tcPr>
            <w:tcW w:w="3288" w:type="dxa"/>
            <w:vMerge/>
            <w:tcBorders>
              <w:left w:val="single" w:sz="4" w:space="0" w:color="000000"/>
              <w:bottom w:val="single" w:sz="4" w:space="0" w:color="000000"/>
              <w:right w:val="single" w:sz="4" w:space="0" w:color="000000"/>
            </w:tcBorders>
            <w:shd w:val="clear" w:color="auto" w:fill="F2F2F2" w:themeFill="background1" w:themeFillShade="F2"/>
          </w:tcPr>
          <w:p w:rsidR="007D4A93" w:rsidRPr="00654E3B" w:rsidRDefault="007D4A93">
            <w:pPr>
              <w:spacing w:line="240" w:lineRule="auto"/>
              <w:jc w:val="left"/>
              <w:rPr>
                <w:rFonts w:cs="Times New Roma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rsidP="002128E5">
            <w:pPr>
              <w:spacing w:line="240" w:lineRule="auto"/>
              <w:jc w:val="center"/>
              <w:rPr>
                <w:rFonts w:cs="Times New Roman"/>
              </w:rPr>
            </w:pPr>
            <w:r w:rsidRPr="00654E3B">
              <w:rPr>
                <w:rFonts w:cs="Times New Roman"/>
              </w:rPr>
              <w:t>36,</w:t>
            </w:r>
            <w:r w:rsidR="002128E5" w:rsidRPr="00654E3B">
              <w:rPr>
                <w:rFonts w:cs="Times New Roman"/>
              </w:rPr>
              <w:t>6</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44,1</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53,2</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rsidP="002128E5">
            <w:pPr>
              <w:spacing w:line="240" w:lineRule="auto"/>
              <w:jc w:val="center"/>
              <w:rPr>
                <w:rFonts w:cs="Times New Roman"/>
              </w:rPr>
            </w:pPr>
            <w:r w:rsidRPr="00654E3B">
              <w:rPr>
                <w:rFonts w:cs="Times New Roman"/>
              </w:rPr>
              <w:t>36,</w:t>
            </w:r>
            <w:r w:rsidR="002128E5" w:rsidRPr="00654E3B">
              <w:rPr>
                <w:rFonts w:cs="Times New Roman"/>
              </w:rPr>
              <w:t>6</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45,8</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65,6</w:t>
            </w:r>
          </w:p>
        </w:tc>
      </w:tr>
    </w:tbl>
    <w:p w:rsidR="007D4A93" w:rsidRPr="00654E3B" w:rsidRDefault="00EF0BEB">
      <w:pPr>
        <w:pStyle w:val="Heading1"/>
        <w:rPr>
          <w:rFonts w:ascii="Times New Roman" w:hAnsi="Times New Roman" w:cs="Times New Roman"/>
        </w:rPr>
      </w:pPr>
      <w:bookmarkStart w:id="211" w:name="_Toc20841301"/>
      <w:bookmarkStart w:id="212" w:name="_Toc20841407"/>
      <w:bookmarkStart w:id="213" w:name="_Toc69297742"/>
      <w:bookmarkEnd w:id="210"/>
      <w:r w:rsidRPr="00654E3B">
        <w:rPr>
          <w:rFonts w:ascii="Times New Roman" w:hAnsi="Times New Roman" w:cs="Times New Roman"/>
        </w:rPr>
        <w:t>5.</w:t>
      </w:r>
      <w:r w:rsidRPr="00654E3B">
        <w:rPr>
          <w:rFonts w:ascii="Times New Roman" w:hAnsi="Times New Roman" w:cs="Times New Roman"/>
        </w:rPr>
        <w:tab/>
        <w:t>ENERGETSKA UČINKOVITOST</w:t>
      </w:r>
      <w:bookmarkEnd w:id="211"/>
      <w:bookmarkEnd w:id="212"/>
      <w:bookmarkEnd w:id="213"/>
    </w:p>
    <w:p w:rsidR="007D4A93" w:rsidRPr="00654E3B" w:rsidRDefault="007D4A93">
      <w:pPr>
        <w:rPr>
          <w:rFonts w:cs="Times New Roman"/>
        </w:rPr>
      </w:pPr>
    </w:p>
    <w:p w:rsidR="007D4A93" w:rsidRPr="00654E3B" w:rsidRDefault="00EF0BEB">
      <w:pPr>
        <w:spacing w:line="240" w:lineRule="auto"/>
        <w:rPr>
          <w:rFonts w:cs="Times New Roman"/>
        </w:rPr>
      </w:pPr>
      <w:r w:rsidRPr="00654E3B">
        <w:rPr>
          <w:rFonts w:cs="Times New Roman"/>
        </w:rPr>
        <w:t xml:space="preserve">Republika Hrvatska </w:t>
      </w:r>
      <w:r w:rsidR="00383702" w:rsidRPr="00654E3B">
        <w:rPr>
          <w:rFonts w:cs="Times New Roman"/>
        </w:rPr>
        <w:t xml:space="preserve">je </w:t>
      </w:r>
      <w:r w:rsidRPr="00654E3B">
        <w:rPr>
          <w:rFonts w:cs="Times New Roman"/>
        </w:rPr>
        <w:t>definirala nacionalne ciljeve povećanja energetske učinkovitosti do 2020. godine</w:t>
      </w:r>
      <w:r w:rsidR="00383702" w:rsidRPr="00654E3B">
        <w:rPr>
          <w:rFonts w:cs="Times New Roman"/>
        </w:rPr>
        <w:t>,</w:t>
      </w:r>
      <w:r w:rsidRPr="00654E3B">
        <w:rPr>
          <w:rFonts w:cs="Times New Roman"/>
        </w:rPr>
        <w:t xml:space="preserve"> u 3. Nacionalnom akcijskom planu energetske učinkovitosti za razdoblje 2014.-2016. godine, a revidirani su u 4. Nacionalnom akcijskom planu energetske učinkovitosti  za razdoblje 2017.-2019. </w:t>
      </w:r>
      <w:r w:rsidR="00383702" w:rsidRPr="00654E3B">
        <w:rPr>
          <w:rFonts w:cs="Times New Roman"/>
        </w:rPr>
        <w:t>godina</w:t>
      </w:r>
      <w:r w:rsidRPr="00654E3B">
        <w:rPr>
          <w:rFonts w:cs="Times New Roman"/>
        </w:rPr>
        <w:t>. Okvirni nacionalni cilj povećanja energetske učinkovitosti Republike Hrvatske</w:t>
      </w:r>
      <w:r w:rsidR="00383702" w:rsidRPr="00654E3B">
        <w:rPr>
          <w:rFonts w:cs="Times New Roman"/>
        </w:rPr>
        <w:t>,</w:t>
      </w:r>
      <w:r w:rsidRPr="00654E3B">
        <w:rPr>
          <w:rFonts w:cs="Times New Roman"/>
        </w:rPr>
        <w:t xml:space="preserve"> izražen kao apsolutni iznos neposredne potrošnje energije u 2020. godini je </w:t>
      </w:r>
      <w:r w:rsidR="006C44E2" w:rsidRPr="00654E3B">
        <w:rPr>
          <w:rFonts w:cs="Times New Roman"/>
          <w:bCs/>
        </w:rPr>
        <w:t>281,7</w:t>
      </w:r>
      <w:r w:rsidRPr="00654E3B">
        <w:rPr>
          <w:rFonts w:cs="Times New Roman"/>
          <w:bCs/>
        </w:rPr>
        <w:t xml:space="preserve"> PJ</w:t>
      </w:r>
      <w:r w:rsidRPr="00654E3B">
        <w:rPr>
          <w:rFonts w:cs="Times New Roman"/>
        </w:rPr>
        <w:t xml:space="preserve">. Odgovarajući cilj izražen kao apsolutni iznos primarne energije u 2020. godini </w:t>
      </w:r>
      <w:r w:rsidR="007E0AD0" w:rsidRPr="00654E3B">
        <w:rPr>
          <w:rFonts w:cs="Times New Roman"/>
        </w:rPr>
        <w:t xml:space="preserve">bio </w:t>
      </w:r>
      <w:r w:rsidRPr="00654E3B">
        <w:rPr>
          <w:rFonts w:cs="Times New Roman"/>
        </w:rPr>
        <w:t xml:space="preserve">je </w:t>
      </w:r>
      <w:r w:rsidR="006C44E2" w:rsidRPr="00654E3B">
        <w:rPr>
          <w:rFonts w:cs="Times New Roman"/>
          <w:bCs/>
        </w:rPr>
        <w:t>333</w:t>
      </w:r>
      <w:r w:rsidRPr="00654E3B">
        <w:rPr>
          <w:rFonts w:cs="Times New Roman"/>
          <w:bCs/>
        </w:rPr>
        <w:t xml:space="preserve"> PJ</w:t>
      </w:r>
      <w:r w:rsidRPr="00654E3B">
        <w:rPr>
          <w:rFonts w:cs="Times New Roman"/>
        </w:rPr>
        <w:t>.</w:t>
      </w:r>
    </w:p>
    <w:p w:rsidR="007D4A93" w:rsidRPr="00654E3B" w:rsidRDefault="00EF0BEB">
      <w:pPr>
        <w:spacing w:line="240" w:lineRule="auto"/>
        <w:rPr>
          <w:rFonts w:cs="Times New Roman"/>
        </w:rPr>
      </w:pPr>
      <w:r w:rsidRPr="00654E3B">
        <w:rPr>
          <w:rFonts w:cs="Times New Roman"/>
        </w:rPr>
        <w:lastRenderedPageBreak/>
        <w:t>Povećanje energetske učinkovitosti je najvažniji mehanizam smanjenja potrošnje energije i jedno je od temeljnih načela energetske tranzicije. Povećanje energetske učinkovitosti je nužno kako bi se osigurala cjenovna pristupačnost energije. Predviđa se povećanje energetske učinkovitosti u svim područjima potrošnje i u cijelom lancu od proizvodnje, prijenosa i transporta, distribucije i potrošnje. Primjenjivat će se sve metode smanjenja potrošnje</w:t>
      </w:r>
      <w:r w:rsidR="00383702" w:rsidRPr="00654E3B">
        <w:rPr>
          <w:rFonts w:cs="Times New Roman"/>
        </w:rPr>
        <w:t>,</w:t>
      </w:r>
      <w:r w:rsidRPr="00654E3B">
        <w:rPr>
          <w:rFonts w:cs="Times New Roman"/>
        </w:rPr>
        <w:t xml:space="preserve"> od zakonske regulative, primjene standarda i normi, zamjene postrojenja i uređaja do zabrane korištenja neučinkovitih uređaja.</w:t>
      </w:r>
    </w:p>
    <w:p w:rsidR="007D4A93" w:rsidRPr="00654E3B" w:rsidRDefault="00EF0BEB">
      <w:pPr>
        <w:rPr>
          <w:rFonts w:cs="Times New Roman"/>
        </w:rPr>
      </w:pPr>
      <w:r w:rsidRPr="00654E3B">
        <w:rPr>
          <w:rFonts w:cs="Times New Roman"/>
        </w:rPr>
        <w:t>Osim specifičnih mjera za pojedine sektore, scenarij razvoja uzima u obzir i učinke regulatornih mjera koji će imati međusektorske učinke. U prvom redu</w:t>
      </w:r>
      <w:r w:rsidR="00383702" w:rsidRPr="00654E3B">
        <w:rPr>
          <w:rFonts w:cs="Times New Roman"/>
        </w:rPr>
        <w:t>,</w:t>
      </w:r>
      <w:r w:rsidRPr="00654E3B">
        <w:rPr>
          <w:rFonts w:cs="Times New Roman"/>
        </w:rPr>
        <w:t xml:space="preserve"> ovo se odnosi na uspostavu funkcionalnog sustava obveza energetske učinkovitosti za opskrbljivače energijom</w:t>
      </w:r>
      <w:r w:rsidR="00383702" w:rsidRPr="00654E3B">
        <w:rPr>
          <w:rFonts w:cs="Times New Roman"/>
        </w:rPr>
        <w:t>,</w:t>
      </w:r>
      <w:r w:rsidRPr="00654E3B">
        <w:rPr>
          <w:rFonts w:cs="Times New Roman"/>
        </w:rPr>
        <w:t xml:space="preserve"> u skladu s važećim zakonodavnim okvirom EU i Republike Hrvatske. Očekuje se</w:t>
      </w:r>
      <w:r w:rsidR="00383702" w:rsidRPr="00654E3B">
        <w:rPr>
          <w:rFonts w:cs="Times New Roman"/>
        </w:rPr>
        <w:t>,</w:t>
      </w:r>
      <w:r w:rsidRPr="00654E3B">
        <w:rPr>
          <w:rFonts w:cs="Times New Roman"/>
        </w:rPr>
        <w:t xml:space="preserve"> da će upravo ovaj mehanizam ostvariti veliki napredak u poboljšanju energetske učinkovitosti u svim sektorima neposredne potrošnje i to putem inovativnih tržišnih mehanizama koji angažiraju privatni kapital</w:t>
      </w:r>
      <w:r w:rsidR="00383702" w:rsidRPr="00654E3B">
        <w:rPr>
          <w:rFonts w:cs="Times New Roman"/>
        </w:rPr>
        <w:t>,</w:t>
      </w:r>
      <w:r w:rsidRPr="00654E3B">
        <w:rPr>
          <w:rFonts w:cs="Times New Roman"/>
        </w:rPr>
        <w:t xml:space="preserve"> kako opskrbljivača</w:t>
      </w:r>
      <w:r w:rsidR="00383702" w:rsidRPr="00654E3B">
        <w:rPr>
          <w:rFonts w:cs="Times New Roman"/>
        </w:rPr>
        <w:t>,</w:t>
      </w:r>
      <w:r w:rsidRPr="00654E3B">
        <w:rPr>
          <w:rFonts w:cs="Times New Roman"/>
        </w:rPr>
        <w:t xml:space="preserve"> tako i drugih sudionika na tržištu energetskih usluga.</w:t>
      </w:r>
    </w:p>
    <w:p w:rsidR="007D4A93" w:rsidRPr="00654E3B" w:rsidRDefault="00EF0BEB">
      <w:pPr>
        <w:rPr>
          <w:rFonts w:cs="Times New Roman"/>
        </w:rPr>
      </w:pPr>
      <w:r w:rsidRPr="00654E3B">
        <w:rPr>
          <w:rFonts w:cs="Times New Roman"/>
        </w:rPr>
        <w:t>Energetska tranzicija podrazumijeva povećanje energetske učinkovitosti cijelog energetskog lanca, uključujući proizvodnju, prijenos, distribuciju i neposrednu potrošnju energije. Pri tome se najsnažniji učinci očekuju u zgradarstvu i prometu, a posljedica su:</w:t>
      </w:r>
    </w:p>
    <w:p w:rsidR="002A48C9" w:rsidRPr="00654E3B" w:rsidRDefault="00EA4207" w:rsidP="000C6795">
      <w:pPr>
        <w:pStyle w:val="ListParagraph"/>
        <w:numPr>
          <w:ilvl w:val="0"/>
          <w:numId w:val="56"/>
        </w:numPr>
        <w:rPr>
          <w:rFonts w:cs="Times New Roman"/>
        </w:rPr>
      </w:pPr>
      <w:r w:rsidRPr="00654E3B">
        <w:rPr>
          <w:rFonts w:cs="Times New Roman"/>
        </w:rPr>
        <w:t xml:space="preserve">energetske obnove, s postupnim povećanjem stope obnove u razdoblju 2021. - 2030. s 1,0 </w:t>
      </w:r>
      <w:r w:rsidR="00060992" w:rsidRPr="00654E3B">
        <w:rPr>
          <w:rFonts w:cs="Times New Roman"/>
        </w:rPr>
        <w:t xml:space="preserve"> %</w:t>
      </w:r>
      <w:r w:rsidRPr="00654E3B">
        <w:rPr>
          <w:rFonts w:cs="Times New Roman"/>
        </w:rPr>
        <w:t xml:space="preserve"> na 3,0 </w:t>
      </w:r>
      <w:r w:rsidR="00060992" w:rsidRPr="00654E3B">
        <w:rPr>
          <w:rFonts w:cs="Times New Roman"/>
        </w:rPr>
        <w:t xml:space="preserve"> %</w:t>
      </w:r>
      <w:r w:rsidRPr="00654E3B">
        <w:rPr>
          <w:rFonts w:cs="Times New Roman"/>
        </w:rPr>
        <w:t xml:space="preserve">, te 3,5 </w:t>
      </w:r>
      <w:r w:rsidR="00060992" w:rsidRPr="00654E3B">
        <w:rPr>
          <w:rFonts w:cs="Times New Roman"/>
        </w:rPr>
        <w:t xml:space="preserve"> %</w:t>
      </w:r>
      <w:r w:rsidRPr="00654E3B">
        <w:rPr>
          <w:rFonts w:cs="Times New Roman"/>
        </w:rPr>
        <w:t xml:space="preserve"> od 2031. do 2040. godine</w:t>
      </w:r>
      <w:r w:rsidR="00383702" w:rsidRPr="00654E3B">
        <w:rPr>
          <w:rFonts w:cs="Times New Roman"/>
        </w:rPr>
        <w:t>,</w:t>
      </w:r>
      <w:r w:rsidRPr="00654E3B">
        <w:rPr>
          <w:rFonts w:cs="Times New Roman"/>
        </w:rPr>
        <w:t xml:space="preserve"> 4</w:t>
      </w:r>
      <w:r w:rsidR="00060992" w:rsidRPr="00654E3B">
        <w:rPr>
          <w:rFonts w:cs="Times New Roman"/>
        </w:rPr>
        <w:t xml:space="preserve"> %</w:t>
      </w:r>
      <w:r w:rsidRPr="00654E3B">
        <w:rPr>
          <w:rFonts w:cs="Times New Roman"/>
        </w:rPr>
        <w:t xml:space="preserve"> od 2041. do 2050. godine, kako je određeno Dugoročnom strategijom obnove nacionalnog fonda zgrada do 2050. godine</w:t>
      </w:r>
    </w:p>
    <w:p w:rsidR="007D4A93" w:rsidRPr="00654E3B" w:rsidRDefault="00982D90" w:rsidP="000C6795">
      <w:pPr>
        <w:pStyle w:val="ListParagraph"/>
        <w:numPr>
          <w:ilvl w:val="0"/>
          <w:numId w:val="56"/>
        </w:numPr>
        <w:rPr>
          <w:rFonts w:cs="Times New Roman"/>
        </w:rPr>
      </w:pPr>
      <w:r w:rsidRPr="00654E3B">
        <w:rPr>
          <w:rFonts w:cs="Times New Roman"/>
        </w:rPr>
        <w:t>povećanje udjela</w:t>
      </w:r>
      <w:r w:rsidR="00EF0BEB" w:rsidRPr="00654E3B">
        <w:rPr>
          <w:rFonts w:cs="Times New Roman"/>
        </w:rPr>
        <w:t xml:space="preserve"> električnih i hibridnih vozila</w:t>
      </w:r>
      <w:r w:rsidRPr="00654E3B">
        <w:rPr>
          <w:rFonts w:cs="Times New Roman"/>
        </w:rPr>
        <w:t>,</w:t>
      </w:r>
      <w:r w:rsidR="00EF0BEB" w:rsidRPr="00654E3B">
        <w:rPr>
          <w:rFonts w:cs="Times New Roman"/>
        </w:rPr>
        <w:t xml:space="preserve"> </w:t>
      </w:r>
      <w:r w:rsidRPr="00654E3B">
        <w:rPr>
          <w:rFonts w:cs="Times New Roman"/>
        </w:rPr>
        <w:t>koji</w:t>
      </w:r>
      <w:r w:rsidR="00EF0BEB" w:rsidRPr="00654E3B">
        <w:rPr>
          <w:rFonts w:cs="Times New Roman"/>
        </w:rPr>
        <w:t xml:space="preserve"> u cestovnom prometu, ovisno o scenariju NU1 i NU2 dostiže od 3,5</w:t>
      </w:r>
      <w:r w:rsidR="00060992" w:rsidRPr="00654E3B">
        <w:rPr>
          <w:rFonts w:cs="Times New Roman"/>
        </w:rPr>
        <w:t xml:space="preserve"> %</w:t>
      </w:r>
      <w:r w:rsidR="00EF0BEB" w:rsidRPr="00654E3B">
        <w:rPr>
          <w:rFonts w:cs="Times New Roman"/>
        </w:rPr>
        <w:t xml:space="preserve"> u 2030. do 85</w:t>
      </w:r>
      <w:r w:rsidR="00060992" w:rsidRPr="00654E3B">
        <w:rPr>
          <w:rFonts w:cs="Times New Roman"/>
        </w:rPr>
        <w:t xml:space="preserve"> %</w:t>
      </w:r>
      <w:r w:rsidR="00EF0BEB" w:rsidRPr="00654E3B">
        <w:rPr>
          <w:rFonts w:cs="Times New Roman"/>
        </w:rPr>
        <w:t xml:space="preserve"> u 2050. godini.</w:t>
      </w:r>
    </w:p>
    <w:p w:rsidR="007D4A93" w:rsidRPr="00654E3B" w:rsidRDefault="00EF0BEB">
      <w:pPr>
        <w:rPr>
          <w:rFonts w:cs="Times New Roman"/>
        </w:rPr>
      </w:pPr>
      <w:r w:rsidRPr="00654E3B">
        <w:rPr>
          <w:rFonts w:cs="Times New Roman"/>
        </w:rPr>
        <w:t>Okvirni ciljevi Republike Hrvatske za razdoblje do 2030. i 2050. godine, izraženi u apsolutnim vrijednostima primarne i neposredne potrošnje energije, prema EU direktivi o energetskoj učinkovitosti, prikazani su u tablici 5-1.</w:t>
      </w:r>
    </w:p>
    <w:p w:rsidR="007D4A93" w:rsidRPr="00654E3B" w:rsidRDefault="00EF0BEB">
      <w:pPr>
        <w:pStyle w:val="Tablicanaslov"/>
        <w:spacing w:after="120" w:line="280" w:lineRule="exact"/>
        <w:rPr>
          <w:rFonts w:cs="Times New Roman"/>
          <w:i/>
          <w:sz w:val="22"/>
          <w:szCs w:val="22"/>
        </w:rPr>
      </w:pPr>
      <w:bookmarkStart w:id="214" w:name="bookmark1"/>
      <w:bookmarkStart w:id="215" w:name="bookmark0"/>
      <w:bookmarkStart w:id="216" w:name="_Toc33417118"/>
      <w:bookmarkEnd w:id="214"/>
      <w:bookmarkEnd w:id="215"/>
      <w:r w:rsidRPr="00654E3B">
        <w:rPr>
          <w:rFonts w:cs="Times New Roman"/>
          <w:i/>
          <w:sz w:val="22"/>
          <w:szCs w:val="22"/>
        </w:rPr>
        <w:t>Tablica</w:t>
      </w:r>
      <w:r w:rsidRPr="00654E3B">
        <w:rPr>
          <w:rFonts w:cs="Times New Roman"/>
          <w:i/>
          <w:spacing w:val="-12"/>
          <w:sz w:val="22"/>
          <w:szCs w:val="22"/>
        </w:rPr>
        <w:t xml:space="preserve"> 5-1:</w:t>
      </w:r>
      <w:r w:rsidRPr="00654E3B">
        <w:rPr>
          <w:rFonts w:cs="Times New Roman"/>
          <w:i/>
          <w:spacing w:val="-10"/>
          <w:sz w:val="22"/>
          <w:szCs w:val="22"/>
        </w:rPr>
        <w:t xml:space="preserve"> </w:t>
      </w:r>
      <w:r w:rsidRPr="00654E3B">
        <w:rPr>
          <w:rFonts w:cs="Times New Roman"/>
          <w:i/>
          <w:sz w:val="22"/>
          <w:szCs w:val="22"/>
        </w:rPr>
        <w:t>Okvirni</w:t>
      </w:r>
      <w:r w:rsidRPr="00654E3B">
        <w:rPr>
          <w:rFonts w:cs="Times New Roman"/>
          <w:i/>
          <w:spacing w:val="-10"/>
          <w:sz w:val="22"/>
          <w:szCs w:val="22"/>
        </w:rPr>
        <w:t xml:space="preserve"> </w:t>
      </w:r>
      <w:r w:rsidRPr="00654E3B">
        <w:rPr>
          <w:rFonts w:cs="Times New Roman"/>
          <w:i/>
          <w:sz w:val="22"/>
          <w:szCs w:val="22"/>
        </w:rPr>
        <w:t>nacionalni</w:t>
      </w:r>
      <w:r w:rsidRPr="00654E3B">
        <w:rPr>
          <w:rFonts w:cs="Times New Roman"/>
          <w:i/>
          <w:spacing w:val="-10"/>
          <w:sz w:val="22"/>
          <w:szCs w:val="22"/>
        </w:rPr>
        <w:t xml:space="preserve"> </w:t>
      </w:r>
      <w:r w:rsidRPr="00654E3B">
        <w:rPr>
          <w:rFonts w:cs="Times New Roman"/>
          <w:i/>
          <w:sz w:val="22"/>
          <w:szCs w:val="22"/>
        </w:rPr>
        <w:t>ciljevi</w:t>
      </w:r>
      <w:r w:rsidRPr="00654E3B">
        <w:rPr>
          <w:rFonts w:cs="Times New Roman"/>
          <w:i/>
          <w:spacing w:val="-11"/>
          <w:sz w:val="22"/>
          <w:szCs w:val="22"/>
        </w:rPr>
        <w:t xml:space="preserve"> </w:t>
      </w:r>
      <w:r w:rsidRPr="00654E3B">
        <w:rPr>
          <w:rFonts w:cs="Times New Roman"/>
          <w:i/>
          <w:sz w:val="22"/>
          <w:szCs w:val="22"/>
        </w:rPr>
        <w:t>energetske</w:t>
      </w:r>
      <w:r w:rsidRPr="00654E3B">
        <w:rPr>
          <w:rFonts w:cs="Times New Roman"/>
          <w:i/>
          <w:spacing w:val="-10"/>
          <w:sz w:val="22"/>
          <w:szCs w:val="22"/>
        </w:rPr>
        <w:t xml:space="preserve"> </w:t>
      </w:r>
      <w:r w:rsidRPr="00654E3B">
        <w:rPr>
          <w:rFonts w:cs="Times New Roman"/>
          <w:i/>
          <w:sz w:val="22"/>
          <w:szCs w:val="22"/>
        </w:rPr>
        <w:t>učinkovitosti</w:t>
      </w:r>
      <w:bookmarkEnd w:id="216"/>
    </w:p>
    <w:tbl>
      <w:tblPr>
        <w:tblW w:w="9240" w:type="dxa"/>
        <w:tblLayout w:type="fixed"/>
        <w:tblCellMar>
          <w:left w:w="0" w:type="dxa"/>
          <w:right w:w="0" w:type="dxa"/>
        </w:tblCellMar>
        <w:tblLook w:val="0000" w:firstRow="0" w:lastRow="0" w:firstColumn="0" w:lastColumn="0" w:noHBand="0" w:noVBand="0"/>
      </w:tblPr>
      <w:tblGrid>
        <w:gridCol w:w="2891"/>
        <w:gridCol w:w="907"/>
        <w:gridCol w:w="907"/>
        <w:gridCol w:w="907"/>
        <w:gridCol w:w="907"/>
        <w:gridCol w:w="907"/>
        <w:gridCol w:w="907"/>
        <w:gridCol w:w="907"/>
      </w:tblGrid>
      <w:tr w:rsidR="007D4A93" w:rsidRPr="00654E3B">
        <w:trPr>
          <w:trHeight w:val="397"/>
        </w:trPr>
        <w:tc>
          <w:tcPr>
            <w:tcW w:w="2891" w:type="dxa"/>
            <w:tcBorders>
              <w:top w:val="single" w:sz="4" w:space="0" w:color="000000"/>
              <w:left w:val="single" w:sz="4" w:space="0" w:color="000000"/>
              <w:right w:val="single" w:sz="4" w:space="0" w:color="000000"/>
            </w:tcBorders>
            <w:shd w:val="clear" w:color="auto" w:fill="F2F2F2" w:themeFill="background1" w:themeFillShade="F2"/>
            <w:vAlign w:val="center"/>
          </w:tcPr>
          <w:p w:rsidR="007D4A93" w:rsidRPr="00654E3B" w:rsidRDefault="007D4A93">
            <w:pPr>
              <w:keepNext/>
              <w:spacing w:line="240" w:lineRule="auto"/>
              <w:jc w:val="left"/>
              <w:rPr>
                <w:rFonts w:cs="Times New Roman"/>
              </w:rPr>
            </w:pPr>
          </w:p>
        </w:tc>
        <w:tc>
          <w:tcPr>
            <w:tcW w:w="907"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7D4A93" w:rsidRPr="00654E3B" w:rsidRDefault="00EF0BEB">
            <w:pPr>
              <w:spacing w:line="240" w:lineRule="auto"/>
              <w:jc w:val="center"/>
              <w:rPr>
                <w:rFonts w:cs="Times New Roman"/>
              </w:rPr>
            </w:pPr>
            <w:r w:rsidRPr="00654E3B">
              <w:rPr>
                <w:rFonts w:cs="Times New Roman"/>
              </w:rPr>
              <w:t>2020.</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center"/>
              <w:rPr>
                <w:rFonts w:cs="Times New Roman"/>
                <w:b/>
                <w:bCs/>
                <w:spacing w:val="-5"/>
              </w:rPr>
            </w:pPr>
            <w:r w:rsidRPr="00654E3B">
              <w:rPr>
                <w:rFonts w:cs="Times New Roman"/>
                <w:b/>
                <w:bCs/>
              </w:rPr>
              <w:t>SCENARIJ</w:t>
            </w:r>
            <w:r w:rsidRPr="00654E3B">
              <w:rPr>
                <w:rFonts w:cs="Times New Roman"/>
                <w:b/>
                <w:bCs/>
                <w:spacing w:val="-6"/>
              </w:rPr>
              <w:t xml:space="preserve"> NU1</w:t>
            </w:r>
          </w:p>
          <w:p w:rsidR="007D4A93" w:rsidRPr="00654E3B" w:rsidRDefault="00EF0BEB">
            <w:pPr>
              <w:keepNext/>
              <w:spacing w:line="240" w:lineRule="auto"/>
              <w:jc w:val="center"/>
              <w:rPr>
                <w:rFonts w:cs="Times New Roman"/>
              </w:rPr>
            </w:pPr>
            <w:r w:rsidRPr="00654E3B">
              <w:rPr>
                <w:rFonts w:cs="Times New Roman"/>
                <w:b/>
                <w:bCs/>
                <w:spacing w:val="-1"/>
              </w:rPr>
              <w:t>(PJ)</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center"/>
              <w:rPr>
                <w:rFonts w:cs="Times New Roman"/>
                <w:b/>
                <w:bCs/>
                <w:spacing w:val="-6"/>
              </w:rPr>
            </w:pPr>
            <w:r w:rsidRPr="00654E3B">
              <w:rPr>
                <w:rFonts w:cs="Times New Roman"/>
                <w:b/>
                <w:bCs/>
              </w:rPr>
              <w:t>SCENARIJ</w:t>
            </w:r>
            <w:r w:rsidRPr="00654E3B">
              <w:rPr>
                <w:rFonts w:cs="Times New Roman"/>
                <w:b/>
                <w:bCs/>
                <w:spacing w:val="-6"/>
              </w:rPr>
              <w:t xml:space="preserve"> NU2</w:t>
            </w:r>
          </w:p>
          <w:p w:rsidR="007D4A93" w:rsidRPr="00654E3B" w:rsidRDefault="00EF0BEB">
            <w:pPr>
              <w:keepNext/>
              <w:spacing w:line="240" w:lineRule="auto"/>
              <w:jc w:val="center"/>
              <w:rPr>
                <w:rFonts w:cs="Times New Roman"/>
              </w:rPr>
            </w:pPr>
            <w:r w:rsidRPr="00654E3B">
              <w:rPr>
                <w:rFonts w:cs="Times New Roman"/>
                <w:b/>
                <w:bCs/>
                <w:spacing w:val="-1"/>
              </w:rPr>
              <w:t>(PJ)</w:t>
            </w:r>
          </w:p>
        </w:tc>
      </w:tr>
      <w:tr w:rsidR="007D4A93" w:rsidRPr="00654E3B">
        <w:trPr>
          <w:trHeight w:val="397"/>
        </w:trPr>
        <w:tc>
          <w:tcPr>
            <w:tcW w:w="2891" w:type="dxa"/>
            <w:tcBorders>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7D4A93">
            <w:pPr>
              <w:spacing w:line="240" w:lineRule="auto"/>
              <w:jc w:val="left"/>
              <w:rPr>
                <w:rFonts w:cs="Times New Roman"/>
              </w:rPr>
            </w:pPr>
          </w:p>
        </w:tc>
        <w:tc>
          <w:tcPr>
            <w:tcW w:w="907" w:type="dxa"/>
            <w:vMerge/>
            <w:tcBorders>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7D4A93">
            <w:pPr>
              <w:spacing w:line="240" w:lineRule="auto"/>
              <w:jc w:val="center"/>
              <w:rPr>
                <w:rFonts w:cs="Times New Roman"/>
              </w:rPr>
            </w:pP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2030.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2040.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2050.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2030.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2040.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2050.</w:t>
            </w:r>
          </w:p>
        </w:tc>
      </w:tr>
      <w:tr w:rsidR="007D4A93" w:rsidRPr="00654E3B">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spacing w:line="240" w:lineRule="auto"/>
              <w:jc w:val="left"/>
              <w:rPr>
                <w:rFonts w:cs="Times New Roman"/>
                <w:b/>
                <w:bCs/>
                <w:spacing w:val="-1"/>
              </w:rPr>
            </w:pPr>
            <w:r w:rsidRPr="00654E3B">
              <w:rPr>
                <w:rFonts w:cs="Times New Roman"/>
                <w:b/>
                <w:bCs/>
                <w:spacing w:val="-1"/>
              </w:rPr>
              <w:t>Potrošnja</w:t>
            </w:r>
            <w:r w:rsidRPr="00654E3B">
              <w:rPr>
                <w:rFonts w:cs="Times New Roman"/>
                <w:b/>
                <w:bCs/>
                <w:spacing w:val="-12"/>
              </w:rPr>
              <w:t xml:space="preserve"> </w:t>
            </w:r>
            <w:r w:rsidRPr="00654E3B">
              <w:rPr>
                <w:rFonts w:cs="Times New Roman"/>
                <w:b/>
                <w:bCs/>
              </w:rPr>
              <w:t>primarne</w:t>
            </w:r>
            <w:r w:rsidRPr="00654E3B">
              <w:rPr>
                <w:rFonts w:cs="Times New Roman"/>
                <w:b/>
                <w:bCs/>
                <w:spacing w:val="-11"/>
              </w:rPr>
              <w:t xml:space="preserve"> </w:t>
            </w:r>
            <w:r w:rsidRPr="00654E3B">
              <w:rPr>
                <w:rFonts w:cs="Times New Roman"/>
                <w:b/>
                <w:bCs/>
              </w:rPr>
              <w:t>energije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A93" w:rsidRPr="00654E3B" w:rsidRDefault="006C44E2">
            <w:pPr>
              <w:spacing w:line="240" w:lineRule="auto"/>
              <w:jc w:val="center"/>
              <w:rPr>
                <w:rFonts w:cs="Times New Roman"/>
              </w:rPr>
            </w:pPr>
            <w:r w:rsidRPr="00654E3B">
              <w:rPr>
                <w:rFonts w:cs="Times New Roman"/>
              </w:rPr>
              <w:t>333</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344,4</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325,7</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287,4</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328,7</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292,2</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251,0</w:t>
            </w:r>
          </w:p>
        </w:tc>
      </w:tr>
      <w:tr w:rsidR="007D4A93" w:rsidRPr="00654E3B">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spacing w:line="240" w:lineRule="auto"/>
              <w:jc w:val="left"/>
              <w:rPr>
                <w:rFonts w:cs="Times New Roman"/>
                <w:b/>
                <w:bCs/>
              </w:rPr>
            </w:pPr>
            <w:r w:rsidRPr="00654E3B">
              <w:rPr>
                <w:rFonts w:cs="Times New Roman"/>
                <w:b/>
                <w:bCs/>
              </w:rPr>
              <w:t>Neposredna</w:t>
            </w:r>
            <w:r w:rsidRPr="00654E3B">
              <w:rPr>
                <w:rFonts w:cs="Times New Roman"/>
                <w:b/>
                <w:bCs/>
                <w:spacing w:val="-15"/>
              </w:rPr>
              <w:t xml:space="preserve"> </w:t>
            </w:r>
            <w:r w:rsidRPr="00654E3B">
              <w:rPr>
                <w:rFonts w:cs="Times New Roman"/>
                <w:b/>
                <w:bCs/>
                <w:spacing w:val="-1"/>
              </w:rPr>
              <w:t>potrošnja</w:t>
            </w:r>
            <w:r w:rsidRPr="00654E3B">
              <w:rPr>
                <w:rFonts w:cs="Times New Roman"/>
                <w:b/>
                <w:bCs/>
                <w:spacing w:val="-14"/>
              </w:rPr>
              <w:t xml:space="preserve"> </w:t>
            </w:r>
            <w:r w:rsidRPr="00654E3B">
              <w:rPr>
                <w:rFonts w:cs="Times New Roman"/>
                <w:b/>
                <w:bCs/>
              </w:rPr>
              <w:t>energije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A93" w:rsidRPr="00654E3B" w:rsidRDefault="006C44E2">
            <w:pPr>
              <w:spacing w:line="240" w:lineRule="auto"/>
              <w:jc w:val="center"/>
              <w:rPr>
                <w:rFonts w:cs="Times New Roman"/>
                <w:bCs/>
              </w:rPr>
            </w:pPr>
            <w:r w:rsidRPr="00654E3B">
              <w:rPr>
                <w:rFonts w:cs="Times New Roman"/>
                <w:bCs/>
              </w:rPr>
              <w:t>281,7</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286,9</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265,2</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225,6</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272,5</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238,3</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189,6</w:t>
            </w:r>
          </w:p>
        </w:tc>
      </w:tr>
    </w:tbl>
    <w:p w:rsidR="007D4A93" w:rsidRPr="00654E3B" w:rsidRDefault="00EF0BEB" w:rsidP="00A9370E">
      <w:pPr>
        <w:spacing w:before="120"/>
        <w:rPr>
          <w:rFonts w:cs="Times New Roman"/>
        </w:rPr>
      </w:pPr>
      <w:r w:rsidRPr="00654E3B">
        <w:rPr>
          <w:rFonts w:cs="Times New Roman"/>
        </w:rPr>
        <w:t>Povećanjem energetske učinkovitosti ostvarit će se koristi za okoliš, smanjiti emisije stakleničkih plinova, poboljšati energetska sigurnost, sniziti troškovi energije te ublažiti energetsko siromaštvo. To će dovesti do veće konkurentnosti, povećanja zaposlenosti i povećane gospodarske aktivnosti, čime će se poboljšati kvaliteta života građana.</w:t>
      </w:r>
    </w:p>
    <w:p w:rsidR="007D4A93" w:rsidRPr="00654E3B" w:rsidRDefault="00EF0BEB">
      <w:pPr>
        <w:pStyle w:val="Heading1"/>
        <w:rPr>
          <w:rFonts w:ascii="Times New Roman" w:hAnsi="Times New Roman" w:cs="Times New Roman"/>
        </w:rPr>
      </w:pPr>
      <w:bookmarkStart w:id="217" w:name="_Toc20841302"/>
      <w:bookmarkStart w:id="218" w:name="_Toc20841408"/>
      <w:bookmarkStart w:id="219" w:name="_Toc69297743"/>
      <w:r w:rsidRPr="00654E3B">
        <w:rPr>
          <w:rFonts w:ascii="Times New Roman" w:hAnsi="Times New Roman" w:cs="Times New Roman"/>
        </w:rPr>
        <w:t xml:space="preserve">6. </w:t>
      </w:r>
      <w:r w:rsidRPr="00654E3B">
        <w:rPr>
          <w:rFonts w:ascii="Times New Roman" w:hAnsi="Times New Roman" w:cs="Times New Roman"/>
        </w:rPr>
        <w:tab/>
        <w:t>SCENARIJI NISKOUGLJIČNOG RAZVOJA PO SEKTORIMA</w:t>
      </w:r>
      <w:bookmarkEnd w:id="217"/>
      <w:bookmarkEnd w:id="218"/>
      <w:bookmarkEnd w:id="219"/>
    </w:p>
    <w:p w:rsidR="007D4A93" w:rsidRPr="00654E3B" w:rsidRDefault="007D4A93">
      <w:pPr>
        <w:rPr>
          <w:rFonts w:cs="Times New Roman"/>
        </w:rPr>
      </w:pPr>
    </w:p>
    <w:p w:rsidR="007D4A93" w:rsidRPr="00654E3B" w:rsidRDefault="00EF0BEB">
      <w:pPr>
        <w:rPr>
          <w:rFonts w:cs="Times New Roman"/>
        </w:rPr>
      </w:pPr>
      <w:r w:rsidRPr="00654E3B">
        <w:rPr>
          <w:rFonts w:cs="Times New Roman"/>
        </w:rPr>
        <w:t>U ovom poglavlju daje se pregled politika i mjera te smjernice za provođenje Niskougljične strategije. Mjere su opisane po pojedinim sektorima. Kompletan popis mjera nalazi se u Prilogu I, II i III. ove Strategije. Temeljem utvrđenih mogućih mjera</w:t>
      </w:r>
      <w:r w:rsidR="00383702" w:rsidRPr="00654E3B">
        <w:rPr>
          <w:rFonts w:cs="Times New Roman"/>
        </w:rPr>
        <w:t>,</w:t>
      </w:r>
      <w:r w:rsidRPr="00654E3B">
        <w:rPr>
          <w:rFonts w:cs="Times New Roman"/>
        </w:rPr>
        <w:t xml:space="preserve"> njihovom kombinacijom definiraju se scenariji. Kao glavni kriteriji za odabir mjera i dubinu njihove primjene odabrani su slijedeći kriteriji: troškovna učinkovitost, potencijal za zapošljavanje, podizanje konkurentnosti domaće industrije i lokalni razvoj. </w:t>
      </w:r>
    </w:p>
    <w:p w:rsidR="007D4A93" w:rsidRPr="00654E3B" w:rsidRDefault="00EF0BEB">
      <w:pPr>
        <w:spacing w:line="240" w:lineRule="auto"/>
        <w:rPr>
          <w:rFonts w:cs="Times New Roman"/>
        </w:rPr>
      </w:pPr>
      <w:r w:rsidRPr="00654E3B">
        <w:rPr>
          <w:rFonts w:cs="Times New Roman"/>
        </w:rPr>
        <w:lastRenderedPageBreak/>
        <w:t>Niskougljična strategija postavlja dva niskougljična scenarija: scenarij postupne tranzicije (NU1) i scenarij snažne tranzicije (NU2). Ova dva scenarija definiraju okvir za budućnost te ovisno o okolnostima, putanja treba biti između ova dva 'granična' scenarija. Nova politička opredjeljenja Europe objavljena krajem 2018. godine, s vizijom društva s neto neutralnom emisijom stakleničkih plinova u 2050. godini, jasno ukazuju da treba što više težiti ostvarenju scenarija NU2, s obzirom da će vrlo uskoro biti potrebno razmotriti i još ambicioznije ciljeve.</w:t>
      </w:r>
    </w:p>
    <w:p w:rsidR="007D4A93" w:rsidRPr="00654E3B" w:rsidRDefault="00EF0BEB">
      <w:pPr>
        <w:spacing w:line="240" w:lineRule="auto"/>
        <w:rPr>
          <w:rFonts w:cs="Times New Roman"/>
        </w:rPr>
      </w:pPr>
      <w:r w:rsidRPr="00654E3B">
        <w:rPr>
          <w:rFonts w:cs="Times New Roman"/>
        </w:rPr>
        <w:t>Niskougljična strategija daje okvir za djelovanje po sektorima i vertikalno, od državne razine do djelovanja na lokalnoj razini. Ne razmatra pojedinačne projekte, investicije i odluke, izuzev ako su one već raspoznate kao strateške. Iz općih smjernica, mjerila, kriterija i čimbenika scenarija NU1 i NU2</w:t>
      </w:r>
      <w:r w:rsidR="00383702" w:rsidRPr="00654E3B">
        <w:rPr>
          <w:rFonts w:cs="Times New Roman"/>
        </w:rPr>
        <w:t>,</w:t>
      </w:r>
      <w:r w:rsidRPr="00654E3B">
        <w:rPr>
          <w:rFonts w:cs="Times New Roman"/>
        </w:rPr>
        <w:t xml:space="preserve"> investitori i donosioci odluka trebaju raspoznati poželjan smjer. Zbog dugoročnosti, ona mora biti i dovoljno široka, kako bi obuhvatila moguće geopolitičke i ostale okolnosti na koje Vlada Republike Hrvatske i gospodarski subjekti ne mogu utjecati.</w:t>
      </w:r>
    </w:p>
    <w:p w:rsidR="007D4A93" w:rsidRPr="00654E3B" w:rsidRDefault="00EF0BEB">
      <w:pPr>
        <w:rPr>
          <w:rFonts w:cs="Times New Roman"/>
          <w:b/>
        </w:rPr>
      </w:pPr>
      <w:r w:rsidRPr="00654E3B">
        <w:rPr>
          <w:rFonts w:cs="Times New Roman"/>
          <w:b/>
        </w:rPr>
        <w:t>Ovim scenarijima Republika Hrvatska ostvaruje u 2030. godini 33,5 do 36,7</w:t>
      </w:r>
      <w:r w:rsidR="00060992" w:rsidRPr="00654E3B">
        <w:rPr>
          <w:rFonts w:cs="Times New Roman"/>
          <w:b/>
        </w:rPr>
        <w:t xml:space="preserve"> %</w:t>
      </w:r>
      <w:r w:rsidRPr="00654E3B">
        <w:rPr>
          <w:rFonts w:cs="Times New Roman"/>
          <w:b/>
        </w:rPr>
        <w:t xml:space="preserve"> smanjenje emisija u odnosu na 1990. godinu, a u 2050. godini 56,8 do 73,1</w:t>
      </w:r>
      <w:r w:rsidR="00060992" w:rsidRPr="00654E3B">
        <w:rPr>
          <w:rFonts w:cs="Times New Roman"/>
          <w:b/>
        </w:rPr>
        <w:t xml:space="preserve"> %</w:t>
      </w:r>
      <w:r w:rsidRPr="00654E3B">
        <w:rPr>
          <w:rFonts w:cs="Times New Roman"/>
          <w:b/>
        </w:rPr>
        <w:t>.</w:t>
      </w:r>
    </w:p>
    <w:p w:rsidR="007D4A93" w:rsidRPr="00654E3B" w:rsidRDefault="00EF0BEB">
      <w:pPr>
        <w:rPr>
          <w:rFonts w:cs="Times New Roman"/>
        </w:rPr>
      </w:pPr>
      <w:r w:rsidRPr="00654E3B">
        <w:rPr>
          <w:rFonts w:cs="Times New Roman"/>
        </w:rPr>
        <w:t>Scenarij NU2 je postavljen ambiciozno, sa smanjenjem ukupne emisije za 80</w:t>
      </w:r>
      <w:r w:rsidR="00060992" w:rsidRPr="00654E3B">
        <w:rPr>
          <w:rFonts w:cs="Times New Roman"/>
        </w:rPr>
        <w:t xml:space="preserve"> %</w:t>
      </w:r>
      <w:r w:rsidRPr="00654E3B">
        <w:rPr>
          <w:rFonts w:cs="Times New Roman"/>
        </w:rPr>
        <w:t xml:space="preserve"> u odnosu na 1990. godinu. Analiza je pokazala da bi smanjenje emisija preko 73,1</w:t>
      </w:r>
      <w:r w:rsidR="00060992" w:rsidRPr="00654E3B">
        <w:rPr>
          <w:rFonts w:cs="Times New Roman"/>
        </w:rPr>
        <w:t xml:space="preserve"> %</w:t>
      </w:r>
      <w:r w:rsidRPr="00654E3B">
        <w:rPr>
          <w:rFonts w:cs="Times New Roman"/>
        </w:rPr>
        <w:t xml:space="preserve">, koliko doseže hrvatski scenarij NU2, zahtijevalo primjenu vrlo skupih tehničkih mjera ili puno veća smanjenja emisije u sektoru poljoprivrede, što bi moglo imati velike socio-gospodarske posljedice. Vrlo je vjerojatno da će razvoj novih tehnologija omogućiti da se s vremenom ova razlika ostvari troškovno učinkovitije. </w:t>
      </w:r>
    </w:p>
    <w:p w:rsidR="007D4A93" w:rsidRPr="00654E3B" w:rsidRDefault="00EF0BEB">
      <w:pPr>
        <w:rPr>
          <w:rFonts w:cs="Times New Roman"/>
          <w:bCs/>
          <w:u w:val="single"/>
        </w:rPr>
      </w:pPr>
      <w:bookmarkStart w:id="220" w:name="_Toc484158987"/>
      <w:r w:rsidRPr="00654E3B">
        <w:rPr>
          <w:rFonts w:cs="Times New Roman"/>
          <w:bCs/>
          <w:u w:val="single"/>
        </w:rPr>
        <w:t>Vremenski horizont</w:t>
      </w:r>
      <w:bookmarkEnd w:id="220"/>
    </w:p>
    <w:p w:rsidR="007D4A93" w:rsidRPr="00654E3B" w:rsidRDefault="00EF0BEB">
      <w:pPr>
        <w:rPr>
          <w:rFonts w:cs="Times New Roman"/>
        </w:rPr>
      </w:pPr>
      <w:r w:rsidRPr="00654E3B">
        <w:rPr>
          <w:rFonts w:cs="Times New Roman"/>
          <w:b/>
          <w:bCs/>
        </w:rPr>
        <w:t>202</w:t>
      </w:r>
      <w:r w:rsidR="007E0AD0" w:rsidRPr="00654E3B">
        <w:rPr>
          <w:rFonts w:cs="Times New Roman"/>
          <w:b/>
          <w:bCs/>
        </w:rPr>
        <w:t>1</w:t>
      </w:r>
      <w:r w:rsidRPr="00654E3B">
        <w:rPr>
          <w:rFonts w:cs="Times New Roman"/>
          <w:b/>
          <w:bCs/>
        </w:rPr>
        <w:t>. – 2030. godina.</w:t>
      </w:r>
      <w:r w:rsidRPr="00654E3B">
        <w:rPr>
          <w:rFonts w:cs="Times New Roman"/>
        </w:rPr>
        <w:t xml:space="preserve"> Primjena mjera u ovom razdoblju treba biti snažna, to je razdoblje u kojem se Republika Hrvatska okreće prema putu niskougljičnog razvoja. Očekuje se da će cijene </w:t>
      </w:r>
      <w:r w:rsidR="00F711F4" w:rsidRPr="00654E3B">
        <w:rPr>
          <w:rFonts w:cs="Times New Roman"/>
        </w:rPr>
        <w:t xml:space="preserve">emisijskih jedinica </w:t>
      </w:r>
      <w:r w:rsidRPr="00654E3B">
        <w:rPr>
          <w:rFonts w:cs="Times New Roman"/>
        </w:rPr>
        <w:t>biti pred kraj ovog razdoblja prilično visoke, a svijest o potrebi smanjenja emisije i utjecajima klimatskih promjena na kolektivnoj i individualnoj razini razvijena. Republika Hrvatska će u ovom razdoblju odlučiti</w:t>
      </w:r>
      <w:r w:rsidR="00C52F70" w:rsidRPr="00654E3B">
        <w:rPr>
          <w:rFonts w:cs="Times New Roman"/>
        </w:rPr>
        <w:t>,</w:t>
      </w:r>
      <w:r w:rsidRPr="00654E3B">
        <w:rPr>
          <w:rFonts w:cs="Times New Roman"/>
        </w:rPr>
        <w:t xml:space="preserve"> da li će nakon 2030. godine ići još ambicioznijim smjerom. Globalno, u okviru Pariškog sporazuma, dogovori o povećanju ambicije su u ciklusima od </w:t>
      </w:r>
      <w:r w:rsidR="0057705E" w:rsidRPr="00654E3B">
        <w:rPr>
          <w:rFonts w:cs="Times New Roman"/>
        </w:rPr>
        <w:t>pet</w:t>
      </w:r>
      <w:r w:rsidRPr="00654E3B">
        <w:rPr>
          <w:rFonts w:cs="Times New Roman"/>
        </w:rPr>
        <w:t xml:space="preserve"> godina. S tim u vezi dolazi do novog načina upravljanja politikom klimats</w:t>
      </w:r>
      <w:r w:rsidR="008D7D1F" w:rsidRPr="00654E3B">
        <w:rPr>
          <w:rFonts w:cs="Times New Roman"/>
        </w:rPr>
        <w:t xml:space="preserve">kih promjena na razni EU (eng. </w:t>
      </w:r>
      <w:r w:rsidR="008D7D1F" w:rsidRPr="00654E3B">
        <w:rPr>
          <w:rFonts w:cs="Times New Roman"/>
          <w:i/>
        </w:rPr>
        <w:t>new governance</w:t>
      </w:r>
      <w:r w:rsidRPr="00654E3B">
        <w:rPr>
          <w:rFonts w:cs="Times New Roman"/>
        </w:rPr>
        <w:t>), dijalog će prevladati normativne pristupe, a ovaj će se pristup širiti vertikalno kroz društvo i gospodarstvo, kao sociološka novina. U ovom razdoblju</w:t>
      </w:r>
      <w:r w:rsidR="00C52F70" w:rsidRPr="00654E3B">
        <w:rPr>
          <w:rFonts w:cs="Times New Roman"/>
        </w:rPr>
        <w:t>,</w:t>
      </w:r>
      <w:r w:rsidRPr="00654E3B">
        <w:rPr>
          <w:rFonts w:cs="Times New Roman"/>
        </w:rPr>
        <w:t xml:space="preserve"> snažna logistička podrška tranziciji trebao bi biti operativni program za ublažavanje i prilagodbu klimatskim promjenama, financiran kroz strukturne fondove EU. </w:t>
      </w:r>
    </w:p>
    <w:p w:rsidR="007D4A93" w:rsidRPr="00654E3B" w:rsidRDefault="00EF0BEB">
      <w:pPr>
        <w:rPr>
          <w:rFonts w:cs="Times New Roman"/>
        </w:rPr>
      </w:pPr>
      <w:r w:rsidRPr="00654E3B">
        <w:rPr>
          <w:rFonts w:cs="Times New Roman"/>
          <w:b/>
          <w:bCs/>
        </w:rPr>
        <w:t>2031. – 2050. godina.</w:t>
      </w:r>
      <w:r w:rsidRPr="00654E3B">
        <w:rPr>
          <w:rFonts w:cs="Times New Roman"/>
        </w:rPr>
        <w:t xml:space="preserve"> Ovo razdoblje treba promatrati u mogućem rasponu djelovanja između scenarija NU1 i NU2. Međunarodni kontekst, gospodarski razvoj i razvoj tehnologija određivat će smjer. Svijest o potrebi ambicioznog djelovanja biti će izgrađena na svim razinama. </w:t>
      </w:r>
    </w:p>
    <w:p w:rsidR="007D4A93" w:rsidRPr="00654E3B" w:rsidRDefault="00EF0BEB">
      <w:pPr>
        <w:pStyle w:val="Heading2"/>
        <w:rPr>
          <w:rFonts w:ascii="Times New Roman" w:hAnsi="Times New Roman" w:cs="Times New Roman"/>
        </w:rPr>
      </w:pPr>
      <w:bookmarkStart w:id="221" w:name="_Toc20841303"/>
      <w:bookmarkStart w:id="222" w:name="_Toc20841409"/>
      <w:bookmarkStart w:id="223" w:name="_Toc69297744"/>
      <w:r w:rsidRPr="00654E3B">
        <w:rPr>
          <w:rFonts w:ascii="Times New Roman" w:hAnsi="Times New Roman" w:cs="Times New Roman"/>
        </w:rPr>
        <w:t xml:space="preserve">6.1. </w:t>
      </w:r>
      <w:r w:rsidRPr="00654E3B">
        <w:rPr>
          <w:rFonts w:ascii="Times New Roman" w:hAnsi="Times New Roman" w:cs="Times New Roman"/>
        </w:rPr>
        <w:tab/>
        <w:t>PROIZVODNJA ELEKTRIČNE ENERGIJE I TOPLINE</w:t>
      </w:r>
      <w:bookmarkEnd w:id="221"/>
      <w:bookmarkEnd w:id="222"/>
      <w:bookmarkEnd w:id="223"/>
      <w:r w:rsidRPr="00654E3B">
        <w:rPr>
          <w:rFonts w:ascii="Times New Roman" w:hAnsi="Times New Roman" w:cs="Times New Roman"/>
        </w:rPr>
        <w:tab/>
      </w:r>
    </w:p>
    <w:p w:rsidR="007D4A93" w:rsidRPr="00654E3B" w:rsidRDefault="00EF0BEB" w:rsidP="009F6651">
      <w:pPr>
        <w:pStyle w:val="Heading3"/>
      </w:pPr>
      <w:bookmarkStart w:id="224" w:name="_Toc69297745"/>
      <w:r w:rsidRPr="00654E3B">
        <w:t>6.1.1. Emisije stakleničkih plinova</w:t>
      </w:r>
      <w:bookmarkEnd w:id="224"/>
    </w:p>
    <w:p w:rsidR="007D4A93" w:rsidRPr="00654E3B" w:rsidRDefault="007D4A93">
      <w:pPr>
        <w:rPr>
          <w:rFonts w:cs="Times New Roman"/>
        </w:rPr>
      </w:pPr>
    </w:p>
    <w:p w:rsidR="007D4A93" w:rsidRPr="00654E3B" w:rsidRDefault="00EF0BEB">
      <w:pPr>
        <w:rPr>
          <w:rFonts w:cs="Times New Roman"/>
        </w:rPr>
      </w:pPr>
      <w:r w:rsidRPr="00654E3B">
        <w:rPr>
          <w:rFonts w:cs="Times New Roman"/>
        </w:rPr>
        <w:t>Sektor proizvodnje električne energije i topline u 2018. godini činio je 13,8</w:t>
      </w:r>
      <w:r w:rsidR="00060992" w:rsidRPr="00654E3B">
        <w:rPr>
          <w:rFonts w:cs="Times New Roman"/>
        </w:rPr>
        <w:t xml:space="preserve"> %</w:t>
      </w:r>
      <w:r w:rsidRPr="00654E3B">
        <w:rPr>
          <w:rFonts w:cs="Times New Roman"/>
        </w:rPr>
        <w:t xml:space="preserve"> emisije stakleničkih plinova Republike Hrvatske</w:t>
      </w:r>
      <w:r w:rsidR="008C7C37" w:rsidRPr="00654E3B">
        <w:rPr>
          <w:rFonts w:cs="Times New Roman"/>
        </w:rPr>
        <w:t xml:space="preserve">, a </w:t>
      </w:r>
      <w:r w:rsidRPr="00654E3B">
        <w:rPr>
          <w:rFonts w:cs="Times New Roman"/>
        </w:rPr>
        <w:t>96</w:t>
      </w:r>
      <w:r w:rsidR="00060992" w:rsidRPr="00654E3B">
        <w:rPr>
          <w:rFonts w:cs="Times New Roman"/>
        </w:rPr>
        <w:t xml:space="preserve"> %</w:t>
      </w:r>
      <w:r w:rsidRPr="00654E3B">
        <w:rPr>
          <w:rFonts w:cs="Times New Roman"/>
        </w:rPr>
        <w:t xml:space="preserve"> emisija u ovome sektoru obuhvaćeno je ETS-om. </w:t>
      </w:r>
    </w:p>
    <w:p w:rsidR="007D4A93" w:rsidRPr="00654E3B" w:rsidRDefault="00EF0BEB">
      <w:pPr>
        <w:rPr>
          <w:rFonts w:cs="Times New Roman"/>
        </w:rPr>
      </w:pPr>
      <w:r w:rsidRPr="00654E3B">
        <w:rPr>
          <w:rFonts w:cs="Times New Roman"/>
        </w:rPr>
        <w:t>U odnosu na 1990. godinu, u ovom sektoru u niskougljičnim scenarijima NU1 i NU2</w:t>
      </w:r>
      <w:r w:rsidR="008C7C37" w:rsidRPr="00654E3B">
        <w:rPr>
          <w:rFonts w:cs="Times New Roman"/>
        </w:rPr>
        <w:t>,</w:t>
      </w:r>
      <w:r w:rsidRPr="00654E3B">
        <w:rPr>
          <w:rFonts w:cs="Times New Roman"/>
        </w:rPr>
        <w:t xml:space="preserve"> postiže se smanjenje emisije za 49,7 do 53,3</w:t>
      </w:r>
      <w:r w:rsidR="00060992" w:rsidRPr="00654E3B">
        <w:rPr>
          <w:rFonts w:cs="Times New Roman"/>
        </w:rPr>
        <w:t xml:space="preserve"> %</w:t>
      </w:r>
      <w:r w:rsidRPr="00654E3B">
        <w:rPr>
          <w:rFonts w:cs="Times New Roman"/>
        </w:rPr>
        <w:t xml:space="preserve"> u 2030. godini, a za 61,0 do 93,3</w:t>
      </w:r>
      <w:r w:rsidR="00060992" w:rsidRPr="00654E3B">
        <w:rPr>
          <w:rFonts w:cs="Times New Roman"/>
        </w:rPr>
        <w:t xml:space="preserve"> %</w:t>
      </w:r>
      <w:r w:rsidRPr="00654E3B">
        <w:rPr>
          <w:rFonts w:cs="Times New Roman"/>
        </w:rPr>
        <w:t xml:space="preserve"> u 2050. godini.</w:t>
      </w:r>
    </w:p>
    <w:p w:rsidR="00AB40C9" w:rsidRPr="00654E3B" w:rsidRDefault="00AB40C9">
      <w:pPr>
        <w:rPr>
          <w:rFonts w:cs="Times New Roman"/>
        </w:rPr>
      </w:pPr>
    </w:p>
    <w:p w:rsidR="007D4A93" w:rsidRPr="00654E3B" w:rsidRDefault="00EF0BEB" w:rsidP="009F6651">
      <w:pPr>
        <w:pStyle w:val="Heading3"/>
      </w:pPr>
      <w:bookmarkStart w:id="225" w:name="_Toc69297746"/>
      <w:r w:rsidRPr="00654E3B">
        <w:t>6.1.2.</w:t>
      </w:r>
      <w:r w:rsidRPr="00654E3B">
        <w:tab/>
        <w:t xml:space="preserve">Politike i mjere za niskougljični </w:t>
      </w:r>
      <w:r w:rsidRPr="009F6651">
        <w:t>razvoj</w:t>
      </w:r>
      <w:bookmarkEnd w:id="225"/>
    </w:p>
    <w:p w:rsidR="007D4A93" w:rsidRPr="00654E3B" w:rsidRDefault="007D4A93" w:rsidP="009F6651"/>
    <w:p w:rsidR="007D4A93" w:rsidRPr="00654E3B" w:rsidRDefault="00EF0BEB">
      <w:pPr>
        <w:spacing w:line="240" w:lineRule="auto"/>
        <w:rPr>
          <w:rFonts w:cs="Times New Roman"/>
        </w:rPr>
      </w:pPr>
      <w:r w:rsidRPr="00654E3B">
        <w:rPr>
          <w:rFonts w:cs="Times New Roman"/>
        </w:rPr>
        <w:lastRenderedPageBreak/>
        <w:t>U ovom sektoru će doći do velikih promjena, elektrane na fosilna goriva prepuštati će mjesto obnovljivim izvorima energije. Od elektrana na fosilna goriva, najveći značaj imati će plinske kogeneracijske elektrane visoke učinkovitosti. Smjer je prema decentralizaciji proizvodnje električne energije, potrošači (kućanstva i ustanove) će biti i proizvođači energije, razmjena energije dešavat će se na lokalnim razinama, a proizvođači energije i spremišta energije biti će povezani naprednim mrežama. Fleksibilna će potrošnja biti upravljana pametnim sustavima. Za integraciju obnovljivih izvora energije</w:t>
      </w:r>
      <w:r w:rsidR="00073D1D" w:rsidRPr="00654E3B">
        <w:rPr>
          <w:rFonts w:cs="Times New Roman"/>
        </w:rPr>
        <w:t>,</w:t>
      </w:r>
      <w:r w:rsidRPr="00654E3B">
        <w:rPr>
          <w:rFonts w:cs="Times New Roman"/>
        </w:rPr>
        <w:t xml:space="preserve"> </w:t>
      </w:r>
      <w:r w:rsidR="00073D1D" w:rsidRPr="00654E3B">
        <w:rPr>
          <w:rFonts w:cs="Times New Roman"/>
        </w:rPr>
        <w:t xml:space="preserve">ključni </w:t>
      </w:r>
      <w:r w:rsidRPr="00654E3B">
        <w:rPr>
          <w:rFonts w:cs="Times New Roman"/>
        </w:rPr>
        <w:t>će biti spremnici energije, njihovi kapaciteti, brzine punjenja i pražnjenja i cijena tehnologija.</w:t>
      </w:r>
    </w:p>
    <w:p w:rsidR="007D4A93" w:rsidRPr="00654E3B" w:rsidRDefault="00EF0BEB">
      <w:pPr>
        <w:spacing w:line="240" w:lineRule="auto"/>
        <w:rPr>
          <w:rFonts w:cs="Times New Roman"/>
        </w:rPr>
      </w:pPr>
      <w:r w:rsidRPr="00654E3B">
        <w:rPr>
          <w:rFonts w:cs="Times New Roman"/>
        </w:rPr>
        <w:t>Očekuje se porast potrošnje električne energije uslijed elektrifikacije sektora prometa, porasta primjene dizalica topline za grijanje, porasta korištenja klimatizacijskih uređaja te gospodarskog razvoja u sektoru industrije i uslužnom sektoru. Na dodatan rast bruto potrošnje električne energije</w:t>
      </w:r>
      <w:r w:rsidR="00073D1D" w:rsidRPr="00654E3B">
        <w:rPr>
          <w:rFonts w:cs="Times New Roman"/>
        </w:rPr>
        <w:t>,</w:t>
      </w:r>
      <w:r w:rsidRPr="00654E3B">
        <w:rPr>
          <w:rFonts w:cs="Times New Roman"/>
        </w:rPr>
        <w:t xml:space="preserve"> utjecati će razvoj električnih kotlova i/ili dizalica topline u centraliziranim toplinskim sustavima te u dužem roku potencijalni razvoj sustava za elektrolizu vodika</w:t>
      </w:r>
      <w:r w:rsidR="00073D1D" w:rsidRPr="00654E3B">
        <w:rPr>
          <w:rFonts w:cs="Times New Roman"/>
        </w:rPr>
        <w:t>,</w:t>
      </w:r>
      <w:r w:rsidRPr="00654E3B">
        <w:rPr>
          <w:rFonts w:cs="Times New Roman"/>
        </w:rPr>
        <w:t xml:space="preserve"> koji će koristiti električnu energiju u trenucima niskih cijena, odnosno viška proizvodnje električne energije iz obnovljivih izvora. </w:t>
      </w:r>
    </w:p>
    <w:p w:rsidR="007D4A93" w:rsidRPr="00654E3B" w:rsidRDefault="00EF0BEB">
      <w:pPr>
        <w:spacing w:line="240" w:lineRule="auto"/>
        <w:rPr>
          <w:rFonts w:cs="Times New Roman"/>
        </w:rPr>
      </w:pPr>
      <w:r w:rsidRPr="00654E3B">
        <w:rPr>
          <w:rFonts w:cs="Times New Roman"/>
        </w:rPr>
        <w:t>S druge strane, postoji značajan potencijal za uštedu električne energije i povećanje energetske učinkovitosti u neposrednoj potrošnji, prvenstveno kroz povećanje učinkovitosti kućanskih i uredskih uređaja, povećanje učinkovitosti sustava javne i unutrašnje rasvjete, primjenu mjera energetske učinkovitosti u industriji te zamjenu elektrootpornog grijanja primjenom električne energije učinkovitijim sustavima.</w:t>
      </w:r>
    </w:p>
    <w:p w:rsidR="007D4A93" w:rsidRPr="00654E3B" w:rsidRDefault="00EF0BEB">
      <w:pPr>
        <w:spacing w:line="240" w:lineRule="auto"/>
        <w:rPr>
          <w:rFonts w:cs="Times New Roman"/>
        </w:rPr>
      </w:pPr>
      <w:r w:rsidRPr="00654E3B">
        <w:rPr>
          <w:rFonts w:cs="Times New Roman"/>
        </w:rPr>
        <w:t>Osnovne mjere uključuju korištenje obnovljivih izvora energije i kogeneracije, korištenje goriva s manjom specifičnom emisijom CO</w:t>
      </w:r>
      <w:r w:rsidRPr="00654E3B">
        <w:rPr>
          <w:rFonts w:cs="Times New Roman"/>
          <w:vertAlign w:val="subscript"/>
        </w:rPr>
        <w:t>2</w:t>
      </w:r>
      <w:r w:rsidRPr="00654E3B">
        <w:rPr>
          <w:rFonts w:cs="Times New Roman"/>
        </w:rPr>
        <w:t>, povećanje energetske učinkovitosti, hvatanje i skladištenje CO</w:t>
      </w:r>
      <w:r w:rsidRPr="00654E3B">
        <w:rPr>
          <w:rFonts w:cs="Times New Roman"/>
          <w:vertAlign w:val="subscript"/>
        </w:rPr>
        <w:t>2</w:t>
      </w:r>
      <w:r w:rsidRPr="00654E3B">
        <w:rPr>
          <w:rFonts w:cs="Times New Roman"/>
        </w:rPr>
        <w:t>, korištenje nuklearne energije te smanjenje gubitaka u prijenosu i distribuciji energije.</w:t>
      </w:r>
    </w:p>
    <w:p w:rsidR="007D4A93" w:rsidRPr="00654E3B" w:rsidRDefault="00EF0BEB">
      <w:pPr>
        <w:spacing w:line="240" w:lineRule="auto"/>
        <w:rPr>
          <w:rFonts w:cs="Times New Roman"/>
        </w:rPr>
      </w:pPr>
      <w:r w:rsidRPr="00654E3B">
        <w:rPr>
          <w:rFonts w:cs="Times New Roman"/>
          <w:b/>
        </w:rPr>
        <w:t>Obnovljivi izvori energije (OIE) i kogeneracija.</w:t>
      </w:r>
      <w:r w:rsidRPr="00654E3B">
        <w:rPr>
          <w:rFonts w:cs="Times New Roman"/>
        </w:rPr>
        <w:t xml:space="preserve"> Mjera uključuje izgradnju postrojenja koja koriste obnovljive izvore energije za proizvodnju električne energije i/ili topline</w:t>
      </w:r>
      <w:r w:rsidR="00073D1D" w:rsidRPr="00654E3B">
        <w:rPr>
          <w:rFonts w:cs="Times New Roman"/>
        </w:rPr>
        <w:t>,</w:t>
      </w:r>
      <w:r w:rsidRPr="00654E3B">
        <w:rPr>
          <w:rFonts w:cs="Times New Roman"/>
        </w:rPr>
        <w:t xml:space="preserve"> kao što su hidroelektrane, sunčane elektrane, vjetroelektrane, elektrane na biomasu/bioplin</w:t>
      </w:r>
      <w:r w:rsidR="00073D1D" w:rsidRPr="00654E3B">
        <w:rPr>
          <w:rFonts w:cs="Times New Roman"/>
        </w:rPr>
        <w:t xml:space="preserve"> i</w:t>
      </w:r>
      <w:r w:rsidRPr="00654E3B">
        <w:rPr>
          <w:rFonts w:cs="Times New Roman"/>
        </w:rPr>
        <w:t xml:space="preserve"> geotermalne elektrane.</w:t>
      </w:r>
    </w:p>
    <w:p w:rsidR="007D4A93" w:rsidRPr="00654E3B" w:rsidRDefault="00EF0BEB">
      <w:pPr>
        <w:spacing w:line="240" w:lineRule="auto"/>
        <w:rPr>
          <w:rFonts w:cs="Times New Roman"/>
        </w:rPr>
      </w:pPr>
      <w:r w:rsidRPr="00654E3B">
        <w:rPr>
          <w:rFonts w:cs="Times New Roman"/>
        </w:rPr>
        <w:t>Pretpostavka je da su sve opcije za proizvodnju električne energije otvorene i imaju jednak pristup tržištu (bez bi</w:t>
      </w:r>
      <w:r w:rsidR="00073D1D" w:rsidRPr="00654E3B">
        <w:rPr>
          <w:rFonts w:cs="Times New Roman"/>
        </w:rPr>
        <w:t>l</w:t>
      </w:r>
      <w:r w:rsidRPr="00654E3B">
        <w:rPr>
          <w:rFonts w:cs="Times New Roman"/>
        </w:rPr>
        <w:t>o kakve vrste poticaja za bilo koju tehnologiju). Mogućnosti korištenja pojedinih oblika energije</w:t>
      </w:r>
      <w:r w:rsidR="00073D1D" w:rsidRPr="00654E3B">
        <w:rPr>
          <w:rFonts w:cs="Times New Roman"/>
        </w:rPr>
        <w:t xml:space="preserve">, </w:t>
      </w:r>
      <w:r w:rsidRPr="00654E3B">
        <w:rPr>
          <w:rFonts w:cs="Times New Roman"/>
        </w:rPr>
        <w:t>određene su u skladu s procjenom raspoloživog potencijala i raspoloživim tehnologijama. U obzir su uzete sljedeće opcije:</w:t>
      </w:r>
    </w:p>
    <w:p w:rsidR="007D4A93" w:rsidRPr="00654E3B" w:rsidRDefault="00EF0BEB" w:rsidP="000C6795">
      <w:pPr>
        <w:pStyle w:val="ListParagraph"/>
        <w:numPr>
          <w:ilvl w:val="0"/>
          <w:numId w:val="39"/>
        </w:numPr>
        <w:rPr>
          <w:rFonts w:cs="Times New Roman"/>
          <w:b/>
        </w:rPr>
      </w:pPr>
      <w:r w:rsidRPr="00654E3B">
        <w:rPr>
          <w:rFonts w:cs="Times New Roman"/>
          <w:b/>
        </w:rPr>
        <w:t>hid</w:t>
      </w:r>
      <w:r w:rsidR="008D7D1F" w:rsidRPr="00654E3B">
        <w:rPr>
          <w:rFonts w:cs="Times New Roman"/>
          <w:b/>
        </w:rPr>
        <w:t>roelektrane</w:t>
      </w:r>
    </w:p>
    <w:p w:rsidR="007D4A93" w:rsidRPr="00654E3B" w:rsidRDefault="00EF0BEB" w:rsidP="000C6795">
      <w:pPr>
        <w:pStyle w:val="ListParagraph"/>
        <w:numPr>
          <w:ilvl w:val="0"/>
          <w:numId w:val="40"/>
        </w:numPr>
        <w:rPr>
          <w:rFonts w:cs="Times New Roman"/>
        </w:rPr>
      </w:pPr>
      <w:r w:rsidRPr="00654E3B">
        <w:rPr>
          <w:rFonts w:cs="Times New Roman"/>
        </w:rPr>
        <w:t>akumulacijske, protočne i reverzibilne</w:t>
      </w:r>
    </w:p>
    <w:p w:rsidR="007D4A93" w:rsidRPr="00654E3B" w:rsidRDefault="00EF0BEB" w:rsidP="000C6795">
      <w:pPr>
        <w:pStyle w:val="ListParagraph"/>
        <w:numPr>
          <w:ilvl w:val="0"/>
          <w:numId w:val="40"/>
        </w:numPr>
        <w:rPr>
          <w:rFonts w:cs="Times New Roman"/>
        </w:rPr>
      </w:pPr>
      <w:r w:rsidRPr="00654E3B">
        <w:rPr>
          <w:rFonts w:cs="Times New Roman"/>
        </w:rPr>
        <w:t>male elektrane (uobičajeno priključene na distribucijsku mrežu)</w:t>
      </w:r>
    </w:p>
    <w:p w:rsidR="007D4A93" w:rsidRPr="00654E3B" w:rsidRDefault="008D7D1F" w:rsidP="000C6795">
      <w:pPr>
        <w:pStyle w:val="ListParagraph"/>
        <w:numPr>
          <w:ilvl w:val="0"/>
          <w:numId w:val="39"/>
        </w:numPr>
        <w:rPr>
          <w:rFonts w:cs="Times New Roman"/>
          <w:b/>
        </w:rPr>
      </w:pPr>
      <w:r w:rsidRPr="00654E3B">
        <w:rPr>
          <w:rFonts w:cs="Times New Roman"/>
          <w:b/>
        </w:rPr>
        <w:t>sunčane elektrane</w:t>
      </w:r>
    </w:p>
    <w:p w:rsidR="007D4A93" w:rsidRPr="00654E3B" w:rsidRDefault="00EF0BEB" w:rsidP="000C6795">
      <w:pPr>
        <w:pStyle w:val="ListParagraph"/>
        <w:numPr>
          <w:ilvl w:val="0"/>
          <w:numId w:val="40"/>
        </w:numPr>
        <w:rPr>
          <w:rFonts w:cs="Times New Roman"/>
        </w:rPr>
      </w:pPr>
      <w:r w:rsidRPr="00654E3B">
        <w:rPr>
          <w:rFonts w:cs="Times New Roman"/>
        </w:rPr>
        <w:t>fotonaponski sustavi – individualni/integrirani i na razini distribucijske i prijenosne mreže. Prednost se daje sustavima koji su integrirani, tj. nalaze se na mjestu neposredne potrošnje</w:t>
      </w:r>
    </w:p>
    <w:p w:rsidR="007D4A93" w:rsidRPr="00654E3B" w:rsidRDefault="00EF0BEB" w:rsidP="000C6795">
      <w:pPr>
        <w:pStyle w:val="ListParagraph"/>
        <w:numPr>
          <w:ilvl w:val="0"/>
          <w:numId w:val="40"/>
        </w:numPr>
        <w:rPr>
          <w:rFonts w:cs="Times New Roman"/>
        </w:rPr>
      </w:pPr>
      <w:r w:rsidRPr="00654E3B">
        <w:rPr>
          <w:rFonts w:cs="Times New Roman"/>
        </w:rPr>
        <w:t xml:space="preserve">termo-sunčane elektrane (engl. </w:t>
      </w:r>
      <w:r w:rsidRPr="00654E3B">
        <w:rPr>
          <w:rFonts w:cs="Times New Roman"/>
          <w:i/>
        </w:rPr>
        <w:t>CSP – Concentrated Solar Power</w:t>
      </w:r>
      <w:r w:rsidRPr="00654E3B">
        <w:rPr>
          <w:rFonts w:cs="Times New Roman"/>
        </w:rPr>
        <w:t>)</w:t>
      </w:r>
    </w:p>
    <w:p w:rsidR="007D4A93" w:rsidRPr="00654E3B" w:rsidRDefault="008D7D1F" w:rsidP="000C6795">
      <w:pPr>
        <w:pStyle w:val="ListParagraph"/>
        <w:numPr>
          <w:ilvl w:val="0"/>
          <w:numId w:val="39"/>
        </w:numPr>
        <w:rPr>
          <w:rFonts w:cs="Times New Roman"/>
          <w:b/>
        </w:rPr>
      </w:pPr>
      <w:r w:rsidRPr="00654E3B">
        <w:rPr>
          <w:rFonts w:cs="Times New Roman"/>
          <w:b/>
        </w:rPr>
        <w:t>vjetroelektrane</w:t>
      </w:r>
    </w:p>
    <w:p w:rsidR="007D4A93" w:rsidRPr="00654E3B" w:rsidRDefault="00EF0BEB" w:rsidP="000C6795">
      <w:pPr>
        <w:pStyle w:val="ListParagraph"/>
        <w:numPr>
          <w:ilvl w:val="0"/>
          <w:numId w:val="40"/>
        </w:numPr>
        <w:rPr>
          <w:rFonts w:cs="Times New Roman"/>
        </w:rPr>
      </w:pPr>
      <w:r w:rsidRPr="00654E3B">
        <w:rPr>
          <w:rFonts w:cs="Times New Roman"/>
        </w:rPr>
        <w:t>na kopnu i nad morem (pučinske)</w:t>
      </w:r>
    </w:p>
    <w:p w:rsidR="007D4A93" w:rsidRPr="00654E3B" w:rsidRDefault="00EF0BEB" w:rsidP="000C6795">
      <w:pPr>
        <w:pStyle w:val="ListParagraph"/>
        <w:numPr>
          <w:ilvl w:val="0"/>
          <w:numId w:val="39"/>
        </w:numPr>
        <w:rPr>
          <w:rFonts w:cs="Times New Roman"/>
          <w:b/>
        </w:rPr>
      </w:pPr>
      <w:r w:rsidRPr="00654E3B">
        <w:rPr>
          <w:rFonts w:cs="Times New Roman"/>
          <w:b/>
        </w:rPr>
        <w:t xml:space="preserve">elektrane/kogeneracije koje koriste krutu biomasu i bioplin, </w:t>
      </w:r>
      <w:r w:rsidRPr="00654E3B">
        <w:rPr>
          <w:rFonts w:cs="Times New Roman"/>
          <w:b/>
          <w:bCs/>
        </w:rPr>
        <w:t xml:space="preserve">vodik, sintetski plin i druga goriva dobivena kemijskim recikliranjem otpada </w:t>
      </w:r>
    </w:p>
    <w:p w:rsidR="007D4A93" w:rsidRPr="00654E3B" w:rsidRDefault="00EF0BEB" w:rsidP="000C6795">
      <w:pPr>
        <w:pStyle w:val="ListParagraph"/>
        <w:numPr>
          <w:ilvl w:val="0"/>
          <w:numId w:val="40"/>
        </w:numPr>
        <w:rPr>
          <w:rFonts w:cs="Times New Roman"/>
          <w:bCs/>
        </w:rPr>
      </w:pPr>
      <w:r w:rsidRPr="00654E3B">
        <w:rPr>
          <w:rFonts w:cs="Times New Roman"/>
          <w:bCs/>
        </w:rPr>
        <w:t>u postojećim elektranama na prirodni plin može se koristiti sintetski plin dobiven kemijskim recikliranjem otpada</w:t>
      </w:r>
    </w:p>
    <w:p w:rsidR="007D4A93" w:rsidRPr="00654E3B" w:rsidRDefault="00EF0BEB" w:rsidP="000C6795">
      <w:pPr>
        <w:pStyle w:val="ListParagraph"/>
        <w:numPr>
          <w:ilvl w:val="0"/>
          <w:numId w:val="39"/>
        </w:numPr>
        <w:rPr>
          <w:rFonts w:cs="Times New Roman"/>
          <w:b/>
        </w:rPr>
      </w:pPr>
      <w:r w:rsidRPr="00654E3B">
        <w:rPr>
          <w:rFonts w:cs="Times New Roman"/>
          <w:b/>
        </w:rPr>
        <w:t>geotermalne elektrane.</w:t>
      </w:r>
    </w:p>
    <w:p w:rsidR="007D4A93" w:rsidRPr="00654E3B" w:rsidRDefault="00EF0BEB">
      <w:pPr>
        <w:rPr>
          <w:rFonts w:cs="Times New Roman"/>
        </w:rPr>
      </w:pPr>
      <w:r w:rsidRPr="00654E3B">
        <w:rPr>
          <w:rFonts w:cs="Times New Roman"/>
          <w:b/>
        </w:rPr>
        <w:t>Spremnici energije (baterije).</w:t>
      </w:r>
      <w:r w:rsidRPr="00654E3B">
        <w:rPr>
          <w:rFonts w:cs="Times New Roman"/>
        </w:rPr>
        <w:t xml:space="preserve"> Pohrana energije nužna je u sustavima s visokim udjelom nestalnih obnovljivih izvora energije (sunce i vjetar)</w:t>
      </w:r>
      <w:r w:rsidR="007F42B8" w:rsidRPr="00654E3B">
        <w:rPr>
          <w:rFonts w:cs="Times New Roman"/>
        </w:rPr>
        <w:t>,</w:t>
      </w:r>
      <w:r w:rsidRPr="00654E3B">
        <w:rPr>
          <w:rFonts w:cs="Times New Roman"/>
        </w:rPr>
        <w:t xml:space="preserve"> jer omogućava korištenje pohranjene energije u razdobljima niže raspoloživosti obnovljivog energenta. Osim toga, korištenjem sustava za pohranu energije odgađa se i smanjuje potreba za izgradnjom novih elektrana, jer se pohranjena energija koristi u razdobljima povećanog opterećenja sustava. Također, sustavi za pohranu energije imati će važnu ulogu u podupiranju proizvodnje električne energije za vlastite potrebe i omogućiti malim proizvođačima veće </w:t>
      </w:r>
      <w:r w:rsidRPr="00654E3B">
        <w:rPr>
          <w:rFonts w:cs="Times New Roman"/>
        </w:rPr>
        <w:lastRenderedPageBreak/>
        <w:t>korištenje energije koju su sami proizveli. Potreba izgradnje spremnika energije (baterija) za uravnoteženje sustava, osobito je izražena nakon 2030. godine.</w:t>
      </w:r>
    </w:p>
    <w:p w:rsidR="007D4A93" w:rsidRPr="00654E3B" w:rsidRDefault="00EF0BEB">
      <w:pPr>
        <w:rPr>
          <w:rFonts w:cs="Times New Roman"/>
        </w:rPr>
      </w:pPr>
      <w:r w:rsidRPr="00654E3B">
        <w:rPr>
          <w:rFonts w:cs="Times New Roman"/>
          <w:b/>
        </w:rPr>
        <w:t>Centralizirati toplinski sustav (CTS).</w:t>
      </w:r>
      <w:r w:rsidRPr="00654E3B">
        <w:rPr>
          <w:rFonts w:cs="Times New Roman"/>
        </w:rPr>
        <w:t xml:space="preserve"> Pri razmatranju CTS-a, za glavnu okosnicu se smatraju sustavi s kogeneracijom i njihovo poboljšanje tehnologijama za spremanje toplinske energije u trenucima kad je električna energija jeftina. Adekvatni toplinski spremnici mogu se dodati na sve lokacije koje imaju potrebe za toplinskom energijom, a prije svega kod kogeneracijskih postrojenja na plin ili biomasu</w:t>
      </w:r>
      <w:r w:rsidR="007F42B8" w:rsidRPr="00654E3B">
        <w:rPr>
          <w:rFonts w:cs="Times New Roman"/>
        </w:rPr>
        <w:t>,</w:t>
      </w:r>
      <w:r w:rsidRPr="00654E3B">
        <w:rPr>
          <w:rFonts w:cs="Times New Roman"/>
        </w:rPr>
        <w:t xml:space="preserve"> koja imaju mogućnost brzih promjena u proizvodnji električne i toplinske energije.</w:t>
      </w:r>
    </w:p>
    <w:p w:rsidR="007D4A93" w:rsidRPr="00654E3B" w:rsidRDefault="00EF0BEB">
      <w:pPr>
        <w:rPr>
          <w:rFonts w:cs="Times New Roman"/>
        </w:rPr>
      </w:pPr>
      <w:r w:rsidRPr="00654E3B">
        <w:rPr>
          <w:rFonts w:cs="Times New Roman"/>
          <w:b/>
        </w:rPr>
        <w:t>Korištenje goriva s manjom specifičnom emisijom CO</w:t>
      </w:r>
      <w:r w:rsidRPr="00654E3B">
        <w:rPr>
          <w:rFonts w:cs="Times New Roman"/>
          <w:b/>
          <w:vertAlign w:val="subscript"/>
        </w:rPr>
        <w:t>2</w:t>
      </w:r>
      <w:r w:rsidRPr="00654E3B">
        <w:rPr>
          <w:rFonts w:cs="Times New Roman"/>
          <w:b/>
        </w:rPr>
        <w:t xml:space="preserve">. </w:t>
      </w:r>
      <w:r w:rsidRPr="00654E3B">
        <w:rPr>
          <w:rFonts w:cs="Times New Roman"/>
        </w:rPr>
        <w:t>Zamjena goriva u postojećim postrojenjima za proizvodnju električne energije i topline.</w:t>
      </w:r>
    </w:p>
    <w:p w:rsidR="007D4A93" w:rsidRPr="00654E3B" w:rsidRDefault="00EF0BEB" w:rsidP="00F01191">
      <w:pPr>
        <w:rPr>
          <w:rFonts w:cs="Times New Roman"/>
        </w:rPr>
      </w:pPr>
      <w:r w:rsidRPr="00654E3B">
        <w:rPr>
          <w:rFonts w:cs="Times New Roman"/>
          <w:b/>
        </w:rPr>
        <w:t>Elektrane na loživo ulje.</w:t>
      </w:r>
      <w:r w:rsidRPr="00654E3B">
        <w:rPr>
          <w:rFonts w:cs="Times New Roman"/>
        </w:rPr>
        <w:t xml:space="preserve"> Postojeće termoelektrane na loživo ulje izlaze iz pogona do 2025. godine. Ove elektrane već danas se ne koriste u redovitom pogonu jer visokim proizvodnim troškom ne mogu konkurirati ostalim opcijama na tržištu. </w:t>
      </w:r>
    </w:p>
    <w:p w:rsidR="007D4A93" w:rsidRPr="00D27803" w:rsidRDefault="00EF0BEB" w:rsidP="00D27803">
      <w:pPr>
        <w:rPr>
          <w:rFonts w:cs="Times New Roman"/>
          <w:b/>
        </w:rPr>
      </w:pPr>
      <w:r w:rsidRPr="00654E3B">
        <w:rPr>
          <w:rFonts w:cs="Times New Roman"/>
          <w:b/>
        </w:rPr>
        <w:t>Elektrane na ugljen.</w:t>
      </w:r>
      <w:r w:rsidRPr="00D27803">
        <w:rPr>
          <w:rFonts w:cs="Times New Roman"/>
          <w:b/>
        </w:rPr>
        <w:t xml:space="preserve"> </w:t>
      </w:r>
      <w:r w:rsidRPr="00F01191">
        <w:rPr>
          <w:rFonts w:cs="Times New Roman"/>
        </w:rPr>
        <w:t xml:space="preserve">Glavni cjenovni signal za </w:t>
      </w:r>
      <w:r w:rsidRPr="00D27803">
        <w:rPr>
          <w:rFonts w:cs="Times New Roman"/>
        </w:rPr>
        <w:t>manje investiranje u nove ugljene elektrane</w:t>
      </w:r>
      <w:r w:rsidRPr="00F01191">
        <w:rPr>
          <w:rFonts w:cs="Times New Roman"/>
        </w:rPr>
        <w:t xml:space="preserve"> je cijena električne energije na tržištu i cijena </w:t>
      </w:r>
      <w:r w:rsidR="00F711F4" w:rsidRPr="00F01191">
        <w:rPr>
          <w:rFonts w:cs="Times New Roman"/>
        </w:rPr>
        <w:t>emisijskih jedinica</w:t>
      </w:r>
      <w:r w:rsidRPr="00654E3B">
        <w:rPr>
          <w:rFonts w:cs="Times New Roman"/>
        </w:rPr>
        <w:t>, čime ugljene elektrane prestaju biti dovoljno konkurentne, unatoč relativno jeftinom energentu. Niskougljična strategija ne predviđa izgradnju novih termoelektrana na ugljen</w:t>
      </w:r>
      <w:r w:rsidR="007F42B8" w:rsidRPr="00654E3B">
        <w:rPr>
          <w:rFonts w:cs="Times New Roman"/>
        </w:rPr>
        <w:t>. P</w:t>
      </w:r>
      <w:r w:rsidRPr="00654E3B">
        <w:rPr>
          <w:rFonts w:cs="Times New Roman"/>
        </w:rPr>
        <w:t>ostojeće termoelektrane mogu održati svoju konkurentnu poziciju, no u krajnjim godinama njihova tehničkog vijeka angažman bi mogao biti vrlo smanjen.</w:t>
      </w:r>
      <w:r w:rsidRPr="00D27803">
        <w:rPr>
          <w:rFonts w:cs="Times New Roman"/>
          <w:b/>
        </w:rPr>
        <w:t xml:space="preserve"> </w:t>
      </w:r>
    </w:p>
    <w:p w:rsidR="007D4A93" w:rsidRPr="00D27803" w:rsidRDefault="00EF0BEB" w:rsidP="00D27803">
      <w:pPr>
        <w:rPr>
          <w:rFonts w:cs="Times New Roman"/>
          <w:b/>
        </w:rPr>
      </w:pPr>
      <w:r w:rsidRPr="00F01191">
        <w:rPr>
          <w:rFonts w:cs="Times New Roman"/>
          <w:b/>
        </w:rPr>
        <w:t xml:space="preserve">Elektrane na prirodni plin. </w:t>
      </w:r>
      <w:r w:rsidRPr="00654E3B">
        <w:rPr>
          <w:rFonts w:cs="Times New Roman"/>
        </w:rPr>
        <w:t xml:space="preserve">Prirodni plin je vrlo važan energent u tranziciji prema sustavima s visokim udjelima varijabilnih OIE, zbog zastupljenosti u kogeneracijskim postrojenjima te sudjelovanju u regulaciji elektroenergetskog sustava. Međutim, u scenarijima s projiciranim rastom cijena energenata i </w:t>
      </w:r>
      <w:r w:rsidR="00F711F4" w:rsidRPr="00654E3B">
        <w:rPr>
          <w:rFonts w:cs="Times New Roman"/>
        </w:rPr>
        <w:t>emisijskih jedinica</w:t>
      </w:r>
      <w:r w:rsidRPr="00654E3B">
        <w:rPr>
          <w:rFonts w:cs="Times New Roman"/>
        </w:rPr>
        <w:t xml:space="preserve">, očekivani sati rada plinskih elektrana su ispod financijski poželjnog angažmana, </w:t>
      </w:r>
      <w:r w:rsidR="007F42B8" w:rsidRPr="00654E3B">
        <w:rPr>
          <w:rFonts w:cs="Times New Roman"/>
        </w:rPr>
        <w:t xml:space="preserve">te </w:t>
      </w:r>
      <w:r w:rsidRPr="00654E3B">
        <w:rPr>
          <w:rFonts w:cs="Times New Roman"/>
        </w:rPr>
        <w:t>isplativost ovih investicija postaje snažno vezana uz pomoćne regulacijske usluge. Plinske jedinice se koriste za osiguranje rezerve sustava</w:t>
      </w:r>
      <w:r w:rsidR="007F42B8" w:rsidRPr="00654E3B">
        <w:rPr>
          <w:rFonts w:cs="Times New Roman"/>
        </w:rPr>
        <w:t>,</w:t>
      </w:r>
      <w:r w:rsidRPr="00654E3B">
        <w:rPr>
          <w:rFonts w:cs="Times New Roman"/>
        </w:rPr>
        <w:t xml:space="preserve"> zbog niskih specifičnih troškova ulaganja, brzine izgradnje i brzine odziva u slučaju angažiranja. Lokacije postojećih elektrana na kojima pojedini blokovi izlaze iz pogona</w:t>
      </w:r>
      <w:r w:rsidR="007F42B8" w:rsidRPr="00654E3B">
        <w:rPr>
          <w:rFonts w:cs="Times New Roman"/>
        </w:rPr>
        <w:t>,</w:t>
      </w:r>
      <w:r w:rsidRPr="00654E3B">
        <w:rPr>
          <w:rFonts w:cs="Times New Roman"/>
        </w:rPr>
        <w:t xml:space="preserve"> mogu se iskoristiti za izgradnju novih jedinica s obzirom da na njima već postoje određeni infrastrukturni preduvjeti.</w:t>
      </w:r>
    </w:p>
    <w:p w:rsidR="007D4A93" w:rsidRPr="00654E3B" w:rsidRDefault="00EF0BEB">
      <w:pPr>
        <w:rPr>
          <w:rFonts w:cs="Times New Roman"/>
        </w:rPr>
      </w:pPr>
      <w:r w:rsidRPr="00F01191">
        <w:rPr>
          <w:rFonts w:cs="Times New Roman"/>
          <w:b/>
        </w:rPr>
        <w:t>Tehnologija hvatanja i geološkog skladištenja CO</w:t>
      </w:r>
      <w:r w:rsidRPr="00F01191">
        <w:rPr>
          <w:rFonts w:cs="Times New Roman"/>
          <w:b/>
          <w:vertAlign w:val="subscript"/>
        </w:rPr>
        <w:t>2.</w:t>
      </w:r>
      <w:r w:rsidRPr="00654E3B">
        <w:rPr>
          <w:rFonts w:cs="Times New Roman"/>
        </w:rPr>
        <w:t xml:space="preserve"> Republika Hrvatska ima tehničke i prirodne preduvjete za korištenje tehnologije Hvatanja i skladištenja ugljikovog dioksida (CCS). Na razvoj sustava za hvatanje i geološko skladištenje CO</w:t>
      </w:r>
      <w:r w:rsidRPr="00654E3B">
        <w:rPr>
          <w:rFonts w:cs="Times New Roman"/>
          <w:vertAlign w:val="subscript"/>
        </w:rPr>
        <w:t>2</w:t>
      </w:r>
      <w:r w:rsidRPr="00654E3B">
        <w:rPr>
          <w:rFonts w:cs="Times New Roman"/>
        </w:rPr>
        <w:t xml:space="preserve"> se danas gleda kao na prijelazno rješenje</w:t>
      </w:r>
      <w:r w:rsidR="007F42B8" w:rsidRPr="00654E3B">
        <w:rPr>
          <w:rFonts w:cs="Times New Roman"/>
        </w:rPr>
        <w:t>,</w:t>
      </w:r>
      <w:r w:rsidRPr="00654E3B">
        <w:rPr>
          <w:rFonts w:cs="Times New Roman"/>
        </w:rPr>
        <w:t xml:space="preserve"> koje bi u predstojeća 3-4 desetljeća trebalo omogućiti nastavak korištenja fosilnih goriva s određenim udjelom u ukupnoj proizvodnji električne energije</w:t>
      </w:r>
      <w:r w:rsidR="007F42B8" w:rsidRPr="00654E3B">
        <w:rPr>
          <w:rFonts w:cs="Times New Roman"/>
        </w:rPr>
        <w:t>,</w:t>
      </w:r>
      <w:r w:rsidRPr="00654E3B">
        <w:rPr>
          <w:rFonts w:cs="Times New Roman"/>
        </w:rPr>
        <w:t xml:space="preserve"> uz istovremeno postupno smanjenje emisije stakleničkih plinova</w:t>
      </w:r>
      <w:r w:rsidR="007F42B8" w:rsidRPr="00654E3B">
        <w:rPr>
          <w:rFonts w:cs="Times New Roman"/>
        </w:rPr>
        <w:t>,</w:t>
      </w:r>
      <w:r w:rsidRPr="00654E3B">
        <w:rPr>
          <w:rFonts w:cs="Times New Roman"/>
        </w:rPr>
        <w:t xml:space="preserve"> dok se ne postignu tehnološki i organizacijski uvjeti za niskougljični razvoj. Scenarij NU1 ostvariv je bez CCS-a, </w:t>
      </w:r>
      <w:r w:rsidR="007F42B8" w:rsidRPr="00654E3B">
        <w:rPr>
          <w:rFonts w:cs="Times New Roman"/>
        </w:rPr>
        <w:t xml:space="preserve">a </w:t>
      </w:r>
      <w:r w:rsidRPr="00654E3B">
        <w:rPr>
          <w:rFonts w:cs="Times New Roman"/>
        </w:rPr>
        <w:t>u scenariju NU2 pojavljuje se potreba za CCS-om na plinskim elektranama i cementnoj industriji u godinama nakon 2040. godine.</w:t>
      </w:r>
    </w:p>
    <w:p w:rsidR="009F6651" w:rsidRDefault="00EF0BEB" w:rsidP="009F6651">
      <w:r w:rsidRPr="00654E3B">
        <w:rPr>
          <w:b/>
        </w:rPr>
        <w:t>Nuklearne elektrane.</w:t>
      </w:r>
      <w:r w:rsidRPr="00D27803">
        <w:rPr>
          <w:b/>
        </w:rPr>
        <w:t xml:space="preserve"> </w:t>
      </w:r>
      <w:r w:rsidRPr="00F01191">
        <w:t>Predviđa se da će Nuklearna elektrana (NE) Krško raditi do 2043. godine. Simulacije pokazuju da će do 2043. godine NE Krško, bez emisije CO</w:t>
      </w:r>
      <w:r w:rsidRPr="00D27803">
        <w:t>2</w:t>
      </w:r>
      <w:r w:rsidRPr="00F01191">
        <w:t xml:space="preserve"> isporučiti u sustav Republike Hrvatske više energije nego proizvodnja svih termoelektrana zajedno, a oko pedeset posto ukupne energije proizvedene iz sunčanih elektrana i vjetra. U niskougljičnim scenarijima je konzervativno pretpostavljen izlazak iz pogona NE Krško do 2043. godine.</w:t>
      </w:r>
    </w:p>
    <w:p w:rsidR="007D4A93" w:rsidRPr="00654E3B" w:rsidRDefault="00EF0BEB" w:rsidP="00C05B00">
      <w:pPr>
        <w:pStyle w:val="Heading3"/>
      </w:pPr>
      <w:r w:rsidRPr="00F01191">
        <w:t>6.1.3. Smjernice za niskou</w:t>
      </w:r>
      <w:r w:rsidRPr="00654E3B">
        <w:t>gljični razvoj</w:t>
      </w:r>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Do 2030. godine</w:t>
      </w:r>
    </w:p>
    <w:p w:rsidR="007D4A93" w:rsidRPr="00654E3B" w:rsidRDefault="00EF0BEB" w:rsidP="000C6795">
      <w:pPr>
        <w:pStyle w:val="ListParagraph"/>
        <w:numPr>
          <w:ilvl w:val="0"/>
          <w:numId w:val="31"/>
        </w:numPr>
        <w:rPr>
          <w:rFonts w:cs="Times New Roman"/>
        </w:rPr>
      </w:pPr>
      <w:r w:rsidRPr="00654E3B">
        <w:rPr>
          <w:rFonts w:cs="Times New Roman"/>
        </w:rPr>
        <w:t>Proizvođači električne energije koji će još uvijek neko vrijeme koristiti fosilno gorivo</w:t>
      </w:r>
      <w:r w:rsidR="007F42B8" w:rsidRPr="00654E3B">
        <w:rPr>
          <w:rFonts w:cs="Times New Roman"/>
        </w:rPr>
        <w:t>,</w:t>
      </w:r>
      <w:r w:rsidRPr="00654E3B">
        <w:rPr>
          <w:rFonts w:cs="Times New Roman"/>
        </w:rPr>
        <w:t xml:space="preserve"> trebaju u svojem planiranju uzeti u obzir očekivani prorast cijena </w:t>
      </w:r>
      <w:r w:rsidR="00F711F4" w:rsidRPr="00654E3B">
        <w:rPr>
          <w:rFonts w:cs="Times New Roman"/>
        </w:rPr>
        <w:t>emisijskih jedinica</w:t>
      </w:r>
      <w:r w:rsidRPr="00654E3B">
        <w:rPr>
          <w:rFonts w:cs="Times New Roman"/>
        </w:rPr>
        <w:t>. Besplatne jedinice će dobivati jedino toplane, u dijelu isporuke topline za kućanstva i usluge.</w:t>
      </w:r>
    </w:p>
    <w:p w:rsidR="007D4A93" w:rsidRPr="00654E3B" w:rsidRDefault="00EF0BEB" w:rsidP="000C6795">
      <w:pPr>
        <w:pStyle w:val="ListParagraph"/>
        <w:numPr>
          <w:ilvl w:val="0"/>
          <w:numId w:val="31"/>
        </w:numPr>
        <w:rPr>
          <w:rFonts w:cs="Times New Roman"/>
        </w:rPr>
      </w:pPr>
      <w:r w:rsidRPr="00654E3B">
        <w:rPr>
          <w:rFonts w:cs="Times New Roman"/>
        </w:rPr>
        <w:lastRenderedPageBreak/>
        <w:t>Ukoliko se u tijeku razdoblja do 2030. godine odluči za put prema niskougljičnom gospodarstvu</w:t>
      </w:r>
      <w:r w:rsidR="007F42B8" w:rsidRPr="00654E3B">
        <w:rPr>
          <w:rFonts w:cs="Times New Roman"/>
        </w:rPr>
        <w:t>,</w:t>
      </w:r>
      <w:r w:rsidRPr="00654E3B">
        <w:rPr>
          <w:rFonts w:cs="Times New Roman"/>
        </w:rPr>
        <w:t xml:space="preserve"> smjerom scenarija NU2 nakon 2030. godine, što znači i širu primjenu CCS tehnologije, sve postojeće i nove elektrane na fosilna goriva trebat će ispitati mogućnost primjene CCS tehnologije. </w:t>
      </w:r>
    </w:p>
    <w:p w:rsidR="007D4A93" w:rsidRPr="00654E3B" w:rsidRDefault="00EF0BEB" w:rsidP="000C6795">
      <w:pPr>
        <w:pStyle w:val="ListParagraph"/>
        <w:numPr>
          <w:ilvl w:val="0"/>
          <w:numId w:val="31"/>
        </w:numPr>
        <w:spacing w:line="240" w:lineRule="auto"/>
        <w:rPr>
          <w:rFonts w:cs="Times New Roman"/>
        </w:rPr>
      </w:pPr>
      <w:r w:rsidRPr="00654E3B">
        <w:rPr>
          <w:rFonts w:cs="Times New Roman"/>
        </w:rPr>
        <w:t>Analizirati inovativne modele poticanja OIE, posebice kroz modele građanske energije iz OIE i izraditi program razvoja prikladan hrvatskim prilikama, s ciljem razvoja projekata OIE s većom participacijom lokalnog stanovništva u vlasničkom, upravljačkom i prihodovnom  pogledu</w:t>
      </w:r>
      <w:r w:rsidR="007F42B8" w:rsidRPr="00654E3B">
        <w:rPr>
          <w:rFonts w:cs="Times New Roman"/>
        </w:rPr>
        <w:t>,</w:t>
      </w:r>
      <w:r w:rsidRPr="00654E3B">
        <w:rPr>
          <w:rFonts w:cs="Times New Roman"/>
        </w:rPr>
        <w:t xml:space="preserve"> kako bi se proširile koristi poticanja OIE.</w:t>
      </w:r>
    </w:p>
    <w:p w:rsidR="007D4A93" w:rsidRPr="00654E3B" w:rsidRDefault="00EF0BEB" w:rsidP="000C6795">
      <w:pPr>
        <w:pStyle w:val="ListParagraph"/>
        <w:numPr>
          <w:ilvl w:val="0"/>
          <w:numId w:val="31"/>
        </w:numPr>
        <w:rPr>
          <w:rFonts w:cs="Times New Roman"/>
        </w:rPr>
      </w:pPr>
      <w:r w:rsidRPr="00654E3B">
        <w:rPr>
          <w:rFonts w:cs="Times New Roman"/>
        </w:rPr>
        <w:t xml:space="preserve">Potrebno je kontinuirano planirati razvoj i izgradnju elektroenergetske mreže za integraciju obnovljivih izvora energije, razvoj decentralizirane i centralizirane pohrane električne energije, širenje naprednih mreža i pametnih sustava. Vezano za integraciju obnovljivih izvora energije, tržišna vrijednost rezervne raspoložive snage u sustavu konvencionalnih elektrana, treba biti adekvatno vrednovana kako bi se omogućile investicije u takve izvore. </w:t>
      </w:r>
    </w:p>
    <w:p w:rsidR="007D4A93" w:rsidRPr="00654E3B" w:rsidRDefault="00EF0BEB" w:rsidP="000C6795">
      <w:pPr>
        <w:pStyle w:val="ListParagraph"/>
        <w:numPr>
          <w:ilvl w:val="0"/>
          <w:numId w:val="31"/>
        </w:numPr>
        <w:rPr>
          <w:rFonts w:cs="Times New Roman"/>
        </w:rPr>
      </w:pPr>
      <w:r w:rsidRPr="00654E3B">
        <w:rPr>
          <w:rFonts w:cs="Times New Roman"/>
        </w:rPr>
        <w:t>Razvoj projekata integriranih sustava i višenamjenska rješenja proizvodnje električne energije, vodno-regulacijskih zahvata, agroekoloških mjera, turističke i druge namjene</w:t>
      </w:r>
      <w:r w:rsidR="007F42B8" w:rsidRPr="00654E3B">
        <w:rPr>
          <w:rFonts w:cs="Times New Roman"/>
        </w:rPr>
        <w:t>,</w:t>
      </w:r>
      <w:r w:rsidRPr="00654E3B">
        <w:rPr>
          <w:rFonts w:cs="Times New Roman"/>
        </w:rPr>
        <w:t xml:space="preserve"> treba vrednovati kroz opće društvene koristi (analiza troškova i koristi) i u tom smislu odlučiti o oblicima poticanja. Početak korištenja financijskih sredstava iz Fonda za modernizaciju, </w:t>
      </w:r>
      <w:r w:rsidR="007F42B8" w:rsidRPr="00654E3B">
        <w:rPr>
          <w:rFonts w:cs="Times New Roman"/>
        </w:rPr>
        <w:t xml:space="preserve">je </w:t>
      </w:r>
      <w:r w:rsidRPr="00654E3B">
        <w:rPr>
          <w:rFonts w:cs="Times New Roman"/>
        </w:rPr>
        <w:t xml:space="preserve">u skladu sa Zakonom o klimatskim promjenama i zaštiti ozonskog sloja. U ovome je prilika za javno </w:t>
      </w:r>
      <w:r w:rsidR="00714741" w:rsidRPr="00654E3B">
        <w:rPr>
          <w:rFonts w:cs="Times New Roman"/>
        </w:rPr>
        <w:t xml:space="preserve">- </w:t>
      </w:r>
      <w:r w:rsidRPr="00654E3B">
        <w:rPr>
          <w:rFonts w:cs="Times New Roman"/>
        </w:rPr>
        <w:t>privatno partnerstvo i financiranje iz različitih fondova sa sinergijom djelovanja.</w:t>
      </w:r>
    </w:p>
    <w:p w:rsidR="007D4A93" w:rsidRPr="00654E3B" w:rsidRDefault="00EF0BEB" w:rsidP="000C6795">
      <w:pPr>
        <w:pStyle w:val="ListParagraph"/>
        <w:numPr>
          <w:ilvl w:val="0"/>
          <w:numId w:val="31"/>
        </w:numPr>
        <w:spacing w:line="240" w:lineRule="auto"/>
        <w:rPr>
          <w:rFonts w:cs="Times New Roman"/>
        </w:rPr>
      </w:pPr>
      <w:r w:rsidRPr="00654E3B">
        <w:rPr>
          <w:rFonts w:cs="Times New Roman"/>
        </w:rPr>
        <w:t xml:space="preserve">Potrebno je kontinuirano raditi na procjeni potencijala obnovljivih izvora energije, kartiranju potencijala, </w:t>
      </w:r>
      <w:r w:rsidR="007F42B8" w:rsidRPr="00654E3B">
        <w:rPr>
          <w:rFonts w:cs="Times New Roman"/>
        </w:rPr>
        <w:t xml:space="preserve">a </w:t>
      </w:r>
      <w:r w:rsidRPr="00654E3B">
        <w:rPr>
          <w:rFonts w:cs="Times New Roman"/>
        </w:rPr>
        <w:t>osobito hitno i detaljno treba obraditi potencijale biomase i odnosa sa LULUCF sektorom.</w:t>
      </w:r>
    </w:p>
    <w:p w:rsidR="007D4A93" w:rsidRPr="00654E3B" w:rsidRDefault="00EF0BEB" w:rsidP="000C6795">
      <w:pPr>
        <w:pStyle w:val="ListParagraph"/>
        <w:numPr>
          <w:ilvl w:val="0"/>
          <w:numId w:val="31"/>
        </w:numPr>
        <w:rPr>
          <w:rFonts w:cs="Times New Roman"/>
        </w:rPr>
      </w:pPr>
      <w:r w:rsidRPr="00654E3B">
        <w:rPr>
          <w:rFonts w:cs="Times New Roman"/>
        </w:rPr>
        <w:t>Program korištenja potencijala za učinkovitost u grijanju i hlađenju za razdoblje 20</w:t>
      </w:r>
      <w:r w:rsidR="003338D1" w:rsidRPr="00654E3B">
        <w:rPr>
          <w:rFonts w:cs="Times New Roman"/>
        </w:rPr>
        <w:t>21</w:t>
      </w:r>
      <w:r w:rsidRPr="00654E3B">
        <w:rPr>
          <w:rFonts w:cs="Times New Roman"/>
        </w:rPr>
        <w:t xml:space="preserve">. do 2030. godine treba biti u primjeni. </w:t>
      </w:r>
    </w:p>
    <w:p w:rsidR="007D4A93" w:rsidRPr="00654E3B" w:rsidRDefault="00EF0BEB" w:rsidP="000C6795">
      <w:pPr>
        <w:pStyle w:val="ListParagraph"/>
        <w:numPr>
          <w:ilvl w:val="0"/>
          <w:numId w:val="31"/>
        </w:numPr>
        <w:rPr>
          <w:rFonts w:cs="Times New Roman"/>
        </w:rPr>
      </w:pPr>
      <w:r w:rsidRPr="00654E3B">
        <w:rPr>
          <w:rFonts w:cs="Times New Roman"/>
        </w:rPr>
        <w:t>Potrebno je kontinuirano analizirati situaciju</w:t>
      </w:r>
      <w:r w:rsidR="007F42B8" w:rsidRPr="00654E3B">
        <w:rPr>
          <w:rFonts w:cs="Times New Roman"/>
        </w:rPr>
        <w:t>,</w:t>
      </w:r>
      <w:r w:rsidRPr="00654E3B">
        <w:rPr>
          <w:rFonts w:cs="Times New Roman"/>
        </w:rPr>
        <w:t xml:space="preserve"> te po potrebi unaprijediti modele kako bi se omogućio razvoj projekata OIE s participacijom lokalnog stanovništva, u vlasničko</w:t>
      </w:r>
      <w:r w:rsidR="00A21DCF" w:rsidRPr="00654E3B">
        <w:rPr>
          <w:rFonts w:cs="Times New Roman"/>
        </w:rPr>
        <w:t>m</w:t>
      </w:r>
      <w:r w:rsidRPr="00654E3B">
        <w:rPr>
          <w:rFonts w:cs="Times New Roman"/>
        </w:rPr>
        <w:t>, upravljačko</w:t>
      </w:r>
      <w:r w:rsidR="00A21DCF" w:rsidRPr="00654E3B">
        <w:rPr>
          <w:rFonts w:cs="Times New Roman"/>
        </w:rPr>
        <w:t>m</w:t>
      </w:r>
      <w:r w:rsidRPr="00654E3B">
        <w:rPr>
          <w:rFonts w:cs="Times New Roman"/>
        </w:rPr>
        <w:t xml:space="preserve"> i prihodovnom pogledu. Model poticanja proizvodnje</w:t>
      </w:r>
      <w:r w:rsidR="008D7D1F" w:rsidRPr="00654E3B">
        <w:rPr>
          <w:rFonts w:cs="Times New Roman"/>
        </w:rPr>
        <w:t xml:space="preserve"> električne energije prelazi s „feed-in“</w:t>
      </w:r>
      <w:r w:rsidRPr="00654E3B">
        <w:rPr>
          <w:rFonts w:cs="Times New Roman"/>
        </w:rPr>
        <w:t xml:space="preserve"> principa na premijski pristup kojim se cijena određuje konkurencijskim nadmetanjem. Pred kraj razdoblja do 2030. godine predviđa se da više neće biti poticaja za proizvodnju električne energije, prvo za vjetroelektrane i FN sustave.</w:t>
      </w:r>
    </w:p>
    <w:p w:rsidR="007D4A93" w:rsidRPr="00654E3B" w:rsidRDefault="00EF0BEB" w:rsidP="000C6795">
      <w:pPr>
        <w:pStyle w:val="ListParagraph"/>
        <w:numPr>
          <w:ilvl w:val="0"/>
          <w:numId w:val="31"/>
        </w:numPr>
        <w:rPr>
          <w:rFonts w:cs="Times New Roman"/>
        </w:rPr>
      </w:pPr>
      <w:r w:rsidRPr="00654E3B">
        <w:rPr>
          <w:rFonts w:cs="Times New Roman"/>
        </w:rPr>
        <w:t xml:space="preserve">Izgradnja mehanizama za kontinuirano ažuriranje tarifnog sustava za regulacijske usluge u proizvodnji električne energije, čime se trebaju održavati zdravi konkurentni tržišni uvjeti za različita tehnološka rješenja.   </w:t>
      </w:r>
    </w:p>
    <w:p w:rsidR="007D4A93" w:rsidRPr="00654E3B" w:rsidRDefault="00EF0BEB">
      <w:pPr>
        <w:rPr>
          <w:rFonts w:cs="Times New Roman"/>
          <w:szCs w:val="24"/>
          <w:u w:val="single"/>
        </w:rPr>
      </w:pPr>
      <w:r w:rsidRPr="00654E3B">
        <w:rPr>
          <w:rFonts w:cs="Times New Roman"/>
          <w:u w:val="single"/>
        </w:rPr>
        <w:t>Do 2050. godine</w:t>
      </w:r>
    </w:p>
    <w:p w:rsidR="007D4A93" w:rsidRPr="00654E3B" w:rsidRDefault="00EF0BEB" w:rsidP="000C6795">
      <w:pPr>
        <w:pStyle w:val="ListParagraph"/>
        <w:numPr>
          <w:ilvl w:val="0"/>
          <w:numId w:val="32"/>
        </w:numPr>
        <w:rPr>
          <w:rFonts w:eastAsia="MS Mincho" w:cs="Times New Roman"/>
          <w:lang w:eastAsia="ja-JP"/>
        </w:rPr>
      </w:pPr>
      <w:r w:rsidRPr="00654E3B">
        <w:rPr>
          <w:rFonts w:cs="Times New Roman"/>
        </w:rPr>
        <w:t xml:space="preserve">Električna energija će postati dominantni oblik energije. </w:t>
      </w:r>
    </w:p>
    <w:p w:rsidR="007D4A93" w:rsidRPr="00654E3B" w:rsidRDefault="00EF0BEB" w:rsidP="000C6795">
      <w:pPr>
        <w:pStyle w:val="ListParagraph"/>
        <w:numPr>
          <w:ilvl w:val="0"/>
          <w:numId w:val="32"/>
        </w:numPr>
        <w:rPr>
          <w:rFonts w:eastAsia="MS Mincho" w:cs="Times New Roman"/>
          <w:lang w:eastAsia="ja-JP"/>
        </w:rPr>
      </w:pPr>
      <w:r w:rsidRPr="00654E3B">
        <w:rPr>
          <w:rFonts w:cs="Times New Roman"/>
        </w:rPr>
        <w:t>Izgradnja novih kapaciteta</w:t>
      </w:r>
      <w:r w:rsidRPr="00654E3B">
        <w:rPr>
          <w:rFonts w:cs="Times New Roman"/>
          <w:lang w:eastAsia="hr-HR"/>
        </w:rPr>
        <w:t xml:space="preserve"> obnovljivih izvora </w:t>
      </w:r>
      <w:r w:rsidRPr="00654E3B">
        <w:rPr>
          <w:rFonts w:cs="Times New Roman"/>
        </w:rPr>
        <w:t>podrazumijeva adekvatan razvoj elektroenergetske mreže za integraciju obnovljivih izvora energije, razvoj decentralizirane i centralizirane pohrane električne energije, širenje naprednih mreža i pametnih sustava te snažniju integraciju sa sektorom e-prometa i toplinskim sustavima.</w:t>
      </w:r>
    </w:p>
    <w:p w:rsidR="007D4A93" w:rsidRPr="00654E3B" w:rsidRDefault="00EF0BEB" w:rsidP="000C6795">
      <w:pPr>
        <w:pStyle w:val="ListParagraph"/>
        <w:numPr>
          <w:ilvl w:val="0"/>
          <w:numId w:val="32"/>
        </w:numPr>
        <w:rPr>
          <w:rFonts w:eastAsia="MS Mincho" w:cs="Times New Roman"/>
          <w:lang w:eastAsia="ja-JP"/>
        </w:rPr>
      </w:pPr>
      <w:r w:rsidRPr="00654E3B">
        <w:rPr>
          <w:rFonts w:eastAsia="MS Mincho" w:cs="Times New Roman"/>
          <w:lang w:eastAsia="ja-JP"/>
        </w:rPr>
        <w:t xml:space="preserve">Konkurentne mogu postati elektrane/kogeneracije koje koriste krutu biomasu i bioplin, vodik, sintetski plin i druga goriva dobivena kemijskim recikliranjem otpada </w:t>
      </w:r>
    </w:p>
    <w:p w:rsidR="007D4A93" w:rsidRPr="00654E3B" w:rsidRDefault="00EF0BEB">
      <w:pPr>
        <w:pStyle w:val="Heading2"/>
        <w:rPr>
          <w:rFonts w:ascii="Times New Roman" w:hAnsi="Times New Roman" w:cs="Times New Roman"/>
        </w:rPr>
      </w:pPr>
      <w:bookmarkStart w:id="226" w:name="_Toc20841304"/>
      <w:bookmarkStart w:id="227" w:name="_Toc20841410"/>
      <w:bookmarkStart w:id="228" w:name="_Toc69297747"/>
      <w:r w:rsidRPr="00654E3B">
        <w:rPr>
          <w:rFonts w:ascii="Times New Roman" w:hAnsi="Times New Roman" w:cs="Times New Roman"/>
        </w:rPr>
        <w:t xml:space="preserve">6.2. </w:t>
      </w:r>
      <w:r w:rsidRPr="00654E3B">
        <w:rPr>
          <w:rFonts w:ascii="Times New Roman" w:hAnsi="Times New Roman" w:cs="Times New Roman"/>
        </w:rPr>
        <w:tab/>
        <w:t>PROIZVODNJA I PRERADA GORIVA</w:t>
      </w:r>
      <w:bookmarkEnd w:id="226"/>
      <w:bookmarkEnd w:id="227"/>
      <w:bookmarkEnd w:id="228"/>
    </w:p>
    <w:p w:rsidR="007D4A93" w:rsidRPr="00654E3B" w:rsidRDefault="00EF0BEB" w:rsidP="009F6651">
      <w:pPr>
        <w:pStyle w:val="Heading3"/>
      </w:pPr>
      <w:bookmarkStart w:id="229" w:name="_Toc69297748"/>
      <w:r w:rsidRPr="00654E3B">
        <w:t>6.2.1. Emisije stakleničkih plinova</w:t>
      </w:r>
      <w:bookmarkEnd w:id="229"/>
    </w:p>
    <w:p w:rsidR="007D4A93" w:rsidRPr="00654E3B" w:rsidRDefault="007D4A93">
      <w:pPr>
        <w:rPr>
          <w:rFonts w:cs="Times New Roman"/>
        </w:rPr>
      </w:pPr>
    </w:p>
    <w:p w:rsidR="007D4A93" w:rsidRPr="00654E3B" w:rsidRDefault="00EF0BEB">
      <w:pPr>
        <w:rPr>
          <w:rFonts w:cs="Times New Roman"/>
        </w:rPr>
      </w:pPr>
      <w:r w:rsidRPr="00654E3B">
        <w:rPr>
          <w:rFonts w:cs="Times New Roman"/>
        </w:rPr>
        <w:t>U ovom dijelu su objedinjena tri sektora prema IPCC metodologiji: rafinerije, sektor proizvodnje krutih goriva i ostala energetska industrija te fugitivne emisije (emisije iz većeg broja malih izvora ili površina – isparavanje, propuštanje, ishlapljivanje i slično).</w:t>
      </w:r>
    </w:p>
    <w:p w:rsidR="007D4A93" w:rsidRPr="00654E3B" w:rsidRDefault="00EF0BEB">
      <w:pPr>
        <w:rPr>
          <w:rFonts w:cs="Times New Roman"/>
        </w:rPr>
      </w:pPr>
      <w:bookmarkStart w:id="230" w:name="_Hlk36802200"/>
      <w:r w:rsidRPr="00654E3B">
        <w:rPr>
          <w:rFonts w:cs="Times New Roman"/>
        </w:rPr>
        <w:lastRenderedPageBreak/>
        <w:t>Sektor proizvodnje i prerade nafte i plina čini 7,4</w:t>
      </w:r>
      <w:r w:rsidR="00060992" w:rsidRPr="00654E3B">
        <w:rPr>
          <w:rFonts w:cs="Times New Roman"/>
        </w:rPr>
        <w:t xml:space="preserve"> %</w:t>
      </w:r>
      <w:r w:rsidRPr="00654E3B">
        <w:rPr>
          <w:rFonts w:cs="Times New Roman"/>
        </w:rPr>
        <w:t xml:space="preserve"> emisije stakleničkih plinova Republike Hrvatske (2018. godina), od toga je 74,6</w:t>
      </w:r>
      <w:r w:rsidR="00060992" w:rsidRPr="00654E3B">
        <w:rPr>
          <w:rFonts w:cs="Times New Roman"/>
        </w:rPr>
        <w:t xml:space="preserve"> %</w:t>
      </w:r>
      <w:r w:rsidRPr="00654E3B">
        <w:rPr>
          <w:rFonts w:cs="Times New Roman"/>
        </w:rPr>
        <w:t xml:space="preserve"> emisija iz rafinerija. Iz ovog sektora 74,3</w:t>
      </w:r>
      <w:r w:rsidR="00060992" w:rsidRPr="00654E3B">
        <w:rPr>
          <w:rFonts w:cs="Times New Roman"/>
        </w:rPr>
        <w:t xml:space="preserve"> %</w:t>
      </w:r>
      <w:r w:rsidRPr="00654E3B">
        <w:rPr>
          <w:rFonts w:cs="Times New Roman"/>
        </w:rPr>
        <w:t xml:space="preserve"> emisija je obuhvaćeno ETS-om. Navedeno se odnosi na emisije od izgaranja goriva. </w:t>
      </w:r>
      <w:bookmarkEnd w:id="230"/>
    </w:p>
    <w:p w:rsidR="007D4A93" w:rsidRPr="00654E3B" w:rsidRDefault="00EF0BEB">
      <w:pPr>
        <w:rPr>
          <w:rFonts w:cs="Times New Roman"/>
        </w:rPr>
      </w:pPr>
      <w:r w:rsidRPr="00654E3B">
        <w:rPr>
          <w:rFonts w:cs="Times New Roman"/>
        </w:rPr>
        <w:t>Fugitivne emisije metana koje nastaju u procesu proizvodnje, transporta i distribucije fosilnih goriva obračunavaju se u posebnom sektoru fugitivnih emisija te čine dodatnih 1,7</w:t>
      </w:r>
      <w:r w:rsidR="00060992" w:rsidRPr="00654E3B">
        <w:rPr>
          <w:rFonts w:cs="Times New Roman"/>
        </w:rPr>
        <w:t xml:space="preserve"> %</w:t>
      </w:r>
      <w:r w:rsidRPr="00654E3B">
        <w:rPr>
          <w:rFonts w:cs="Times New Roman"/>
        </w:rPr>
        <w:t xml:space="preserve"> ukupnih emisija. Fugitivne emisije nisu obuhvaćene ETS-om.</w:t>
      </w:r>
    </w:p>
    <w:p w:rsidR="007D4A93" w:rsidRPr="00654E3B" w:rsidRDefault="00EF0BEB">
      <w:pPr>
        <w:rPr>
          <w:rFonts w:cs="Times New Roman"/>
          <w:lang w:eastAsia="hr-HR"/>
        </w:rPr>
      </w:pPr>
      <w:r w:rsidRPr="00654E3B">
        <w:rPr>
          <w:rFonts w:cs="Times New Roman"/>
        </w:rPr>
        <w:t>U ovom sektoru u scenarijima NU1 i NU2 postiže se smanjenje emisije od 55,8</w:t>
      </w:r>
      <w:r w:rsidR="00060992" w:rsidRPr="00654E3B">
        <w:rPr>
          <w:rFonts w:cs="Times New Roman"/>
        </w:rPr>
        <w:t xml:space="preserve"> %</w:t>
      </w:r>
      <w:r w:rsidRPr="00654E3B">
        <w:rPr>
          <w:rFonts w:cs="Times New Roman"/>
        </w:rPr>
        <w:t xml:space="preserve"> do 56,0</w:t>
      </w:r>
      <w:r w:rsidR="00060992" w:rsidRPr="00654E3B">
        <w:rPr>
          <w:rFonts w:cs="Times New Roman"/>
        </w:rPr>
        <w:t xml:space="preserve"> %</w:t>
      </w:r>
      <w:r w:rsidRPr="00654E3B">
        <w:rPr>
          <w:rFonts w:cs="Times New Roman"/>
        </w:rPr>
        <w:t xml:space="preserve"> u 2030. godini te od 74,7</w:t>
      </w:r>
      <w:r w:rsidR="00060992" w:rsidRPr="00654E3B">
        <w:rPr>
          <w:rFonts w:cs="Times New Roman"/>
        </w:rPr>
        <w:t xml:space="preserve"> %</w:t>
      </w:r>
      <w:r w:rsidRPr="00654E3B">
        <w:rPr>
          <w:rFonts w:cs="Times New Roman"/>
        </w:rPr>
        <w:t xml:space="preserve"> do 75,9</w:t>
      </w:r>
      <w:r w:rsidR="00060992" w:rsidRPr="00654E3B">
        <w:rPr>
          <w:rFonts w:cs="Times New Roman"/>
        </w:rPr>
        <w:t xml:space="preserve"> %</w:t>
      </w:r>
      <w:r w:rsidRPr="00654E3B">
        <w:rPr>
          <w:rFonts w:cs="Times New Roman"/>
        </w:rPr>
        <w:t xml:space="preserve"> u 2050. godini, u odnosu na 1990. godinu.</w:t>
      </w:r>
    </w:p>
    <w:p w:rsidR="007D4A93" w:rsidRPr="00654E3B" w:rsidRDefault="00EF0BEB" w:rsidP="009F6651">
      <w:pPr>
        <w:pStyle w:val="Heading3"/>
      </w:pPr>
      <w:bookmarkStart w:id="231" w:name="_Toc69297749"/>
      <w:r w:rsidRPr="00654E3B">
        <w:t>6.2.2. Politike i mjere za niskougljični razvoj</w:t>
      </w:r>
      <w:bookmarkEnd w:id="231"/>
    </w:p>
    <w:p w:rsidR="007D4A93" w:rsidRPr="00654E3B" w:rsidRDefault="007D4A93">
      <w:pPr>
        <w:rPr>
          <w:rFonts w:cs="Times New Roman"/>
        </w:rPr>
      </w:pPr>
    </w:p>
    <w:p w:rsidR="007D4A93" w:rsidRPr="00654E3B" w:rsidRDefault="00EF0BEB">
      <w:pPr>
        <w:rPr>
          <w:rFonts w:cs="Times New Roman"/>
          <w:b/>
          <w:u w:val="single"/>
        </w:rPr>
      </w:pPr>
      <w:r w:rsidRPr="00654E3B">
        <w:rPr>
          <w:rFonts w:cs="Times New Roman"/>
          <w:b/>
          <w:u w:val="single"/>
        </w:rPr>
        <w:t>Nafta i naftni derivati</w:t>
      </w:r>
    </w:p>
    <w:p w:rsidR="007D4A93" w:rsidRPr="00654E3B" w:rsidRDefault="00EF0BEB">
      <w:pPr>
        <w:rPr>
          <w:rFonts w:cs="Times New Roman"/>
        </w:rPr>
      </w:pPr>
      <w:r w:rsidRPr="00654E3B">
        <w:rPr>
          <w:rFonts w:cs="Times New Roman"/>
        </w:rPr>
        <w:t>U nadolazećem razdoblju politike dekarbonizacije energetskog sektora, naftni sektor bit će pod snažnim utjecajem povećanja korištenja alternativnih goriva, ali i povećanja energetske učinkovitosti te će se potrošnja naftnih derivata kontinuirano smanjivati. To će se naročito odraziti na rad rafinerija, transport i distribuciju nafte i naftnih derivata te tržište skladištenja.</w:t>
      </w:r>
    </w:p>
    <w:p w:rsidR="007D4A93" w:rsidRPr="00654E3B" w:rsidRDefault="00EF0BEB">
      <w:pPr>
        <w:rPr>
          <w:rFonts w:cs="Times New Roman"/>
        </w:rPr>
      </w:pPr>
      <w:r w:rsidRPr="00654E3B">
        <w:rPr>
          <w:rFonts w:cs="Times New Roman"/>
        </w:rPr>
        <w:t xml:space="preserve">Bez obzira na predviđeno smanjenje potrošnje naftnih derivata do 2030., odnosno 2050. godine, oni će još uvijek zauzimati značajni udio u ukupnoj potrošnji energije te je potrebno osigurati njihovu nesmetanu opskrbu. Strategija energetskog razvoja je utvrdila da je zbog smanjivanja opskrbljenosti domaćom proizvodnjom nafte, gospodarski je i energetski opravdano potaknuti dodatna ulaganja u postojeće proizvodne kapacitete i u nova istraživanja te ubrzati dovršetak modernizacije i/ili transformacija rafinerija s ciljem povećanja konkurentnosti na domaćem i stranim tržištima. </w:t>
      </w:r>
    </w:p>
    <w:p w:rsidR="007D4A93" w:rsidRPr="00654E3B" w:rsidRDefault="00EF0BEB">
      <w:pPr>
        <w:rPr>
          <w:rFonts w:cs="Times New Roman"/>
        </w:rPr>
      </w:pPr>
      <w:r w:rsidRPr="00654E3B">
        <w:rPr>
          <w:rFonts w:cs="Times New Roman"/>
        </w:rPr>
        <w:t>Godišnja proizvodnja naftnih derivata prema niskougljičnim scenarijima</w:t>
      </w:r>
      <w:r w:rsidR="00714741" w:rsidRPr="00654E3B">
        <w:rPr>
          <w:rFonts w:cs="Times New Roman"/>
        </w:rPr>
        <w:t>,</w:t>
      </w:r>
      <w:r w:rsidRPr="00654E3B">
        <w:rPr>
          <w:rFonts w:cs="Times New Roman"/>
        </w:rPr>
        <w:t xml:space="preserve"> bit će otprilike na razini današnje proizvodnje do 2030. godine</w:t>
      </w:r>
      <w:r w:rsidR="00714741" w:rsidRPr="00654E3B">
        <w:rPr>
          <w:rFonts w:cs="Times New Roman"/>
        </w:rPr>
        <w:t>,</w:t>
      </w:r>
      <w:r w:rsidRPr="00654E3B">
        <w:rPr>
          <w:rFonts w:cs="Times New Roman"/>
        </w:rPr>
        <w:t xml:space="preserve"> nakon čega slijedi postupni pad proizvodnje. Pad proizvodnje nakon 2030. godine uzrokovan je prvenstveno povećanjem broja električnih vozila i vozila na alternativno gorivo u cestovnom prometu.</w:t>
      </w:r>
    </w:p>
    <w:p w:rsidR="007D4A93" w:rsidRPr="00654E3B" w:rsidRDefault="00EF0BEB">
      <w:pPr>
        <w:rPr>
          <w:rFonts w:cs="Times New Roman"/>
        </w:rPr>
      </w:pPr>
      <w:r w:rsidRPr="00654E3B">
        <w:rPr>
          <w:rFonts w:cs="Times New Roman"/>
        </w:rPr>
        <w:t xml:space="preserve">Proizvodnja naftnih derivata pratit će smanjenje potrošnje derivata sve do 2035. godine. Nakon 2035. godine dolazi do smanjenja potrošnje naftnih derivata i povećanja neto izvoza. </w:t>
      </w:r>
    </w:p>
    <w:p w:rsidR="006E47A5" w:rsidRPr="00654E3B" w:rsidRDefault="007D4FCC">
      <w:pPr>
        <w:rPr>
          <w:rFonts w:cs="Times New Roman"/>
          <w:b/>
        </w:rPr>
      </w:pPr>
      <w:r w:rsidRPr="00654E3B">
        <w:rPr>
          <w:rFonts w:cs="Times New Roman"/>
        </w:rPr>
        <w:t>Bez obzira na predviđeno smanjenje prerade nafte u rafinerijama regije nakon 2030. godine, neće doći do smanjenja transporta nafte u uvjetima daljnje diversifikacije pravaca i izvora opskrbe rafinerija država jugoistočne i srednje Europe.</w:t>
      </w:r>
    </w:p>
    <w:p w:rsidR="007D4A93" w:rsidRPr="00654E3B" w:rsidRDefault="00EF0BEB">
      <w:pPr>
        <w:rPr>
          <w:rFonts w:cs="Times New Roman"/>
        </w:rPr>
      </w:pPr>
      <w:r w:rsidRPr="00654E3B">
        <w:rPr>
          <w:rFonts w:cs="Times New Roman"/>
          <w:b/>
        </w:rPr>
        <w:t>Rafinerije i biorafinerije</w:t>
      </w:r>
      <w:r w:rsidRPr="00654E3B">
        <w:rPr>
          <w:rFonts w:cs="Times New Roman"/>
        </w:rPr>
        <w:t xml:space="preserve"> Potrebne su značajne investicije u modernizaciju i unaprjeđenje proizvodnje kako bi se održala konkurentnost rafinerija. Međutim, važno je razmotriti modele </w:t>
      </w:r>
      <w:r w:rsidR="00714741" w:rsidRPr="00654E3B">
        <w:rPr>
          <w:rFonts w:cs="Times New Roman"/>
        </w:rPr>
        <w:t xml:space="preserve">diversifikacije </w:t>
      </w:r>
      <w:r w:rsidRPr="00654E3B">
        <w:rPr>
          <w:rFonts w:cs="Times New Roman"/>
        </w:rPr>
        <w:t>poslovanja u slučajevima kada investiranje nije opravdano</w:t>
      </w:r>
      <w:r w:rsidR="00714741" w:rsidRPr="00654E3B">
        <w:rPr>
          <w:rFonts w:cs="Times New Roman"/>
        </w:rPr>
        <w:t>.</w:t>
      </w:r>
    </w:p>
    <w:p w:rsidR="007D4A93" w:rsidRPr="00654E3B" w:rsidRDefault="00EF0BEB">
      <w:pPr>
        <w:rPr>
          <w:rFonts w:cs="Times New Roman"/>
        </w:rPr>
      </w:pPr>
      <w:r w:rsidRPr="00654E3B">
        <w:rPr>
          <w:rFonts w:cs="Times New Roman"/>
        </w:rPr>
        <w:t>Razvoj tehnologija za proizvodnju energije iz biomase se najviše usmjerava na sektor prometa</w:t>
      </w:r>
      <w:r w:rsidR="00714741" w:rsidRPr="00654E3B">
        <w:rPr>
          <w:rFonts w:cs="Times New Roman"/>
        </w:rPr>
        <w:t>,</w:t>
      </w:r>
      <w:r w:rsidRPr="00654E3B">
        <w:rPr>
          <w:rFonts w:cs="Times New Roman"/>
        </w:rPr>
        <w:t xml:space="preserve"> za proizvodnju naprednih biogoriva kroz sustav biorafinerija. </w:t>
      </w:r>
    </w:p>
    <w:p w:rsidR="007D4A93" w:rsidRPr="00654E3B" w:rsidRDefault="00EF0BEB">
      <w:pPr>
        <w:rPr>
          <w:rFonts w:cs="Times New Roman"/>
        </w:rPr>
      </w:pPr>
      <w:r w:rsidRPr="00654E3B">
        <w:rPr>
          <w:rFonts w:cs="Times New Roman"/>
        </w:rPr>
        <w:t>Potreban je sustav poticaja aktivnosti istraživanja u svrhu razvoja tehnologija za dobivanje naprednih biogoriva.</w:t>
      </w:r>
    </w:p>
    <w:p w:rsidR="007D4A93" w:rsidRPr="00654E3B" w:rsidRDefault="00EF0BEB">
      <w:pPr>
        <w:rPr>
          <w:rFonts w:cs="Times New Roman"/>
          <w:b/>
          <w:u w:val="single"/>
        </w:rPr>
      </w:pPr>
      <w:r w:rsidRPr="00654E3B">
        <w:rPr>
          <w:rFonts w:cs="Times New Roman"/>
          <w:b/>
          <w:u w:val="single"/>
        </w:rPr>
        <w:t>Prirodni plin</w:t>
      </w:r>
    </w:p>
    <w:p w:rsidR="007D4A93" w:rsidRPr="00654E3B" w:rsidRDefault="00EF0BEB">
      <w:pPr>
        <w:rPr>
          <w:rFonts w:cs="Times New Roman"/>
        </w:rPr>
      </w:pPr>
      <w:r w:rsidRPr="00654E3B">
        <w:rPr>
          <w:rFonts w:cs="Times New Roman"/>
        </w:rPr>
        <w:t>Razvoj plinskog sustava u Republici Hrvatskoj uvjetovan je razvojem tržišta plina i potrebom osiguravanja odgovarajuće razine sigurnosti opskrbe plinom. Potrebno je osigurati unutarnju operativnu sigurnost opskrbe plinom, kao i sigurnost dobave plina. Republika Hrvatska se u ovom trenutku opskrbljuje plinom iz domaće proizvodnje i iz uvoza preko dobavnih pravaca iz Slovenije i Mađarske, a vršne potrebe zadovoljava opskrbom iz podzemnog skladišta plina Okoli.</w:t>
      </w:r>
    </w:p>
    <w:p w:rsidR="007D4A93" w:rsidRPr="00654E3B" w:rsidRDefault="00EF0BEB">
      <w:pPr>
        <w:rPr>
          <w:rFonts w:cs="Times New Roman"/>
        </w:rPr>
      </w:pPr>
      <w:r w:rsidRPr="00654E3B">
        <w:rPr>
          <w:rFonts w:cs="Times New Roman"/>
        </w:rPr>
        <w:lastRenderedPageBreak/>
        <w:t>Republika Hrvatska trenutno bilježi trend smanjenja domaće proizvodnje prirodnog plina.</w:t>
      </w:r>
    </w:p>
    <w:p w:rsidR="007D4A93" w:rsidRPr="00654E3B" w:rsidRDefault="00EF0BEB">
      <w:pPr>
        <w:rPr>
          <w:rFonts w:cs="Times New Roman"/>
        </w:rPr>
      </w:pPr>
      <w:r w:rsidRPr="00654E3B">
        <w:rPr>
          <w:rFonts w:cs="Times New Roman"/>
        </w:rPr>
        <w:t>Daljnji razvoj transportnog plinskog sustava Republike Hrvatske</w:t>
      </w:r>
      <w:r w:rsidR="00714741" w:rsidRPr="00654E3B">
        <w:rPr>
          <w:rFonts w:cs="Times New Roman"/>
        </w:rPr>
        <w:t>,</w:t>
      </w:r>
      <w:r w:rsidRPr="00654E3B">
        <w:rPr>
          <w:rFonts w:cs="Times New Roman"/>
        </w:rPr>
        <w:t xml:space="preserve"> nužan je radi povećanja njegove tehničke sigurnosti, pouzdanosti opskrbe, tržišne prilagođenosti i učinkovitosti. Dakle, osim što je nužno da transportni plinski sustav, svojim kapacitetima i povezanošću s više izvora i pravaca dobave prirodnog plina, omogući nesmetanu opskrbu i u izvanrednim uvjetima</w:t>
      </w:r>
      <w:r w:rsidR="00714741" w:rsidRPr="00654E3B">
        <w:rPr>
          <w:rFonts w:cs="Times New Roman"/>
        </w:rPr>
        <w:t>,</w:t>
      </w:r>
      <w:r w:rsidRPr="00654E3B">
        <w:rPr>
          <w:rFonts w:cs="Times New Roman"/>
        </w:rPr>
        <w:t xml:space="preserve"> sustav mora omogućiti opskrbu po tržišno konkurentnim cijenama.</w:t>
      </w:r>
    </w:p>
    <w:p w:rsidR="007D4A93" w:rsidRPr="00654E3B" w:rsidRDefault="00EF0BEB">
      <w:pPr>
        <w:rPr>
          <w:rFonts w:cs="Times New Roman"/>
          <w:szCs w:val="24"/>
        </w:rPr>
      </w:pPr>
      <w:r w:rsidRPr="00654E3B">
        <w:rPr>
          <w:rFonts w:cs="Times New Roman"/>
          <w:szCs w:val="24"/>
        </w:rPr>
        <w:t>Razvoj sustava za skladištenje prirodnog plina</w:t>
      </w:r>
      <w:r w:rsidR="00714741" w:rsidRPr="00654E3B">
        <w:rPr>
          <w:rFonts w:cs="Times New Roman"/>
          <w:szCs w:val="24"/>
        </w:rPr>
        <w:t>,</w:t>
      </w:r>
      <w:r w:rsidRPr="00654E3B">
        <w:rPr>
          <w:rFonts w:cs="Times New Roman"/>
          <w:szCs w:val="24"/>
        </w:rPr>
        <w:t xml:space="preserve"> obuhvaća dogradnju postojećeg podzemnog skladišta plina, izgradnju i puštanje u rad novog (vršnog) podzemnog skladišta plina te potencijalnu izgradnju novog sezonskog skladišta plina sukladno mogućnostima i potrebama.</w:t>
      </w:r>
    </w:p>
    <w:p w:rsidR="007D4A93" w:rsidRPr="00654E3B" w:rsidRDefault="00EF0BEB">
      <w:pPr>
        <w:rPr>
          <w:rFonts w:cs="Times New Roman"/>
          <w:szCs w:val="24"/>
        </w:rPr>
      </w:pPr>
      <w:r w:rsidRPr="00654E3B">
        <w:rPr>
          <w:rFonts w:cs="Times New Roman"/>
          <w:b/>
          <w:szCs w:val="24"/>
        </w:rPr>
        <w:t xml:space="preserve">Terminal za ukapljeni prirodni plin. </w:t>
      </w:r>
      <w:r w:rsidRPr="00654E3B">
        <w:rPr>
          <w:rFonts w:cs="Times New Roman"/>
          <w:szCs w:val="24"/>
        </w:rPr>
        <w:t>Izgradnja terminala za ukapljeni prirodni plin (UPP)</w:t>
      </w:r>
      <w:r w:rsidR="00714741" w:rsidRPr="00654E3B">
        <w:rPr>
          <w:rFonts w:cs="Times New Roman"/>
          <w:szCs w:val="24"/>
        </w:rPr>
        <w:t>,</w:t>
      </w:r>
      <w:r w:rsidRPr="00654E3B">
        <w:rPr>
          <w:rFonts w:cs="Times New Roman"/>
          <w:szCs w:val="24"/>
        </w:rPr>
        <w:t xml:space="preserve"> jedan je od strateških projekata </w:t>
      </w:r>
      <w:r w:rsidRPr="00654E3B">
        <w:rPr>
          <w:rFonts w:cs="Times New Roman"/>
        </w:rPr>
        <w:t>Republike Hrvatske</w:t>
      </w:r>
      <w:r w:rsidRPr="00654E3B">
        <w:rPr>
          <w:rFonts w:cs="Times New Roman"/>
          <w:szCs w:val="24"/>
        </w:rPr>
        <w:t xml:space="preserve">. Osnovna namjena terminala za UPP je prihvat posebnih brodova za prijevoz UPP-a, pretakanje UPP-a u spremnike, skladištenje, isparavanje i isporuka prirodnog plina u plinovodnu mrežu i za distribuciju plina u brodskom prometu (bunkering). </w:t>
      </w:r>
    </w:p>
    <w:p w:rsidR="007D4A93" w:rsidRPr="00654E3B" w:rsidRDefault="00EF0BEB">
      <w:pPr>
        <w:rPr>
          <w:rFonts w:cs="Times New Roman"/>
          <w:szCs w:val="24"/>
        </w:rPr>
      </w:pPr>
      <w:r w:rsidRPr="00654E3B">
        <w:rPr>
          <w:rFonts w:cs="Times New Roman"/>
          <w:szCs w:val="24"/>
        </w:rPr>
        <w:t xml:space="preserve">Tvrtka LNG Hrvatska d.o.o. je osnovana s namjerom izgradnje i upravljanja </w:t>
      </w:r>
      <w:r w:rsidR="00714741" w:rsidRPr="00654E3B">
        <w:rPr>
          <w:rFonts w:cs="Times New Roman"/>
          <w:szCs w:val="24"/>
        </w:rPr>
        <w:t xml:space="preserve">infrastrukturom potrebnom </w:t>
      </w:r>
      <w:r w:rsidRPr="00654E3B">
        <w:rPr>
          <w:rFonts w:cs="Times New Roman"/>
          <w:szCs w:val="24"/>
        </w:rPr>
        <w:t>za prihvat, skladištenje i uplinjavanje UPP-a. Terminal za UPP nalazi se u općini</w:t>
      </w:r>
      <w:r w:rsidR="00714741" w:rsidRPr="00654E3B">
        <w:rPr>
          <w:rFonts w:cs="Times New Roman"/>
          <w:szCs w:val="24"/>
        </w:rPr>
        <w:t xml:space="preserve"> </w:t>
      </w:r>
      <w:r w:rsidRPr="00654E3B">
        <w:rPr>
          <w:rFonts w:cs="Times New Roman"/>
          <w:szCs w:val="24"/>
        </w:rPr>
        <w:t>Omišalj na otoku Krku. Projekt je važan čimbenik diversifikacije opskrbe prirodnim plinom i povećanja sigurnosti opskrbe u srednjoj i jugoistočnoj Europi.</w:t>
      </w:r>
    </w:p>
    <w:p w:rsidR="00A9370E" w:rsidRPr="00654E3B" w:rsidRDefault="00EF0BEB">
      <w:pPr>
        <w:rPr>
          <w:rFonts w:cs="Times New Roman"/>
          <w:szCs w:val="24"/>
        </w:rPr>
      </w:pPr>
      <w:r w:rsidRPr="00654E3B">
        <w:rPr>
          <w:rFonts w:cs="Times New Roman"/>
          <w:szCs w:val="24"/>
        </w:rPr>
        <w:t xml:space="preserve">Veličina terminala za UPP ovisi o zainteresiranosti tržišta te je u prvoj fazi </w:t>
      </w:r>
      <w:r w:rsidR="00EE3970" w:rsidRPr="00654E3B">
        <w:rPr>
          <w:rFonts w:cs="Times New Roman"/>
          <w:szCs w:val="24"/>
        </w:rPr>
        <w:t xml:space="preserve">izgrađen </w:t>
      </w:r>
      <w:r w:rsidRPr="00654E3B">
        <w:rPr>
          <w:rFonts w:cs="Times New Roman"/>
          <w:szCs w:val="24"/>
        </w:rPr>
        <w:t xml:space="preserve">FSRU brod (engl. </w:t>
      </w:r>
      <w:r w:rsidRPr="00654E3B">
        <w:rPr>
          <w:rFonts w:cs="Times New Roman"/>
          <w:i/>
          <w:szCs w:val="24"/>
        </w:rPr>
        <w:t>floating storage and regasification unit</w:t>
      </w:r>
      <w:r w:rsidRPr="00654E3B">
        <w:rPr>
          <w:rFonts w:cs="Times New Roman"/>
          <w:szCs w:val="24"/>
        </w:rPr>
        <w:t>, brod za skladištenje i uplinjavanje plina)</w:t>
      </w:r>
      <w:r w:rsidR="00714741" w:rsidRPr="00654E3B">
        <w:rPr>
          <w:rFonts w:cs="Times New Roman"/>
          <w:szCs w:val="24"/>
        </w:rPr>
        <w:t>,</w:t>
      </w:r>
      <w:r w:rsidRPr="00654E3B">
        <w:rPr>
          <w:rFonts w:cs="Times New Roman"/>
          <w:szCs w:val="24"/>
        </w:rPr>
        <w:t xml:space="preserve"> čija će maksimalna godišnja isporuka prirodnog plina iznositi do 2,6 milijarde kubičnih metara. Planirani maksimalni kapacitet isporuke prirodnog plina iz terminala, a posredno i njegova veličina i kapacitet, uvjetovan je maksimalnim kapacitetom plinovodnog sustava.</w:t>
      </w:r>
      <w:r w:rsidR="00A9370E" w:rsidRPr="00654E3B">
        <w:rPr>
          <w:rFonts w:cs="Times New Roman"/>
          <w:szCs w:val="24"/>
        </w:rPr>
        <w:t xml:space="preserve"> </w:t>
      </w:r>
    </w:p>
    <w:p w:rsidR="007D4A93" w:rsidRPr="00654E3B" w:rsidRDefault="00D86654">
      <w:pPr>
        <w:rPr>
          <w:rFonts w:cs="Times New Roman"/>
          <w:szCs w:val="24"/>
        </w:rPr>
      </w:pPr>
      <w:r w:rsidRPr="00654E3B">
        <w:rPr>
          <w:rFonts w:cs="Times New Roman"/>
          <w:szCs w:val="24"/>
        </w:rPr>
        <w:t>Terminal za UPP je</w:t>
      </w:r>
      <w:r w:rsidR="00EF0BEB" w:rsidRPr="00654E3B">
        <w:rPr>
          <w:rFonts w:cs="Times New Roman"/>
          <w:szCs w:val="24"/>
        </w:rPr>
        <w:t xml:space="preserve"> pušt</w:t>
      </w:r>
      <w:r w:rsidRPr="00654E3B">
        <w:rPr>
          <w:rFonts w:cs="Times New Roman"/>
          <w:szCs w:val="24"/>
        </w:rPr>
        <w:t>e</w:t>
      </w:r>
      <w:r w:rsidR="00EF0BEB" w:rsidRPr="00654E3B">
        <w:rPr>
          <w:rFonts w:cs="Times New Roman"/>
          <w:szCs w:val="24"/>
        </w:rPr>
        <w:t xml:space="preserve">n u pogon </w:t>
      </w:r>
      <w:r w:rsidRPr="00654E3B">
        <w:rPr>
          <w:rFonts w:cs="Times New Roman"/>
          <w:szCs w:val="24"/>
        </w:rPr>
        <w:t xml:space="preserve">u siječnju </w:t>
      </w:r>
      <w:r w:rsidR="00EF0BEB" w:rsidRPr="00654E3B">
        <w:rPr>
          <w:rFonts w:cs="Times New Roman"/>
          <w:szCs w:val="24"/>
        </w:rPr>
        <w:t>2021. godine.</w:t>
      </w:r>
    </w:p>
    <w:p w:rsidR="007D4A93" w:rsidRPr="00654E3B" w:rsidRDefault="00EF0BEB" w:rsidP="009F6651">
      <w:pPr>
        <w:pStyle w:val="Heading3"/>
      </w:pPr>
      <w:bookmarkStart w:id="232" w:name="_Toc69297750"/>
      <w:r w:rsidRPr="00654E3B">
        <w:t>6.2.3. Smjernice za niskougljični razvoj</w:t>
      </w:r>
      <w:bookmarkEnd w:id="232"/>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Do 2030. godine</w:t>
      </w:r>
    </w:p>
    <w:p w:rsidR="007D4A93" w:rsidRPr="00654E3B" w:rsidRDefault="00EF0BEB" w:rsidP="000C6795">
      <w:pPr>
        <w:pStyle w:val="ListParagraph"/>
        <w:numPr>
          <w:ilvl w:val="0"/>
          <w:numId w:val="53"/>
        </w:numPr>
        <w:spacing w:line="240" w:lineRule="auto"/>
        <w:rPr>
          <w:rFonts w:eastAsia="Times New Roman" w:cs="Times New Roman"/>
          <w:lang w:eastAsia="hr-HR"/>
        </w:rPr>
      </w:pPr>
      <w:r w:rsidRPr="00654E3B">
        <w:rPr>
          <w:rFonts w:eastAsia="Times New Roman" w:cs="Times New Roman"/>
          <w:lang w:eastAsia="hr-HR"/>
        </w:rPr>
        <w:t>Smanjena potražnja za tekućim fosilnim gorivom u rafinerijama</w:t>
      </w:r>
      <w:r w:rsidR="00714741" w:rsidRPr="00654E3B">
        <w:rPr>
          <w:rFonts w:eastAsia="Times New Roman" w:cs="Times New Roman"/>
          <w:lang w:eastAsia="hr-HR"/>
        </w:rPr>
        <w:t>,</w:t>
      </w:r>
      <w:r w:rsidRPr="00654E3B">
        <w:rPr>
          <w:rFonts w:eastAsia="Times New Roman" w:cs="Times New Roman"/>
          <w:lang w:eastAsia="hr-HR"/>
        </w:rPr>
        <w:t xml:space="preserve"> mogla bi dovesti do viška rafinerijskih kapaciteta i pojačane međunarodne konkurencije - važna je učinkovitost i optimizacija rada rafinerija; u cilju očuvanja konkurentnosti.</w:t>
      </w:r>
    </w:p>
    <w:p w:rsidR="007D4A93" w:rsidRPr="00654E3B" w:rsidRDefault="00EF0BEB" w:rsidP="000C6795">
      <w:pPr>
        <w:pStyle w:val="ListParagraph"/>
        <w:numPr>
          <w:ilvl w:val="0"/>
          <w:numId w:val="53"/>
        </w:numPr>
        <w:spacing w:line="240" w:lineRule="auto"/>
        <w:rPr>
          <w:rFonts w:eastAsia="Times New Roman" w:cs="Times New Roman"/>
          <w:lang w:eastAsia="hr-HR"/>
        </w:rPr>
      </w:pPr>
      <w:r w:rsidRPr="00654E3B">
        <w:rPr>
          <w:rFonts w:eastAsia="Times New Roman" w:cs="Times New Roman"/>
          <w:lang w:eastAsia="hr-HR"/>
        </w:rPr>
        <w:t>Porast potrošnje tekućih biogoriva potencijalno otvara priliku postojećim rafinerijama za proširenje djelatnosti na napredna biogoriva - potrebno je provesti dodatne analize mogućnosti i isplativosti ovakvih projekata. Također, potrebno je razmotriti proširenje skladišnih kapaciteta koji moraju pratiti porast potrošnje biogoriva.</w:t>
      </w:r>
    </w:p>
    <w:p w:rsidR="007D4A93" w:rsidRPr="00654E3B" w:rsidRDefault="00EF0BEB" w:rsidP="000C6795">
      <w:pPr>
        <w:pStyle w:val="ListParagraph"/>
        <w:numPr>
          <w:ilvl w:val="0"/>
          <w:numId w:val="53"/>
        </w:numPr>
        <w:spacing w:line="240" w:lineRule="auto"/>
        <w:rPr>
          <w:rFonts w:eastAsia="Times New Roman" w:cs="Times New Roman"/>
          <w:lang w:eastAsia="hr-HR"/>
        </w:rPr>
      </w:pPr>
      <w:r w:rsidRPr="00654E3B">
        <w:rPr>
          <w:rFonts w:eastAsia="Times New Roman" w:cs="Times New Roman"/>
          <w:lang w:eastAsia="hr-HR"/>
        </w:rPr>
        <w:t>Analizirati mogućnost proizvodnje vodika i sintetskih goriva u kontekstu regulacije elektroenergetskog sustava i korištenja u plinskom sustavu i prometu.</w:t>
      </w:r>
    </w:p>
    <w:p w:rsidR="007D4A93" w:rsidRPr="00654E3B" w:rsidRDefault="00EF0BEB" w:rsidP="000C6795">
      <w:pPr>
        <w:pStyle w:val="ListParagraph"/>
        <w:numPr>
          <w:ilvl w:val="0"/>
          <w:numId w:val="53"/>
        </w:numPr>
        <w:spacing w:line="240" w:lineRule="auto"/>
        <w:rPr>
          <w:rFonts w:eastAsia="Times New Roman" w:cs="Times New Roman"/>
          <w:lang w:eastAsia="hr-HR"/>
        </w:rPr>
      </w:pPr>
      <w:r w:rsidRPr="00654E3B">
        <w:rPr>
          <w:rFonts w:eastAsia="Times New Roman" w:cs="Times New Roman"/>
          <w:lang w:eastAsia="hr-HR"/>
        </w:rPr>
        <w:t>S obzirom na visoki potencijal globalnog zagrijavanja i relativno kratak životni vijek metana u atmosferi</w:t>
      </w:r>
      <w:r w:rsidR="00714741" w:rsidRPr="00654E3B">
        <w:rPr>
          <w:rFonts w:eastAsia="Times New Roman" w:cs="Times New Roman"/>
          <w:lang w:eastAsia="hr-HR"/>
        </w:rPr>
        <w:t>,</w:t>
      </w:r>
      <w:r w:rsidRPr="00654E3B">
        <w:rPr>
          <w:rFonts w:eastAsia="Times New Roman" w:cs="Times New Roman"/>
          <w:lang w:eastAsia="hr-HR"/>
        </w:rPr>
        <w:t xml:space="preserve"> potrebno će biti ovom pitanju posvetiti posebnu pažnju, nakon što </w:t>
      </w:r>
      <w:r w:rsidR="00A21DCF" w:rsidRPr="00654E3B">
        <w:rPr>
          <w:rFonts w:eastAsia="Times New Roman" w:cs="Times New Roman"/>
          <w:lang w:eastAsia="hr-HR"/>
        </w:rPr>
        <w:t>se usvoji</w:t>
      </w:r>
      <w:r w:rsidRPr="00654E3B">
        <w:rPr>
          <w:rFonts w:eastAsia="Times New Roman" w:cs="Times New Roman"/>
          <w:lang w:eastAsia="hr-HR"/>
        </w:rPr>
        <w:t xml:space="preserve"> zajedničku strategiju za metan</w:t>
      </w:r>
      <w:r w:rsidR="008A15FF" w:rsidRPr="00654E3B">
        <w:rPr>
          <w:rFonts w:eastAsia="Times New Roman" w:cs="Times New Roman"/>
          <w:lang w:eastAsia="hr-HR"/>
        </w:rPr>
        <w:t xml:space="preserve"> na razini EU</w:t>
      </w:r>
      <w:r w:rsidRPr="00654E3B">
        <w:rPr>
          <w:rFonts w:eastAsia="Times New Roman" w:cs="Times New Roman"/>
          <w:lang w:eastAsia="hr-HR"/>
        </w:rPr>
        <w:t>.</w:t>
      </w:r>
    </w:p>
    <w:p w:rsidR="007D4A93" w:rsidRPr="00654E3B" w:rsidRDefault="00EF0BEB">
      <w:pPr>
        <w:rPr>
          <w:rFonts w:eastAsia="Times New Roman" w:cs="Times New Roman"/>
          <w:u w:val="single"/>
          <w:lang w:eastAsia="hr-HR"/>
        </w:rPr>
      </w:pPr>
      <w:r w:rsidRPr="00654E3B">
        <w:rPr>
          <w:rFonts w:eastAsia="Times New Roman" w:cs="Times New Roman"/>
          <w:u w:val="single"/>
          <w:lang w:eastAsia="hr-HR"/>
        </w:rPr>
        <w:t>Do 2050. godine</w:t>
      </w:r>
    </w:p>
    <w:p w:rsidR="007D4A93" w:rsidRPr="00654E3B" w:rsidRDefault="00EF0BEB" w:rsidP="000C6795">
      <w:pPr>
        <w:pStyle w:val="ListParagraph"/>
        <w:numPr>
          <w:ilvl w:val="0"/>
          <w:numId w:val="54"/>
        </w:numPr>
        <w:spacing w:line="240" w:lineRule="auto"/>
        <w:rPr>
          <w:rFonts w:eastAsia="MS Mincho" w:cs="Times New Roman"/>
          <w:lang w:eastAsia="hr-HR"/>
        </w:rPr>
      </w:pPr>
      <w:r w:rsidRPr="00654E3B">
        <w:rPr>
          <w:rFonts w:eastAsia="Times New Roman" w:cs="Times New Roman"/>
          <w:bCs/>
          <w:lang w:eastAsia="hr-HR"/>
        </w:rPr>
        <w:t xml:space="preserve">Potrebno je poticati ugradnju mjera za smanjenje emisija iz baklji (regeneracija metana, ugradnja baklji sa velikom </w:t>
      </w:r>
      <w:r w:rsidRPr="00654E3B">
        <w:rPr>
          <w:rFonts w:cs="Times New Roman"/>
          <w:lang w:eastAsia="hr-HR"/>
        </w:rPr>
        <w:t>efikasnošću te izdvajanje proizvedenog CO</w:t>
      </w:r>
      <w:r w:rsidRPr="00654E3B">
        <w:rPr>
          <w:rFonts w:cs="Times New Roman"/>
          <w:vertAlign w:val="subscript"/>
          <w:lang w:eastAsia="hr-HR"/>
        </w:rPr>
        <w:t>2</w:t>
      </w:r>
      <w:r w:rsidRPr="00654E3B">
        <w:rPr>
          <w:rFonts w:cs="Times New Roman"/>
          <w:lang w:eastAsia="hr-HR"/>
        </w:rPr>
        <w:t xml:space="preserve">). </w:t>
      </w:r>
    </w:p>
    <w:p w:rsidR="007D4A93" w:rsidRPr="00654E3B" w:rsidRDefault="00EF0BEB" w:rsidP="000C6795">
      <w:pPr>
        <w:pStyle w:val="ListParagraph"/>
        <w:numPr>
          <w:ilvl w:val="0"/>
          <w:numId w:val="54"/>
        </w:numPr>
        <w:spacing w:line="240" w:lineRule="auto"/>
        <w:rPr>
          <w:rFonts w:eastAsia="Times New Roman" w:cs="Times New Roman"/>
          <w:bCs/>
          <w:lang w:eastAsia="hr-HR"/>
        </w:rPr>
      </w:pPr>
      <w:r w:rsidRPr="00654E3B">
        <w:rPr>
          <w:rFonts w:cs="Times New Roman"/>
          <w:lang w:eastAsia="hr-HR"/>
        </w:rPr>
        <w:t>Potrebno je p</w:t>
      </w:r>
      <w:r w:rsidRPr="00654E3B">
        <w:rPr>
          <w:rFonts w:eastAsia="Times New Roman" w:cs="Times New Roman"/>
          <w:bCs/>
          <w:lang w:eastAsia="hr-HR"/>
        </w:rPr>
        <w:t>oticati mjere kojima bi se u potpunosti spriječilo odzračivanje.</w:t>
      </w:r>
    </w:p>
    <w:p w:rsidR="007D4A93" w:rsidRPr="00654E3B" w:rsidRDefault="00EF0BEB" w:rsidP="000C6795">
      <w:pPr>
        <w:pStyle w:val="ListParagraph"/>
        <w:numPr>
          <w:ilvl w:val="0"/>
          <w:numId w:val="54"/>
        </w:numPr>
        <w:spacing w:line="240" w:lineRule="auto"/>
        <w:rPr>
          <w:rFonts w:eastAsia="Times New Roman" w:cs="Times New Roman"/>
          <w:bCs/>
          <w:lang w:eastAsia="hr-HR"/>
        </w:rPr>
      </w:pPr>
      <w:r w:rsidRPr="00654E3B">
        <w:rPr>
          <w:rFonts w:eastAsia="Times New Roman" w:cs="Times New Roman"/>
          <w:bCs/>
          <w:lang w:eastAsia="hr-HR"/>
        </w:rPr>
        <w:t>Potrebno je poticati mjere kojima bi se curenje plina prilikom distribucije svelo na minimum.</w:t>
      </w:r>
    </w:p>
    <w:p w:rsidR="007D4A93" w:rsidRPr="00654E3B" w:rsidRDefault="00EF0BEB" w:rsidP="000C6795">
      <w:pPr>
        <w:pStyle w:val="ListParagraph"/>
        <w:numPr>
          <w:ilvl w:val="0"/>
          <w:numId w:val="54"/>
        </w:numPr>
        <w:spacing w:line="240" w:lineRule="auto"/>
        <w:rPr>
          <w:rFonts w:eastAsia="MS Mincho" w:cs="Times New Roman"/>
          <w:lang w:eastAsia="ja-JP"/>
        </w:rPr>
      </w:pPr>
      <w:r w:rsidRPr="00654E3B">
        <w:rPr>
          <w:rFonts w:cs="Times New Roman"/>
        </w:rPr>
        <w:t xml:space="preserve">U scenariju provedbe mjera za smanjenje emisija u prometu može se očekivati nastavak trenda smanjenja potražnje za tekućim fosilnim gorivima - opstanak rafinerija ovisiti će o </w:t>
      </w:r>
      <w:r w:rsidRPr="00654E3B">
        <w:rPr>
          <w:rFonts w:cs="Times New Roman"/>
        </w:rPr>
        <w:lastRenderedPageBreak/>
        <w:t>međunarodnoj konkurentnosti te o sposobnosti za razvoj novih djelatnosti kao što su proizvodnja biogoriva, vodika ili sintetskih goriva.</w:t>
      </w:r>
    </w:p>
    <w:p w:rsidR="007D4A93" w:rsidRPr="00D27803" w:rsidRDefault="00EF0BEB" w:rsidP="00AB40C9">
      <w:pPr>
        <w:pStyle w:val="Heading2"/>
        <w:rPr>
          <w:rFonts w:ascii="Times New Roman" w:hAnsi="Times New Roman" w:cs="Times New Roman"/>
        </w:rPr>
      </w:pPr>
      <w:bookmarkStart w:id="233" w:name="_Toc69297751"/>
      <w:r w:rsidRPr="00654E3B">
        <w:rPr>
          <w:rFonts w:ascii="Times New Roman" w:hAnsi="Times New Roman" w:cs="Times New Roman"/>
        </w:rPr>
        <w:t>6.3.</w:t>
      </w:r>
      <w:r w:rsidRPr="00654E3B">
        <w:rPr>
          <w:rFonts w:ascii="Times New Roman" w:hAnsi="Times New Roman" w:cs="Times New Roman"/>
        </w:rPr>
        <w:tab/>
        <w:t>PROMET</w:t>
      </w:r>
      <w:bookmarkEnd w:id="233"/>
    </w:p>
    <w:p w:rsidR="007D4A93" w:rsidRPr="00F01191" w:rsidRDefault="00EF0BEB" w:rsidP="009F6651">
      <w:pPr>
        <w:pStyle w:val="Heading3"/>
      </w:pPr>
      <w:bookmarkStart w:id="234" w:name="_Toc69297752"/>
      <w:r w:rsidRPr="00F01191">
        <w:t>6.3.1.</w:t>
      </w:r>
      <w:r w:rsidRPr="00F01191">
        <w:tab/>
        <w:t>Emisije stakleničkih plinova</w:t>
      </w:r>
      <w:bookmarkEnd w:id="234"/>
    </w:p>
    <w:p w:rsidR="007D4A93" w:rsidRPr="00654E3B" w:rsidRDefault="007D4A93">
      <w:pPr>
        <w:keepNext/>
        <w:rPr>
          <w:rFonts w:cs="Times New Roman"/>
        </w:rPr>
      </w:pPr>
    </w:p>
    <w:p w:rsidR="007D4A93" w:rsidRPr="00654E3B" w:rsidRDefault="00EF0BEB">
      <w:pPr>
        <w:keepNext/>
        <w:rPr>
          <w:rFonts w:cs="Times New Roman"/>
        </w:rPr>
      </w:pPr>
      <w:bookmarkStart w:id="235" w:name="_Hlk38268959"/>
      <w:bookmarkStart w:id="236" w:name="_Hlk36802270"/>
      <w:r w:rsidRPr="00654E3B">
        <w:rPr>
          <w:rFonts w:cs="Times New Roman"/>
        </w:rPr>
        <w:t>U 2018. godini, promet je činio 27</w:t>
      </w:r>
      <w:r w:rsidR="00060992" w:rsidRPr="00654E3B">
        <w:rPr>
          <w:rFonts w:cs="Times New Roman"/>
        </w:rPr>
        <w:t xml:space="preserve"> %</w:t>
      </w:r>
      <w:r w:rsidRPr="00654E3B">
        <w:rPr>
          <w:rFonts w:cs="Times New Roman"/>
        </w:rPr>
        <w:t xml:space="preserve"> ukupnih emisije stakleničkih plinova, a od toga cestovni putnički promet 71,6</w:t>
      </w:r>
      <w:r w:rsidR="00060992" w:rsidRPr="00654E3B">
        <w:rPr>
          <w:rFonts w:cs="Times New Roman"/>
        </w:rPr>
        <w:t xml:space="preserve"> %</w:t>
      </w:r>
      <w:r w:rsidRPr="00654E3B">
        <w:rPr>
          <w:rFonts w:cs="Times New Roman"/>
        </w:rPr>
        <w:t>, cestovni teretni promet 24,7</w:t>
      </w:r>
      <w:r w:rsidR="00060992" w:rsidRPr="00654E3B">
        <w:rPr>
          <w:rFonts w:cs="Times New Roman"/>
        </w:rPr>
        <w:t xml:space="preserve"> %</w:t>
      </w:r>
      <w:r w:rsidRPr="00654E3B">
        <w:rPr>
          <w:rFonts w:cs="Times New Roman"/>
        </w:rPr>
        <w:t>, željeznički promet 0,8</w:t>
      </w:r>
      <w:r w:rsidR="00060992" w:rsidRPr="00654E3B">
        <w:rPr>
          <w:rFonts w:cs="Times New Roman"/>
        </w:rPr>
        <w:t xml:space="preserve"> %</w:t>
      </w:r>
      <w:r w:rsidRPr="00654E3B">
        <w:rPr>
          <w:rFonts w:cs="Times New Roman"/>
        </w:rPr>
        <w:t>, pomorski i riječni promet 2,4</w:t>
      </w:r>
      <w:r w:rsidR="00060992" w:rsidRPr="00654E3B">
        <w:rPr>
          <w:rFonts w:cs="Times New Roman"/>
        </w:rPr>
        <w:t xml:space="preserve"> %</w:t>
      </w:r>
      <w:r w:rsidRPr="00654E3B">
        <w:rPr>
          <w:rFonts w:cs="Times New Roman"/>
        </w:rPr>
        <w:t xml:space="preserve"> te domaći zračni promet 0,5</w:t>
      </w:r>
      <w:r w:rsidR="00060992" w:rsidRPr="00654E3B">
        <w:rPr>
          <w:rFonts w:cs="Times New Roman"/>
        </w:rPr>
        <w:t xml:space="preserve"> %</w:t>
      </w:r>
      <w:r w:rsidRPr="00654E3B">
        <w:rPr>
          <w:rFonts w:cs="Times New Roman"/>
        </w:rPr>
        <w:t>. Sektor prometa je imao u 2018. godini emisiju veću od emisije u 1990. godini za 60,4</w:t>
      </w:r>
      <w:r w:rsidR="00060992" w:rsidRPr="00654E3B">
        <w:rPr>
          <w:rFonts w:cs="Times New Roman"/>
        </w:rPr>
        <w:t xml:space="preserve"> %</w:t>
      </w:r>
      <w:r w:rsidRPr="00654E3B">
        <w:rPr>
          <w:rFonts w:cs="Times New Roman"/>
        </w:rPr>
        <w:t>. Oko 90</w:t>
      </w:r>
      <w:r w:rsidR="00060992" w:rsidRPr="00654E3B">
        <w:rPr>
          <w:rFonts w:cs="Times New Roman"/>
        </w:rPr>
        <w:t xml:space="preserve"> %</w:t>
      </w:r>
      <w:r w:rsidRPr="00654E3B">
        <w:rPr>
          <w:rFonts w:cs="Times New Roman"/>
        </w:rPr>
        <w:t xml:space="preserve"> emisija domaćeg zračnog prometa je </w:t>
      </w:r>
      <w:bookmarkStart w:id="237" w:name="_Hlk38268973"/>
      <w:bookmarkEnd w:id="235"/>
      <w:r w:rsidRPr="00654E3B">
        <w:rPr>
          <w:rFonts w:cs="Times New Roman"/>
        </w:rPr>
        <w:t>obuhvaćeno ETS-om, odnosno manje od 0,4</w:t>
      </w:r>
      <w:r w:rsidR="00060992" w:rsidRPr="00654E3B">
        <w:rPr>
          <w:rFonts w:cs="Times New Roman"/>
        </w:rPr>
        <w:t xml:space="preserve"> %</w:t>
      </w:r>
      <w:r w:rsidRPr="00654E3B">
        <w:rPr>
          <w:rFonts w:cs="Times New Roman"/>
        </w:rPr>
        <w:t xml:space="preserve"> emisija iz sektora prometa. </w:t>
      </w:r>
      <w:bookmarkEnd w:id="236"/>
      <w:bookmarkEnd w:id="237"/>
    </w:p>
    <w:p w:rsidR="007D4A93" w:rsidRPr="00654E3B" w:rsidRDefault="00EF0BEB">
      <w:pPr>
        <w:rPr>
          <w:rFonts w:cs="Times New Roman"/>
        </w:rPr>
      </w:pPr>
      <w:r w:rsidRPr="00654E3B">
        <w:rPr>
          <w:rFonts w:cs="Times New Roman"/>
        </w:rPr>
        <w:t xml:space="preserve">U niskougljičnim scenarijima NU1 i NU2, u odnosu na 1990. godinu, usprkos mjerama </w:t>
      </w:r>
      <w:r w:rsidR="001D0377" w:rsidRPr="00654E3B">
        <w:rPr>
          <w:rFonts w:cs="Times New Roman"/>
        </w:rPr>
        <w:t>u 2030. godini</w:t>
      </w:r>
      <w:r w:rsidR="001D4792" w:rsidRPr="00654E3B">
        <w:rPr>
          <w:rFonts w:cs="Times New Roman"/>
        </w:rPr>
        <w:t>,</w:t>
      </w:r>
      <w:r w:rsidR="001D0377" w:rsidRPr="00654E3B">
        <w:rPr>
          <w:rFonts w:cs="Times New Roman"/>
        </w:rPr>
        <w:t xml:space="preserve"> </w:t>
      </w:r>
      <w:r w:rsidR="001D4792" w:rsidRPr="00654E3B">
        <w:rPr>
          <w:rFonts w:cs="Times New Roman"/>
        </w:rPr>
        <w:t xml:space="preserve">emisija </w:t>
      </w:r>
      <w:r w:rsidR="001D0377" w:rsidRPr="00654E3B">
        <w:rPr>
          <w:rFonts w:cs="Times New Roman"/>
        </w:rPr>
        <w:t xml:space="preserve">je još uvijek viša u odnosu na 1990. godinu </w:t>
      </w:r>
      <w:r w:rsidRPr="00654E3B">
        <w:rPr>
          <w:rFonts w:cs="Times New Roman"/>
        </w:rPr>
        <w:t>za 51,4</w:t>
      </w:r>
      <w:r w:rsidR="00060992" w:rsidRPr="00654E3B">
        <w:rPr>
          <w:rFonts w:cs="Times New Roman"/>
        </w:rPr>
        <w:t xml:space="preserve"> %</w:t>
      </w:r>
      <w:r w:rsidRPr="00654E3B">
        <w:rPr>
          <w:rFonts w:cs="Times New Roman"/>
        </w:rPr>
        <w:t>, odnosno 44</w:t>
      </w:r>
      <w:r w:rsidR="00060992" w:rsidRPr="00654E3B">
        <w:rPr>
          <w:rFonts w:cs="Times New Roman"/>
        </w:rPr>
        <w:t xml:space="preserve"> %</w:t>
      </w:r>
      <w:r w:rsidRPr="00654E3B">
        <w:rPr>
          <w:rFonts w:cs="Times New Roman"/>
        </w:rPr>
        <w:t xml:space="preserve"> u 2030. godini</w:t>
      </w:r>
      <w:r w:rsidR="001D0377" w:rsidRPr="00654E3B">
        <w:rPr>
          <w:rFonts w:cs="Times New Roman"/>
        </w:rPr>
        <w:t xml:space="preserve">, jer </w:t>
      </w:r>
      <w:r w:rsidR="001D4792" w:rsidRPr="00654E3B">
        <w:rPr>
          <w:rFonts w:cs="Times New Roman"/>
        </w:rPr>
        <w:t>promet bilježi</w:t>
      </w:r>
      <w:r w:rsidR="001D0377" w:rsidRPr="00654E3B">
        <w:rPr>
          <w:rFonts w:cs="Times New Roman"/>
        </w:rPr>
        <w:t xml:space="preserve"> porast </w:t>
      </w:r>
      <w:r w:rsidR="001D4792" w:rsidRPr="00654E3B">
        <w:rPr>
          <w:rFonts w:cs="Times New Roman"/>
        </w:rPr>
        <w:t xml:space="preserve">emisija </w:t>
      </w:r>
      <w:r w:rsidR="001D0377" w:rsidRPr="00654E3B">
        <w:rPr>
          <w:rFonts w:cs="Times New Roman"/>
        </w:rPr>
        <w:t>do 2018.</w:t>
      </w:r>
      <w:r w:rsidR="001D4792" w:rsidRPr="00654E3B">
        <w:rPr>
          <w:rFonts w:cs="Times New Roman"/>
        </w:rPr>
        <w:t xml:space="preserve"> godine. </w:t>
      </w:r>
      <w:r w:rsidRPr="00654E3B">
        <w:rPr>
          <w:rFonts w:cs="Times New Roman"/>
        </w:rPr>
        <w:t>Smanjenje emisije</w:t>
      </w:r>
      <w:r w:rsidR="001D4792" w:rsidRPr="00654E3B">
        <w:rPr>
          <w:rFonts w:cs="Times New Roman"/>
        </w:rPr>
        <w:t xml:space="preserve"> u odnosu na razinu iz 1990. godine</w:t>
      </w:r>
      <w:r w:rsidRPr="00654E3B">
        <w:rPr>
          <w:rFonts w:cs="Times New Roman"/>
        </w:rPr>
        <w:t xml:space="preserve"> očekuje se tek iza 2040. godine. U 2050. godini smanjenje u NU1 scenariju iznositi će 28,3</w:t>
      </w:r>
      <w:r w:rsidR="00060992" w:rsidRPr="00654E3B">
        <w:rPr>
          <w:rFonts w:cs="Times New Roman"/>
        </w:rPr>
        <w:t xml:space="preserve"> %</w:t>
      </w:r>
      <w:r w:rsidRPr="00654E3B">
        <w:rPr>
          <w:rFonts w:cs="Times New Roman"/>
        </w:rPr>
        <w:t>, a u NU2 scenariju 55,4</w:t>
      </w:r>
      <w:r w:rsidR="00060992" w:rsidRPr="00654E3B">
        <w:rPr>
          <w:rFonts w:cs="Times New Roman"/>
        </w:rPr>
        <w:t xml:space="preserve"> %</w:t>
      </w:r>
      <w:r w:rsidRPr="00654E3B">
        <w:rPr>
          <w:rFonts w:cs="Times New Roman"/>
        </w:rPr>
        <w:t>.</w:t>
      </w:r>
    </w:p>
    <w:p w:rsidR="007D4A93" w:rsidRPr="00654E3B" w:rsidRDefault="00EF0BEB" w:rsidP="009F6651">
      <w:pPr>
        <w:pStyle w:val="Heading3"/>
      </w:pPr>
      <w:bookmarkStart w:id="238" w:name="_Toc69297753"/>
      <w:r w:rsidRPr="00654E3B">
        <w:t>6.3.2.</w:t>
      </w:r>
      <w:r w:rsidRPr="00654E3B">
        <w:tab/>
        <w:t>Politike i mjere za niskougljični razvoj</w:t>
      </w:r>
      <w:bookmarkEnd w:id="238"/>
    </w:p>
    <w:p w:rsidR="007D4A93" w:rsidRPr="00654E3B" w:rsidRDefault="007D4A93">
      <w:pPr>
        <w:rPr>
          <w:rFonts w:cs="Times New Roman"/>
        </w:rPr>
      </w:pPr>
    </w:p>
    <w:p w:rsidR="007D4A93" w:rsidRPr="00654E3B" w:rsidRDefault="00EF0BEB">
      <w:pPr>
        <w:rPr>
          <w:rFonts w:cs="Times New Roman"/>
        </w:rPr>
      </w:pPr>
      <w:r w:rsidRPr="00654E3B">
        <w:rPr>
          <w:rFonts w:cs="Times New Roman"/>
        </w:rPr>
        <w:t>Temeljne mjere u prometu uključuju:</w:t>
      </w:r>
    </w:p>
    <w:p w:rsidR="007D4A93" w:rsidRPr="00654E3B" w:rsidRDefault="00EF0BEB" w:rsidP="000C6795">
      <w:pPr>
        <w:pStyle w:val="ListParagraph"/>
        <w:numPr>
          <w:ilvl w:val="0"/>
          <w:numId w:val="34"/>
        </w:numPr>
        <w:rPr>
          <w:rFonts w:cs="Times New Roman"/>
          <w:szCs w:val="24"/>
        </w:rPr>
      </w:pPr>
      <w:r w:rsidRPr="00654E3B">
        <w:rPr>
          <w:rFonts w:cs="Times New Roman"/>
          <w:szCs w:val="24"/>
        </w:rPr>
        <w:t>primjenu goriva niske emisije CO</w:t>
      </w:r>
      <w:r w:rsidRPr="00654E3B">
        <w:rPr>
          <w:rFonts w:cs="Times New Roman"/>
          <w:szCs w:val="24"/>
          <w:vertAlign w:val="subscript"/>
        </w:rPr>
        <w:t>2</w:t>
      </w:r>
      <w:r w:rsidRPr="00654E3B">
        <w:rPr>
          <w:rFonts w:cs="Times New Roman"/>
          <w:szCs w:val="24"/>
        </w:rPr>
        <w:t xml:space="preserve"> što uključuje korištenje električnih i hibridnih vozila, vozila koja koriste prirodni plin i bioplin, ukapljeni naftni plin, vozila koja koriste vodik te korištenje biogoriva</w:t>
      </w:r>
      <w:r w:rsidR="002D69C4" w:rsidRPr="00654E3B">
        <w:rPr>
          <w:rFonts w:cs="Times New Roman"/>
          <w:szCs w:val="24"/>
        </w:rPr>
        <w:t>,</w:t>
      </w:r>
    </w:p>
    <w:p w:rsidR="007D4A93" w:rsidRPr="00654E3B" w:rsidRDefault="00EF0BEB" w:rsidP="000C6795">
      <w:pPr>
        <w:pStyle w:val="ListParagraph"/>
        <w:numPr>
          <w:ilvl w:val="0"/>
          <w:numId w:val="34"/>
        </w:numPr>
        <w:rPr>
          <w:rFonts w:cs="Times New Roman"/>
          <w:szCs w:val="24"/>
        </w:rPr>
      </w:pPr>
      <w:r w:rsidRPr="00654E3B">
        <w:rPr>
          <w:rFonts w:cs="Times New Roman"/>
          <w:szCs w:val="24"/>
        </w:rPr>
        <w:t>optimizaciju i povećanje učinkovitosti prijevoznih sredstava</w:t>
      </w:r>
      <w:r w:rsidR="002D69C4" w:rsidRPr="00654E3B">
        <w:rPr>
          <w:rFonts w:cs="Times New Roman"/>
          <w:szCs w:val="24"/>
        </w:rPr>
        <w:t>,</w:t>
      </w:r>
    </w:p>
    <w:p w:rsidR="007D4A93" w:rsidRPr="00654E3B" w:rsidRDefault="00EF0BEB" w:rsidP="000C6795">
      <w:pPr>
        <w:pStyle w:val="ListParagraph"/>
        <w:numPr>
          <w:ilvl w:val="0"/>
          <w:numId w:val="34"/>
        </w:numPr>
        <w:rPr>
          <w:rFonts w:cs="Times New Roman"/>
          <w:szCs w:val="24"/>
        </w:rPr>
      </w:pPr>
      <w:r w:rsidRPr="00654E3B">
        <w:rPr>
          <w:rFonts w:cs="Times New Roman"/>
          <w:szCs w:val="24"/>
        </w:rPr>
        <w:t>destimulaciju potrošnje dizel goriva i uvoza starih dizel vozila</w:t>
      </w:r>
      <w:r w:rsidR="002D69C4" w:rsidRPr="00654E3B">
        <w:rPr>
          <w:rFonts w:cs="Times New Roman"/>
          <w:szCs w:val="24"/>
        </w:rPr>
        <w:t>,</w:t>
      </w:r>
    </w:p>
    <w:p w:rsidR="007D4A93" w:rsidRPr="00654E3B" w:rsidRDefault="00EF0BEB" w:rsidP="000C6795">
      <w:pPr>
        <w:pStyle w:val="ListParagraph"/>
        <w:numPr>
          <w:ilvl w:val="0"/>
          <w:numId w:val="34"/>
        </w:numPr>
        <w:rPr>
          <w:rFonts w:cs="Times New Roman"/>
          <w:b/>
          <w:szCs w:val="24"/>
        </w:rPr>
      </w:pPr>
      <w:r w:rsidRPr="00654E3B">
        <w:rPr>
          <w:rFonts w:cs="Times New Roman"/>
          <w:color w:val="000000"/>
          <w:szCs w:val="24"/>
        </w:rPr>
        <w:t>promicanje</w:t>
      </w:r>
      <w:r w:rsidRPr="00654E3B">
        <w:rPr>
          <w:rFonts w:cs="Times New Roman"/>
        </w:rPr>
        <w:t xml:space="preserve"> održivog </w:t>
      </w:r>
      <w:r w:rsidRPr="00654E3B">
        <w:rPr>
          <w:rFonts w:cs="Times New Roman"/>
          <w:color w:val="000000"/>
          <w:szCs w:val="24"/>
        </w:rPr>
        <w:t>integriranog putničkog i teretnog prometa</w:t>
      </w:r>
      <w:r w:rsidR="002D69C4" w:rsidRPr="00654E3B">
        <w:rPr>
          <w:rFonts w:cs="Times New Roman"/>
          <w:color w:val="000000"/>
          <w:szCs w:val="24"/>
        </w:rPr>
        <w:t>,</w:t>
      </w:r>
    </w:p>
    <w:p w:rsidR="007D4A93" w:rsidRPr="00654E3B" w:rsidRDefault="00EF0BEB" w:rsidP="000C6795">
      <w:pPr>
        <w:pStyle w:val="ListParagraph"/>
        <w:numPr>
          <w:ilvl w:val="0"/>
          <w:numId w:val="34"/>
        </w:numPr>
        <w:rPr>
          <w:rFonts w:cs="Times New Roman"/>
          <w:b/>
          <w:szCs w:val="24"/>
        </w:rPr>
      </w:pPr>
      <w:r w:rsidRPr="00654E3B">
        <w:rPr>
          <w:rFonts w:cs="Times New Roman"/>
          <w:color w:val="000000"/>
          <w:szCs w:val="24"/>
        </w:rPr>
        <w:t>lokalizaciju proizvodnje i potrošnje s ciljem smanjenja teretnog prometa.</w:t>
      </w:r>
    </w:p>
    <w:p w:rsidR="007D4A93" w:rsidRPr="00654E3B" w:rsidRDefault="00EF0BEB">
      <w:pPr>
        <w:rPr>
          <w:rFonts w:cs="Times New Roman"/>
          <w:b/>
        </w:rPr>
      </w:pPr>
      <w:r w:rsidRPr="00654E3B">
        <w:rPr>
          <w:rFonts w:cs="Times New Roman"/>
          <w:b/>
        </w:rPr>
        <w:t xml:space="preserve">Alternativna goriva. </w:t>
      </w:r>
      <w:r w:rsidRPr="00654E3B">
        <w:rPr>
          <w:rFonts w:cs="Times New Roman"/>
        </w:rPr>
        <w:t>Korištenje alternativnih goriva</w:t>
      </w:r>
      <w:r w:rsidR="00612665" w:rsidRPr="00654E3B">
        <w:rPr>
          <w:rFonts w:cs="Times New Roman"/>
        </w:rPr>
        <w:t xml:space="preserve"> u prometu</w:t>
      </w:r>
      <w:r w:rsidRPr="00654E3B">
        <w:rPr>
          <w:rFonts w:cs="Times New Roman"/>
        </w:rPr>
        <w:t>, kao što su električna energija, ukapljeni prirodni plin (UPP), stlačeni prirodni plin (SPP), ukapljeni naftni plin (UNP), biogoriva, vodik, sintetski plin dobiven kemijskim recikliranjem otpada. Preduvjet za primjenu mjere je razvoj infrastrukture za alternativna goriva te poticanje zamjene ili nabave novih vozila.</w:t>
      </w:r>
    </w:p>
    <w:p w:rsidR="007D4A93" w:rsidRPr="00654E3B" w:rsidRDefault="00EF0BEB">
      <w:pPr>
        <w:rPr>
          <w:rFonts w:cs="Times New Roman"/>
        </w:rPr>
      </w:pPr>
      <w:r w:rsidRPr="00654E3B">
        <w:rPr>
          <w:rFonts w:cs="Times New Roman"/>
          <w:b/>
        </w:rPr>
        <w:t>Elektrifikacija osobnih vozila.</w:t>
      </w:r>
      <w:r w:rsidRPr="00654E3B">
        <w:rPr>
          <w:rFonts w:cs="Times New Roman"/>
        </w:rPr>
        <w:t xml:space="preserve"> Za snažno smanjenje emisija u sektoru prometa do 2050. godine biti će jako važan razvoj vozila koja koriste električnu energiju (uključujući i hibridna vozila). Za učinkovito ukupno smanjenje emisija</w:t>
      </w:r>
      <w:r w:rsidR="00630D2B" w:rsidRPr="00654E3B">
        <w:rPr>
          <w:rFonts w:cs="Times New Roman"/>
        </w:rPr>
        <w:t>,</w:t>
      </w:r>
      <w:r w:rsidRPr="00654E3B">
        <w:rPr>
          <w:rFonts w:cs="Times New Roman"/>
        </w:rPr>
        <w:t xml:space="preserve"> važno je ovu mjeru poduprijeti s mjerama za smanjenje emisija u proizvodnji električne energije, odnosno primjenom OIE. </w:t>
      </w:r>
    </w:p>
    <w:p w:rsidR="007D4A93" w:rsidRPr="00654E3B" w:rsidRDefault="00EF0BEB">
      <w:pPr>
        <w:rPr>
          <w:rFonts w:cs="Times New Roman"/>
        </w:rPr>
      </w:pPr>
      <w:r w:rsidRPr="00654E3B">
        <w:rPr>
          <w:rFonts w:cs="Times New Roman"/>
        </w:rPr>
        <w:t>U sektoru elektrifikacije prometnih sustava, u razvoju infrastrukture, ali i vozila ili komponenata za vozila, nalazi se prilika za inovacije i domaću industriju.</w:t>
      </w:r>
    </w:p>
    <w:p w:rsidR="007D4A93" w:rsidRPr="00654E3B" w:rsidRDefault="00EF0BEB">
      <w:pPr>
        <w:rPr>
          <w:rFonts w:cs="Times New Roman"/>
        </w:rPr>
      </w:pPr>
      <w:r w:rsidRPr="00654E3B">
        <w:rPr>
          <w:rFonts w:cs="Times New Roman"/>
          <w:b/>
        </w:rPr>
        <w:t>Prirodni plin, sintetski plin i bioplin</w:t>
      </w:r>
      <w:r w:rsidRPr="00654E3B">
        <w:rPr>
          <w:rFonts w:cs="Times New Roman"/>
        </w:rPr>
        <w:t>. Porast korištenja prirodnog plina, sintetskog plina i bioplina u autobusima, lakim i teškim teretnim vozilima, željezničkom te u pomorskom prometu. Usporedno s razvojem eko-brodarstva potrebno je razviti objekte za preuzimanje goriva za brodove na plin i eko-brodove kao što su punionice i postrojenja za ukapljeni prirodni plin, stlačeni prirodni plin, ukapljeni naftni plin, vodik i sintetski plin.</w:t>
      </w:r>
    </w:p>
    <w:p w:rsidR="007D4A93" w:rsidRPr="00654E3B" w:rsidRDefault="00EF0BEB">
      <w:pPr>
        <w:rPr>
          <w:rFonts w:cs="Times New Roman"/>
        </w:rPr>
      </w:pPr>
      <w:r w:rsidRPr="00654E3B">
        <w:rPr>
          <w:rFonts w:cs="Times New Roman"/>
          <w:b/>
        </w:rPr>
        <w:t>Vodik.</w:t>
      </w:r>
      <w:r w:rsidRPr="00654E3B">
        <w:rPr>
          <w:rFonts w:cs="Times New Roman"/>
        </w:rPr>
        <w:t xml:space="preserve"> Potencijal vodika kao goriva je značajan. Potrebna su značajna ulaganja u distribucijsku mrežu za vodik, koja je identificirana kao jedno od ključnih sredstava prema širem usvajanju vodika kao goriva za promet, dok se dostupnost ugljikovodika ne smatra preprekom. Korištenje vodika u vozilima ne zahtjeva posebne prilagodbe u pogledu navika putovanja i punjenja vozila. Iako već danas postoje </w:t>
      </w:r>
      <w:r w:rsidRPr="00654E3B">
        <w:rPr>
          <w:rFonts w:cs="Times New Roman"/>
        </w:rPr>
        <w:lastRenderedPageBreak/>
        <w:t>razvijene tehnologije za proizvodnju vodika, potrebni su znatni napori da bi se uspostavila infrastruktura za punjenje vozila vodikom. Prednost vodika je što je zbog visoke energetske vrijednosti pogodan za korištenje u teretnim vozilima i za pogon brodova. Njegovo široko korištenje potpomaže u integraciji obnovljivih izvora energije jer se viškovi električne energije iz obnovljivih izvora mogu skladištiti tako da se proizvodi vodik.</w:t>
      </w:r>
    </w:p>
    <w:p w:rsidR="007D4A93" w:rsidRPr="00654E3B" w:rsidRDefault="00EF0BEB">
      <w:pPr>
        <w:rPr>
          <w:rFonts w:cs="Times New Roman"/>
        </w:rPr>
      </w:pPr>
      <w:r w:rsidRPr="00654E3B">
        <w:rPr>
          <w:rFonts w:cs="Times New Roman"/>
          <w:b/>
        </w:rPr>
        <w:t>Korištenje biogoriva</w:t>
      </w:r>
      <w:r w:rsidRPr="00654E3B">
        <w:rPr>
          <w:rFonts w:cs="Times New Roman"/>
        </w:rPr>
        <w:t xml:space="preserve"> mora se u budućnosti ograničiti na napredna biogoriva koja su proizvedena na način da se ne ugrožava poljoprivredna proizvodnja u skladu s kriterijima održivosti. Razvoj biogoriva ovisiti će o kriterijima održivosti te inovacijama i rješenjima za napredna biogoriva, kao i o sustavu poticaja.</w:t>
      </w:r>
    </w:p>
    <w:p w:rsidR="007D4A93" w:rsidRPr="00654E3B" w:rsidRDefault="00EF0BEB">
      <w:pPr>
        <w:rPr>
          <w:rFonts w:cs="Times New Roman"/>
        </w:rPr>
      </w:pPr>
      <w:r w:rsidRPr="00654E3B">
        <w:rPr>
          <w:rFonts w:cs="Times New Roman"/>
          <w:b/>
        </w:rPr>
        <w:t xml:space="preserve">Promicanje održivog integriranog prometa. </w:t>
      </w:r>
      <w:r w:rsidRPr="00654E3B">
        <w:rPr>
          <w:rFonts w:cs="Times New Roman"/>
        </w:rPr>
        <w:t>Uspješnim promicanjem održivog integriranog gradskog i međugradskog prometa s naglaskom na razvoj željeznice za prijevoz putnika i tereta uslijedit će prebacivanje prijevoza tereta i putnika s ceste na željeznicu i unutarnje plovne putove.</w:t>
      </w:r>
    </w:p>
    <w:p w:rsidR="007D4A93" w:rsidRPr="00654E3B" w:rsidRDefault="00EF0BEB">
      <w:pPr>
        <w:rPr>
          <w:rFonts w:cs="Times New Roman"/>
        </w:rPr>
      </w:pPr>
      <w:r w:rsidRPr="00654E3B">
        <w:rPr>
          <w:rFonts w:cs="Times New Roman"/>
          <w:b/>
        </w:rPr>
        <w:t xml:space="preserve">Ekonomična potrošnja goriva. </w:t>
      </w:r>
      <w:r w:rsidRPr="00654E3B">
        <w:rPr>
          <w:rFonts w:cs="Times New Roman"/>
        </w:rPr>
        <w:t>Unaprjeđenje učinkovitosti vozila prilikom obnove voznog parka biti će prvi faktor za smanjenje jediničnih emisija stakleničkih plinova na temelju postojeće politike i mjere EU. Najznačajnija mjera je obveza smanjenja prosječnih emisija za sva nova osobna vozila ispod 95 g CO</w:t>
      </w:r>
      <w:r w:rsidRPr="00654E3B">
        <w:rPr>
          <w:rFonts w:cs="Times New Roman"/>
          <w:vertAlign w:val="subscript"/>
        </w:rPr>
        <w:t>2</w:t>
      </w:r>
      <w:r w:rsidRPr="00654E3B">
        <w:rPr>
          <w:rFonts w:cs="Times New Roman"/>
        </w:rPr>
        <w:t>/km od 2021. godine.</w:t>
      </w:r>
    </w:p>
    <w:p w:rsidR="007D4A93" w:rsidRPr="00654E3B" w:rsidRDefault="00EF0BEB">
      <w:pPr>
        <w:rPr>
          <w:rFonts w:eastAsia="Times New Roman" w:cs="Times New Roman"/>
          <w:lang w:eastAsia="hr-HR"/>
        </w:rPr>
      </w:pPr>
      <w:r w:rsidRPr="00654E3B">
        <w:rPr>
          <w:rFonts w:cs="Times New Roman"/>
          <w:b/>
        </w:rPr>
        <w:t xml:space="preserve">Održivi prometni sustavi u gradovima. </w:t>
      </w:r>
      <w:r w:rsidRPr="00654E3B">
        <w:rPr>
          <w:rFonts w:cs="Times New Roman"/>
        </w:rPr>
        <w:t xml:space="preserve">Prioritetno niskougljični javni gradski prijevoz, uže središte gradova bez prometa, razvijen biciklistički promet, energetski učinkovitija goriva i nove tehnologije, znatno će smanjiti utrošak energije i emisije stakleničkih plinova. Sve više vozila u gradskom prijevozu biti će autonomna vozila uz napredno punjenje i korištenje baterija. </w:t>
      </w:r>
      <w:r w:rsidRPr="00654E3B">
        <w:rPr>
          <w:rFonts w:eastAsia="Times New Roman" w:cs="Times New Roman"/>
          <w:lang w:eastAsia="hr-HR"/>
        </w:rPr>
        <w:t>Razvoj inteligentnih i integriranih urbanih prometnih sustava podrazumijeva optimiranje gradske logistike prijevoza tereta, inteligentno upravljanje prometom i javnim parkirnim površinama, uvođenje sustava dijeljenja automobila te promicanje, razvoj i optimiranje javnog gradskog prijevoza putnika.</w:t>
      </w:r>
    </w:p>
    <w:p w:rsidR="007D4A93" w:rsidRPr="00654E3B" w:rsidRDefault="00EF0BEB">
      <w:pPr>
        <w:rPr>
          <w:rFonts w:cs="Times New Roman"/>
        </w:rPr>
      </w:pPr>
      <w:r w:rsidRPr="00654E3B">
        <w:rPr>
          <w:rFonts w:cs="Times New Roman"/>
          <w:b/>
          <w:bCs/>
        </w:rPr>
        <w:t>Smanjenje emisije u teretnom prijevozu.</w:t>
      </w:r>
      <w:r w:rsidRPr="00654E3B">
        <w:rPr>
          <w:rFonts w:cs="Times New Roman"/>
        </w:rPr>
        <w:t xml:space="preserve"> Očekuje se da će se prijevoz tereta povećati, u međugradskom i gradskom prometu. Vrlo važna mjera treba biti povećanje korištenja željezničkog prijevoza, općenito sustav transporta treba biti bolje optimiran, primjenom ICT rješenja i korištenjem autonomnih vozila gdje to moguće. Za teretna cestovna vozila pogodna su goriva proizvedena uz pomoć električne energije iz obnovljivih izvora energije, </w:t>
      </w:r>
      <w:r w:rsidR="00C64641" w:rsidRPr="00654E3B">
        <w:rPr>
          <w:rFonts w:cs="Times New Roman"/>
        </w:rPr>
        <w:t xml:space="preserve">a </w:t>
      </w:r>
      <w:r w:rsidRPr="00654E3B">
        <w:rPr>
          <w:rFonts w:cs="Times New Roman"/>
        </w:rPr>
        <w:t xml:space="preserve">najperspektivnije gorivo je vodik (korištenje u gorivim ćelijama), sintetski metan i sintetsko tekuće </w:t>
      </w:r>
      <w:r w:rsidR="00C64641" w:rsidRPr="00654E3B">
        <w:rPr>
          <w:rFonts w:cs="Times New Roman"/>
        </w:rPr>
        <w:t>gorivo</w:t>
      </w:r>
      <w:r w:rsidRPr="00654E3B">
        <w:rPr>
          <w:rFonts w:cs="Times New Roman"/>
        </w:rPr>
        <w:t xml:space="preserve">. Manja teretna vozila biti će na hibridni i baterijski pogon. Za brodove u prijelaznom razdoblju </w:t>
      </w:r>
      <w:r w:rsidR="00612665" w:rsidRPr="00654E3B">
        <w:rPr>
          <w:rFonts w:cs="Times New Roman"/>
        </w:rPr>
        <w:t xml:space="preserve">alternativno gorivo je </w:t>
      </w:r>
      <w:r w:rsidRPr="00654E3B">
        <w:rPr>
          <w:rFonts w:cs="Times New Roman"/>
        </w:rPr>
        <w:t>tekući prirodni plin, a potom vodik i sintetska goriva.</w:t>
      </w:r>
    </w:p>
    <w:p w:rsidR="007D4A93" w:rsidRPr="00654E3B" w:rsidRDefault="00EF0BEB" w:rsidP="009F6651">
      <w:pPr>
        <w:pStyle w:val="Heading3"/>
      </w:pPr>
      <w:bookmarkStart w:id="239" w:name="_Toc69297754"/>
      <w:r w:rsidRPr="00654E3B">
        <w:t>6.3.3.</w:t>
      </w:r>
      <w:r w:rsidRPr="00654E3B">
        <w:tab/>
        <w:t>Smjernice za niskougljični razvoj</w:t>
      </w:r>
      <w:bookmarkEnd w:id="239"/>
    </w:p>
    <w:p w:rsidR="007D4A93" w:rsidRPr="00654E3B" w:rsidRDefault="007D4A93">
      <w:pPr>
        <w:rPr>
          <w:rFonts w:cs="Times New Roman"/>
        </w:rPr>
      </w:pPr>
    </w:p>
    <w:p w:rsidR="007D4A93" w:rsidRPr="00654E3B" w:rsidRDefault="00EF0BEB">
      <w:pPr>
        <w:rPr>
          <w:rFonts w:eastAsia="Times New Roman" w:cs="Times New Roman"/>
          <w:u w:val="single"/>
          <w:lang w:eastAsia="hr-HR"/>
        </w:rPr>
      </w:pPr>
      <w:r w:rsidRPr="00654E3B">
        <w:rPr>
          <w:rFonts w:eastAsia="Times New Roman" w:cs="Times New Roman"/>
          <w:u w:val="single"/>
          <w:lang w:eastAsia="hr-HR"/>
        </w:rPr>
        <w:t>Do 2030. godine</w:t>
      </w:r>
    </w:p>
    <w:p w:rsidR="007D4A93" w:rsidRPr="00654E3B" w:rsidRDefault="00EF0BEB" w:rsidP="000C6795">
      <w:pPr>
        <w:pStyle w:val="ListParagraph"/>
        <w:numPr>
          <w:ilvl w:val="0"/>
          <w:numId w:val="51"/>
        </w:numPr>
        <w:spacing w:line="240" w:lineRule="auto"/>
        <w:rPr>
          <w:rFonts w:eastAsia="Times New Roman" w:cs="Times New Roman"/>
          <w:lang w:eastAsia="hr-HR"/>
        </w:rPr>
      </w:pPr>
      <w:r w:rsidRPr="00654E3B">
        <w:rPr>
          <w:rFonts w:eastAsia="Times New Roman" w:cs="Times New Roman"/>
          <w:lang w:eastAsia="hr-HR"/>
        </w:rPr>
        <w:t>U sektoru prometa treba ojačati kapacitete za planiranje održive mobilnosti i integralno planiranje mobilnosti u gradovima.</w:t>
      </w:r>
    </w:p>
    <w:p w:rsidR="007D4A93" w:rsidRPr="00654E3B" w:rsidRDefault="00EF0BEB" w:rsidP="000C6795">
      <w:pPr>
        <w:pStyle w:val="ListParagraph"/>
        <w:numPr>
          <w:ilvl w:val="0"/>
          <w:numId w:val="51"/>
        </w:numPr>
        <w:rPr>
          <w:rFonts w:cs="Times New Roman"/>
          <w:lang w:eastAsia="hr-HR"/>
        </w:rPr>
      </w:pPr>
      <w:r w:rsidRPr="00654E3B">
        <w:rPr>
          <w:rFonts w:cs="Times New Roman"/>
          <w:lang w:eastAsia="hr-HR"/>
        </w:rPr>
        <w:t>Potrebno je poticati razvoj integriranog prometa. Potrebno je poticati željeznički promet kako bi postao konkurentan drugim vidovima prometa. Jedan od preduvjeta za ostvarenje je unaprijediti infrastrukturu:</w:t>
      </w:r>
    </w:p>
    <w:p w:rsidR="007D4A93" w:rsidRPr="00654E3B" w:rsidRDefault="00EF0BEB" w:rsidP="000C6795">
      <w:pPr>
        <w:pStyle w:val="ListParagraph"/>
        <w:numPr>
          <w:ilvl w:val="1"/>
          <w:numId w:val="52"/>
        </w:numPr>
        <w:rPr>
          <w:rFonts w:cs="Times New Roman"/>
          <w:lang w:eastAsia="hr-HR"/>
        </w:rPr>
      </w:pPr>
      <w:r w:rsidRPr="00654E3B">
        <w:rPr>
          <w:rFonts w:cs="Times New Roman"/>
          <w:lang w:eastAsia="hr-HR"/>
        </w:rPr>
        <w:t xml:space="preserve">potrebno je unaprijediti i modernizirati pruge (uključujući </w:t>
      </w:r>
      <w:r w:rsidR="00C64641" w:rsidRPr="00654E3B">
        <w:rPr>
          <w:rFonts w:cs="Times New Roman"/>
          <w:lang w:eastAsia="hr-HR"/>
        </w:rPr>
        <w:t>elektrifikaciju</w:t>
      </w:r>
      <w:r w:rsidRPr="00654E3B">
        <w:rPr>
          <w:rFonts w:cs="Times New Roman"/>
          <w:lang w:eastAsia="hr-HR"/>
        </w:rPr>
        <w:t>), sustave signalizacije i kontrole kako bi se omogućile veće brzine prometovanja</w:t>
      </w:r>
      <w:r w:rsidR="00C64641" w:rsidRPr="00654E3B">
        <w:rPr>
          <w:rFonts w:cs="Times New Roman"/>
          <w:lang w:eastAsia="hr-HR"/>
        </w:rPr>
        <w:t>;</w:t>
      </w:r>
    </w:p>
    <w:p w:rsidR="007D4A93" w:rsidRPr="00654E3B" w:rsidRDefault="00EF0BEB" w:rsidP="000C6795">
      <w:pPr>
        <w:pStyle w:val="ListParagraph"/>
        <w:numPr>
          <w:ilvl w:val="1"/>
          <w:numId w:val="52"/>
        </w:numPr>
        <w:rPr>
          <w:rFonts w:cs="Times New Roman"/>
          <w:lang w:eastAsia="hr-HR"/>
        </w:rPr>
      </w:pPr>
      <w:r w:rsidRPr="00654E3B">
        <w:rPr>
          <w:rFonts w:cs="Times New Roman"/>
          <w:lang w:eastAsia="hr-HR"/>
        </w:rPr>
        <w:t>potrebno je ulagati u obnovu fonda lokomotiva i vagona</w:t>
      </w:r>
      <w:r w:rsidR="00C64641" w:rsidRPr="00654E3B">
        <w:rPr>
          <w:rFonts w:cs="Times New Roman"/>
          <w:lang w:eastAsia="hr-HR"/>
        </w:rPr>
        <w:t>;</w:t>
      </w:r>
    </w:p>
    <w:p w:rsidR="007D4A93" w:rsidRPr="00654E3B" w:rsidRDefault="00EF0BEB" w:rsidP="000C6795">
      <w:pPr>
        <w:pStyle w:val="ListParagraph"/>
        <w:numPr>
          <w:ilvl w:val="1"/>
          <w:numId w:val="52"/>
        </w:numPr>
        <w:rPr>
          <w:rFonts w:cs="Times New Roman"/>
          <w:lang w:eastAsia="hr-HR"/>
        </w:rPr>
      </w:pPr>
      <w:r w:rsidRPr="00654E3B">
        <w:rPr>
          <w:rFonts w:cs="Times New Roman"/>
          <w:lang w:eastAsia="hr-HR"/>
        </w:rPr>
        <w:t>potrebno je razviti mrežu logističkih intermodalnih platformi, s time da se te platforme trebaju izgraditi u lukama i u glavnim potrošačkim središtima. Isto je potrebno i zbog uključivanja ishodišta opskrbnih lanaca u hrvatske luke koje konkuriraju drugim lukama na ovom području</w:t>
      </w:r>
      <w:r w:rsidR="00C64641" w:rsidRPr="00654E3B">
        <w:rPr>
          <w:rFonts w:cs="Times New Roman"/>
          <w:lang w:eastAsia="hr-HR"/>
        </w:rPr>
        <w:t>;</w:t>
      </w:r>
    </w:p>
    <w:p w:rsidR="007D4A93" w:rsidRPr="00654E3B" w:rsidRDefault="00EF0BEB" w:rsidP="000C6795">
      <w:pPr>
        <w:pStyle w:val="ListParagraph"/>
        <w:numPr>
          <w:ilvl w:val="1"/>
          <w:numId w:val="52"/>
        </w:numPr>
        <w:rPr>
          <w:rFonts w:cs="Times New Roman"/>
          <w:lang w:eastAsia="hr-HR"/>
        </w:rPr>
      </w:pPr>
      <w:r w:rsidRPr="00654E3B">
        <w:rPr>
          <w:rFonts w:cs="Times New Roman"/>
          <w:lang w:eastAsia="hr-HR"/>
        </w:rPr>
        <w:t>potrebno je povezivati javne gradske i međugradske prometne sustave</w:t>
      </w:r>
      <w:r w:rsidR="00C64641" w:rsidRPr="00654E3B">
        <w:rPr>
          <w:rFonts w:cs="Times New Roman"/>
          <w:lang w:eastAsia="hr-HR"/>
        </w:rPr>
        <w:t>;</w:t>
      </w:r>
    </w:p>
    <w:p w:rsidR="007D4A93" w:rsidRPr="00654E3B" w:rsidRDefault="00EF0BEB" w:rsidP="000C6795">
      <w:pPr>
        <w:pStyle w:val="ListParagraph"/>
        <w:numPr>
          <w:ilvl w:val="0"/>
          <w:numId w:val="50"/>
        </w:numPr>
        <w:rPr>
          <w:rFonts w:eastAsia="MS Mincho" w:cs="Times New Roman"/>
          <w:lang w:eastAsia="ja-JP"/>
        </w:rPr>
      </w:pPr>
      <w:r w:rsidRPr="00654E3B">
        <w:rPr>
          <w:rFonts w:cs="Times New Roman"/>
        </w:rPr>
        <w:lastRenderedPageBreak/>
        <w:t>Potreban je sustavan rad na unaprjeđenju unutarnjih plovnih putova kad je riječ o organizaciji, modernizaciji flote, obrazovanju, izgradnji infrastrukture (vodni putovi i luke), održavanju i sigurnosti plovidbe, kao i poboljšanju suradnje sa susjednim zemljama. Potrebno je ispitati mogućnosti za proširenje unutarnjih plovnih putova</w:t>
      </w:r>
      <w:r w:rsidR="00C64641" w:rsidRPr="00654E3B">
        <w:rPr>
          <w:rFonts w:cs="Times New Roman"/>
        </w:rPr>
        <w:t>;</w:t>
      </w:r>
    </w:p>
    <w:p w:rsidR="007D4A93" w:rsidRPr="00654E3B" w:rsidRDefault="00EF0BEB" w:rsidP="000C6795">
      <w:pPr>
        <w:pStyle w:val="ListParagraph"/>
        <w:numPr>
          <w:ilvl w:val="0"/>
          <w:numId w:val="50"/>
        </w:numPr>
        <w:rPr>
          <w:rFonts w:cs="Times New Roman"/>
        </w:rPr>
      </w:pPr>
      <w:r w:rsidRPr="00654E3B">
        <w:rPr>
          <w:rFonts w:cs="Times New Roman"/>
        </w:rPr>
        <w:t>Potrebno je ulagati u razvoj inteligentnih i integriranih urbanih i javnih prometnih sustava koji uključuju razvoj urbane biciklističke infrastrukture, optimiranje gradske logistike u prijevozu tereta, inteligentno upravljanje javnim prometom i parkirnim površinama te poticanje tehničkih inovacija u urbanom prometu s ciljem smanjenja emisija stakleničkih plinova. Posebno je važno osigurati razvoj infrastrukture i mogućnosti za primjenu alternativnih goriva u javnom prometu</w:t>
      </w:r>
      <w:r w:rsidR="00C64641" w:rsidRPr="00654E3B">
        <w:rPr>
          <w:rFonts w:cs="Times New Roman"/>
        </w:rPr>
        <w:t>;</w:t>
      </w:r>
    </w:p>
    <w:p w:rsidR="007D4A93" w:rsidRPr="00654E3B" w:rsidRDefault="00EF0BEB" w:rsidP="000C6795">
      <w:pPr>
        <w:pStyle w:val="ListParagraph"/>
        <w:numPr>
          <w:ilvl w:val="0"/>
          <w:numId w:val="50"/>
        </w:numPr>
        <w:rPr>
          <w:rFonts w:cs="Times New Roman"/>
        </w:rPr>
      </w:pPr>
      <w:r w:rsidRPr="00654E3B">
        <w:rPr>
          <w:rFonts w:cs="Times New Roman"/>
        </w:rPr>
        <w:t>Ključno je osigurati infrastrukturu za alternativna goriva, s naglaskom na urbana područja kako bi se potaknula primjena alternativnih goriva prvenstveno u javnom gradskom prometu</w:t>
      </w:r>
      <w:r w:rsidR="00C64641" w:rsidRPr="00654E3B">
        <w:rPr>
          <w:rFonts w:cs="Times New Roman"/>
        </w:rPr>
        <w:t>;</w:t>
      </w:r>
    </w:p>
    <w:p w:rsidR="007D4A93" w:rsidRPr="00654E3B" w:rsidRDefault="00EF0BEB" w:rsidP="000C6795">
      <w:pPr>
        <w:pStyle w:val="ListParagraph"/>
        <w:numPr>
          <w:ilvl w:val="0"/>
          <w:numId w:val="50"/>
        </w:numPr>
        <w:rPr>
          <w:rFonts w:cs="Times New Roman"/>
        </w:rPr>
      </w:pPr>
      <w:r w:rsidRPr="00654E3B">
        <w:rPr>
          <w:rFonts w:cs="Times New Roman"/>
        </w:rPr>
        <w:t>Potrebno je nastaviti sustavno provoditi promocije i kampanje s poticanjem transformacije mišljenja i djelovanja stanovnika u smjeru korištenja</w:t>
      </w:r>
      <w:r w:rsidR="008A15FF" w:rsidRPr="00654E3B">
        <w:rPr>
          <w:rFonts w:cs="Times New Roman"/>
        </w:rPr>
        <w:t xml:space="preserve"> vidova</w:t>
      </w:r>
      <w:r w:rsidRPr="00654E3B">
        <w:rPr>
          <w:rFonts w:cs="Times New Roman"/>
        </w:rPr>
        <w:t xml:space="preserve"> prometa kojima se smanjuju emisije stakleničkih plinova.</w:t>
      </w:r>
    </w:p>
    <w:p w:rsidR="007D4A93" w:rsidRPr="00654E3B" w:rsidRDefault="00EF0BEB">
      <w:pPr>
        <w:rPr>
          <w:rFonts w:cs="Times New Roman"/>
          <w:u w:val="single"/>
        </w:rPr>
      </w:pPr>
      <w:r w:rsidRPr="00654E3B">
        <w:rPr>
          <w:rFonts w:cs="Times New Roman"/>
          <w:u w:val="single"/>
        </w:rPr>
        <w:t>Do 2050. godine</w:t>
      </w:r>
    </w:p>
    <w:p w:rsidR="007D4A93" w:rsidRPr="00654E3B" w:rsidRDefault="00EF0BEB" w:rsidP="000C6795">
      <w:pPr>
        <w:pStyle w:val="ListParagraph"/>
        <w:numPr>
          <w:ilvl w:val="0"/>
          <w:numId w:val="49"/>
        </w:numPr>
        <w:rPr>
          <w:rFonts w:cs="Times New Roman"/>
        </w:rPr>
      </w:pPr>
      <w:r w:rsidRPr="00654E3B">
        <w:rPr>
          <w:rFonts w:cs="Times New Roman"/>
        </w:rPr>
        <w:t>Nastaviti aktivnosti ovisno o uspješnosti razvoja do 2030. godine. Ključno će biti daljnje korištenje alternativnih goriva za osobna vozila. Potrebno će biti nastaviti procese razvoja i unaprjeđenja integriranog i željezničkog te riječnog prometa kao vrlo važnog čimbenika za smanjenje emisija i povećanje konkurentnosti gospodarstva</w:t>
      </w:r>
      <w:r w:rsidR="00C64641" w:rsidRPr="00654E3B">
        <w:rPr>
          <w:rFonts w:cs="Times New Roman"/>
        </w:rPr>
        <w:t>;</w:t>
      </w:r>
    </w:p>
    <w:p w:rsidR="007D4A93" w:rsidRPr="00654E3B" w:rsidRDefault="00EF0BEB" w:rsidP="000C6795">
      <w:pPr>
        <w:pStyle w:val="ListParagraph"/>
        <w:numPr>
          <w:ilvl w:val="0"/>
          <w:numId w:val="49"/>
        </w:numPr>
        <w:rPr>
          <w:rFonts w:cs="Times New Roman"/>
        </w:rPr>
      </w:pPr>
      <w:r w:rsidRPr="00654E3B">
        <w:rPr>
          <w:rFonts w:cs="Times New Roman"/>
        </w:rPr>
        <w:t>Biti će veliki značaj informacijske tehnologije za optimiranje prometnih sustava te integriranje s elektroenergetskim sustavom</w:t>
      </w:r>
      <w:r w:rsidR="00C64641" w:rsidRPr="00654E3B">
        <w:rPr>
          <w:rFonts w:cs="Times New Roman"/>
        </w:rPr>
        <w:t>;</w:t>
      </w:r>
    </w:p>
    <w:p w:rsidR="007D4A93" w:rsidRPr="00654E3B" w:rsidRDefault="00EF0BEB" w:rsidP="000C6795">
      <w:pPr>
        <w:pStyle w:val="ListParagraph"/>
        <w:numPr>
          <w:ilvl w:val="0"/>
          <w:numId w:val="49"/>
        </w:numPr>
        <w:rPr>
          <w:rFonts w:cs="Times New Roman"/>
        </w:rPr>
      </w:pPr>
      <w:r w:rsidRPr="00654E3B">
        <w:rPr>
          <w:rFonts w:cs="Times New Roman"/>
        </w:rPr>
        <w:t>Biti će jako važna primjena alternativnih goriva i integriranog gradskog prometa koji uključuje javni gradski promet, inteligentne sustave za prijevoz tereta te razvijenu biciklističku infrastrukturu kako bi se gotovo potpuno eliminirale emisije stakleničkih plinova iz urbanih sredina</w:t>
      </w:r>
      <w:r w:rsidR="00B50AE6" w:rsidRPr="00654E3B">
        <w:rPr>
          <w:rFonts w:cs="Times New Roman"/>
        </w:rPr>
        <w:t>;</w:t>
      </w:r>
    </w:p>
    <w:p w:rsidR="007D4A93" w:rsidRPr="00654E3B" w:rsidRDefault="00EF0BEB" w:rsidP="000C6795">
      <w:pPr>
        <w:pStyle w:val="ListParagraph"/>
        <w:numPr>
          <w:ilvl w:val="0"/>
          <w:numId w:val="49"/>
        </w:numPr>
        <w:rPr>
          <w:rFonts w:cs="Times New Roman"/>
        </w:rPr>
      </w:pPr>
      <w:r w:rsidRPr="00654E3B">
        <w:rPr>
          <w:rFonts w:cs="Times New Roman"/>
        </w:rPr>
        <w:t>Za smanjenje emisija u teškom teretnom prometu bit</w:t>
      </w:r>
      <w:r w:rsidR="00B50AE6" w:rsidRPr="00654E3B">
        <w:rPr>
          <w:rFonts w:cs="Times New Roman"/>
        </w:rPr>
        <w:t>i</w:t>
      </w:r>
      <w:r w:rsidRPr="00654E3B">
        <w:rPr>
          <w:rFonts w:cs="Times New Roman"/>
        </w:rPr>
        <w:t xml:space="preserve"> će potrebna alternativna goriva,  posebice korištenje vodika primjenom gorivih ćelija, te korištenje sintetskih plinskih i tekućih goriva. Sustavi transporta trebaju biti visoko optimirani primjenom ICT rješenja i korištenjem autonomnih vozila gdje je to moguće.</w:t>
      </w:r>
    </w:p>
    <w:p w:rsidR="007D4A93" w:rsidRPr="00654E3B" w:rsidRDefault="00EF0BEB">
      <w:pPr>
        <w:pStyle w:val="Heading2"/>
        <w:rPr>
          <w:rFonts w:ascii="Times New Roman" w:hAnsi="Times New Roman" w:cs="Times New Roman"/>
        </w:rPr>
      </w:pPr>
      <w:bookmarkStart w:id="240" w:name="_Toc20841307"/>
      <w:bookmarkStart w:id="241" w:name="_Toc20841413"/>
      <w:bookmarkStart w:id="242" w:name="_Toc69297755"/>
      <w:r w:rsidRPr="00654E3B">
        <w:rPr>
          <w:rFonts w:ascii="Times New Roman" w:hAnsi="Times New Roman" w:cs="Times New Roman"/>
        </w:rPr>
        <w:t>6.4.</w:t>
      </w:r>
      <w:r w:rsidRPr="00654E3B">
        <w:rPr>
          <w:rFonts w:ascii="Times New Roman" w:hAnsi="Times New Roman" w:cs="Times New Roman"/>
        </w:rPr>
        <w:tab/>
        <w:t>SEKTOR OPĆE POTROŠNJE</w:t>
      </w:r>
      <w:bookmarkEnd w:id="240"/>
      <w:bookmarkEnd w:id="241"/>
      <w:bookmarkEnd w:id="242"/>
    </w:p>
    <w:p w:rsidR="007D4A93" w:rsidRPr="00654E3B" w:rsidRDefault="00EF0BEB" w:rsidP="009F6651">
      <w:pPr>
        <w:pStyle w:val="Heading3"/>
      </w:pPr>
      <w:bookmarkStart w:id="243" w:name="_Toc69297756"/>
      <w:r w:rsidRPr="00654E3B">
        <w:t>6.4.1.</w:t>
      </w:r>
      <w:r w:rsidRPr="00654E3B">
        <w:tab/>
        <w:t>Emisije stakleničkih plinova</w:t>
      </w:r>
      <w:bookmarkEnd w:id="243"/>
    </w:p>
    <w:p w:rsidR="007D4A93" w:rsidRPr="00654E3B" w:rsidRDefault="007D4A93">
      <w:pPr>
        <w:rPr>
          <w:rFonts w:cs="Times New Roman"/>
        </w:rPr>
      </w:pPr>
    </w:p>
    <w:p w:rsidR="007D4A93" w:rsidRPr="00654E3B" w:rsidRDefault="00EF0BEB">
      <w:pPr>
        <w:spacing w:line="240" w:lineRule="auto"/>
        <w:rPr>
          <w:rFonts w:cs="Times New Roman"/>
        </w:rPr>
      </w:pPr>
      <w:bookmarkStart w:id="244" w:name="_Hlk38269071"/>
      <w:bookmarkStart w:id="245" w:name="_Hlk36802382"/>
      <w:r w:rsidRPr="00654E3B">
        <w:rPr>
          <w:rFonts w:cs="Times New Roman"/>
        </w:rPr>
        <w:t>Emisije u sektoru opće potrošnje (kućanstva, usluge i potrošnja energije u poljoprivredi, šumarstvu i ribarstvu)</w:t>
      </w:r>
      <w:r w:rsidR="00B50AE6" w:rsidRPr="00654E3B">
        <w:rPr>
          <w:rFonts w:cs="Times New Roman"/>
        </w:rPr>
        <w:t>,</w:t>
      </w:r>
      <w:r w:rsidRPr="00654E3B">
        <w:rPr>
          <w:rFonts w:cs="Times New Roman"/>
        </w:rPr>
        <w:t xml:space="preserve"> 2018. godine činile su 13,5</w:t>
      </w:r>
      <w:r w:rsidR="00060992" w:rsidRPr="00654E3B">
        <w:rPr>
          <w:rFonts w:cs="Times New Roman"/>
        </w:rPr>
        <w:t xml:space="preserve"> %</w:t>
      </w:r>
      <w:r w:rsidRPr="00654E3B">
        <w:rPr>
          <w:rFonts w:cs="Times New Roman"/>
        </w:rPr>
        <w:t xml:space="preserve"> ukupnih emisija, od čega se 58,1</w:t>
      </w:r>
      <w:r w:rsidR="00060992" w:rsidRPr="00654E3B">
        <w:rPr>
          <w:rFonts w:cs="Times New Roman"/>
        </w:rPr>
        <w:t xml:space="preserve"> %</w:t>
      </w:r>
      <w:r w:rsidRPr="00654E3B">
        <w:rPr>
          <w:rFonts w:cs="Times New Roman"/>
        </w:rPr>
        <w:t xml:space="preserve"> odnosi na kućanstva, 18,7</w:t>
      </w:r>
      <w:r w:rsidR="00060992" w:rsidRPr="00654E3B">
        <w:rPr>
          <w:rFonts w:cs="Times New Roman"/>
        </w:rPr>
        <w:t xml:space="preserve"> %</w:t>
      </w:r>
      <w:r w:rsidRPr="00654E3B">
        <w:rPr>
          <w:rFonts w:cs="Times New Roman"/>
        </w:rPr>
        <w:t xml:space="preserve"> na uslužni sektor te 22,1</w:t>
      </w:r>
      <w:r w:rsidR="00060992" w:rsidRPr="00654E3B">
        <w:rPr>
          <w:rFonts w:cs="Times New Roman"/>
        </w:rPr>
        <w:t xml:space="preserve"> %</w:t>
      </w:r>
      <w:r w:rsidRPr="00654E3B">
        <w:rPr>
          <w:rFonts w:cs="Times New Roman"/>
        </w:rPr>
        <w:t xml:space="preserve"> na emisije od izgaranja goriva u poljoprivredi, šumarstvu i ribarstvu.</w:t>
      </w:r>
      <w:bookmarkEnd w:id="244"/>
      <w:r w:rsidRPr="00654E3B">
        <w:rPr>
          <w:rFonts w:cs="Times New Roman"/>
        </w:rPr>
        <w:t xml:space="preserve"> Unatoč relativno niskom doprinosu ovoga sektora sa stajališta emisija, njegov utjecaj na energetski sustav te potencijal za uštede energije je velik. Potrošnja energije u sektoru opće potrošnje je u 2018. godini iznosila 144 PJ, odnosno 50,3</w:t>
      </w:r>
      <w:r w:rsidR="00060992" w:rsidRPr="00654E3B">
        <w:rPr>
          <w:rFonts w:cs="Times New Roman"/>
        </w:rPr>
        <w:t xml:space="preserve"> %</w:t>
      </w:r>
      <w:r w:rsidRPr="00654E3B">
        <w:rPr>
          <w:rFonts w:cs="Times New Roman"/>
        </w:rPr>
        <w:t xml:space="preserve"> neposredne energetske potrošnje, odnosno 35,3</w:t>
      </w:r>
      <w:r w:rsidR="00060992" w:rsidRPr="00654E3B">
        <w:rPr>
          <w:rFonts w:cs="Times New Roman"/>
        </w:rPr>
        <w:t xml:space="preserve"> %</w:t>
      </w:r>
      <w:r w:rsidRPr="00654E3B">
        <w:rPr>
          <w:rFonts w:cs="Times New Roman"/>
        </w:rPr>
        <w:t xml:space="preserve"> ukupne potrošnje energije u Republici Hrvatskoj</w:t>
      </w:r>
      <w:bookmarkEnd w:id="245"/>
      <w:r w:rsidRPr="00654E3B">
        <w:rPr>
          <w:rFonts w:cs="Times New Roman"/>
        </w:rPr>
        <w:t xml:space="preserve">. </w:t>
      </w:r>
    </w:p>
    <w:p w:rsidR="007D4A93" w:rsidRPr="00654E3B" w:rsidRDefault="00EF0BEB">
      <w:pPr>
        <w:spacing w:line="240" w:lineRule="auto"/>
        <w:rPr>
          <w:rFonts w:cs="Times New Roman"/>
        </w:rPr>
      </w:pPr>
      <w:r w:rsidRPr="00654E3B">
        <w:rPr>
          <w:rFonts w:cs="Times New Roman"/>
        </w:rPr>
        <w:t>U ovom sektoru se u odnosu na 1990. godinu, u niskougljičnim scenarijima NU1 i NU2, postiže smanjenje emisije za 30,2 do 34</w:t>
      </w:r>
      <w:r w:rsidR="00060992" w:rsidRPr="00654E3B">
        <w:rPr>
          <w:rFonts w:cs="Times New Roman"/>
        </w:rPr>
        <w:t xml:space="preserve"> %</w:t>
      </w:r>
      <w:r w:rsidRPr="00654E3B">
        <w:rPr>
          <w:rFonts w:cs="Times New Roman"/>
        </w:rPr>
        <w:t xml:space="preserve"> u 2030. godini te za 55,3 do 73,8</w:t>
      </w:r>
      <w:r w:rsidR="00060992" w:rsidRPr="00654E3B">
        <w:rPr>
          <w:rFonts w:cs="Times New Roman"/>
        </w:rPr>
        <w:t xml:space="preserve"> %</w:t>
      </w:r>
      <w:r w:rsidRPr="00654E3B">
        <w:rPr>
          <w:rFonts w:cs="Times New Roman"/>
        </w:rPr>
        <w:t xml:space="preserve"> u 2050. godini. To je sektor koji je pod najsnažnijom regulacijom u pogledu normi, ali i najsnažnije ovisan o promjena</w:t>
      </w:r>
      <w:r w:rsidR="00B50AE6" w:rsidRPr="00654E3B">
        <w:rPr>
          <w:rFonts w:cs="Times New Roman"/>
        </w:rPr>
        <w:t>ma</w:t>
      </w:r>
      <w:r w:rsidRPr="00654E3B">
        <w:rPr>
          <w:rFonts w:cs="Times New Roman"/>
        </w:rPr>
        <w:t xml:space="preserve"> u načinu ponašanja.</w:t>
      </w:r>
    </w:p>
    <w:p w:rsidR="007D4A93" w:rsidRPr="00654E3B" w:rsidRDefault="00EF0BEB" w:rsidP="009F6651">
      <w:pPr>
        <w:pStyle w:val="Heading3"/>
      </w:pPr>
      <w:bookmarkStart w:id="246" w:name="_Toc69297757"/>
      <w:r w:rsidRPr="00654E3B">
        <w:lastRenderedPageBreak/>
        <w:t>6.4.2. Politike i mjere za niskougljični razvoj</w:t>
      </w:r>
      <w:bookmarkEnd w:id="246"/>
    </w:p>
    <w:p w:rsidR="007D4A93" w:rsidRPr="00654E3B" w:rsidRDefault="007D4A93" w:rsidP="00AB40C9">
      <w:pPr>
        <w:keepNext/>
        <w:rPr>
          <w:rFonts w:cs="Times New Roman"/>
        </w:rPr>
      </w:pPr>
    </w:p>
    <w:p w:rsidR="007D4A93" w:rsidRPr="00654E3B" w:rsidRDefault="00EF0BEB" w:rsidP="00AB40C9">
      <w:pPr>
        <w:keepNext/>
        <w:rPr>
          <w:rFonts w:cs="Times New Roman"/>
        </w:rPr>
      </w:pPr>
      <w:r w:rsidRPr="00654E3B">
        <w:rPr>
          <w:rFonts w:cs="Times New Roman"/>
        </w:rPr>
        <w:t>U sektoru opće potrošnje postoji veliki potencijal za uštedu energije, a time i smanjenje emisija, prvenstveno kroz:</w:t>
      </w:r>
    </w:p>
    <w:p w:rsidR="007D4A93" w:rsidRPr="00654E3B" w:rsidRDefault="00EF0BEB" w:rsidP="000C6795">
      <w:pPr>
        <w:pStyle w:val="ListParagraph"/>
        <w:numPr>
          <w:ilvl w:val="0"/>
          <w:numId w:val="79"/>
        </w:numPr>
        <w:ind w:left="714" w:hanging="357"/>
        <w:rPr>
          <w:rFonts w:cs="Times New Roman"/>
        </w:rPr>
      </w:pPr>
      <w:r w:rsidRPr="00654E3B">
        <w:rPr>
          <w:rFonts w:cs="Times New Roman"/>
        </w:rPr>
        <w:t>dekarbonizaciju nacionalnog fonda zgrada</w:t>
      </w:r>
      <w:r w:rsidR="00B50AE6" w:rsidRPr="00654E3B">
        <w:rPr>
          <w:rFonts w:cs="Times New Roman"/>
        </w:rPr>
        <w:t>,</w:t>
      </w:r>
      <w:r w:rsidRPr="00654E3B">
        <w:rPr>
          <w:rFonts w:cs="Times New Roman"/>
        </w:rPr>
        <w:t xml:space="preserve"> kroz energetsku obnovu stambenih i nestambenih zgrada</w:t>
      </w:r>
      <w:r w:rsidR="00B50AE6" w:rsidRPr="00654E3B">
        <w:rPr>
          <w:rFonts w:cs="Times New Roman"/>
        </w:rPr>
        <w:t>,</w:t>
      </w:r>
      <w:r w:rsidRPr="00654E3B">
        <w:rPr>
          <w:rFonts w:cs="Times New Roman"/>
        </w:rPr>
        <w:t xml:space="preserve"> s usmjeravanjem obnove prema dubinskim obnovama i zgrade gotovo nulte energije  (nZEB)</w:t>
      </w:r>
      <w:r w:rsidR="00B50AE6" w:rsidRPr="00654E3B">
        <w:rPr>
          <w:rFonts w:cs="Times New Roman"/>
        </w:rPr>
        <w:t>,</w:t>
      </w:r>
      <w:r w:rsidRPr="00654E3B">
        <w:rPr>
          <w:rFonts w:cs="Times New Roman"/>
        </w:rPr>
        <w:t xml:space="preserve"> standardu utvrđenom za obnovu</w:t>
      </w:r>
      <w:r w:rsidR="00B50AE6" w:rsidRPr="00654E3B">
        <w:rPr>
          <w:rFonts w:cs="Times New Roman"/>
        </w:rPr>
        <w:t>;</w:t>
      </w:r>
    </w:p>
    <w:p w:rsidR="007D4A93" w:rsidRPr="00654E3B" w:rsidRDefault="00EF0BEB" w:rsidP="000C6795">
      <w:pPr>
        <w:pStyle w:val="ListParagraph"/>
        <w:numPr>
          <w:ilvl w:val="0"/>
          <w:numId w:val="79"/>
        </w:numPr>
        <w:ind w:left="714" w:hanging="357"/>
        <w:rPr>
          <w:rFonts w:cs="Times New Roman"/>
        </w:rPr>
      </w:pPr>
      <w:r w:rsidRPr="00654E3B">
        <w:rPr>
          <w:rFonts w:cs="Times New Roman"/>
        </w:rPr>
        <w:t>zamjenu demoliranog dijela fonda zgradama gotovo nulte energije</w:t>
      </w:r>
      <w:r w:rsidR="00B50AE6" w:rsidRPr="00654E3B">
        <w:rPr>
          <w:rFonts w:cs="Times New Roman"/>
        </w:rPr>
        <w:t>;</w:t>
      </w:r>
    </w:p>
    <w:p w:rsidR="007D4A93" w:rsidRPr="00654E3B" w:rsidRDefault="00EF0BEB" w:rsidP="000C6795">
      <w:pPr>
        <w:pStyle w:val="ListParagraph"/>
        <w:numPr>
          <w:ilvl w:val="0"/>
          <w:numId w:val="79"/>
        </w:numPr>
        <w:ind w:left="714" w:hanging="357"/>
        <w:rPr>
          <w:rFonts w:cs="Times New Roman"/>
        </w:rPr>
      </w:pPr>
      <w:r w:rsidRPr="00654E3B">
        <w:rPr>
          <w:rFonts w:cs="Times New Roman"/>
        </w:rPr>
        <w:t>zamjenu postojećih kućanskih uređaja, uredske opreme i rasvjete visokoučinkovitima.</w:t>
      </w:r>
    </w:p>
    <w:p w:rsidR="007D4A93" w:rsidRPr="00654E3B" w:rsidRDefault="00EF0BEB">
      <w:pPr>
        <w:rPr>
          <w:rFonts w:cs="Times New Roman"/>
        </w:rPr>
      </w:pPr>
      <w:r w:rsidRPr="00654E3B">
        <w:rPr>
          <w:rFonts w:cs="Times New Roman"/>
          <w:b/>
        </w:rPr>
        <w:t>Energetska obnova zgrada</w:t>
      </w:r>
      <w:r w:rsidR="003D4BC1" w:rsidRPr="00654E3B">
        <w:rPr>
          <w:rFonts w:cs="Times New Roman"/>
          <w:b/>
        </w:rPr>
        <w:t xml:space="preserve"> </w:t>
      </w:r>
    </w:p>
    <w:p w:rsidR="00E158B5" w:rsidRPr="00654E3B" w:rsidRDefault="00E158B5" w:rsidP="00E158B5">
      <w:pPr>
        <w:rPr>
          <w:rFonts w:cs="Times New Roman"/>
          <w:lang w:eastAsia="hr-HR"/>
        </w:rPr>
      </w:pPr>
      <w:r w:rsidRPr="00654E3B">
        <w:rPr>
          <w:rFonts w:cs="Times New Roman"/>
          <w:lang w:eastAsia="hr-HR"/>
        </w:rPr>
        <w:t>Postojeće mjere za poticanje obnove zgrada u RH</w:t>
      </w:r>
      <w:r w:rsidR="00B50AE6" w:rsidRPr="00654E3B">
        <w:rPr>
          <w:rFonts w:cs="Times New Roman"/>
          <w:lang w:eastAsia="hr-HR"/>
        </w:rPr>
        <w:t>,</w:t>
      </w:r>
      <w:r w:rsidRPr="00654E3B">
        <w:rPr>
          <w:rFonts w:cs="Times New Roman"/>
          <w:lang w:eastAsia="hr-HR"/>
        </w:rPr>
        <w:t xml:space="preserve"> obuhvaćaju prvenstveno provedbu nacionalnih programa energetske obnove i obuhvaćaju sve namjene zgrada, privatne, javne i komercijalne korisnike, kao i zgrade najlošijih  svojstava na potpomognutim područjima i područjima od posebne državne skrbi. </w:t>
      </w:r>
    </w:p>
    <w:p w:rsidR="00E158B5" w:rsidRPr="00654E3B" w:rsidRDefault="00E158B5" w:rsidP="00E158B5">
      <w:pPr>
        <w:rPr>
          <w:rFonts w:cs="Times New Roman"/>
          <w:lang w:eastAsia="hr-HR"/>
        </w:rPr>
      </w:pPr>
      <w:r w:rsidRPr="00654E3B">
        <w:rPr>
          <w:rFonts w:cs="Times New Roman"/>
          <w:lang w:eastAsia="hr-HR"/>
        </w:rPr>
        <w:t>Strateški cilj postavljen u Dugoročnoj strategiji obnove nacionalnog fonda zgrada do 2050. godine (</w:t>
      </w:r>
      <w:r w:rsidR="001C0429" w:rsidRPr="00654E3B">
        <w:rPr>
          <w:rFonts w:cs="Times New Roman"/>
          <w:lang w:eastAsia="hr-HR"/>
        </w:rPr>
        <w:t>Narodne novine</w:t>
      </w:r>
      <w:r w:rsidR="00430F83" w:rsidRPr="00654E3B">
        <w:rPr>
          <w:rFonts w:cs="Times New Roman"/>
          <w:lang w:eastAsia="hr-HR"/>
        </w:rPr>
        <w:t>,</w:t>
      </w:r>
      <w:r w:rsidRPr="00654E3B">
        <w:rPr>
          <w:rFonts w:cs="Times New Roman"/>
          <w:lang w:eastAsia="hr-HR"/>
        </w:rPr>
        <w:t xml:space="preserve"> br</w:t>
      </w:r>
      <w:r w:rsidR="001C0429" w:rsidRPr="00654E3B">
        <w:rPr>
          <w:rFonts w:cs="Times New Roman"/>
          <w:lang w:eastAsia="hr-HR"/>
        </w:rPr>
        <w:t>oj</w:t>
      </w:r>
      <w:r w:rsidRPr="00654E3B">
        <w:rPr>
          <w:rFonts w:cs="Times New Roman"/>
          <w:lang w:eastAsia="hr-HR"/>
        </w:rPr>
        <w:t xml:space="preserve"> 140/20)</w:t>
      </w:r>
      <w:r w:rsidR="00B50AE6" w:rsidRPr="00654E3B">
        <w:rPr>
          <w:rFonts w:cs="Times New Roman"/>
          <w:lang w:eastAsia="hr-HR"/>
        </w:rPr>
        <w:t>,</w:t>
      </w:r>
      <w:r w:rsidRPr="00654E3B">
        <w:rPr>
          <w:rFonts w:cs="Times New Roman"/>
          <w:lang w:eastAsia="hr-HR"/>
        </w:rPr>
        <w:t xml:space="preserve"> jest transformirati postojeći fond zgrada u visokoučinkovit fond do 2050.godine. To znači stopu obnove podići s trenutnih 0.7 </w:t>
      </w:r>
      <w:r w:rsidR="00060992" w:rsidRPr="00654E3B">
        <w:rPr>
          <w:rFonts w:cs="Times New Roman"/>
          <w:lang w:eastAsia="hr-HR"/>
        </w:rPr>
        <w:t xml:space="preserve"> %</w:t>
      </w:r>
      <w:r w:rsidRPr="00654E3B">
        <w:rPr>
          <w:rFonts w:cs="Times New Roman"/>
          <w:lang w:eastAsia="hr-HR"/>
        </w:rPr>
        <w:t xml:space="preserve"> godišnje (1.350.000 m²) na 3 </w:t>
      </w:r>
      <w:r w:rsidR="00060992" w:rsidRPr="00654E3B">
        <w:rPr>
          <w:rFonts w:cs="Times New Roman"/>
          <w:lang w:eastAsia="hr-HR"/>
        </w:rPr>
        <w:t xml:space="preserve"> %</w:t>
      </w:r>
      <w:r w:rsidRPr="00654E3B">
        <w:rPr>
          <w:rFonts w:cs="Times New Roman"/>
          <w:lang w:eastAsia="hr-HR"/>
        </w:rPr>
        <w:t xml:space="preserve"> 2030. godine, zatim na 3,5 </w:t>
      </w:r>
      <w:r w:rsidR="00060992" w:rsidRPr="00654E3B">
        <w:rPr>
          <w:rFonts w:cs="Times New Roman"/>
          <w:lang w:eastAsia="hr-HR"/>
        </w:rPr>
        <w:t xml:space="preserve"> %</w:t>
      </w:r>
      <w:r w:rsidRPr="00654E3B">
        <w:rPr>
          <w:rFonts w:cs="Times New Roman"/>
          <w:lang w:eastAsia="hr-HR"/>
        </w:rPr>
        <w:t xml:space="preserve"> od 2031. do 2040. godine te na 4 </w:t>
      </w:r>
      <w:r w:rsidR="00060992" w:rsidRPr="00654E3B">
        <w:rPr>
          <w:rFonts w:cs="Times New Roman"/>
          <w:lang w:eastAsia="hr-HR"/>
        </w:rPr>
        <w:t xml:space="preserve"> %</w:t>
      </w:r>
      <w:r w:rsidRPr="00654E3B">
        <w:rPr>
          <w:rFonts w:cs="Times New Roman"/>
          <w:lang w:eastAsia="hr-HR"/>
        </w:rPr>
        <w:t xml:space="preserve"> od 2041. do 2050. godine. Iskazano u površini obnovljenih zgrada, cilj iznosi 30,84 milijuna m² obnovljenih zgrada do 2030., 41,06 milijuna m² od 2030. do 2040. i 32,10 milijuna m² od 2040. do 2050. godine. Dodatni pokazatelji napretka koji će se pratiti kroz registar izdanih energetskih cerifikata zgrada</w:t>
      </w:r>
      <w:r w:rsidR="00B50AE6" w:rsidRPr="00654E3B">
        <w:rPr>
          <w:rFonts w:cs="Times New Roman"/>
          <w:lang w:eastAsia="hr-HR"/>
        </w:rPr>
        <w:t>,</w:t>
      </w:r>
      <w:r w:rsidRPr="00654E3B">
        <w:rPr>
          <w:rFonts w:cs="Times New Roman"/>
          <w:lang w:eastAsia="hr-HR"/>
        </w:rPr>
        <w:t xml:space="preserve"> su povećanje kvalitete vanjske ovojnice, broj i površina nZEB zgrada i rekonstruiranih zgrada na razinu nZEB. Također se prati smanjenje potrošnje energije u zgradama javnog sektora i stambenim zgradama, prosječna potrebna toplinska energija za grijanje/hlađenje u obnovljenoj zgradi javnog sektora, doprinos smanjenju potrošnje energije i doprinos razvoju gospodarstva kroz povećanje broja zaposlenih tijekom obnove.</w:t>
      </w:r>
    </w:p>
    <w:p w:rsidR="00E158B5" w:rsidRPr="00654E3B" w:rsidRDefault="00E158B5" w:rsidP="00E158B5">
      <w:pPr>
        <w:rPr>
          <w:rFonts w:cs="Times New Roman"/>
          <w:lang w:eastAsia="hr-HR"/>
        </w:rPr>
      </w:pPr>
      <w:r w:rsidRPr="00654E3B">
        <w:rPr>
          <w:rFonts w:cs="Times New Roman"/>
          <w:lang w:eastAsia="hr-HR"/>
        </w:rPr>
        <w:t>U sljedećem razdoblju posebno će se poticati dubinska obnova</w:t>
      </w:r>
      <w:r w:rsidR="00052088" w:rsidRPr="00654E3B">
        <w:rPr>
          <w:rFonts w:cs="Times New Roman"/>
          <w:lang w:eastAsia="hr-HR"/>
        </w:rPr>
        <w:t>,</w:t>
      </w:r>
      <w:r w:rsidRPr="00654E3B">
        <w:rPr>
          <w:rFonts w:cs="Times New Roman"/>
          <w:lang w:eastAsia="hr-HR"/>
        </w:rPr>
        <w:t xml:space="preserve"> koja obuhvaća mjere energetske učinkovitosti na ovojnici i tehničkim sustavima te rezultira smanjenjem potrošnje energije za grijanje (QH,nd) i primarne energije (Eprim) na godišnjoj razini [kWh/(m2·a)] od najmanje 50 </w:t>
      </w:r>
      <w:r w:rsidR="00060992" w:rsidRPr="00654E3B">
        <w:rPr>
          <w:rFonts w:cs="Times New Roman"/>
          <w:lang w:eastAsia="hr-HR"/>
        </w:rPr>
        <w:t xml:space="preserve"> %</w:t>
      </w:r>
      <w:r w:rsidRPr="00654E3B">
        <w:rPr>
          <w:rFonts w:cs="Times New Roman"/>
          <w:lang w:eastAsia="hr-HR"/>
        </w:rPr>
        <w:t xml:space="preserve"> u odnosu na potrošnju energije prije obnove i sveobuhvatna obnova zgrada koja obuhvaća optimalne mjere poboljšanja postojećeg stanja zgrade te osim mjera energetske obnove zgrade</w:t>
      </w:r>
      <w:r w:rsidR="00052088" w:rsidRPr="00654E3B">
        <w:rPr>
          <w:rFonts w:cs="Times New Roman"/>
          <w:lang w:eastAsia="hr-HR"/>
        </w:rPr>
        <w:t>,</w:t>
      </w:r>
      <w:r w:rsidRPr="00654E3B">
        <w:rPr>
          <w:rFonts w:cs="Times New Roman"/>
          <w:lang w:eastAsia="hr-HR"/>
        </w:rPr>
        <w:t xml:space="preserve"> uključuje i mjere poput povećanja sigurnosti u slučaju požara, mjere za osiguravanje zdravih unutarnjih klimatskih uvjeta, mjere za unapređenje mehaničke otpornosti i stabilnosti zgrade - posebice radi smanjenje rizika povezanih s djelovanjem potresa. </w:t>
      </w:r>
    </w:p>
    <w:p w:rsidR="00E158B5" w:rsidRPr="00654E3B" w:rsidRDefault="00E158B5" w:rsidP="00E158B5">
      <w:pPr>
        <w:rPr>
          <w:rFonts w:cs="Times New Roman"/>
          <w:lang w:eastAsia="hr-HR"/>
        </w:rPr>
      </w:pPr>
      <w:r w:rsidRPr="00654E3B">
        <w:rPr>
          <w:rFonts w:cs="Times New Roman"/>
          <w:lang w:eastAsia="hr-HR"/>
        </w:rPr>
        <w:t>Tehničke mogućnosti za energetsku obnovu</w:t>
      </w:r>
      <w:r w:rsidR="00052088" w:rsidRPr="00654E3B">
        <w:rPr>
          <w:rFonts w:cs="Times New Roman"/>
          <w:lang w:eastAsia="hr-HR"/>
        </w:rPr>
        <w:t>,</w:t>
      </w:r>
      <w:r w:rsidRPr="00654E3B">
        <w:rPr>
          <w:rFonts w:cs="Times New Roman"/>
          <w:lang w:eastAsia="hr-HR"/>
        </w:rPr>
        <w:t xml:space="preserve"> prioritetno se oslanjaju na smanjenje energetskih potreba kroz obnovu vanjske ovojnice zgrade u skladu s važećom regulativom. Zahtjev za nZEB uključuje i unapređenje tehničkih sustava u zgradama te minimalni udio obnovljivih izvora energije sukladno Tehničkom propisu o racionalnoj uporabi energije i toplinskoj zaštiti u zgradama. Zgrade gotovo nulte energije ispunjavaju zahtjeve u pogledu primjene OIE</w:t>
      </w:r>
      <w:r w:rsidR="00052088" w:rsidRPr="00654E3B">
        <w:rPr>
          <w:rFonts w:cs="Times New Roman"/>
          <w:lang w:eastAsia="hr-HR"/>
        </w:rPr>
        <w:t xml:space="preserve">, </w:t>
      </w:r>
      <w:r w:rsidRPr="00654E3B">
        <w:rPr>
          <w:rFonts w:cs="Times New Roman"/>
          <w:lang w:eastAsia="hr-HR"/>
        </w:rPr>
        <w:t xml:space="preserve">ako je najmanje 30 </w:t>
      </w:r>
      <w:r w:rsidR="00060992" w:rsidRPr="00654E3B">
        <w:rPr>
          <w:rFonts w:cs="Times New Roman"/>
          <w:lang w:eastAsia="hr-HR"/>
        </w:rPr>
        <w:t xml:space="preserve"> %</w:t>
      </w:r>
      <w:r w:rsidRPr="00654E3B">
        <w:rPr>
          <w:rFonts w:cs="Times New Roman"/>
          <w:lang w:eastAsia="hr-HR"/>
        </w:rPr>
        <w:t xml:space="preserve"> godišnje isporučene energije za rad tehničkih sustava u zgradi podmireno iz OIE. </w:t>
      </w:r>
    </w:p>
    <w:p w:rsidR="00E158B5" w:rsidRPr="00654E3B" w:rsidRDefault="00E158B5" w:rsidP="00E158B5">
      <w:pPr>
        <w:rPr>
          <w:rFonts w:cs="Times New Roman"/>
          <w:b/>
          <w:lang w:eastAsia="hr-HR"/>
        </w:rPr>
      </w:pPr>
      <w:r w:rsidRPr="00654E3B">
        <w:rPr>
          <w:rFonts w:cs="Times New Roman"/>
          <w:b/>
          <w:lang w:eastAsia="hr-HR"/>
        </w:rPr>
        <w:t>Modernizacija termotehničkih sustava</w:t>
      </w:r>
    </w:p>
    <w:p w:rsidR="00E158B5" w:rsidRPr="00654E3B" w:rsidRDefault="00E158B5" w:rsidP="00E158B5">
      <w:pPr>
        <w:rPr>
          <w:rFonts w:cs="Times New Roman"/>
          <w:lang w:eastAsia="hr-HR"/>
        </w:rPr>
      </w:pPr>
      <w:r w:rsidRPr="00654E3B">
        <w:rPr>
          <w:rFonts w:cs="Times New Roman"/>
          <w:lang w:eastAsia="hr-HR"/>
        </w:rPr>
        <w:t>Obnovu vanjske ovojnice dopunjava centralizacija i modernizacija sustava grijanja, hlađenja i ventilacije te pripreme PTV uz primjenu obnovljivih izvora energije. Potrebno je inzistirati na smanjenju potrebne energije za grijanje i hlađenje od barem 50</w:t>
      </w:r>
      <w:r w:rsidR="00060992" w:rsidRPr="00654E3B">
        <w:rPr>
          <w:rFonts w:cs="Times New Roman"/>
          <w:lang w:eastAsia="hr-HR"/>
        </w:rPr>
        <w:t xml:space="preserve"> %</w:t>
      </w:r>
      <w:r w:rsidR="00052088" w:rsidRPr="00654E3B">
        <w:rPr>
          <w:rFonts w:cs="Times New Roman"/>
          <w:lang w:eastAsia="hr-HR"/>
        </w:rPr>
        <w:t>,</w:t>
      </w:r>
      <w:r w:rsidRPr="00654E3B">
        <w:rPr>
          <w:rFonts w:cs="Times New Roman"/>
          <w:lang w:eastAsia="hr-HR"/>
        </w:rPr>
        <w:t xml:space="preserve"> stoga je nužno poticati provedbu analize korištenja visokoučinkovitih alternativnih sustava te primijeniti te sustave uvijek kada je to izvedivo. Pri tome alternativni sustavi obuhvaćaju: dizalice topline, toplovodne kotlove na biomasu (pelete), solarne toplovodne sustave, fotonaponske sustave, kogeneraciju i daljinsko grijanje. CTS omogućuju </w:t>
      </w:r>
      <w:r w:rsidRPr="00654E3B">
        <w:rPr>
          <w:rFonts w:cs="Times New Roman"/>
          <w:lang w:eastAsia="hr-HR"/>
        </w:rPr>
        <w:lastRenderedPageBreak/>
        <w:t>centralizirano korištenje OIE u neposrednoj blizini zgrade</w:t>
      </w:r>
      <w:r w:rsidR="00052088" w:rsidRPr="00654E3B">
        <w:rPr>
          <w:rFonts w:cs="Times New Roman"/>
          <w:lang w:eastAsia="hr-HR"/>
        </w:rPr>
        <w:t xml:space="preserve">, </w:t>
      </w:r>
      <w:r w:rsidRPr="00654E3B">
        <w:rPr>
          <w:rFonts w:cs="Times New Roman"/>
          <w:lang w:eastAsia="hr-HR"/>
        </w:rPr>
        <w:t xml:space="preserve">čime se povećava udio OIE na lokacijama gdje su tehničke mogućnosti ugradnje sustava OIE na zgradama ograničene. </w:t>
      </w:r>
    </w:p>
    <w:p w:rsidR="00E158B5" w:rsidRPr="00654E3B" w:rsidRDefault="00E158B5" w:rsidP="00E158B5">
      <w:pPr>
        <w:rPr>
          <w:rFonts w:cs="Times New Roman"/>
          <w:lang w:eastAsia="hr-HR"/>
        </w:rPr>
      </w:pPr>
      <w:r w:rsidRPr="00654E3B">
        <w:rPr>
          <w:rFonts w:cs="Times New Roman"/>
          <w:lang w:eastAsia="hr-HR"/>
        </w:rPr>
        <w:t xml:space="preserve">Poticanje daljnjeg razvoja CTS koji se temelje na visokoučinkovitoj kogeneraciji i korištenju OIE u središtu je politike energetske učinkovitosti EU. </w:t>
      </w:r>
    </w:p>
    <w:p w:rsidR="00E158B5" w:rsidRPr="00654E3B" w:rsidRDefault="00E158B5" w:rsidP="00E158B5">
      <w:pPr>
        <w:rPr>
          <w:rFonts w:cs="Times New Roman"/>
          <w:lang w:eastAsia="hr-HR"/>
        </w:rPr>
      </w:pPr>
      <w:r w:rsidRPr="00654E3B">
        <w:rPr>
          <w:rFonts w:cs="Times New Roman"/>
          <w:lang w:eastAsia="hr-HR"/>
        </w:rPr>
        <w:t>Bez uvođenja malih i mikro kogeneracija, dizalica topline ili spajanje na visokoučinkovite toplinske sustave tijekom obnove zgrada</w:t>
      </w:r>
      <w:r w:rsidR="00052088" w:rsidRPr="00654E3B">
        <w:rPr>
          <w:rFonts w:cs="Times New Roman"/>
          <w:lang w:eastAsia="hr-HR"/>
        </w:rPr>
        <w:t>,</w:t>
      </w:r>
      <w:r w:rsidRPr="00654E3B">
        <w:rPr>
          <w:rFonts w:cs="Times New Roman"/>
          <w:lang w:eastAsia="hr-HR"/>
        </w:rPr>
        <w:t xml:space="preserve"> neće se postići ciljano smanjivanje emisija u zgradarstvu, kao ni standard nulte potrošnje energije za nove zgrade.</w:t>
      </w:r>
    </w:p>
    <w:p w:rsidR="00E158B5" w:rsidRPr="00654E3B" w:rsidRDefault="00E158B5" w:rsidP="00E158B5">
      <w:pPr>
        <w:rPr>
          <w:rFonts w:cs="Times New Roman"/>
          <w:lang w:eastAsia="hr-HR"/>
        </w:rPr>
      </w:pPr>
      <w:r w:rsidRPr="00654E3B">
        <w:rPr>
          <w:rFonts w:cs="Times New Roman"/>
          <w:lang w:eastAsia="hr-HR"/>
        </w:rPr>
        <w:t>Neophodno je ulaganja u velike infrastrukturne programe za toplinarstvo povezati sa energetskom učinkovitosti u zgradarstvu</w:t>
      </w:r>
      <w:r w:rsidR="00052088" w:rsidRPr="00654E3B">
        <w:rPr>
          <w:rFonts w:cs="Times New Roman"/>
          <w:lang w:eastAsia="hr-HR"/>
        </w:rPr>
        <w:t>,</w:t>
      </w:r>
      <w:r w:rsidRPr="00654E3B">
        <w:rPr>
          <w:rFonts w:cs="Times New Roman"/>
          <w:lang w:eastAsia="hr-HR"/>
        </w:rPr>
        <w:t xml:space="preserve"> kako bi se postigli željeni ciljevi.</w:t>
      </w:r>
    </w:p>
    <w:p w:rsidR="007D4A93" w:rsidRPr="00654E3B" w:rsidRDefault="00EF0BEB" w:rsidP="009F6651">
      <w:pPr>
        <w:pStyle w:val="Heading3"/>
      </w:pPr>
      <w:bookmarkStart w:id="247" w:name="_Toc69297758"/>
      <w:r w:rsidRPr="00654E3B">
        <w:t>6.4.3. Smjernice za niskougljični razvoj</w:t>
      </w:r>
      <w:bookmarkEnd w:id="247"/>
    </w:p>
    <w:p w:rsidR="007D4A93" w:rsidRPr="00654E3B" w:rsidRDefault="007D4A93">
      <w:pPr>
        <w:keepNext/>
        <w:rPr>
          <w:rFonts w:cs="Times New Roman"/>
        </w:rPr>
      </w:pPr>
    </w:p>
    <w:p w:rsidR="007D4A93" w:rsidRPr="00654E3B" w:rsidRDefault="00EF0BEB">
      <w:pPr>
        <w:keepNext/>
        <w:rPr>
          <w:rFonts w:cs="Times New Roman"/>
          <w:u w:val="single"/>
        </w:rPr>
      </w:pPr>
      <w:r w:rsidRPr="00654E3B">
        <w:rPr>
          <w:rFonts w:cs="Times New Roman"/>
          <w:u w:val="single"/>
        </w:rPr>
        <w:t>Do 2030. godine</w:t>
      </w:r>
    </w:p>
    <w:p w:rsidR="007D4A93" w:rsidRPr="00654E3B" w:rsidRDefault="00EF0BEB" w:rsidP="000C6795">
      <w:pPr>
        <w:pStyle w:val="ListParagraph"/>
        <w:numPr>
          <w:ilvl w:val="0"/>
          <w:numId w:val="33"/>
        </w:numPr>
        <w:rPr>
          <w:rFonts w:cs="Times New Roman"/>
          <w:lang w:eastAsia="hr-HR"/>
        </w:rPr>
      </w:pPr>
      <w:r w:rsidRPr="00654E3B">
        <w:rPr>
          <w:rFonts w:cs="Times New Roman"/>
          <w:lang w:eastAsia="hr-HR"/>
        </w:rPr>
        <w:t xml:space="preserve">Potrebno je nastaviti provedbu energetske obnove zgrada s konačnim ciljem transformacije postojećeg fonda u energetski visokoučinkovit i dekarboniziran fond zgrada.  </w:t>
      </w:r>
    </w:p>
    <w:p w:rsidR="007D4A93" w:rsidRPr="00654E3B" w:rsidRDefault="00EF0BEB" w:rsidP="000C6795">
      <w:pPr>
        <w:pStyle w:val="ListParagraph"/>
        <w:numPr>
          <w:ilvl w:val="0"/>
          <w:numId w:val="33"/>
        </w:numPr>
        <w:rPr>
          <w:rFonts w:cs="Times New Roman"/>
          <w:lang w:eastAsia="hr-HR"/>
        </w:rPr>
      </w:pPr>
      <w:r w:rsidRPr="00654E3B">
        <w:rPr>
          <w:rFonts w:cs="Times New Roman"/>
          <w:lang w:eastAsia="hr-HR"/>
        </w:rPr>
        <w:t xml:space="preserve">Zbog zahtjeva za povećanjem učinkovitosti i smanjenjem emisija onečišćujućih tvari, preporuča se poticanje CTS-a na biomasu gdje je moguće, a tek potom individualnih sustava koji koriste modernu biomasu, kao što su peleti ili briketi. Potrebno je napraviti dodatnu analizu potreba za poticajima u korištenju OIE za grijanje i hlađenje kako bi se utvrdila nužnost poticaja ovakvih sustava za ostvarenje ciljeva do 2030. godine. </w:t>
      </w:r>
    </w:p>
    <w:p w:rsidR="007D4A93" w:rsidRPr="00654E3B" w:rsidRDefault="00EF0BEB" w:rsidP="000C6795">
      <w:pPr>
        <w:pStyle w:val="ListParagraph"/>
        <w:numPr>
          <w:ilvl w:val="0"/>
          <w:numId w:val="33"/>
        </w:numPr>
        <w:rPr>
          <w:rFonts w:cs="Times New Roman"/>
        </w:rPr>
      </w:pPr>
      <w:r w:rsidRPr="00654E3B">
        <w:rPr>
          <w:rFonts w:cs="Times New Roman"/>
        </w:rPr>
        <w:t xml:space="preserve">Potrebno je izraditi analizu i prijedlog rješenja za zamjenu korištenja krute biomase u kućanstvima, u gradovima koji imaju prekomjerno onečišćenje sitnim česticama i provode akcijske planove poboljšanja kvalitete zraka. </w:t>
      </w:r>
    </w:p>
    <w:p w:rsidR="007D4A93" w:rsidRPr="00654E3B" w:rsidRDefault="00EF0BEB" w:rsidP="000C6795">
      <w:pPr>
        <w:pStyle w:val="ListParagraph"/>
        <w:numPr>
          <w:ilvl w:val="0"/>
          <w:numId w:val="33"/>
        </w:numPr>
        <w:rPr>
          <w:rFonts w:cs="Times New Roman"/>
        </w:rPr>
      </w:pPr>
      <w:r w:rsidRPr="00654E3B">
        <w:rPr>
          <w:rFonts w:cs="Times New Roman"/>
        </w:rPr>
        <w:t>Predlaže se uvođenje planiranja integralne urbane obnove na razini gradskih četvrti</w:t>
      </w:r>
      <w:r w:rsidR="00966DD3" w:rsidRPr="00654E3B">
        <w:rPr>
          <w:rFonts w:cs="Times New Roman"/>
        </w:rPr>
        <w:t>,</w:t>
      </w:r>
      <w:r w:rsidRPr="00654E3B">
        <w:rPr>
          <w:rFonts w:cs="Times New Roman"/>
        </w:rPr>
        <w:t xml:space="preserve"> kako bi se olakšao razvoj CTS-a i modernizacija sustava grijanja. </w:t>
      </w:r>
    </w:p>
    <w:p w:rsidR="007D4A93" w:rsidRPr="00654E3B" w:rsidRDefault="00EF0BEB" w:rsidP="000C6795">
      <w:pPr>
        <w:pStyle w:val="ListParagraph"/>
        <w:numPr>
          <w:ilvl w:val="0"/>
          <w:numId w:val="33"/>
        </w:numPr>
        <w:rPr>
          <w:rFonts w:cs="Times New Roman"/>
        </w:rPr>
      </w:pPr>
      <w:r w:rsidRPr="00654E3B">
        <w:rPr>
          <w:rFonts w:cs="Times New Roman"/>
        </w:rPr>
        <w:t>Potrebno je sektor turizma potaknuti na bržu primjenu politika niskougljičnog razvoja.</w:t>
      </w:r>
    </w:p>
    <w:p w:rsidR="007D4A93" w:rsidRPr="00654E3B" w:rsidRDefault="00EF0BEB" w:rsidP="000C6795">
      <w:pPr>
        <w:pStyle w:val="ListParagraph"/>
        <w:numPr>
          <w:ilvl w:val="0"/>
          <w:numId w:val="33"/>
        </w:numPr>
        <w:rPr>
          <w:rFonts w:cs="Times New Roman"/>
          <w:lang w:eastAsia="hr-HR"/>
        </w:rPr>
      </w:pPr>
      <w:r w:rsidRPr="00654E3B">
        <w:rPr>
          <w:rFonts w:cs="Times New Roman"/>
          <w:lang w:eastAsia="hr-HR"/>
        </w:rPr>
        <w:t>Postojeći fond zgrada dubinski obnoviti, a nove zgrade graditi u standardu zgrada gotovo nulte energije (nZEB).</w:t>
      </w:r>
    </w:p>
    <w:p w:rsidR="007D4A93" w:rsidRPr="00654E3B" w:rsidRDefault="00EF0BEB" w:rsidP="000C6795">
      <w:pPr>
        <w:pStyle w:val="ListParagraph"/>
        <w:numPr>
          <w:ilvl w:val="0"/>
          <w:numId w:val="33"/>
        </w:numPr>
        <w:rPr>
          <w:rFonts w:cs="Times New Roman"/>
          <w:lang w:eastAsia="hr-HR"/>
        </w:rPr>
      </w:pPr>
      <w:r w:rsidRPr="00654E3B">
        <w:rPr>
          <w:rFonts w:cs="Times New Roman"/>
          <w:lang w:eastAsia="hr-HR"/>
        </w:rPr>
        <w:t>Očekuje se da će potrebe za energijom za hlađenje rasti</w:t>
      </w:r>
      <w:r w:rsidR="00966DD3" w:rsidRPr="00654E3B">
        <w:rPr>
          <w:rFonts w:cs="Times New Roman"/>
          <w:lang w:eastAsia="hr-HR"/>
        </w:rPr>
        <w:t>,</w:t>
      </w:r>
      <w:r w:rsidRPr="00654E3B">
        <w:rPr>
          <w:rFonts w:cs="Times New Roman"/>
          <w:lang w:eastAsia="hr-HR"/>
        </w:rPr>
        <w:t xml:space="preserve"> te se preporučuje da se u skladu s Europskim trendovima</w:t>
      </w:r>
      <w:r w:rsidR="00966DD3" w:rsidRPr="00654E3B">
        <w:rPr>
          <w:rFonts w:cs="Times New Roman"/>
          <w:lang w:eastAsia="hr-HR"/>
        </w:rPr>
        <w:t>,</w:t>
      </w:r>
      <w:r w:rsidRPr="00654E3B">
        <w:rPr>
          <w:rFonts w:cs="Times New Roman"/>
          <w:lang w:eastAsia="hr-HR"/>
        </w:rPr>
        <w:t xml:space="preserve"> razmotre mogućnosti za poticanje sustava akumulacije rashladne energije u zgradarstvu, sustava za centralno hlađenje u gradovima koji imaju mogućnosti</w:t>
      </w:r>
      <w:r w:rsidR="00966DD3" w:rsidRPr="00654E3B">
        <w:rPr>
          <w:rFonts w:cs="Times New Roman"/>
          <w:lang w:eastAsia="hr-HR"/>
        </w:rPr>
        <w:t>,</w:t>
      </w:r>
      <w:r w:rsidRPr="00654E3B">
        <w:rPr>
          <w:rFonts w:cs="Times New Roman"/>
          <w:lang w:eastAsia="hr-HR"/>
        </w:rPr>
        <w:t xml:space="preserve"> čime bi se optimizirao rad i iskorištavanje topline u ljetnim mjesecima kod kogeneracijskih postrojenja, sustava za hlađenje u zgradarstvu te ostalih inovativnih mogućnosti.</w:t>
      </w:r>
    </w:p>
    <w:p w:rsidR="007D4A93" w:rsidRPr="00654E3B" w:rsidRDefault="0075068E" w:rsidP="0075068E">
      <w:pPr>
        <w:pStyle w:val="ListParagraph"/>
        <w:numPr>
          <w:ilvl w:val="0"/>
          <w:numId w:val="33"/>
        </w:numPr>
        <w:rPr>
          <w:rFonts w:cs="Times New Roman"/>
          <w:lang w:eastAsia="hr-HR"/>
        </w:rPr>
      </w:pPr>
      <w:r w:rsidRPr="00654E3B">
        <w:rPr>
          <w:rFonts w:cs="Times New Roman"/>
          <w:lang w:eastAsia="hr-HR"/>
        </w:rPr>
        <w:t>U obnovi zgrada, u svim područjima RH koje su zadesili razorni potresi, preporuča se provoditi sveobuhvatna obnova</w:t>
      </w:r>
      <w:r w:rsidR="00EF0BEB" w:rsidRPr="00654E3B">
        <w:rPr>
          <w:rFonts w:cs="Times New Roman"/>
          <w:lang w:eastAsia="hr-HR"/>
        </w:rPr>
        <w:t>.</w:t>
      </w:r>
    </w:p>
    <w:p w:rsidR="007D4A93" w:rsidRPr="00654E3B" w:rsidRDefault="00EF0BEB">
      <w:pPr>
        <w:rPr>
          <w:rFonts w:cs="Times New Roman"/>
          <w:u w:val="single"/>
        </w:rPr>
      </w:pPr>
      <w:r w:rsidRPr="00654E3B">
        <w:rPr>
          <w:rFonts w:cs="Times New Roman"/>
          <w:u w:val="single"/>
        </w:rPr>
        <w:t>Do 2050. godine</w:t>
      </w:r>
    </w:p>
    <w:p w:rsidR="007D4A93" w:rsidRPr="00654E3B" w:rsidRDefault="0075068E" w:rsidP="0075068E">
      <w:pPr>
        <w:pStyle w:val="ListParagraph"/>
        <w:numPr>
          <w:ilvl w:val="0"/>
          <w:numId w:val="48"/>
        </w:numPr>
        <w:spacing w:line="240" w:lineRule="auto"/>
        <w:rPr>
          <w:rFonts w:eastAsia="Times New Roman" w:cs="Times New Roman"/>
          <w:lang w:eastAsia="hr-HR"/>
        </w:rPr>
      </w:pPr>
      <w:r w:rsidRPr="00654E3B">
        <w:rPr>
          <w:rFonts w:eastAsia="Times New Roman" w:cs="Times New Roman"/>
          <w:lang w:eastAsia="hr-HR"/>
        </w:rPr>
        <w:t xml:space="preserve">Smanjenje emisija u ovim sektorima ovisit će o nastavku provedbe mjera, a dinamika obnove zgrada nakon 2030. godine </w:t>
      </w:r>
      <w:r w:rsidR="00755607" w:rsidRPr="00654E3B">
        <w:rPr>
          <w:rFonts w:eastAsia="Times New Roman" w:cs="Times New Roman"/>
          <w:lang w:eastAsia="hr-HR"/>
        </w:rPr>
        <w:t>sukladno</w:t>
      </w:r>
      <w:r w:rsidRPr="00654E3B">
        <w:rPr>
          <w:rFonts w:eastAsia="Times New Roman" w:cs="Times New Roman"/>
          <w:lang w:eastAsia="hr-HR"/>
        </w:rPr>
        <w:t xml:space="preserve"> Dugoročno</w:t>
      </w:r>
      <w:r w:rsidR="00755607" w:rsidRPr="00654E3B">
        <w:rPr>
          <w:rFonts w:eastAsia="Times New Roman" w:cs="Times New Roman"/>
          <w:lang w:eastAsia="hr-HR"/>
        </w:rPr>
        <w:t>j</w:t>
      </w:r>
      <w:r w:rsidRPr="00654E3B">
        <w:rPr>
          <w:rFonts w:eastAsia="Times New Roman" w:cs="Times New Roman"/>
          <w:lang w:eastAsia="hr-HR"/>
        </w:rPr>
        <w:t xml:space="preserve"> strategij</w:t>
      </w:r>
      <w:r w:rsidR="00755607" w:rsidRPr="00654E3B">
        <w:rPr>
          <w:rFonts w:eastAsia="Times New Roman" w:cs="Times New Roman"/>
          <w:lang w:eastAsia="hr-HR"/>
        </w:rPr>
        <w:t>i</w:t>
      </w:r>
      <w:r w:rsidRPr="00654E3B">
        <w:rPr>
          <w:rFonts w:eastAsia="Times New Roman" w:cs="Times New Roman"/>
          <w:lang w:eastAsia="hr-HR"/>
        </w:rPr>
        <w:t xml:space="preserve"> obnove nacionalnog fonda zgrada do 2050. godine te će stopa </w:t>
      </w:r>
      <w:r w:rsidR="00966DD3" w:rsidRPr="00654E3B">
        <w:rPr>
          <w:rFonts w:eastAsia="Times New Roman" w:cs="Times New Roman"/>
          <w:lang w:eastAsia="hr-HR"/>
        </w:rPr>
        <w:t xml:space="preserve">obnove </w:t>
      </w:r>
      <w:r w:rsidRPr="00654E3B">
        <w:rPr>
          <w:rFonts w:eastAsia="Times New Roman" w:cs="Times New Roman"/>
          <w:lang w:eastAsia="hr-HR"/>
        </w:rPr>
        <w:t>od 3</w:t>
      </w:r>
      <w:r w:rsidR="00060992" w:rsidRPr="00654E3B">
        <w:rPr>
          <w:rFonts w:eastAsia="Times New Roman" w:cs="Times New Roman"/>
          <w:lang w:eastAsia="hr-HR"/>
        </w:rPr>
        <w:t xml:space="preserve"> %</w:t>
      </w:r>
      <w:r w:rsidRPr="00654E3B">
        <w:rPr>
          <w:rFonts w:eastAsia="Times New Roman" w:cs="Times New Roman"/>
          <w:lang w:eastAsia="hr-HR"/>
        </w:rPr>
        <w:t xml:space="preserve"> u 2030. godini dalje rasti do 4</w:t>
      </w:r>
      <w:r w:rsidR="00060992" w:rsidRPr="00654E3B">
        <w:rPr>
          <w:rFonts w:eastAsia="Times New Roman" w:cs="Times New Roman"/>
          <w:lang w:eastAsia="hr-HR"/>
        </w:rPr>
        <w:t xml:space="preserve"> %</w:t>
      </w:r>
      <w:r w:rsidRPr="00654E3B">
        <w:rPr>
          <w:rFonts w:eastAsia="Times New Roman" w:cs="Times New Roman"/>
          <w:lang w:eastAsia="hr-HR"/>
        </w:rPr>
        <w:t xml:space="preserve"> u 2050. godini. U ovom razdoblju sva će nova gradnja biti standarda zgrada gotovo nulte energije, koja uključuje i primjenu obnovljivih izvora energije</w:t>
      </w:r>
      <w:r w:rsidR="00EF0BEB" w:rsidRPr="00654E3B">
        <w:rPr>
          <w:rFonts w:eastAsia="Times New Roman" w:cs="Times New Roman"/>
          <w:lang w:eastAsia="hr-HR"/>
        </w:rPr>
        <w:t>.</w:t>
      </w:r>
    </w:p>
    <w:p w:rsidR="007D4A93" w:rsidRPr="00654E3B" w:rsidRDefault="00EF0BEB" w:rsidP="000C6795">
      <w:pPr>
        <w:pStyle w:val="ListParagraph"/>
        <w:numPr>
          <w:ilvl w:val="0"/>
          <w:numId w:val="48"/>
        </w:numPr>
        <w:spacing w:line="240" w:lineRule="auto"/>
        <w:rPr>
          <w:rFonts w:eastAsia="Times New Roman" w:cs="Times New Roman"/>
          <w:lang w:eastAsia="hr-HR"/>
        </w:rPr>
      </w:pPr>
      <w:r w:rsidRPr="00654E3B">
        <w:rPr>
          <w:rFonts w:eastAsia="Times New Roman" w:cs="Times New Roman"/>
          <w:lang w:eastAsia="hr-HR"/>
        </w:rPr>
        <w:t>Po pitanju korištenja OIE, predviđen je nastavak porasta korištenja sunčevih toplinskih sustava za pripremu tople vode, povećanje zadovoljavanja potreba za grijanjem pomoću dizalica topline te daljnji razvoj CTS-a koji koriste OIE</w:t>
      </w:r>
      <w:r w:rsidR="00966DD3" w:rsidRPr="00654E3B">
        <w:rPr>
          <w:rFonts w:eastAsia="Times New Roman" w:cs="Times New Roman"/>
          <w:lang w:eastAsia="hr-HR"/>
        </w:rPr>
        <w:t>,</w:t>
      </w:r>
      <w:r w:rsidRPr="00654E3B">
        <w:rPr>
          <w:rFonts w:eastAsia="Times New Roman" w:cs="Times New Roman"/>
          <w:lang w:eastAsia="hr-HR"/>
        </w:rPr>
        <w:t xml:space="preserve"> uz smanjenje korištenja tradicionalnog ogrjevnog drva.</w:t>
      </w:r>
    </w:p>
    <w:p w:rsidR="007D4A93" w:rsidRPr="00654E3B" w:rsidRDefault="00EF0BEB" w:rsidP="000C6795">
      <w:pPr>
        <w:pStyle w:val="ListParagraph"/>
        <w:numPr>
          <w:ilvl w:val="0"/>
          <w:numId w:val="48"/>
        </w:numPr>
        <w:spacing w:line="240" w:lineRule="auto"/>
        <w:rPr>
          <w:rFonts w:eastAsia="Times New Roman" w:cs="Times New Roman"/>
          <w:lang w:eastAsia="hr-HR"/>
        </w:rPr>
      </w:pPr>
      <w:r w:rsidRPr="00654E3B">
        <w:rPr>
          <w:rFonts w:eastAsia="Times New Roman" w:cs="Times New Roman"/>
          <w:lang w:eastAsia="hr-HR"/>
        </w:rPr>
        <w:t>Konačna isplativost i primjena rješenja ovisiti će o tehnološkom i komercijalnom razvoju tehnologija do 2050. godine.</w:t>
      </w:r>
    </w:p>
    <w:p w:rsidR="007D4A93" w:rsidRPr="00654E3B" w:rsidRDefault="00EF0BEB" w:rsidP="000C6795">
      <w:pPr>
        <w:pStyle w:val="ListParagraph"/>
        <w:numPr>
          <w:ilvl w:val="0"/>
          <w:numId w:val="48"/>
        </w:numPr>
        <w:spacing w:line="240" w:lineRule="auto"/>
        <w:rPr>
          <w:rFonts w:eastAsia="Times New Roman" w:cs="Times New Roman"/>
          <w:lang w:eastAsia="hr-HR"/>
        </w:rPr>
      </w:pPr>
      <w:r w:rsidRPr="00654E3B">
        <w:rPr>
          <w:rFonts w:eastAsia="Times New Roman" w:cs="Times New Roman"/>
          <w:lang w:eastAsia="hr-HR"/>
        </w:rPr>
        <w:t>Osigurati smanjenje emisije stakleničkih plinova u zgradama za 80</w:t>
      </w:r>
      <w:r w:rsidR="00060992" w:rsidRPr="00654E3B">
        <w:rPr>
          <w:rFonts w:eastAsia="Times New Roman" w:cs="Times New Roman"/>
          <w:lang w:eastAsia="hr-HR"/>
        </w:rPr>
        <w:t xml:space="preserve"> %</w:t>
      </w:r>
      <w:r w:rsidRPr="00654E3B">
        <w:rPr>
          <w:rFonts w:eastAsia="Times New Roman" w:cs="Times New Roman"/>
          <w:lang w:eastAsia="hr-HR"/>
        </w:rPr>
        <w:t xml:space="preserve"> te transformirati fond zgrada </w:t>
      </w:r>
      <w:r w:rsidR="006768D0" w:rsidRPr="00654E3B">
        <w:rPr>
          <w:rFonts w:eastAsia="Times New Roman" w:cs="Times New Roman"/>
          <w:lang w:eastAsia="hr-HR"/>
        </w:rPr>
        <w:t xml:space="preserve">u zgrade </w:t>
      </w:r>
      <w:r w:rsidRPr="00654E3B">
        <w:rPr>
          <w:rFonts w:eastAsia="Times New Roman" w:cs="Times New Roman"/>
          <w:lang w:eastAsia="hr-HR"/>
        </w:rPr>
        <w:t xml:space="preserve">gotovo </w:t>
      </w:r>
      <w:r w:rsidR="00B97A5B" w:rsidRPr="00654E3B">
        <w:rPr>
          <w:rFonts w:eastAsia="Times New Roman" w:cs="Times New Roman"/>
          <w:lang w:eastAsia="hr-HR"/>
        </w:rPr>
        <w:t xml:space="preserve">nulte energije </w:t>
      </w:r>
      <w:r w:rsidRPr="00654E3B">
        <w:rPr>
          <w:rFonts w:eastAsia="Times New Roman" w:cs="Times New Roman"/>
          <w:lang w:eastAsia="hr-HR"/>
        </w:rPr>
        <w:t>ili s visokom razinom energetske učinkovitosti.</w:t>
      </w:r>
    </w:p>
    <w:p w:rsidR="007D4A93" w:rsidRPr="00654E3B" w:rsidRDefault="00EF0BEB">
      <w:pPr>
        <w:pStyle w:val="Heading2"/>
        <w:rPr>
          <w:rFonts w:ascii="Times New Roman" w:hAnsi="Times New Roman" w:cs="Times New Roman"/>
        </w:rPr>
      </w:pPr>
      <w:bookmarkStart w:id="248" w:name="_Toc20841305"/>
      <w:bookmarkStart w:id="249" w:name="_Toc20841411"/>
      <w:bookmarkStart w:id="250" w:name="_Toc69297759"/>
      <w:r w:rsidRPr="00654E3B">
        <w:rPr>
          <w:rFonts w:ascii="Times New Roman" w:hAnsi="Times New Roman" w:cs="Times New Roman"/>
        </w:rPr>
        <w:lastRenderedPageBreak/>
        <w:t>6.5.</w:t>
      </w:r>
      <w:r w:rsidRPr="00654E3B">
        <w:rPr>
          <w:rFonts w:ascii="Times New Roman" w:hAnsi="Times New Roman" w:cs="Times New Roman"/>
        </w:rPr>
        <w:tab/>
        <w:t>INDUSTRIJA</w:t>
      </w:r>
      <w:bookmarkEnd w:id="248"/>
      <w:bookmarkEnd w:id="249"/>
      <w:bookmarkEnd w:id="250"/>
    </w:p>
    <w:p w:rsidR="007D4A93" w:rsidRPr="00654E3B" w:rsidRDefault="00EF0BEB" w:rsidP="009F6651">
      <w:pPr>
        <w:pStyle w:val="Heading3"/>
      </w:pPr>
      <w:bookmarkStart w:id="251" w:name="_Toc69297760"/>
      <w:r w:rsidRPr="00654E3B">
        <w:t>6.5.1.</w:t>
      </w:r>
      <w:r w:rsidRPr="00654E3B">
        <w:tab/>
        <w:t>Emisije stakleničkih plinova</w:t>
      </w:r>
      <w:bookmarkEnd w:id="251"/>
    </w:p>
    <w:p w:rsidR="007D4A93" w:rsidRPr="00654E3B" w:rsidRDefault="007D4A93">
      <w:pPr>
        <w:rPr>
          <w:rFonts w:cs="Times New Roman"/>
        </w:rPr>
      </w:pPr>
    </w:p>
    <w:p w:rsidR="007D4A93" w:rsidRPr="00654E3B" w:rsidRDefault="00EF0BEB">
      <w:pPr>
        <w:spacing w:line="240" w:lineRule="auto"/>
        <w:rPr>
          <w:rFonts w:cs="Times New Roman"/>
        </w:rPr>
      </w:pPr>
      <w:bookmarkStart w:id="252" w:name="_Hlk36802407"/>
      <w:r w:rsidRPr="00654E3B">
        <w:rPr>
          <w:rFonts w:cs="Times New Roman"/>
        </w:rPr>
        <w:t>Emisija stakleničkih plinova prerađivačke industrije čini oko 21,1</w:t>
      </w:r>
      <w:r w:rsidR="00060992" w:rsidRPr="00654E3B">
        <w:rPr>
          <w:rFonts w:cs="Times New Roman"/>
        </w:rPr>
        <w:t xml:space="preserve"> %</w:t>
      </w:r>
      <w:r w:rsidRPr="00654E3B">
        <w:rPr>
          <w:rFonts w:cs="Times New Roman"/>
        </w:rPr>
        <w:t xml:space="preserve"> ukupnih emisija Republike Hrvatske (2018. godina), od čega se 48,3</w:t>
      </w:r>
      <w:r w:rsidR="00060992" w:rsidRPr="00654E3B">
        <w:rPr>
          <w:rFonts w:cs="Times New Roman"/>
        </w:rPr>
        <w:t xml:space="preserve"> %</w:t>
      </w:r>
      <w:r w:rsidRPr="00654E3B">
        <w:rPr>
          <w:rFonts w:cs="Times New Roman"/>
        </w:rPr>
        <w:t xml:space="preserve"> odnosi na emisije uslijed</w:t>
      </w:r>
      <w:r w:rsidR="00966DD3" w:rsidRPr="00654E3B">
        <w:rPr>
          <w:rFonts w:cs="Times New Roman"/>
        </w:rPr>
        <w:t xml:space="preserve"> </w:t>
      </w:r>
      <w:r w:rsidRPr="00654E3B">
        <w:rPr>
          <w:rFonts w:cs="Times New Roman"/>
        </w:rPr>
        <w:t>izgaranja goriva, a 51,7</w:t>
      </w:r>
      <w:r w:rsidR="00060992" w:rsidRPr="00654E3B">
        <w:rPr>
          <w:rFonts w:cs="Times New Roman"/>
        </w:rPr>
        <w:t xml:space="preserve"> %</w:t>
      </w:r>
      <w:r w:rsidRPr="00654E3B">
        <w:rPr>
          <w:rFonts w:cs="Times New Roman"/>
        </w:rPr>
        <w:t xml:space="preserve"> na procesne emisije. U sklopu ovog sektora nisu uračunate emisije do kojih dolazi uslijed proizvodnje električne energije i topline koja je predana prerađivačkoj industriji, jer se one obračunavaju u drugim sektorima. Najveći izvori emisije stakleničkih plinova, zajedno s velikim energetskim izvorima, uključeni su u ETS sustav. To su: proizvodnja cementa, proizvodnja vapna i ostalih mineralnih proizvoda, proizvodnja amonijaka i dušične kiseline te proizvodnja željeza i čelika.</w:t>
      </w:r>
    </w:p>
    <w:p w:rsidR="007D4A93" w:rsidRPr="00654E3B" w:rsidRDefault="00EF0BEB">
      <w:pPr>
        <w:spacing w:line="240" w:lineRule="auto"/>
        <w:rPr>
          <w:rFonts w:cs="Times New Roman"/>
        </w:rPr>
      </w:pPr>
      <w:bookmarkStart w:id="253" w:name="_Hlk36802421"/>
      <w:bookmarkEnd w:id="252"/>
      <w:r w:rsidRPr="00654E3B">
        <w:rPr>
          <w:rFonts w:cs="Times New Roman"/>
        </w:rPr>
        <w:t>Emisija iz uporabe zamjenskih tvari za tvari koje oštećuju ozonski sloj (hidrofluorougljikovodici, HFC)</w:t>
      </w:r>
      <w:r w:rsidR="008E6808" w:rsidRPr="00654E3B">
        <w:rPr>
          <w:rFonts w:cs="Times New Roman"/>
        </w:rPr>
        <w:t>,</w:t>
      </w:r>
      <w:r w:rsidRPr="00654E3B">
        <w:rPr>
          <w:rFonts w:cs="Times New Roman"/>
        </w:rPr>
        <w:t xml:space="preserve"> je u 2018. godini bila na razini 2,1</w:t>
      </w:r>
      <w:r w:rsidR="00060992" w:rsidRPr="00654E3B">
        <w:rPr>
          <w:rFonts w:cs="Times New Roman"/>
        </w:rPr>
        <w:t xml:space="preserve"> %</w:t>
      </w:r>
      <w:r w:rsidRPr="00654E3B">
        <w:rPr>
          <w:rFonts w:cs="Times New Roman"/>
        </w:rPr>
        <w:t xml:space="preserve"> ukupne emisije stakleničkih plinova Republike Hrvatske. Udio emisije iz potrošnje sumporovog heksafluorida (SF</w:t>
      </w:r>
      <w:r w:rsidRPr="00654E3B">
        <w:rPr>
          <w:rFonts w:cs="Times New Roman"/>
          <w:vertAlign w:val="subscript"/>
        </w:rPr>
        <w:t>6</w:t>
      </w:r>
      <w:r w:rsidRPr="00654E3B">
        <w:rPr>
          <w:rFonts w:cs="Times New Roman"/>
        </w:rPr>
        <w:t>) je 0,3</w:t>
      </w:r>
      <w:r w:rsidR="00060992" w:rsidRPr="00654E3B">
        <w:rPr>
          <w:rFonts w:cs="Times New Roman"/>
        </w:rPr>
        <w:t xml:space="preserve"> %</w:t>
      </w:r>
      <w:r w:rsidRPr="00654E3B">
        <w:rPr>
          <w:rFonts w:cs="Times New Roman"/>
        </w:rPr>
        <w:t xml:space="preserve"> ukupne emisije stakleničkih plinova Republike Hrvatske.</w:t>
      </w:r>
      <w:bookmarkEnd w:id="253"/>
    </w:p>
    <w:p w:rsidR="00AB40C9" w:rsidRPr="00654E3B" w:rsidRDefault="00EF0BEB">
      <w:pPr>
        <w:spacing w:line="240" w:lineRule="auto"/>
        <w:rPr>
          <w:rFonts w:cs="Times New Roman"/>
        </w:rPr>
      </w:pPr>
      <w:r w:rsidRPr="00654E3B">
        <w:rPr>
          <w:rFonts w:cs="Times New Roman"/>
        </w:rPr>
        <w:t>U sektoru prerađivačke industrije, u scenarijima NU1 i NU2, u odnosu na 1990. godinu, postiže se smanjenje emisije za 54,1 do 57,5</w:t>
      </w:r>
      <w:r w:rsidR="00060992" w:rsidRPr="00654E3B">
        <w:rPr>
          <w:rFonts w:cs="Times New Roman"/>
        </w:rPr>
        <w:t xml:space="preserve"> %</w:t>
      </w:r>
      <w:r w:rsidRPr="00654E3B">
        <w:rPr>
          <w:rFonts w:cs="Times New Roman"/>
        </w:rPr>
        <w:t xml:space="preserve"> u 2030. godini te za 64,4 do 83,0</w:t>
      </w:r>
      <w:r w:rsidR="00060992" w:rsidRPr="00654E3B">
        <w:rPr>
          <w:rFonts w:cs="Times New Roman"/>
        </w:rPr>
        <w:t xml:space="preserve"> %</w:t>
      </w:r>
      <w:r w:rsidRPr="00654E3B">
        <w:rPr>
          <w:rFonts w:cs="Times New Roman"/>
        </w:rPr>
        <w:t xml:space="preserve"> u 2050. godini.</w:t>
      </w:r>
    </w:p>
    <w:p w:rsidR="007D4A93" w:rsidRPr="00654E3B" w:rsidRDefault="00EF0BEB" w:rsidP="009F6651">
      <w:pPr>
        <w:pStyle w:val="Heading3"/>
      </w:pPr>
      <w:bookmarkStart w:id="254" w:name="_Toc69297761"/>
      <w:r w:rsidRPr="00654E3B">
        <w:t>6.5.2.</w:t>
      </w:r>
      <w:r w:rsidRPr="00654E3B">
        <w:tab/>
        <w:t>Politike i mjere za niskougljični razvoj</w:t>
      </w:r>
      <w:bookmarkEnd w:id="254"/>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 xml:space="preserve">Utjecaj ETS-a </w:t>
      </w:r>
    </w:p>
    <w:p w:rsidR="007D4A93" w:rsidRPr="00654E3B" w:rsidRDefault="00EF0BEB">
      <w:pPr>
        <w:rPr>
          <w:rFonts w:cs="Times New Roman"/>
        </w:rPr>
      </w:pPr>
      <w:r w:rsidRPr="00654E3B">
        <w:rPr>
          <w:rFonts w:cs="Times New Roman"/>
        </w:rPr>
        <w:t>Budući da je većina industrijskih postrojenja uključena u ETS, ne postoji velika mogućnost izravnog utjecaja države na smanjenje emisije ETS-a. U razdoblju do 2030. godine sudionici ETS-a će i dalje dio jedinica dobivati besplatno. Okvir klimatsko-energetske politike do 2030. godine</w:t>
      </w:r>
      <w:r w:rsidR="008E6808" w:rsidRPr="00654E3B">
        <w:rPr>
          <w:rFonts w:cs="Times New Roman"/>
        </w:rPr>
        <w:t>,</w:t>
      </w:r>
      <w:r w:rsidRPr="00654E3B">
        <w:rPr>
          <w:rFonts w:cs="Times New Roman"/>
        </w:rPr>
        <w:t xml:space="preserve"> produžuje besplatnu dodjelu i dalje na temelju usporedbe s referentnim vrijednostima za proizvode, toplinu, daljinsko grijanje i gorivo.</w:t>
      </w:r>
    </w:p>
    <w:p w:rsidR="007D4A93" w:rsidRPr="00654E3B" w:rsidRDefault="00EF0BEB">
      <w:pPr>
        <w:rPr>
          <w:rFonts w:cs="Times New Roman"/>
        </w:rPr>
      </w:pPr>
      <w:r w:rsidRPr="00654E3B">
        <w:rPr>
          <w:rFonts w:cs="Times New Roman"/>
        </w:rPr>
        <w:t>Za industriju će biti ključna cijena emisijskih jedinica na tržištu ETS-a, odnosno signali vezano za dugoročnu predvidivost cijene. Postavlja se pitanje kada i koliko će industrija reagirati na ETS politiku, o čemu će ovisiti emisija stakleničkih plinova. Moguće djelovanje industrije na povećanje cijena</w:t>
      </w:r>
      <w:r w:rsidR="008E6808" w:rsidRPr="00654E3B">
        <w:rPr>
          <w:rFonts w:cs="Times New Roman"/>
        </w:rPr>
        <w:t>,</w:t>
      </w:r>
      <w:r w:rsidRPr="00654E3B">
        <w:rPr>
          <w:rFonts w:cs="Times New Roman"/>
        </w:rPr>
        <w:t xml:space="preserve"> ovisit će o udjelu cijene </w:t>
      </w:r>
      <w:r w:rsidR="008E6808" w:rsidRPr="00654E3B">
        <w:rPr>
          <w:rFonts w:cs="Times New Roman"/>
        </w:rPr>
        <w:t xml:space="preserve">emisijskih jedinica </w:t>
      </w:r>
      <w:r w:rsidRPr="00654E3B">
        <w:rPr>
          <w:rFonts w:cs="Times New Roman"/>
        </w:rPr>
        <w:t xml:space="preserve">u varijabilnim troškovima, mogućnostima prilagodbe i u kolikoj mjeri se cijena </w:t>
      </w:r>
      <w:r w:rsidR="008E6808" w:rsidRPr="00654E3B">
        <w:rPr>
          <w:rFonts w:cs="Times New Roman"/>
        </w:rPr>
        <w:t xml:space="preserve">emisijskih jedinica </w:t>
      </w:r>
      <w:r w:rsidRPr="00654E3B">
        <w:rPr>
          <w:rFonts w:cs="Times New Roman"/>
        </w:rPr>
        <w:t xml:space="preserve">može prenijeti na kupce. Dodatno, Republika Hrvatska ima rizik od „istjecanja ugljika“ i konkurencije industrije iz susjednih država koje nisu u EU i pod snažnim obvezama smanjenja emisija stakleničkih plinova. U investiranju, signal cijene </w:t>
      </w:r>
      <w:r w:rsidR="008E6808" w:rsidRPr="00654E3B">
        <w:rPr>
          <w:rFonts w:cs="Times New Roman"/>
        </w:rPr>
        <w:t>emisijskih jedinica i</w:t>
      </w:r>
      <w:r w:rsidRPr="00654E3B">
        <w:rPr>
          <w:rFonts w:cs="Times New Roman"/>
        </w:rPr>
        <w:t>mat</w:t>
      </w:r>
      <w:r w:rsidR="008E6808" w:rsidRPr="00654E3B">
        <w:rPr>
          <w:rFonts w:cs="Times New Roman"/>
        </w:rPr>
        <w:t>i</w:t>
      </w:r>
      <w:r w:rsidRPr="00654E3B">
        <w:rPr>
          <w:rFonts w:cs="Times New Roman"/>
        </w:rPr>
        <w:t xml:space="preserve"> će značajnu, no ne i presudnu ulogu. Na donošenje odluka također će utjecati opći kontekst promjena u cjelokupnom sektoru (energetska učinkovitost, tržište rada, standardi, itd.).</w:t>
      </w:r>
    </w:p>
    <w:p w:rsidR="007D4A93" w:rsidRPr="00654E3B" w:rsidRDefault="00EF0BEB">
      <w:pPr>
        <w:rPr>
          <w:rFonts w:cs="Times New Roman"/>
        </w:rPr>
      </w:pPr>
      <w:r w:rsidRPr="00654E3B">
        <w:rPr>
          <w:rFonts w:cs="Times New Roman"/>
        </w:rPr>
        <w:t>Potpora industriji iz javnih sredstava je moguća u okviru pravila državnih potpora</w:t>
      </w:r>
      <w:r w:rsidR="0066738E" w:rsidRPr="00654E3B">
        <w:rPr>
          <w:rFonts w:cs="Times New Roman"/>
        </w:rPr>
        <w:t>.</w:t>
      </w:r>
      <w:r w:rsidRPr="00654E3B">
        <w:rPr>
          <w:rFonts w:cs="Times New Roman"/>
        </w:rPr>
        <w:t xml:space="preserve"> Potrebno je industriji osigurati druge linije </w:t>
      </w:r>
      <w:r w:rsidR="00332B66" w:rsidRPr="00654E3B">
        <w:rPr>
          <w:rFonts w:cs="Times New Roman"/>
        </w:rPr>
        <w:t xml:space="preserve">financiranja </w:t>
      </w:r>
      <w:r w:rsidRPr="00654E3B">
        <w:rPr>
          <w:rFonts w:cs="Times New Roman"/>
        </w:rPr>
        <w:t xml:space="preserve">putem razvojnih banaka, garancijskih modela i međunarodnih razvojnih kredita. Smanjenje emisije </w:t>
      </w:r>
      <w:r w:rsidR="00332B66" w:rsidRPr="00654E3B">
        <w:rPr>
          <w:rFonts w:cs="Times New Roman"/>
        </w:rPr>
        <w:t xml:space="preserve">stakleničkih plinova </w:t>
      </w:r>
      <w:r w:rsidRPr="00654E3B">
        <w:rPr>
          <w:rFonts w:cs="Times New Roman"/>
        </w:rPr>
        <w:t xml:space="preserve">samo je dio cjelokupne modernizacije industrijskih procesa i često nedjeljivo od ukupne investicije. </w:t>
      </w:r>
    </w:p>
    <w:p w:rsidR="007D4A93" w:rsidRPr="00654E3B" w:rsidRDefault="00EF0BEB">
      <w:pPr>
        <w:rPr>
          <w:rFonts w:cs="Times New Roman"/>
          <w:u w:val="single"/>
        </w:rPr>
      </w:pPr>
      <w:r w:rsidRPr="00654E3B">
        <w:rPr>
          <w:rFonts w:cs="Times New Roman"/>
          <w:u w:val="single"/>
        </w:rPr>
        <w:t>Mjere</w:t>
      </w:r>
    </w:p>
    <w:p w:rsidR="007D4A93" w:rsidRPr="00654E3B" w:rsidRDefault="00EF0BEB">
      <w:pPr>
        <w:rPr>
          <w:rFonts w:cs="Times New Roman"/>
        </w:rPr>
      </w:pPr>
      <w:r w:rsidRPr="00654E3B">
        <w:rPr>
          <w:rFonts w:cs="Times New Roman"/>
        </w:rPr>
        <w:t>Niskougljični scenariji</w:t>
      </w:r>
      <w:r w:rsidR="006316D3" w:rsidRPr="00654E3B">
        <w:rPr>
          <w:rFonts w:cs="Times New Roman"/>
        </w:rPr>
        <w:t>,</w:t>
      </w:r>
      <w:r w:rsidRPr="00654E3B">
        <w:rPr>
          <w:rFonts w:cs="Times New Roman"/>
        </w:rPr>
        <w:t xml:space="preserve"> uključuju primjenu troškovno-učinkovitih mjera za smanjenje emisija stakleničkih plinova iz potrošnje energije po industrijskim granama i procesnih emisija u proizvodnji cementa te smanjenje emisije fluoriranih stakleničkih plinova. </w:t>
      </w:r>
    </w:p>
    <w:p w:rsidR="007D4A93" w:rsidRPr="00654E3B" w:rsidRDefault="00EF0BEB">
      <w:pPr>
        <w:rPr>
          <w:rFonts w:eastAsia="MS Mincho" w:cs="Times New Roman"/>
          <w:szCs w:val="24"/>
          <w:lang w:eastAsia="ja-JP"/>
        </w:rPr>
      </w:pPr>
      <w:r w:rsidRPr="00654E3B">
        <w:rPr>
          <w:rFonts w:eastAsia="MS Mincho" w:cs="Times New Roman"/>
          <w:szCs w:val="24"/>
          <w:lang w:eastAsia="ja-JP"/>
        </w:rPr>
        <w:t xml:space="preserve">Scenarij NU2 uključuje </w:t>
      </w:r>
      <w:r w:rsidRPr="00654E3B">
        <w:rPr>
          <w:rFonts w:eastAsia="MS Mincho" w:cs="Times New Roman"/>
          <w:b/>
          <w:szCs w:val="24"/>
          <w:lang w:eastAsia="ja-JP"/>
        </w:rPr>
        <w:t>primjenu mjere hvatanja i skladištenja CO</w:t>
      </w:r>
      <w:r w:rsidRPr="00654E3B">
        <w:rPr>
          <w:rFonts w:eastAsia="MS Mincho" w:cs="Times New Roman"/>
          <w:b/>
          <w:szCs w:val="24"/>
          <w:vertAlign w:val="subscript"/>
          <w:lang w:eastAsia="ja-JP"/>
        </w:rPr>
        <w:t>2</w:t>
      </w:r>
      <w:r w:rsidRPr="00654E3B">
        <w:rPr>
          <w:rFonts w:eastAsia="MS Mincho" w:cs="Times New Roman"/>
          <w:szCs w:val="24"/>
          <w:lang w:eastAsia="ja-JP"/>
        </w:rPr>
        <w:t xml:space="preserve"> u postrojenjima za proizvodnju cementa u godinama nakon 2040. godine te intenzivniju primjenu procesnih mjera u proizvodnji cementa.</w:t>
      </w:r>
    </w:p>
    <w:p w:rsidR="007D4A93" w:rsidRPr="00654E3B" w:rsidRDefault="00EF0BEB">
      <w:pPr>
        <w:rPr>
          <w:rFonts w:eastAsia="MS Mincho" w:cs="Times New Roman"/>
          <w:szCs w:val="24"/>
          <w:lang w:eastAsia="ja-JP"/>
        </w:rPr>
      </w:pPr>
      <w:r w:rsidRPr="00654E3B">
        <w:rPr>
          <w:rFonts w:eastAsia="MS Mincho" w:cs="Times New Roman"/>
          <w:szCs w:val="24"/>
          <w:lang w:eastAsia="ja-JP"/>
        </w:rPr>
        <w:lastRenderedPageBreak/>
        <w:t>Industrijska postrojenja imaju na raspolaganju velike površine</w:t>
      </w:r>
      <w:r w:rsidR="0080064F" w:rsidRPr="00654E3B">
        <w:rPr>
          <w:rFonts w:eastAsia="MS Mincho" w:cs="Times New Roman"/>
          <w:szCs w:val="24"/>
          <w:lang w:eastAsia="ja-JP"/>
        </w:rPr>
        <w:t>,</w:t>
      </w:r>
      <w:r w:rsidRPr="00654E3B">
        <w:rPr>
          <w:rFonts w:eastAsia="MS Mincho" w:cs="Times New Roman"/>
          <w:szCs w:val="24"/>
          <w:lang w:eastAsia="ja-JP"/>
        </w:rPr>
        <w:t xml:space="preserve"> što je prilika za izgradnju sunčevih toplinskih sustava i spremnika energije. Industrija može primjenom OIE također participirati u proizvodnji električne i toplinske energije za druge potrošače.</w:t>
      </w:r>
    </w:p>
    <w:p w:rsidR="007D4A93" w:rsidRPr="00654E3B" w:rsidRDefault="00EF0BEB">
      <w:pPr>
        <w:rPr>
          <w:rFonts w:eastAsia="MS Mincho" w:cs="Times New Roman"/>
          <w:szCs w:val="24"/>
          <w:lang w:eastAsia="ja-JP"/>
        </w:rPr>
      </w:pPr>
      <w:r w:rsidRPr="00654E3B">
        <w:rPr>
          <w:rFonts w:eastAsia="MS Mincho" w:cs="Times New Roman"/>
          <w:szCs w:val="24"/>
          <w:lang w:eastAsia="ja-JP"/>
        </w:rPr>
        <w:t xml:space="preserve">U industriji je potrebno promicati koncept kružnog gospodarstva, recikliranje i oporabu otpadnog materijala u vlastitom procesu i od drugih subjekata. </w:t>
      </w:r>
    </w:p>
    <w:p w:rsidR="007D4A93" w:rsidRPr="00654E3B" w:rsidRDefault="00EF0BEB">
      <w:pPr>
        <w:rPr>
          <w:rFonts w:eastAsia="MS Mincho" w:cs="Times New Roman"/>
          <w:szCs w:val="24"/>
          <w:lang w:eastAsia="ja-JP"/>
        </w:rPr>
      </w:pPr>
      <w:r w:rsidRPr="00654E3B">
        <w:rPr>
          <w:rFonts w:eastAsia="MS Mincho" w:cs="Times New Roman"/>
          <w:szCs w:val="24"/>
          <w:lang w:eastAsia="ja-JP"/>
        </w:rPr>
        <w:t>U izradi scenarija za fluorirane stakleničke plinove</w:t>
      </w:r>
      <w:r w:rsidR="0080064F" w:rsidRPr="00654E3B">
        <w:rPr>
          <w:rFonts w:eastAsia="MS Mincho" w:cs="Times New Roman"/>
          <w:szCs w:val="24"/>
          <w:lang w:eastAsia="ja-JP"/>
        </w:rPr>
        <w:t>,</w:t>
      </w:r>
      <w:r w:rsidRPr="00654E3B">
        <w:rPr>
          <w:rFonts w:eastAsia="MS Mincho" w:cs="Times New Roman"/>
          <w:szCs w:val="24"/>
          <w:lang w:eastAsia="ja-JP"/>
        </w:rPr>
        <w:t xml:space="preserve"> uključene su pretpostavke o ograničavanju i smanjenju njihove uporabe, sukladno odredbama Uredbe (EU) br. 517/2014 </w:t>
      </w:r>
      <w:r w:rsidR="001323D0" w:rsidRPr="00654E3B">
        <w:rPr>
          <w:rFonts w:eastAsia="MS Mincho" w:cs="Times New Roman"/>
          <w:szCs w:val="24"/>
          <w:lang w:eastAsia="ja-JP"/>
        </w:rPr>
        <w:t xml:space="preserve">Europskog parlamenta i Vijeća od 16. travnja 2014. o fluoriranim stakleničkim plinovima i stavljanju izvan snage Uredbe (EZ) br. 842/2006 (SL L 150, 20.5.2014.) </w:t>
      </w:r>
      <w:r w:rsidR="00AB3E65" w:rsidRPr="00654E3B">
        <w:rPr>
          <w:rFonts w:eastAsia="MS Mincho" w:cs="Times New Roman"/>
          <w:szCs w:val="24"/>
          <w:lang w:eastAsia="ja-JP"/>
        </w:rPr>
        <w:t>(</w:t>
      </w:r>
      <w:r w:rsidR="00060992" w:rsidRPr="00654E3B">
        <w:rPr>
          <w:rFonts w:eastAsia="MS Mincho" w:cs="Times New Roman"/>
          <w:szCs w:val="24"/>
          <w:lang w:eastAsia="ja-JP"/>
        </w:rPr>
        <w:t>u daljnjem tekstuu daljnjem tekstu</w:t>
      </w:r>
      <w:r w:rsidR="00AB3E65" w:rsidRPr="00654E3B">
        <w:rPr>
          <w:rFonts w:eastAsia="MS Mincho" w:cs="Times New Roman"/>
          <w:szCs w:val="24"/>
          <w:lang w:eastAsia="ja-JP"/>
        </w:rPr>
        <w:t>: Uredba (EU) br. 517/2014)</w:t>
      </w:r>
      <w:r w:rsidR="0080064F" w:rsidRPr="00654E3B">
        <w:rPr>
          <w:rFonts w:eastAsia="MS Mincho" w:cs="Times New Roman"/>
          <w:szCs w:val="24"/>
          <w:lang w:eastAsia="ja-JP"/>
        </w:rPr>
        <w:t>,</w:t>
      </w:r>
      <w:r w:rsidR="00AB3E65" w:rsidRPr="00654E3B">
        <w:rPr>
          <w:rFonts w:eastAsia="MS Mincho" w:cs="Times New Roman"/>
          <w:szCs w:val="24"/>
          <w:lang w:eastAsia="ja-JP"/>
        </w:rPr>
        <w:t xml:space="preserve"> </w:t>
      </w:r>
      <w:r w:rsidRPr="00654E3B">
        <w:rPr>
          <w:rFonts w:eastAsia="MS Mincho" w:cs="Times New Roman"/>
          <w:szCs w:val="24"/>
          <w:lang w:eastAsia="ja-JP"/>
        </w:rPr>
        <w:t>i Direktive 2006/40/EZ</w:t>
      </w:r>
      <w:r w:rsidR="001323D0" w:rsidRPr="00654E3B">
        <w:rPr>
          <w:rFonts w:eastAsia="MS Mincho" w:cs="Times New Roman"/>
          <w:szCs w:val="24"/>
          <w:lang w:eastAsia="ja-JP"/>
        </w:rPr>
        <w:t xml:space="preserve"> Europskog parlamenta i Vijeća od 17. svibnja 2006. o emisijama iz sustava za klimatizaciju u motornim vozilima i o izmjeni Direktive Vijeća 70/156/EEZ (SL L 161, 14.6.2006.)</w:t>
      </w:r>
      <w:r w:rsidR="00AC6410" w:rsidRPr="00654E3B">
        <w:rPr>
          <w:rFonts w:eastAsia="MS Mincho" w:cs="Times New Roman"/>
          <w:szCs w:val="24"/>
          <w:lang w:eastAsia="ja-JP"/>
        </w:rPr>
        <w:t xml:space="preserve"> (</w:t>
      </w:r>
      <w:r w:rsidR="00060992" w:rsidRPr="00654E3B">
        <w:rPr>
          <w:rFonts w:eastAsia="MS Mincho" w:cs="Times New Roman"/>
          <w:szCs w:val="24"/>
          <w:lang w:eastAsia="ja-JP"/>
        </w:rPr>
        <w:t>u daljnjem tekstu</w:t>
      </w:r>
      <w:r w:rsidR="00AC6410" w:rsidRPr="00654E3B">
        <w:rPr>
          <w:rFonts w:eastAsia="MS Mincho" w:cs="Times New Roman"/>
          <w:szCs w:val="24"/>
          <w:lang w:eastAsia="ja-JP"/>
        </w:rPr>
        <w:t>: Direktiva 2006/40/EZ)</w:t>
      </w:r>
      <w:r w:rsidRPr="00654E3B">
        <w:rPr>
          <w:rFonts w:eastAsia="MS Mincho" w:cs="Times New Roman"/>
          <w:szCs w:val="24"/>
          <w:lang w:eastAsia="ja-JP"/>
        </w:rPr>
        <w:t>.</w:t>
      </w:r>
    </w:p>
    <w:p w:rsidR="007D4A93" w:rsidRPr="00654E3B" w:rsidRDefault="00EF0BEB">
      <w:pPr>
        <w:rPr>
          <w:rFonts w:eastAsia="MS Mincho" w:cs="Times New Roman"/>
          <w:szCs w:val="24"/>
          <w:lang w:eastAsia="ja-JP"/>
        </w:rPr>
      </w:pPr>
      <w:r w:rsidRPr="00654E3B">
        <w:rPr>
          <w:rFonts w:eastAsia="MS Mincho" w:cs="Times New Roman"/>
          <w:szCs w:val="24"/>
          <w:lang w:eastAsia="ja-JP"/>
        </w:rPr>
        <w:t>Scenariji NU1 i NU2 uključuju intenzivnije smanjenje fluoriranih stakleničkih plinova dostupnih na tržištu nakon 2030. godine, u odnosu na NUR scenarij, sukladno stručnoj procjeni temeljenoj na nastavku trenda smanjenja fluoriranih stakleničkih plinova. U scenarije NU1 i NU2 uključene su pretpostavke o broju vozila, što je povezano sa smanjenjem emisija fluoriranih stakleničkih plinova iz mobilnih sustava za klimatizaciju.</w:t>
      </w:r>
    </w:p>
    <w:p w:rsidR="007D4A93" w:rsidRPr="00654E3B" w:rsidRDefault="00EF0BEB" w:rsidP="009F6651">
      <w:pPr>
        <w:pStyle w:val="Heading3"/>
      </w:pPr>
      <w:bookmarkStart w:id="255" w:name="_Toc69297762"/>
      <w:r w:rsidRPr="00654E3B">
        <w:t>6.5.3.</w:t>
      </w:r>
      <w:r w:rsidRPr="00654E3B">
        <w:tab/>
        <w:t>Smjernice za niskougljični razvoj</w:t>
      </w:r>
      <w:bookmarkEnd w:id="255"/>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Do 2030. godine</w:t>
      </w:r>
    </w:p>
    <w:p w:rsidR="007D4A93" w:rsidRPr="00654E3B" w:rsidRDefault="00EF0BEB" w:rsidP="000C6795">
      <w:pPr>
        <w:numPr>
          <w:ilvl w:val="0"/>
          <w:numId w:val="47"/>
        </w:numPr>
        <w:spacing w:line="240" w:lineRule="auto"/>
        <w:rPr>
          <w:rFonts w:cs="Times New Roman"/>
        </w:rPr>
      </w:pPr>
      <w:r w:rsidRPr="00654E3B">
        <w:rPr>
          <w:rFonts w:cs="Times New Roman"/>
        </w:rPr>
        <w:t>ETS ostaje glavni instrument politike smanjenja emisija industrijskog sektora. U svim investicijskim odlukama</w:t>
      </w:r>
      <w:r w:rsidR="0022095A" w:rsidRPr="00654E3B">
        <w:rPr>
          <w:rFonts w:cs="Times New Roman"/>
        </w:rPr>
        <w:t>,</w:t>
      </w:r>
      <w:r w:rsidRPr="00654E3B">
        <w:rPr>
          <w:rFonts w:cs="Times New Roman"/>
        </w:rPr>
        <w:t xml:space="preserve"> potrebno je uvažiti činjenicu da će cijene </w:t>
      </w:r>
      <w:r w:rsidR="0022095A" w:rsidRPr="00654E3B">
        <w:rPr>
          <w:rFonts w:cs="Times New Roman"/>
        </w:rPr>
        <w:t xml:space="preserve">emisijskih jedinica </w:t>
      </w:r>
      <w:r w:rsidRPr="00654E3B">
        <w:rPr>
          <w:rFonts w:cs="Times New Roman"/>
        </w:rPr>
        <w:t>u razdoblju od 202</w:t>
      </w:r>
      <w:r w:rsidR="007E0AD0" w:rsidRPr="00654E3B">
        <w:rPr>
          <w:rFonts w:cs="Times New Roman"/>
        </w:rPr>
        <w:t>1</w:t>
      </w:r>
      <w:r w:rsidRPr="00654E3B">
        <w:rPr>
          <w:rFonts w:cs="Times New Roman"/>
        </w:rPr>
        <w:t xml:space="preserve">. godine do 2030. godine vjerojatno biti na razini </w:t>
      </w:r>
      <w:r w:rsidR="0066738E" w:rsidRPr="00654E3B">
        <w:rPr>
          <w:rFonts w:cs="Times New Roman"/>
        </w:rPr>
        <w:t>oko</w:t>
      </w:r>
      <w:r w:rsidRPr="00654E3B">
        <w:rPr>
          <w:rFonts w:cs="Times New Roman"/>
        </w:rPr>
        <w:t xml:space="preserve"> 35 EUR/t</w:t>
      </w:r>
      <w:r w:rsidR="0022095A" w:rsidRPr="00654E3B">
        <w:rPr>
          <w:rFonts w:cs="Times New Roman"/>
        </w:rPr>
        <w:t xml:space="preserve"> </w:t>
      </w:r>
      <w:r w:rsidRPr="00654E3B">
        <w:rPr>
          <w:rFonts w:cs="Times New Roman"/>
        </w:rPr>
        <w:t>CO</w:t>
      </w:r>
      <w:r w:rsidRPr="00654E3B">
        <w:rPr>
          <w:rFonts w:cs="Times New Roman"/>
          <w:vertAlign w:val="subscript"/>
        </w:rPr>
        <w:t>2</w:t>
      </w:r>
      <w:r w:rsidRPr="00654E3B">
        <w:rPr>
          <w:rFonts w:cs="Times New Roman"/>
        </w:rPr>
        <w:t xml:space="preserve">.  </w:t>
      </w:r>
    </w:p>
    <w:p w:rsidR="007D4A93" w:rsidRPr="00654E3B" w:rsidRDefault="00EF0BEB" w:rsidP="000C6795">
      <w:pPr>
        <w:numPr>
          <w:ilvl w:val="0"/>
          <w:numId w:val="47"/>
        </w:numPr>
        <w:spacing w:line="240" w:lineRule="auto"/>
        <w:rPr>
          <w:rFonts w:cs="Times New Roman"/>
        </w:rPr>
      </w:pPr>
      <w:r w:rsidRPr="00654E3B">
        <w:rPr>
          <w:rFonts w:cs="Times New Roman"/>
        </w:rPr>
        <w:t>U ovom razdoblju</w:t>
      </w:r>
      <w:r w:rsidR="0022095A" w:rsidRPr="00654E3B">
        <w:rPr>
          <w:rFonts w:cs="Times New Roman"/>
        </w:rPr>
        <w:t>,</w:t>
      </w:r>
      <w:r w:rsidRPr="00654E3B">
        <w:rPr>
          <w:rFonts w:cs="Times New Roman"/>
        </w:rPr>
        <w:t xml:space="preserve"> industrija koja je u ETS</w:t>
      </w:r>
      <w:r w:rsidR="0022095A" w:rsidRPr="00654E3B">
        <w:rPr>
          <w:rFonts w:cs="Times New Roman"/>
        </w:rPr>
        <w:t>-u,</w:t>
      </w:r>
      <w:r w:rsidRPr="00654E3B">
        <w:rPr>
          <w:rFonts w:cs="Times New Roman"/>
        </w:rPr>
        <w:t xml:space="preserve"> treba poduzeti konkretne korake u približavanju referentnim vrijednostima najboljih raspoloživih tehnika. Navedeno podrazumijeva povećanje energetske učinkovitosti, modernizaciju procesa, prelazak na goriva s manje ugljika, korištenje vodika kao energenta, povećanje korištenja klimatski neutralne električne energije</w:t>
      </w:r>
      <w:r w:rsidR="0022095A" w:rsidRPr="00654E3B">
        <w:rPr>
          <w:rFonts w:cs="Times New Roman"/>
        </w:rPr>
        <w:t>.</w:t>
      </w:r>
    </w:p>
    <w:p w:rsidR="007D4A93" w:rsidRPr="00654E3B" w:rsidRDefault="00EF0BEB" w:rsidP="000C6795">
      <w:pPr>
        <w:numPr>
          <w:ilvl w:val="0"/>
          <w:numId w:val="47"/>
        </w:numPr>
        <w:spacing w:line="240" w:lineRule="auto"/>
        <w:rPr>
          <w:rFonts w:cs="Times New Roman"/>
        </w:rPr>
      </w:pPr>
      <w:r w:rsidRPr="00654E3B">
        <w:rPr>
          <w:rFonts w:cs="Times New Roman"/>
        </w:rPr>
        <w:t>Sustavi praćenja energetske potrošnje trebali bi imati i izračun ugljičnog otiska.</w:t>
      </w:r>
    </w:p>
    <w:p w:rsidR="007D4A93" w:rsidRPr="00654E3B" w:rsidRDefault="00EF0BEB" w:rsidP="000C6795">
      <w:pPr>
        <w:numPr>
          <w:ilvl w:val="0"/>
          <w:numId w:val="47"/>
        </w:numPr>
        <w:spacing w:line="240" w:lineRule="auto"/>
        <w:rPr>
          <w:rFonts w:cs="Times New Roman"/>
        </w:rPr>
      </w:pPr>
      <w:r w:rsidRPr="00654E3B">
        <w:rPr>
          <w:rFonts w:cs="Times New Roman"/>
        </w:rPr>
        <w:t>Potrebno je napraviti studiju učinka scenarija NU2 na sektor prerađivačke industrije.</w:t>
      </w:r>
    </w:p>
    <w:p w:rsidR="007D4A93" w:rsidRPr="00654E3B" w:rsidRDefault="00EF0BEB" w:rsidP="000C6795">
      <w:pPr>
        <w:numPr>
          <w:ilvl w:val="0"/>
          <w:numId w:val="47"/>
        </w:numPr>
        <w:spacing w:line="240" w:lineRule="auto"/>
        <w:rPr>
          <w:rFonts w:cs="Times New Roman"/>
        </w:rPr>
      </w:pPr>
      <w:r w:rsidRPr="00654E3B">
        <w:rPr>
          <w:rFonts w:eastAsia="Times New Roman" w:cs="Times New Roman"/>
          <w:lang w:eastAsia="hr-HR"/>
        </w:rPr>
        <w:t xml:space="preserve">Potrebno je poticati studije inovativnih rješenja i pilot projekata koja vode smanjenju emisije </w:t>
      </w:r>
      <w:r w:rsidR="0022095A" w:rsidRPr="00654E3B">
        <w:rPr>
          <w:rFonts w:eastAsia="Times New Roman" w:cs="Times New Roman"/>
          <w:lang w:eastAsia="hr-HR"/>
        </w:rPr>
        <w:t xml:space="preserve">stakleničkih plinova </w:t>
      </w:r>
      <w:r w:rsidRPr="00654E3B">
        <w:rPr>
          <w:rFonts w:eastAsia="Times New Roman" w:cs="Times New Roman"/>
          <w:lang w:eastAsia="hr-HR"/>
        </w:rPr>
        <w:t>ključnih industrijskih subjekata.</w:t>
      </w:r>
    </w:p>
    <w:p w:rsidR="007D4A93" w:rsidRPr="00654E3B" w:rsidRDefault="00EF0BEB" w:rsidP="000C6795">
      <w:pPr>
        <w:numPr>
          <w:ilvl w:val="0"/>
          <w:numId w:val="47"/>
        </w:numPr>
        <w:spacing w:line="240" w:lineRule="auto"/>
        <w:rPr>
          <w:rFonts w:cs="Times New Roman"/>
        </w:rPr>
      </w:pPr>
      <w:r w:rsidRPr="00654E3B">
        <w:rPr>
          <w:rFonts w:eastAsia="Times New Roman" w:cs="Times New Roman"/>
          <w:lang w:eastAsia="hr-HR"/>
        </w:rPr>
        <w:t>Osobito poticati rješenja koja doprinose poticanju kružnog gospodarstva.</w:t>
      </w:r>
    </w:p>
    <w:p w:rsidR="007D4A93" w:rsidRPr="00654E3B" w:rsidRDefault="00EF0BEB" w:rsidP="000C6795">
      <w:pPr>
        <w:numPr>
          <w:ilvl w:val="0"/>
          <w:numId w:val="47"/>
        </w:numPr>
        <w:spacing w:line="240" w:lineRule="auto"/>
        <w:rPr>
          <w:rFonts w:cs="Times New Roman"/>
        </w:rPr>
      </w:pPr>
      <w:r w:rsidRPr="00654E3B">
        <w:rPr>
          <w:rFonts w:cs="Times New Roman"/>
        </w:rPr>
        <w:t>Potrebno je ograničavati količine fluorougljikovodika dostupnih na tržištu do 2030. godine, sukladno odredbama nacionalnog i EU zakonodavstva.</w:t>
      </w:r>
    </w:p>
    <w:p w:rsidR="007D4A93" w:rsidRPr="00654E3B" w:rsidRDefault="00EF0BEB" w:rsidP="000C6795">
      <w:pPr>
        <w:numPr>
          <w:ilvl w:val="0"/>
          <w:numId w:val="47"/>
        </w:numPr>
        <w:spacing w:line="240" w:lineRule="auto"/>
        <w:rPr>
          <w:rFonts w:cs="Times New Roman"/>
        </w:rPr>
      </w:pPr>
      <w:r w:rsidRPr="00654E3B">
        <w:rPr>
          <w:rFonts w:cs="Times New Roman"/>
        </w:rPr>
        <w:t>Potrebno je ograničavati mogućnosti naknadne ugradnje klimatizacijske opreme</w:t>
      </w:r>
      <w:r w:rsidR="00FB7319" w:rsidRPr="00654E3B">
        <w:rPr>
          <w:rFonts w:cs="Times New Roman"/>
        </w:rPr>
        <w:t>,</w:t>
      </w:r>
      <w:r w:rsidRPr="00654E3B">
        <w:rPr>
          <w:rFonts w:cs="Times New Roman"/>
        </w:rPr>
        <w:t xml:space="preserve"> oblikovane da sadrži fluorirane stakleničke plinove s potencijalom globalnog zagrijavanja iznad 150 u motorna vozila te zabraniti punjenje klimatizacijske opreme tim plinovima.</w:t>
      </w:r>
    </w:p>
    <w:p w:rsidR="007D4A93" w:rsidRPr="00654E3B" w:rsidRDefault="00EF0BEB">
      <w:pPr>
        <w:rPr>
          <w:rFonts w:cs="Times New Roman"/>
          <w:u w:val="single"/>
        </w:rPr>
      </w:pPr>
      <w:r w:rsidRPr="00654E3B">
        <w:rPr>
          <w:rFonts w:cs="Times New Roman"/>
          <w:u w:val="single"/>
        </w:rPr>
        <w:t>Do 2050. godine</w:t>
      </w:r>
    </w:p>
    <w:p w:rsidR="007D4A93" w:rsidRPr="00654E3B" w:rsidRDefault="00EF0BEB" w:rsidP="000C6795">
      <w:pPr>
        <w:pStyle w:val="ListParagraph"/>
        <w:numPr>
          <w:ilvl w:val="0"/>
          <w:numId w:val="46"/>
        </w:numPr>
        <w:spacing w:line="240" w:lineRule="auto"/>
        <w:ind w:left="714" w:hanging="357"/>
        <w:contextualSpacing w:val="0"/>
        <w:rPr>
          <w:rFonts w:cs="Times New Roman"/>
        </w:rPr>
      </w:pPr>
      <w:r w:rsidRPr="00654E3B">
        <w:rPr>
          <w:rFonts w:cs="Times New Roman"/>
        </w:rPr>
        <w:t xml:space="preserve">U svim investicijskim odlukama potrebno je uvažiti činjenicu da će cijene </w:t>
      </w:r>
      <w:r w:rsidR="00FB7319" w:rsidRPr="00654E3B">
        <w:rPr>
          <w:rFonts w:cs="Times New Roman"/>
        </w:rPr>
        <w:t xml:space="preserve">emisijskih jedinica, </w:t>
      </w:r>
      <w:r w:rsidRPr="00654E3B">
        <w:rPr>
          <w:rFonts w:cs="Times New Roman"/>
        </w:rPr>
        <w:t>u razdoblju od 2030. godine do 2050. godine</w:t>
      </w:r>
      <w:r w:rsidR="00FB7319" w:rsidRPr="00654E3B">
        <w:rPr>
          <w:rFonts w:cs="Times New Roman"/>
        </w:rPr>
        <w:t>,</w:t>
      </w:r>
      <w:r w:rsidRPr="00654E3B">
        <w:rPr>
          <w:rFonts w:cs="Times New Roman"/>
        </w:rPr>
        <w:t xml:space="preserve"> doći na razinu do 90 EUR/tCO</w:t>
      </w:r>
      <w:r w:rsidRPr="00654E3B">
        <w:rPr>
          <w:rFonts w:cs="Times New Roman"/>
          <w:vertAlign w:val="subscript"/>
        </w:rPr>
        <w:t>2</w:t>
      </w:r>
      <w:r w:rsidRPr="00654E3B">
        <w:rPr>
          <w:rFonts w:cs="Times New Roman"/>
        </w:rPr>
        <w:t xml:space="preserve">.  </w:t>
      </w:r>
    </w:p>
    <w:p w:rsidR="007D4A93" w:rsidRPr="00654E3B" w:rsidRDefault="00EF0BEB" w:rsidP="000C6795">
      <w:pPr>
        <w:pStyle w:val="ListParagraph"/>
        <w:numPr>
          <w:ilvl w:val="0"/>
          <w:numId w:val="46"/>
        </w:numPr>
        <w:spacing w:line="240" w:lineRule="auto"/>
        <w:ind w:left="714" w:hanging="357"/>
        <w:contextualSpacing w:val="0"/>
        <w:rPr>
          <w:rFonts w:cs="Times New Roman"/>
        </w:rPr>
      </w:pPr>
      <w:r w:rsidRPr="00654E3B">
        <w:rPr>
          <w:rFonts w:cs="Times New Roman"/>
        </w:rPr>
        <w:t xml:space="preserve">Povećanje energetske učinkovitosti, korištenje OIE, modernizacija proizvodnih procesa, primjena recikliranog materijala, uključivanje u lance kružnog gospodarstva i biogospodarstva, korištenje prirodnih materijala i sirovina, korištenje električne energije i energetskih oblika </w:t>
      </w:r>
      <w:r w:rsidRPr="00654E3B">
        <w:rPr>
          <w:rFonts w:cs="Times New Roman"/>
        </w:rPr>
        <w:lastRenderedPageBreak/>
        <w:t>neutralnih za klimu (vodik, sintetska goriva), biogoriva gdje nije moguće koristiti električnu energiju ili energetske oblike neutralne za klimu.</w:t>
      </w:r>
    </w:p>
    <w:p w:rsidR="007D4A93" w:rsidRPr="00654E3B" w:rsidRDefault="00EF0BEB" w:rsidP="000C6795">
      <w:pPr>
        <w:numPr>
          <w:ilvl w:val="0"/>
          <w:numId w:val="46"/>
        </w:numPr>
        <w:spacing w:line="240" w:lineRule="auto"/>
        <w:ind w:left="714" w:hanging="357"/>
        <w:rPr>
          <w:rFonts w:cs="Times New Roman"/>
        </w:rPr>
      </w:pPr>
      <w:r w:rsidRPr="00654E3B">
        <w:rPr>
          <w:rFonts w:cs="Times New Roman"/>
        </w:rPr>
        <w:t xml:space="preserve">Za </w:t>
      </w:r>
      <w:r w:rsidR="00EE3970" w:rsidRPr="00654E3B">
        <w:rPr>
          <w:rFonts w:cs="Times New Roman"/>
        </w:rPr>
        <w:t xml:space="preserve">postizanje ciljeva iz scenarija </w:t>
      </w:r>
      <w:r w:rsidRPr="00654E3B">
        <w:rPr>
          <w:rFonts w:cs="Times New Roman"/>
        </w:rPr>
        <w:t>NU2, cementna i prerađivačka industrija te industrija za proizvodnju umjetnih gnojiva trebaju analizirati izvodljivost CCS sustava.</w:t>
      </w:r>
    </w:p>
    <w:p w:rsidR="007D4A93" w:rsidRPr="00654E3B" w:rsidRDefault="00EF0BEB" w:rsidP="000C6795">
      <w:pPr>
        <w:pStyle w:val="ListParagraph"/>
        <w:numPr>
          <w:ilvl w:val="0"/>
          <w:numId w:val="46"/>
        </w:numPr>
        <w:spacing w:line="240" w:lineRule="auto"/>
        <w:ind w:left="714" w:hanging="357"/>
        <w:contextualSpacing w:val="0"/>
        <w:rPr>
          <w:rFonts w:cs="Times New Roman"/>
        </w:rPr>
      </w:pPr>
      <w:r w:rsidRPr="00654E3B">
        <w:rPr>
          <w:rFonts w:cs="Times New Roman"/>
        </w:rPr>
        <w:t>Poticati ograničavanje i smanjenje uporabe fluoriranih stakleničkih plinova.</w:t>
      </w:r>
    </w:p>
    <w:p w:rsidR="007D4A93" w:rsidRPr="00654E3B" w:rsidRDefault="00EF0BEB" w:rsidP="000C6795">
      <w:pPr>
        <w:pStyle w:val="ListParagraph"/>
        <w:numPr>
          <w:ilvl w:val="0"/>
          <w:numId w:val="46"/>
        </w:numPr>
        <w:spacing w:line="240" w:lineRule="auto"/>
        <w:ind w:left="714" w:hanging="357"/>
        <w:contextualSpacing w:val="0"/>
        <w:rPr>
          <w:rFonts w:cs="Times New Roman"/>
        </w:rPr>
      </w:pPr>
      <w:r w:rsidRPr="00654E3B">
        <w:rPr>
          <w:rFonts w:cs="Times New Roman"/>
        </w:rPr>
        <w:t xml:space="preserve">Usluge i proizvodi trebaju imati iskazane ugljične otiske promatrano kroz ukupni životni ciklus. </w:t>
      </w:r>
    </w:p>
    <w:p w:rsidR="007D4A93" w:rsidRPr="00654E3B" w:rsidRDefault="00EF0BEB">
      <w:pPr>
        <w:pStyle w:val="Heading2"/>
        <w:rPr>
          <w:rFonts w:ascii="Times New Roman" w:hAnsi="Times New Roman" w:cs="Times New Roman"/>
        </w:rPr>
      </w:pPr>
      <w:bookmarkStart w:id="256" w:name="_Toc20841308"/>
      <w:bookmarkStart w:id="257" w:name="_Toc20841414"/>
      <w:bookmarkStart w:id="258" w:name="_Toc69297763"/>
      <w:r w:rsidRPr="00654E3B">
        <w:rPr>
          <w:rFonts w:ascii="Times New Roman" w:hAnsi="Times New Roman" w:cs="Times New Roman"/>
        </w:rPr>
        <w:t xml:space="preserve">6.6. </w:t>
      </w:r>
      <w:r w:rsidRPr="00654E3B">
        <w:rPr>
          <w:rFonts w:ascii="Times New Roman" w:hAnsi="Times New Roman" w:cs="Times New Roman"/>
        </w:rPr>
        <w:tab/>
        <w:t>POLJOPRIVREDA</w:t>
      </w:r>
      <w:bookmarkEnd w:id="256"/>
      <w:bookmarkEnd w:id="257"/>
      <w:bookmarkEnd w:id="258"/>
    </w:p>
    <w:p w:rsidR="007D4A93" w:rsidRPr="00654E3B" w:rsidRDefault="00EF0BEB" w:rsidP="009F6651">
      <w:pPr>
        <w:pStyle w:val="Heading3"/>
      </w:pPr>
      <w:bookmarkStart w:id="259" w:name="_Toc69297764"/>
      <w:r w:rsidRPr="00654E3B">
        <w:t>6.6.1. Emisije stakleničkih plinova</w:t>
      </w:r>
      <w:bookmarkEnd w:id="259"/>
    </w:p>
    <w:p w:rsidR="007D4A93" w:rsidRPr="00654E3B" w:rsidRDefault="007D4A93">
      <w:pPr>
        <w:keepNext/>
        <w:rPr>
          <w:rFonts w:cs="Times New Roman"/>
        </w:rPr>
      </w:pPr>
    </w:p>
    <w:p w:rsidR="007D4A93" w:rsidRPr="00654E3B" w:rsidRDefault="00EF0BEB">
      <w:pPr>
        <w:keepNext/>
        <w:rPr>
          <w:rFonts w:cs="Times New Roman"/>
        </w:rPr>
      </w:pPr>
      <w:bookmarkStart w:id="260" w:name="_Hlk36802438"/>
      <w:r w:rsidRPr="00654E3B">
        <w:rPr>
          <w:rFonts w:cs="Times New Roman"/>
        </w:rPr>
        <w:t>U ovom poglavlju se govori o emisiji N</w:t>
      </w:r>
      <w:r w:rsidRPr="00654E3B">
        <w:rPr>
          <w:rFonts w:cs="Times New Roman"/>
          <w:vertAlign w:val="subscript"/>
        </w:rPr>
        <w:t>2</w:t>
      </w:r>
      <w:r w:rsidRPr="00654E3B">
        <w:rPr>
          <w:rFonts w:cs="Times New Roman"/>
        </w:rPr>
        <w:t>O i CH</w:t>
      </w:r>
      <w:r w:rsidRPr="00654E3B">
        <w:rPr>
          <w:rFonts w:cs="Times New Roman"/>
          <w:vertAlign w:val="subscript"/>
        </w:rPr>
        <w:t>4</w:t>
      </w:r>
      <w:r w:rsidRPr="00654E3B">
        <w:rPr>
          <w:rFonts w:cs="Times New Roman"/>
        </w:rPr>
        <w:t>. Vezivanje ugljika u poljoprivrednu biomasu i tlo obrađuje se u LULUCF sektoru. Emisija CO</w:t>
      </w:r>
      <w:r w:rsidRPr="00654E3B">
        <w:rPr>
          <w:rFonts w:cs="Times New Roman"/>
          <w:vertAlign w:val="subscript"/>
        </w:rPr>
        <w:t>2</w:t>
      </w:r>
      <w:r w:rsidRPr="00654E3B">
        <w:rPr>
          <w:rFonts w:cs="Times New Roman"/>
        </w:rPr>
        <w:t xml:space="preserve"> zbog potrošnje goriva u poljoprivredi i ribarstvu obrađuje se u sektoru opće potrošnje. </w:t>
      </w:r>
    </w:p>
    <w:p w:rsidR="007D4A93" w:rsidRPr="00654E3B" w:rsidRDefault="00EF0BEB">
      <w:pPr>
        <w:rPr>
          <w:rFonts w:cs="Times New Roman"/>
        </w:rPr>
      </w:pPr>
      <w:r w:rsidRPr="00654E3B">
        <w:rPr>
          <w:rFonts w:cs="Times New Roman"/>
        </w:rPr>
        <w:t>Poljoprivreda je 2018. godine činila približno 11,4</w:t>
      </w:r>
      <w:r w:rsidR="00060992" w:rsidRPr="00654E3B">
        <w:rPr>
          <w:rFonts w:cs="Times New Roman"/>
        </w:rPr>
        <w:t xml:space="preserve"> %</w:t>
      </w:r>
      <w:r w:rsidRPr="00654E3B">
        <w:rPr>
          <w:rFonts w:cs="Times New Roman"/>
        </w:rPr>
        <w:t xml:space="preserve"> ukupne nacionalne emisije stakleničkih plinova. Primjena mineralnih gnojiva predstavlja glavne izvore emisije didušikovog oksida (29</w:t>
      </w:r>
      <w:r w:rsidR="00060992" w:rsidRPr="00654E3B">
        <w:rPr>
          <w:rFonts w:cs="Times New Roman"/>
        </w:rPr>
        <w:t xml:space="preserve"> %</w:t>
      </w:r>
      <w:r w:rsidRPr="00654E3B">
        <w:rPr>
          <w:rFonts w:cs="Times New Roman"/>
        </w:rPr>
        <w:t xml:space="preserve"> sektorske emisije N</w:t>
      </w:r>
      <w:r w:rsidRPr="00654E3B">
        <w:rPr>
          <w:rFonts w:cs="Times New Roman"/>
          <w:vertAlign w:val="subscript"/>
        </w:rPr>
        <w:t>2</w:t>
      </w:r>
      <w:r w:rsidRPr="00654E3B">
        <w:rPr>
          <w:rFonts w:cs="Times New Roman"/>
        </w:rPr>
        <w:t>O i 15</w:t>
      </w:r>
      <w:r w:rsidR="00060992" w:rsidRPr="00654E3B">
        <w:rPr>
          <w:rFonts w:cs="Times New Roman"/>
        </w:rPr>
        <w:t xml:space="preserve"> %</w:t>
      </w:r>
      <w:r w:rsidRPr="00654E3B">
        <w:rPr>
          <w:rFonts w:cs="Times New Roman"/>
        </w:rPr>
        <w:t xml:space="preserve"> ukupne sektorske emisije), uz emisije metana koje nastaju zbog uzgoja stoke (46</w:t>
      </w:r>
      <w:r w:rsidR="00060992" w:rsidRPr="00654E3B">
        <w:rPr>
          <w:rFonts w:cs="Times New Roman"/>
        </w:rPr>
        <w:t xml:space="preserve"> %</w:t>
      </w:r>
      <w:r w:rsidRPr="00654E3B">
        <w:rPr>
          <w:rFonts w:cs="Times New Roman"/>
        </w:rPr>
        <w:t xml:space="preserve"> ukupne sektorske emisije).</w:t>
      </w:r>
      <w:bookmarkEnd w:id="260"/>
    </w:p>
    <w:p w:rsidR="00AB40C9" w:rsidRPr="00654E3B" w:rsidRDefault="00EF0BEB">
      <w:pPr>
        <w:rPr>
          <w:rFonts w:cs="Times New Roman"/>
        </w:rPr>
      </w:pPr>
      <w:r w:rsidRPr="00654E3B">
        <w:rPr>
          <w:rFonts w:cs="Times New Roman"/>
        </w:rPr>
        <w:t>U ovom se sektoru, u odnosu na 1990. godinu, u niskougljičnim NU1 i NU2 scenarijima postiže smanjenje emisije za 44,5 do 46,3</w:t>
      </w:r>
      <w:r w:rsidR="00060992" w:rsidRPr="00654E3B">
        <w:rPr>
          <w:rFonts w:cs="Times New Roman"/>
        </w:rPr>
        <w:t xml:space="preserve"> %</w:t>
      </w:r>
      <w:r w:rsidRPr="00654E3B">
        <w:rPr>
          <w:rFonts w:cs="Times New Roman"/>
        </w:rPr>
        <w:t xml:space="preserve"> u 2030. godini, odnosno za 50,9 do 55,8</w:t>
      </w:r>
      <w:r w:rsidR="00060992" w:rsidRPr="00654E3B">
        <w:rPr>
          <w:rFonts w:cs="Times New Roman"/>
        </w:rPr>
        <w:t xml:space="preserve"> %</w:t>
      </w:r>
      <w:r w:rsidRPr="00654E3B">
        <w:rPr>
          <w:rFonts w:cs="Times New Roman"/>
        </w:rPr>
        <w:t xml:space="preserve"> u 2050. godini.</w:t>
      </w:r>
    </w:p>
    <w:p w:rsidR="007D4A93" w:rsidRPr="00654E3B" w:rsidRDefault="00EF0BEB" w:rsidP="009F6651">
      <w:pPr>
        <w:pStyle w:val="Heading3"/>
      </w:pPr>
      <w:bookmarkStart w:id="261" w:name="_Toc69297765"/>
      <w:r w:rsidRPr="00654E3B">
        <w:t>6.6.2. Politike i mjere za niskougljični razvoj</w:t>
      </w:r>
      <w:bookmarkEnd w:id="261"/>
    </w:p>
    <w:p w:rsidR="007D4A93" w:rsidRPr="00654E3B" w:rsidRDefault="007D4A93">
      <w:pPr>
        <w:rPr>
          <w:rFonts w:cs="Times New Roman"/>
        </w:rPr>
      </w:pPr>
    </w:p>
    <w:p w:rsidR="007D4A93" w:rsidRPr="00654E3B" w:rsidRDefault="00EF0BEB">
      <w:pPr>
        <w:rPr>
          <w:rFonts w:cs="Times New Roman"/>
        </w:rPr>
      </w:pPr>
      <w:r w:rsidRPr="00654E3B">
        <w:rPr>
          <w:rFonts w:cs="Times New Roman"/>
        </w:rPr>
        <w:t>Pokušaj drastičnog smanjenja emisije u poljoprivredi</w:t>
      </w:r>
      <w:r w:rsidR="00AC6260" w:rsidRPr="00654E3B">
        <w:rPr>
          <w:rFonts w:cs="Times New Roman"/>
        </w:rPr>
        <w:t>,</w:t>
      </w:r>
      <w:r w:rsidRPr="00654E3B">
        <w:rPr>
          <w:rFonts w:cs="Times New Roman"/>
        </w:rPr>
        <w:t xml:space="preserve"> imao bi izravni utjecaj na proizvodnju hrane, promjene u prinosima usjeva, načinu korištenja poljoprivrednih površina</w:t>
      </w:r>
      <w:r w:rsidR="00AC6260" w:rsidRPr="00654E3B">
        <w:rPr>
          <w:rFonts w:cs="Times New Roman"/>
        </w:rPr>
        <w:t xml:space="preserve"> te </w:t>
      </w:r>
      <w:r w:rsidRPr="00654E3B">
        <w:rPr>
          <w:rFonts w:cs="Times New Roman"/>
        </w:rPr>
        <w:t>promjene u produktivnosti i sastavu stočnog fonda. Primjena mjera u sektoru poljoprivrede</w:t>
      </w:r>
      <w:r w:rsidR="00AC6260" w:rsidRPr="00654E3B">
        <w:rPr>
          <w:rFonts w:cs="Times New Roman"/>
        </w:rPr>
        <w:t>,</w:t>
      </w:r>
      <w:r w:rsidRPr="00654E3B">
        <w:rPr>
          <w:rFonts w:cs="Times New Roman"/>
        </w:rPr>
        <w:t xml:space="preserve"> stoga ima snažnu gospodarsku i sociološku dimenziju.</w:t>
      </w:r>
    </w:p>
    <w:p w:rsidR="007D4A93" w:rsidRPr="00654E3B" w:rsidRDefault="00EF0BEB">
      <w:pPr>
        <w:rPr>
          <w:rFonts w:cs="Times New Roman"/>
        </w:rPr>
      </w:pPr>
      <w:r w:rsidRPr="00654E3B">
        <w:rPr>
          <w:rFonts w:cs="Times New Roman"/>
        </w:rPr>
        <w:t xml:space="preserve">Poljoprivreda je sektor koji je osobito ranjiv na klimatske promjene. Temeljni izazov je kako smanjiti emisije stakleničkih plinova i održati proizvodnju hrane. Klimatske promjene su samo jedan od pritisaka na poljoprivredu. U globalnom kontekstu povećanja konkurencije, proizvodnja hrane mora se promatrati kroz zajednički kontekst, poljoprivredu, energiju i sigurnost hrane. </w:t>
      </w:r>
    </w:p>
    <w:p w:rsidR="007D4A93" w:rsidRPr="00654E3B" w:rsidRDefault="00EF0BEB">
      <w:pPr>
        <w:rPr>
          <w:rFonts w:cs="Times New Roman"/>
        </w:rPr>
      </w:pPr>
      <w:r w:rsidRPr="00654E3B">
        <w:rPr>
          <w:rFonts w:cs="Times New Roman"/>
        </w:rPr>
        <w:t xml:space="preserve">Vizija </w:t>
      </w:r>
      <w:r w:rsidR="004A5CF0" w:rsidRPr="00654E3B">
        <w:rPr>
          <w:rFonts w:cs="Times New Roman"/>
        </w:rPr>
        <w:t xml:space="preserve">niskougljičnog razvoja u sektoru </w:t>
      </w:r>
      <w:r w:rsidRPr="00654E3B">
        <w:rPr>
          <w:rFonts w:cs="Times New Roman"/>
        </w:rPr>
        <w:t>poljoprivrede podrazumijeva punu primjenu dobre poljoprivredne prakse</w:t>
      </w:r>
      <w:r w:rsidR="00124CB6" w:rsidRPr="00654E3B">
        <w:rPr>
          <w:rFonts w:cs="Times New Roman"/>
        </w:rPr>
        <w:t>,</w:t>
      </w:r>
      <w:r w:rsidRPr="00654E3B">
        <w:rPr>
          <w:rFonts w:cs="Times New Roman"/>
        </w:rPr>
        <w:t xml:space="preserve"> koju bi trebali primjenjivati obrazovani poljoprivrednici, u obnovljenim selima, na okrupnjenim gospodarstvima, s visokim prinosima raznolikih kultura otpornih na klimatske promjene i rizike meteoroloških nepogoda. Gospodarstva će biti ekonomski održiva i konkurentna, s uzgojem koji je orijentiran prema eko-proizvodnji i zelenom tržištu, uz korištenje agrookolišnih i agrošumarskih sustava. Ruralna područja i gospodarstva će biti energetski gotovo neutralna i resursno učinkovita. Proizvodit će se biomasa za goriva bez ugrožavanja proizvodnje hrane, pri čemu će proaktivno doprinositi smanjenu emisije stakleničkih plinova s neznatnim utjecajima na okoliš. Sve mjere koje će se poduzimati biti će temeljene na troškovnoj učinkovitosti, uvažavanjem socio-gospodarskih i prirodnih osobitosti.  </w:t>
      </w:r>
    </w:p>
    <w:p w:rsidR="007D4A93" w:rsidRPr="00654E3B" w:rsidRDefault="00EF0BEB">
      <w:pPr>
        <w:rPr>
          <w:rFonts w:cs="Times New Roman"/>
        </w:rPr>
      </w:pPr>
      <w:r w:rsidRPr="00654E3B">
        <w:rPr>
          <w:rFonts w:cs="Times New Roman"/>
        </w:rPr>
        <w:t>Pozitivan utjecaj primjene mjera na ukupnu emisiju stakleničkih plinova u sektoru poljoprivrede</w:t>
      </w:r>
      <w:r w:rsidR="00124CB6" w:rsidRPr="00654E3B">
        <w:rPr>
          <w:rFonts w:cs="Times New Roman"/>
        </w:rPr>
        <w:t>,</w:t>
      </w:r>
      <w:r w:rsidRPr="00654E3B">
        <w:rPr>
          <w:rFonts w:cs="Times New Roman"/>
        </w:rPr>
        <w:t xml:space="preserve"> očituje se kroz izravno smanjenje emisija metana i didušikovih spojeva. Mjere uključene pri formiranju NU1 scenarija poljoprivrede u odnosu na NUR scenarij su:</w:t>
      </w:r>
    </w:p>
    <w:p w:rsidR="002409E5" w:rsidRPr="00654E3B" w:rsidRDefault="002409E5" w:rsidP="002409E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promjena u ishrani goveda i svinja te sastavu hrane za životinje</w:t>
      </w:r>
      <w:r w:rsidR="00124CB6" w:rsidRPr="00654E3B">
        <w:rPr>
          <w:rFonts w:cs="Times New Roman"/>
          <w:sz w:val="24"/>
          <w:szCs w:val="24"/>
        </w:rPr>
        <w:t>;</w:t>
      </w:r>
    </w:p>
    <w:p w:rsidR="002409E5" w:rsidRPr="00654E3B" w:rsidRDefault="002409E5" w:rsidP="002409E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lastRenderedPageBreak/>
        <w:t>anaerobna digestija (silaže i obnovljive ligno</w:t>
      </w:r>
      <w:r w:rsidR="00124CB6" w:rsidRPr="00654E3B">
        <w:rPr>
          <w:rFonts w:cs="Times New Roman"/>
          <w:sz w:val="24"/>
          <w:szCs w:val="24"/>
        </w:rPr>
        <w:t>-</w:t>
      </w:r>
      <w:r w:rsidRPr="00654E3B">
        <w:rPr>
          <w:rFonts w:cs="Times New Roman"/>
          <w:sz w:val="24"/>
          <w:szCs w:val="24"/>
        </w:rPr>
        <w:t>celulozne sirovine, organskih nusproizvoda prehrambene industrije i klaonica, biorazgradive frakcije čvrstog komunalnog otpada te mikrobne biomase) i proizvodnja bioplina za proizvodnju električne i toplinske energije i goriva za motore s unutarnjim izgaranjem</w:t>
      </w:r>
      <w:r w:rsidR="00124CB6" w:rsidRPr="00654E3B">
        <w:rPr>
          <w:rFonts w:cs="Times New Roman"/>
          <w:sz w:val="24"/>
          <w:szCs w:val="24"/>
        </w:rPr>
        <w:t>;</w:t>
      </w:r>
    </w:p>
    <w:p w:rsidR="00CF3E6D" w:rsidRPr="00654E3B" w:rsidRDefault="002409E5" w:rsidP="00CF3E6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 xml:space="preserve">unaprijediti objekte ili nastambe kao i sustav gospodarenja </w:t>
      </w:r>
      <w:r w:rsidR="00CF3E6D" w:rsidRPr="00654E3B">
        <w:rPr>
          <w:rFonts w:cs="Times New Roman"/>
          <w:sz w:val="24"/>
          <w:szCs w:val="24"/>
        </w:rPr>
        <w:t>gnojivom</w:t>
      </w:r>
      <w:r w:rsidR="00124CB6" w:rsidRPr="00654E3B">
        <w:rPr>
          <w:rFonts w:cs="Times New Roman"/>
          <w:sz w:val="24"/>
          <w:szCs w:val="24"/>
        </w:rPr>
        <w:t>;</w:t>
      </w:r>
    </w:p>
    <w:p w:rsidR="002409E5" w:rsidRPr="00654E3B" w:rsidRDefault="002409E5" w:rsidP="00CF3E6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unaprijediti aplikaciju gnojiva</w:t>
      </w:r>
      <w:r w:rsidR="00124CB6" w:rsidRPr="00654E3B">
        <w:rPr>
          <w:rFonts w:cs="Times New Roman"/>
          <w:sz w:val="24"/>
          <w:szCs w:val="24"/>
        </w:rPr>
        <w:t>;</w:t>
      </w:r>
    </w:p>
    <w:p w:rsidR="002409E5" w:rsidRPr="00654E3B" w:rsidRDefault="002409E5" w:rsidP="002409E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izgradnja hidromelioracijskih zahvata</w:t>
      </w:r>
      <w:r w:rsidR="00124CB6" w:rsidRPr="00654E3B">
        <w:rPr>
          <w:rFonts w:cs="Times New Roman"/>
          <w:sz w:val="24"/>
          <w:szCs w:val="24"/>
        </w:rPr>
        <w:t>;</w:t>
      </w:r>
    </w:p>
    <w:p w:rsidR="002409E5" w:rsidRPr="00654E3B" w:rsidRDefault="002409E5" w:rsidP="002409E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 xml:space="preserve">poticati razvoj </w:t>
      </w:r>
      <w:r w:rsidR="00474596" w:rsidRPr="00654E3B">
        <w:rPr>
          <w:rFonts w:cs="Times New Roman"/>
          <w:sz w:val="24"/>
          <w:szCs w:val="24"/>
        </w:rPr>
        <w:t>„</w:t>
      </w:r>
      <w:r w:rsidRPr="00654E3B">
        <w:rPr>
          <w:rFonts w:cs="Times New Roman"/>
          <w:sz w:val="24"/>
          <w:szCs w:val="24"/>
        </w:rPr>
        <w:t>precizne poljoprivrede</w:t>
      </w:r>
      <w:r w:rsidR="00474596" w:rsidRPr="00654E3B">
        <w:rPr>
          <w:rFonts w:cs="Times New Roman"/>
          <w:sz w:val="24"/>
          <w:szCs w:val="24"/>
        </w:rPr>
        <w:t>“</w:t>
      </w:r>
      <w:r w:rsidRPr="00654E3B">
        <w:rPr>
          <w:rFonts w:cs="Times New Roman"/>
          <w:sz w:val="24"/>
          <w:szCs w:val="24"/>
        </w:rPr>
        <w:t xml:space="preserve"> koja se temelji na razvijenim GIS i GPS</w:t>
      </w:r>
      <w:r w:rsidR="00474596" w:rsidRPr="00654E3B">
        <w:rPr>
          <w:rFonts w:cs="Times New Roman"/>
          <w:sz w:val="24"/>
          <w:szCs w:val="24"/>
        </w:rPr>
        <w:t xml:space="preserve"> </w:t>
      </w:r>
      <w:r w:rsidRPr="00654E3B">
        <w:rPr>
          <w:rFonts w:cs="Times New Roman"/>
          <w:sz w:val="24"/>
          <w:szCs w:val="24"/>
        </w:rPr>
        <w:t>tehnologijama</w:t>
      </w:r>
      <w:r w:rsidR="00124CB6" w:rsidRPr="00654E3B">
        <w:rPr>
          <w:rFonts w:cs="Times New Roman"/>
          <w:sz w:val="24"/>
          <w:szCs w:val="24"/>
        </w:rPr>
        <w:t>;</w:t>
      </w:r>
    </w:p>
    <w:p w:rsidR="002409E5" w:rsidRPr="00654E3B" w:rsidRDefault="002409E5" w:rsidP="002409E5">
      <w:pPr>
        <w:pStyle w:val="ListParagraph"/>
        <w:numPr>
          <w:ilvl w:val="0"/>
          <w:numId w:val="12"/>
        </w:numPr>
        <w:spacing w:line="240" w:lineRule="auto"/>
        <w:rPr>
          <w:rFonts w:cs="Times New Roman"/>
        </w:rPr>
      </w:pPr>
      <w:r w:rsidRPr="00654E3B">
        <w:rPr>
          <w:rFonts w:cs="Times New Roman"/>
          <w:sz w:val="24"/>
          <w:szCs w:val="24"/>
        </w:rPr>
        <w:t>uvođenje novih kultivara, sorti i vrsta</w:t>
      </w:r>
      <w:r w:rsidR="00124CB6" w:rsidRPr="00654E3B">
        <w:rPr>
          <w:rFonts w:cs="Times New Roman"/>
          <w:sz w:val="24"/>
          <w:szCs w:val="24"/>
        </w:rPr>
        <w:t>.</w:t>
      </w:r>
    </w:p>
    <w:p w:rsidR="007D4A93" w:rsidRPr="00654E3B" w:rsidRDefault="00EF0BEB">
      <w:pPr>
        <w:rPr>
          <w:rFonts w:cs="Times New Roman"/>
        </w:rPr>
      </w:pPr>
      <w:r w:rsidRPr="00654E3B">
        <w:rPr>
          <w:rFonts w:cs="Times New Roman"/>
        </w:rPr>
        <w:t>Na razini EU provodi se Zajednička poljoprivredna politika, koja uvažava osobitosti država članica. Osjetljivost primjene mjera raspoznata je na razini EU kao ključni izazov. Stoga je i u Okviru klimatsko-energetske politike do 2030. godine</w:t>
      </w:r>
      <w:r w:rsidR="00124CB6" w:rsidRPr="00654E3B">
        <w:rPr>
          <w:rFonts w:cs="Times New Roman"/>
        </w:rPr>
        <w:t>,</w:t>
      </w:r>
      <w:r w:rsidRPr="00654E3B">
        <w:rPr>
          <w:rFonts w:cs="Times New Roman"/>
        </w:rPr>
        <w:t xml:space="preserve"> predložen mehanizam kojim se državama članicama u slučaju potrebe omogućuje korištenje obračuna za sektore izvan ETS-a, odnosno korištenje </w:t>
      </w:r>
      <w:r w:rsidR="00BF4CA8" w:rsidRPr="00654E3B">
        <w:rPr>
          <w:rFonts w:cs="Times New Roman"/>
        </w:rPr>
        <w:t>ponor</w:t>
      </w:r>
      <w:r w:rsidRPr="00654E3B">
        <w:rPr>
          <w:rFonts w:cs="Times New Roman"/>
        </w:rPr>
        <w:t xml:space="preserve">a nastalih zbog promjena zaliha ugljika sadnjom novih šuma, promjena zaliha ugljika na poljoprivrednom zemljištu kojim se gospodari i </w:t>
      </w:r>
      <w:r w:rsidR="00BF4CA8" w:rsidRPr="00654E3B">
        <w:rPr>
          <w:rFonts w:cs="Times New Roman"/>
        </w:rPr>
        <w:t>ponor</w:t>
      </w:r>
      <w:r w:rsidRPr="00654E3B">
        <w:rPr>
          <w:rFonts w:cs="Times New Roman"/>
        </w:rPr>
        <w:t xml:space="preserve">e zbog promjene zaliha ugljika na pašnjacima kojima se gospodari. Ova fleksibilnost je određena temeljem udjela poljoprivrede u ukupnoj emisiji stakleničkih plinova sektora izvan ETS-a. Kako bi joj bilo omogućeno korištenje ove fleksibilnosti, potrebno je da Republika Hrvatska uspostavi cjelovit sustav praćenja promjena zaliha ugljika u poljoprivrednom tlu i pašnjacima, odnosno u svim kategorijama korištenja zemljišta, kako ih definira LULUCF. </w:t>
      </w:r>
    </w:p>
    <w:p w:rsidR="007D4A93" w:rsidRPr="00654E3B" w:rsidRDefault="00EF0BEB">
      <w:pPr>
        <w:rPr>
          <w:rFonts w:cs="Times New Roman"/>
        </w:rPr>
      </w:pPr>
      <w:r w:rsidRPr="00654E3B">
        <w:rPr>
          <w:rFonts w:cs="Times New Roman"/>
        </w:rPr>
        <w:t>Za procjenu potencijalnog umanjenja ukupnih emisija iskazanih kroz povećanje organskog ugljika u tlu (LULUCF sektor)</w:t>
      </w:r>
      <w:r w:rsidR="00124CB6" w:rsidRPr="00654E3B">
        <w:rPr>
          <w:rFonts w:cs="Times New Roman"/>
        </w:rPr>
        <w:t>,</w:t>
      </w:r>
      <w:r w:rsidRPr="00654E3B">
        <w:rPr>
          <w:rFonts w:cs="Times New Roman"/>
        </w:rPr>
        <w:t xml:space="preserve"> primjenom dodatnog seta mjera</w:t>
      </w:r>
      <w:r w:rsidR="000B4934" w:rsidRPr="00654E3B">
        <w:rPr>
          <w:rFonts w:cs="Times New Roman"/>
        </w:rPr>
        <w:t>,</w:t>
      </w:r>
      <w:r w:rsidRPr="00654E3B">
        <w:rPr>
          <w:rFonts w:cs="Times New Roman"/>
        </w:rPr>
        <w:t xml:space="preserve"> potrebno je provesti nacionalna istraživanja s ciljem definiranja stvarnih potencijala za povećavanje ugljika u poljoprivrednim tlima u Republici Hrvatskoj, posebice odnos sustava reducirane obrade tla s obzirom na gnojidbene preporuke, te nastaviti istraživanje potencijala za primjenu ovisno o </w:t>
      </w:r>
      <w:r w:rsidR="005E70D9" w:rsidRPr="00654E3B">
        <w:rPr>
          <w:rFonts w:cs="Times New Roman"/>
        </w:rPr>
        <w:t>tipu tla</w:t>
      </w:r>
      <w:r w:rsidRPr="00654E3B">
        <w:rPr>
          <w:rFonts w:cs="Times New Roman"/>
        </w:rPr>
        <w:t>. Mjere koje imaju potencijal za povećavanje sekvestracije ugljika: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unaprjeđivanje i promjena sustava obrade tla (reducirana obrada)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proširenje plodoreda s većim učešćem leguminoza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intenziviranje plodoreda korištenjem međuusjeva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poboljšanje načina primjene organskih gnojiva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zelena gnojidba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agrošumarstvo.</w:t>
      </w:r>
    </w:p>
    <w:p w:rsidR="007D4A93" w:rsidRPr="00654E3B" w:rsidRDefault="00EF0BEB">
      <w:pPr>
        <w:rPr>
          <w:rFonts w:cs="Times New Roman"/>
        </w:rPr>
      </w:pPr>
      <w:bookmarkStart w:id="262" w:name="_Toc475714748"/>
      <w:bookmarkStart w:id="263" w:name="_Toc475716161"/>
      <w:r w:rsidRPr="00654E3B">
        <w:rPr>
          <w:rFonts w:cs="Times New Roman"/>
        </w:rPr>
        <w:t>Potrebno je spomenuti da bi se dodatno značajno (izravno i neizravno) smanjenje emisije stakleničkih plinova</w:t>
      </w:r>
      <w:r w:rsidR="000B4934" w:rsidRPr="00654E3B">
        <w:rPr>
          <w:rFonts w:cs="Times New Roman"/>
        </w:rPr>
        <w:t>,</w:t>
      </w:r>
      <w:r w:rsidRPr="00654E3B">
        <w:rPr>
          <w:rFonts w:cs="Times New Roman"/>
        </w:rPr>
        <w:t xml:space="preserve"> moglo ostvariti uz promjene prehrambenih navika društva, odnosno mjerama kojima bi se poticala </w:t>
      </w:r>
      <w:r w:rsidR="009B6E92" w:rsidRPr="00654E3B">
        <w:rPr>
          <w:rFonts w:cs="Times New Roman"/>
        </w:rPr>
        <w:t xml:space="preserve">veća </w:t>
      </w:r>
      <w:r w:rsidRPr="00654E3B">
        <w:rPr>
          <w:rFonts w:cs="Times New Roman"/>
        </w:rPr>
        <w:t xml:space="preserve">potrošnja </w:t>
      </w:r>
      <w:r w:rsidR="009B6E92" w:rsidRPr="00654E3B">
        <w:rPr>
          <w:rFonts w:cs="Times New Roman"/>
        </w:rPr>
        <w:t xml:space="preserve"> namirnica biljnog porijekla</w:t>
      </w:r>
      <w:r w:rsidRPr="00654E3B">
        <w:rPr>
          <w:rFonts w:cs="Times New Roman"/>
        </w:rPr>
        <w:t xml:space="preserve">. Takve mjere podrazumijevaju i značajne promjene u strukturi poljoprivredne proizvodnje, posebice stočarstva. </w:t>
      </w:r>
      <w:r w:rsidR="007B2538" w:rsidRPr="00654E3B">
        <w:rPr>
          <w:rFonts w:cs="Times New Roman"/>
        </w:rPr>
        <w:t>Smanjenje ostataka i gubitaka od hrane treba biti jedna od prioritetnih mjera</w:t>
      </w:r>
      <w:r w:rsidRPr="00654E3B">
        <w:rPr>
          <w:rFonts w:cs="Times New Roman"/>
        </w:rPr>
        <w:t>.</w:t>
      </w:r>
    </w:p>
    <w:p w:rsidR="007D4A93" w:rsidRPr="00654E3B" w:rsidRDefault="00756CA8" w:rsidP="00756CA8">
      <w:pPr>
        <w:rPr>
          <w:rFonts w:cs="Times New Roman"/>
        </w:rPr>
      </w:pPr>
      <w:r w:rsidRPr="00654E3B">
        <w:rPr>
          <w:rFonts w:cs="Times New Roman"/>
        </w:rPr>
        <w:t>Potrebno je potaknuti razvoj projekata za proizvodnju bioplina i projekata za prikupljanje biomase, nastale nakon rezidbe trajnih nasada i žetve ratarskih vrsta te proizvodnju agropeleta</w:t>
      </w:r>
      <w:r w:rsidR="00995393" w:rsidRPr="00654E3B">
        <w:rPr>
          <w:rFonts w:cs="Times New Roman"/>
        </w:rPr>
        <w:t xml:space="preserve">. Izbjegnute emisije uslijed korištenja biomase obračunavaju se u sektoru energetike. Isto vrijedi i za sadnju brzorastućih kultura za proizvodnju biomase. </w:t>
      </w:r>
    </w:p>
    <w:p w:rsidR="007D4A93" w:rsidRPr="00654E3B" w:rsidRDefault="00EF0BEB">
      <w:pPr>
        <w:rPr>
          <w:rFonts w:cs="Times New Roman"/>
        </w:rPr>
      </w:pPr>
      <w:r w:rsidRPr="00654E3B">
        <w:rPr>
          <w:rFonts w:cs="Times New Roman"/>
        </w:rPr>
        <w:t xml:space="preserve">Proizvodnja biogoriva ne smije biti nauštrb proizvodnje hrane, stoga će prihvatljiva biti ona biogoriva koja su certificirana s obzirom na kriterij održivosti. </w:t>
      </w:r>
    </w:p>
    <w:p w:rsidR="007D4A93" w:rsidRPr="00654E3B" w:rsidRDefault="00EF0BEB">
      <w:pPr>
        <w:jc w:val="left"/>
        <w:rPr>
          <w:rFonts w:cs="Times New Roman"/>
          <w:u w:val="single"/>
        </w:rPr>
      </w:pPr>
      <w:r w:rsidRPr="00654E3B">
        <w:rPr>
          <w:rFonts w:cs="Times New Roman"/>
          <w:u w:val="single"/>
        </w:rPr>
        <w:t xml:space="preserve">Istraživanje, razvoj i poticanje lokalne i regionalne povezanosti proizvođača poljoprivrednih proizvoda i turističkog sektora </w:t>
      </w:r>
    </w:p>
    <w:p w:rsidR="007D4A93" w:rsidRPr="00654E3B" w:rsidRDefault="00EF0BEB">
      <w:pPr>
        <w:rPr>
          <w:rFonts w:cs="Times New Roman"/>
        </w:rPr>
      </w:pPr>
      <w:r w:rsidRPr="00654E3B">
        <w:rPr>
          <w:rFonts w:cs="Times New Roman"/>
        </w:rPr>
        <w:lastRenderedPageBreak/>
        <w:t>Osim tehničkih mjera za smanjenje emisija stakleničkih plinova ili uvođenje alternativnih načina obrade tla i procesa uzgoja i držanja stoke, svakako je potrebno razmotriti mogućnost iskorištavanja velikog sinergijskog potencijala poljoprivredne proizvodnje. Mnoge su prerađivačke proizvodne grane kao i tercijarni uslužni sektor komplementarne ili direktno ovisne o poljoprivrednoj proizvodnji. Budući da Republika Hrvatska ima veliku razvojnu snagu u očuvanim prirodnim (voda, tlo) resursima, očuvanim krajobraznim vrijednostima i činjenici da je snažan turistički recipijent (s velikim potencijalom za ruralni i ekološki turizam), obrazovanjem i poticanjem lokalnog povezivanja cijelog prehrambenog lanca „od polja do stola“ – odnosno povezivanja lokalne turističke ponude, prerađivača i lokalnih proizvođača</w:t>
      </w:r>
      <w:r w:rsidR="000B4934" w:rsidRPr="00654E3B">
        <w:rPr>
          <w:rFonts w:cs="Times New Roman"/>
        </w:rPr>
        <w:t>,</w:t>
      </w:r>
      <w:r w:rsidRPr="00654E3B">
        <w:rPr>
          <w:rFonts w:cs="Times New Roman"/>
        </w:rPr>
        <w:t xml:space="preserve"> svakako se može očekivati smanjenje emisije stakleničkih plinova – kako izravno korištenjem ekološke poljoprivrede ili tehnologije uzgoja s manjim gubicima dušika, tako i neizravno smanjenjem emisija uslijed transporta, skladištenja i obrade daleko od mjesta proizvodnje poljoprivrednog proizvoda.</w:t>
      </w:r>
      <w:bookmarkStart w:id="264" w:name="_Toc476226537"/>
      <w:bookmarkStart w:id="265" w:name="_Toc477868503"/>
      <w:bookmarkStart w:id="266" w:name="_Toc478995901"/>
      <w:bookmarkStart w:id="267" w:name="_Toc484159005"/>
    </w:p>
    <w:p w:rsidR="007D4A93" w:rsidRPr="00654E3B" w:rsidRDefault="00EF0BEB" w:rsidP="009F6651">
      <w:pPr>
        <w:pStyle w:val="Heading3"/>
      </w:pPr>
      <w:bookmarkStart w:id="268" w:name="_Toc69297766"/>
      <w:r w:rsidRPr="00654E3B">
        <w:t>6.6.3. Smjernice za niskougljični razvoj</w:t>
      </w:r>
      <w:bookmarkEnd w:id="262"/>
      <w:bookmarkEnd w:id="263"/>
      <w:bookmarkEnd w:id="264"/>
      <w:bookmarkEnd w:id="265"/>
      <w:bookmarkEnd w:id="266"/>
      <w:bookmarkEnd w:id="267"/>
      <w:bookmarkEnd w:id="268"/>
    </w:p>
    <w:p w:rsidR="007D4A93" w:rsidRPr="00654E3B" w:rsidRDefault="007D4A93">
      <w:pPr>
        <w:rPr>
          <w:rFonts w:cs="Times New Roman"/>
        </w:rPr>
      </w:pPr>
    </w:p>
    <w:p w:rsidR="007D4A93" w:rsidRPr="00654E3B" w:rsidRDefault="00EF0BEB">
      <w:pPr>
        <w:spacing w:line="240" w:lineRule="auto"/>
        <w:rPr>
          <w:rFonts w:cs="Times New Roman"/>
          <w:u w:val="single"/>
          <w:lang w:eastAsia="hr-HR"/>
        </w:rPr>
      </w:pPr>
      <w:r w:rsidRPr="00654E3B">
        <w:rPr>
          <w:rFonts w:cs="Times New Roman"/>
          <w:u w:val="single"/>
          <w:lang w:eastAsia="hr-HR"/>
        </w:rPr>
        <w:t>Do 2030. godine</w:t>
      </w:r>
    </w:p>
    <w:p w:rsidR="007D4A93" w:rsidRPr="00654E3B" w:rsidRDefault="00EF0BE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t xml:space="preserve">Očekuju se unaprjeđenja u sustavu uzgoja stoke i režimu </w:t>
      </w:r>
      <w:r w:rsidR="00DE41D8" w:rsidRPr="00654E3B">
        <w:rPr>
          <w:rFonts w:cs="Times New Roman"/>
          <w:lang w:eastAsia="hr-HR"/>
        </w:rPr>
        <w:t xml:space="preserve">ishrane </w:t>
      </w:r>
      <w:r w:rsidRPr="00654E3B">
        <w:rPr>
          <w:rFonts w:cs="Times New Roman"/>
          <w:lang w:eastAsia="hr-HR"/>
        </w:rPr>
        <w:t>(obrada krmiva s ciljem povećanja probavljivosti, poboljšanje kvalitete voluminoznih krmiva i unapređenje sustava napasivanja, upotreba aditiva u hrani za životinje)</w:t>
      </w:r>
      <w:r w:rsidR="000B4934" w:rsidRPr="00654E3B">
        <w:rPr>
          <w:rFonts w:cs="Times New Roman"/>
          <w:lang w:eastAsia="hr-HR"/>
        </w:rPr>
        <w:t>,</w:t>
      </w:r>
      <w:r w:rsidRPr="00654E3B">
        <w:rPr>
          <w:rFonts w:cs="Times New Roman"/>
          <w:lang w:eastAsia="hr-HR"/>
        </w:rPr>
        <w:t xml:space="preserve"> uz izgradnju bioplinskih postrojenja (</w:t>
      </w:r>
      <w:r w:rsidR="00982D90" w:rsidRPr="00654E3B">
        <w:rPr>
          <w:rFonts w:cs="Times New Roman"/>
          <w:lang w:eastAsia="hr-HR"/>
        </w:rPr>
        <w:t xml:space="preserve">uvođenje </w:t>
      </w:r>
      <w:r w:rsidRPr="00654E3B">
        <w:rPr>
          <w:rFonts w:cs="Times New Roman"/>
          <w:lang w:eastAsia="hr-HR"/>
        </w:rPr>
        <w:t xml:space="preserve">bioplinskih postrojenja na velikim </w:t>
      </w:r>
      <w:r w:rsidR="00982D90" w:rsidRPr="00654E3B">
        <w:rPr>
          <w:rFonts w:cs="Times New Roman"/>
          <w:lang w:eastAsia="hr-HR"/>
        </w:rPr>
        <w:t xml:space="preserve">i srednjim </w:t>
      </w:r>
      <w:r w:rsidRPr="00654E3B">
        <w:rPr>
          <w:rFonts w:cs="Times New Roman"/>
          <w:lang w:eastAsia="hr-HR"/>
        </w:rPr>
        <w:t>poljoprivrednim farmama – očekivano 25</w:t>
      </w:r>
      <w:r w:rsidR="00060992" w:rsidRPr="00654E3B">
        <w:rPr>
          <w:rFonts w:cs="Times New Roman"/>
          <w:lang w:eastAsia="hr-HR"/>
        </w:rPr>
        <w:t xml:space="preserve"> %</w:t>
      </w:r>
      <w:r w:rsidRPr="00654E3B">
        <w:rPr>
          <w:rFonts w:cs="Times New Roman"/>
          <w:lang w:eastAsia="hr-HR"/>
        </w:rPr>
        <w:t xml:space="preserve"> ukupnog broja grla svinja, goveda i peradi.). U ovome razdoblju će biti jasniji i daljnji trend kretanja broja grla stoke iz kojih će biti jasnije definirani prioritetni izvori emisije.</w:t>
      </w:r>
    </w:p>
    <w:p w:rsidR="007D4A93" w:rsidRPr="00654E3B" w:rsidRDefault="00662E12" w:rsidP="00662E12">
      <w:pPr>
        <w:pStyle w:val="ListParagraph"/>
        <w:numPr>
          <w:ilvl w:val="0"/>
          <w:numId w:val="45"/>
        </w:numPr>
        <w:spacing w:line="240" w:lineRule="auto"/>
        <w:rPr>
          <w:rFonts w:cs="Times New Roman"/>
          <w:lang w:eastAsia="hr-HR"/>
        </w:rPr>
      </w:pPr>
      <w:r w:rsidRPr="00654E3B">
        <w:rPr>
          <w:rFonts w:cs="Times New Roman"/>
          <w:lang w:eastAsia="hr-HR"/>
        </w:rPr>
        <w:t>Jačati sustav</w:t>
      </w:r>
      <w:r w:rsidR="00EF0BEB" w:rsidRPr="00654E3B">
        <w:rPr>
          <w:rFonts w:cs="Times New Roman"/>
          <w:lang w:eastAsia="hr-HR"/>
        </w:rPr>
        <w:t xml:space="preserve"> prikupljanja orezane biomase trajnih nasada i ratarske biomase</w:t>
      </w:r>
      <w:r w:rsidRPr="00654E3B">
        <w:rPr>
          <w:rFonts w:cs="Times New Roman"/>
          <w:lang w:eastAsia="hr-HR"/>
        </w:rPr>
        <w:t xml:space="preserve"> uvažavajući nužnost ostavljanja</w:t>
      </w:r>
      <w:r w:rsidR="00256EC7" w:rsidRPr="00654E3B">
        <w:rPr>
          <w:rFonts w:cs="Times New Roman"/>
          <w:lang w:eastAsia="hr-HR"/>
        </w:rPr>
        <w:t xml:space="preserve"> </w:t>
      </w:r>
      <w:r w:rsidRPr="00654E3B">
        <w:rPr>
          <w:rFonts w:cs="Times New Roman"/>
          <w:lang w:eastAsia="hr-HR"/>
        </w:rPr>
        <w:t xml:space="preserve">i unošenja ratarske biomase u tlo, radi povećanja sadržaja organske tvari u tlu, odnosno održavanja </w:t>
      </w:r>
      <w:r w:rsidR="000B4934" w:rsidRPr="00654E3B">
        <w:rPr>
          <w:rFonts w:cs="Times New Roman"/>
          <w:lang w:eastAsia="hr-HR"/>
        </w:rPr>
        <w:t xml:space="preserve">same </w:t>
      </w:r>
      <w:r w:rsidRPr="00654E3B">
        <w:rPr>
          <w:rFonts w:cs="Times New Roman"/>
          <w:lang w:eastAsia="hr-HR"/>
        </w:rPr>
        <w:t>plodnosti tla</w:t>
      </w:r>
      <w:r w:rsidR="00EF0BEB" w:rsidRPr="00654E3B">
        <w:rPr>
          <w:rFonts w:cs="Times New Roman"/>
          <w:lang w:eastAsia="hr-HR"/>
        </w:rPr>
        <w:t>.</w:t>
      </w:r>
    </w:p>
    <w:p w:rsidR="007D4A93" w:rsidRPr="00654E3B" w:rsidRDefault="00EF0BE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t xml:space="preserve">Izraditi studiju mogućnosti sadnje brzorastućih </w:t>
      </w:r>
      <w:r w:rsidR="00FD4068" w:rsidRPr="00654E3B">
        <w:rPr>
          <w:rFonts w:cs="Times New Roman"/>
          <w:lang w:eastAsia="hr-HR"/>
        </w:rPr>
        <w:t xml:space="preserve">vrsta </w:t>
      </w:r>
      <w:r w:rsidRPr="00654E3B">
        <w:rPr>
          <w:rFonts w:cs="Times New Roman"/>
          <w:lang w:eastAsia="hr-HR"/>
        </w:rPr>
        <w:t>i potaknuti nekoliko pilot projekata.</w:t>
      </w:r>
    </w:p>
    <w:p w:rsidR="007D4A93" w:rsidRPr="00654E3B" w:rsidRDefault="00F454A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t>Treba prioritetno poticati i provoditi mjere za smanjenje količina otpada od hrane</w:t>
      </w:r>
      <w:r w:rsidR="00EF0BEB" w:rsidRPr="00654E3B">
        <w:rPr>
          <w:rFonts w:cs="Times New Roman"/>
          <w:lang w:eastAsia="hr-HR"/>
        </w:rPr>
        <w:t>.</w:t>
      </w:r>
    </w:p>
    <w:p w:rsidR="007D4A93" w:rsidRPr="00654E3B" w:rsidRDefault="00EF0BE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t xml:space="preserve">Potrebno je razraditi i predložiti modele za poticanje inovativnih integriranih projekata, poljoprivrede, energetike i proizvodnje hrane. </w:t>
      </w:r>
    </w:p>
    <w:p w:rsidR="007D4A93" w:rsidRPr="00654E3B" w:rsidRDefault="00EF0BE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t>Potrebno je analizirati mogućnosti za korištenje pročišćenih otpadnih voda za navodnjavanje poljoprivrednih površina.</w:t>
      </w:r>
    </w:p>
    <w:p w:rsidR="007D4A93" w:rsidRPr="00654E3B" w:rsidRDefault="00EF0BEB" w:rsidP="00C05AE6">
      <w:pPr>
        <w:pStyle w:val="ListParagraph"/>
        <w:numPr>
          <w:ilvl w:val="0"/>
          <w:numId w:val="45"/>
        </w:numPr>
        <w:spacing w:after="0" w:line="240" w:lineRule="auto"/>
        <w:ind w:left="714" w:hanging="357"/>
        <w:rPr>
          <w:rFonts w:cs="Times New Roman"/>
          <w:lang w:eastAsia="hr-HR"/>
        </w:rPr>
      </w:pPr>
      <w:r w:rsidRPr="00654E3B">
        <w:rPr>
          <w:rFonts w:cs="Times New Roman"/>
          <w:lang w:eastAsia="hr-HR"/>
        </w:rPr>
        <w:t>Provedba mjera iz Programa ruralnog razvoja Republike Hrvatske za razdoblje 2014. – 2020. godine, novo programsko razdoblje i donošenje „</w:t>
      </w:r>
      <w:r w:rsidR="00B36E78" w:rsidRPr="00654E3B">
        <w:rPr>
          <w:rFonts w:cs="Times New Roman"/>
          <w:lang w:eastAsia="hr-HR"/>
        </w:rPr>
        <w:t>S</w:t>
      </w:r>
      <w:r w:rsidRPr="00654E3B">
        <w:rPr>
          <w:rFonts w:cs="Times New Roman"/>
          <w:lang w:eastAsia="hr-HR"/>
        </w:rPr>
        <w:t xml:space="preserve">trategije poljoprivrede </w:t>
      </w:r>
      <w:r w:rsidR="00107DAF" w:rsidRPr="00654E3B">
        <w:rPr>
          <w:rFonts w:cs="Times New Roman"/>
          <w:lang w:eastAsia="hr-HR"/>
        </w:rPr>
        <w:t xml:space="preserve">za razdoblje </w:t>
      </w:r>
      <w:r w:rsidR="00B36E78" w:rsidRPr="00654E3B">
        <w:rPr>
          <w:rFonts w:cs="Times New Roman"/>
          <w:lang w:eastAsia="hr-HR"/>
        </w:rPr>
        <w:t xml:space="preserve">do 2030. </w:t>
      </w:r>
      <w:r w:rsidRPr="00654E3B">
        <w:rPr>
          <w:rFonts w:cs="Times New Roman"/>
          <w:lang w:eastAsia="hr-HR"/>
        </w:rPr>
        <w:t>”</w:t>
      </w:r>
      <w:r w:rsidR="000B4934" w:rsidRPr="00654E3B">
        <w:rPr>
          <w:rFonts w:cs="Times New Roman"/>
          <w:lang w:eastAsia="hr-HR"/>
        </w:rPr>
        <w:t>,</w:t>
      </w:r>
      <w:r w:rsidRPr="00654E3B">
        <w:rPr>
          <w:rFonts w:cs="Times New Roman"/>
          <w:lang w:eastAsia="hr-HR"/>
        </w:rPr>
        <w:t xml:space="preserve"> definirati će ciljeve i smjernice djelovanja poljoprivredne politike, dok će programskim i planskim dokumentima iz područja ribarstva i akvakulture za razdoblje nakon 2020.</w:t>
      </w:r>
      <w:r w:rsidR="000B4934" w:rsidRPr="00654E3B">
        <w:rPr>
          <w:rFonts w:cs="Times New Roman"/>
          <w:lang w:eastAsia="hr-HR"/>
        </w:rPr>
        <w:t xml:space="preserve"> godine,</w:t>
      </w:r>
      <w:r w:rsidRPr="00654E3B">
        <w:rPr>
          <w:rFonts w:cs="Times New Roman"/>
          <w:lang w:eastAsia="hr-HR"/>
        </w:rPr>
        <w:t xml:space="preserve"> biti definirani daljnji ciljevi i prioriteti razvoja sektora ribarstva i akvakulture. </w:t>
      </w:r>
    </w:p>
    <w:p w:rsidR="007D4A93" w:rsidRPr="00654E3B" w:rsidRDefault="00EE7011" w:rsidP="00C05AE6">
      <w:pPr>
        <w:pStyle w:val="ListParagraph"/>
        <w:numPr>
          <w:ilvl w:val="0"/>
          <w:numId w:val="45"/>
        </w:numPr>
        <w:spacing w:after="0" w:line="240" w:lineRule="auto"/>
        <w:ind w:left="714" w:hanging="357"/>
        <w:rPr>
          <w:rFonts w:cs="Times New Roman"/>
          <w:lang w:eastAsia="hr-HR"/>
        </w:rPr>
      </w:pPr>
      <w:r w:rsidRPr="00654E3B">
        <w:rPr>
          <w:rFonts w:cs="Times New Roman"/>
          <w:lang w:eastAsia="hr-HR"/>
        </w:rPr>
        <w:t>Izgradnja sustava odvodnje, navodnjavanja te zaštite od prirodnih nepogoda na najmanje 40</w:t>
      </w:r>
      <w:r w:rsidR="00060992" w:rsidRPr="00654E3B">
        <w:rPr>
          <w:rFonts w:cs="Times New Roman"/>
          <w:lang w:eastAsia="hr-HR"/>
        </w:rPr>
        <w:t xml:space="preserve"> %</w:t>
      </w:r>
      <w:r w:rsidRPr="00654E3B">
        <w:rPr>
          <w:rFonts w:cs="Times New Roman"/>
          <w:lang w:eastAsia="hr-HR"/>
        </w:rPr>
        <w:t xml:space="preserve"> poljoprivrednih površina što će utjecati na emisije </w:t>
      </w:r>
      <w:r w:rsidR="00EF0BEB" w:rsidRPr="00654E3B">
        <w:rPr>
          <w:rFonts w:cs="Times New Roman"/>
          <w:lang w:eastAsia="hr-HR"/>
        </w:rPr>
        <w:t>N</w:t>
      </w:r>
      <w:r w:rsidR="00EF0BEB" w:rsidRPr="00654E3B">
        <w:rPr>
          <w:rFonts w:cs="Times New Roman"/>
          <w:vertAlign w:val="subscript"/>
          <w:lang w:eastAsia="hr-HR"/>
        </w:rPr>
        <w:t>2</w:t>
      </w:r>
      <w:r w:rsidR="00EF0BEB" w:rsidRPr="00654E3B">
        <w:rPr>
          <w:rFonts w:cs="Times New Roman"/>
          <w:lang w:eastAsia="hr-HR"/>
        </w:rPr>
        <w:t xml:space="preserve">O. </w:t>
      </w:r>
    </w:p>
    <w:p w:rsidR="007D4A93" w:rsidRPr="00654E3B" w:rsidRDefault="00EF0BEB" w:rsidP="00C05AE6">
      <w:pPr>
        <w:pStyle w:val="ListParagraph"/>
        <w:numPr>
          <w:ilvl w:val="0"/>
          <w:numId w:val="45"/>
        </w:numPr>
        <w:spacing w:after="0" w:line="240" w:lineRule="auto"/>
        <w:ind w:left="714" w:hanging="357"/>
        <w:rPr>
          <w:rFonts w:cs="Times New Roman"/>
          <w:lang w:eastAsia="hr-HR"/>
        </w:rPr>
      </w:pPr>
      <w:r w:rsidRPr="00654E3B">
        <w:rPr>
          <w:rFonts w:cs="Times New Roman"/>
          <w:lang w:eastAsia="hr-HR"/>
        </w:rPr>
        <w:t>Povećanje udjela sporodjelujućih gnojiva na 10</w:t>
      </w:r>
      <w:r w:rsidR="00060992" w:rsidRPr="00654E3B">
        <w:rPr>
          <w:rFonts w:cs="Times New Roman"/>
          <w:lang w:eastAsia="hr-HR"/>
        </w:rPr>
        <w:t xml:space="preserve"> %</w:t>
      </w:r>
      <w:r w:rsidRPr="00654E3B">
        <w:rPr>
          <w:rFonts w:cs="Times New Roman"/>
          <w:lang w:eastAsia="hr-HR"/>
        </w:rPr>
        <w:t xml:space="preserve"> u ukupnom utrošku mineralnih gnojiva. </w:t>
      </w:r>
    </w:p>
    <w:p w:rsidR="007D4A93" w:rsidRPr="00654E3B" w:rsidRDefault="00EF0BEB" w:rsidP="00C05AE6">
      <w:pPr>
        <w:numPr>
          <w:ilvl w:val="0"/>
          <w:numId w:val="45"/>
        </w:numPr>
        <w:spacing w:after="0" w:line="240" w:lineRule="auto"/>
        <w:ind w:left="714" w:hanging="357"/>
        <w:rPr>
          <w:rFonts w:cs="Times New Roman"/>
          <w:lang w:eastAsia="hr-HR"/>
        </w:rPr>
      </w:pPr>
      <w:r w:rsidRPr="00654E3B">
        <w:rPr>
          <w:rFonts w:cs="Times New Roman"/>
          <w:lang w:eastAsia="hr-HR"/>
        </w:rPr>
        <w:t xml:space="preserve">Provedba nacionalnih istraživanja s ciljem definiranja stvarnih potencijala za povećavanje </w:t>
      </w:r>
      <w:r w:rsidR="00BF4CA8" w:rsidRPr="00654E3B">
        <w:rPr>
          <w:rFonts w:cs="Times New Roman"/>
          <w:lang w:eastAsia="hr-HR"/>
        </w:rPr>
        <w:t>ponor</w:t>
      </w:r>
      <w:r w:rsidRPr="00654E3B">
        <w:rPr>
          <w:rFonts w:cs="Times New Roman"/>
          <w:lang w:eastAsia="hr-HR"/>
        </w:rPr>
        <w:t xml:space="preserve">a ugljika u poljoprivrednim tlima, kroz sekvestraciju organskog ugljika u tlu, posebno kod kombinacija sustava minimalne obrade i pokrovnih međuusjeva kod uzgoja žitarica, unaprjeđenja </w:t>
      </w:r>
      <w:r w:rsidR="00B330AE" w:rsidRPr="00654E3B">
        <w:rPr>
          <w:rFonts w:cs="Times New Roman"/>
          <w:lang w:eastAsia="hr-HR"/>
        </w:rPr>
        <w:t xml:space="preserve">primjene </w:t>
      </w:r>
      <w:r w:rsidRPr="00654E3B">
        <w:rPr>
          <w:rFonts w:cs="Times New Roman"/>
          <w:lang w:eastAsia="hr-HR"/>
        </w:rPr>
        <w:t>organskih gnojiva i agrošumarstva.</w:t>
      </w:r>
    </w:p>
    <w:p w:rsidR="007D4A93" w:rsidRPr="00654E3B" w:rsidRDefault="00EF0BEB" w:rsidP="000C6795">
      <w:pPr>
        <w:numPr>
          <w:ilvl w:val="0"/>
          <w:numId w:val="45"/>
        </w:numPr>
        <w:spacing w:line="240" w:lineRule="auto"/>
        <w:ind w:left="714" w:hanging="357"/>
        <w:rPr>
          <w:rFonts w:cs="Times New Roman"/>
          <w:lang w:eastAsia="hr-HR"/>
        </w:rPr>
      </w:pPr>
      <w:r w:rsidRPr="00654E3B">
        <w:rPr>
          <w:rFonts w:cs="Times New Roman"/>
          <w:lang w:eastAsia="hr-HR"/>
        </w:rPr>
        <w:t xml:space="preserve">Nacionalna istraživanja novih sorti </w:t>
      </w:r>
      <w:r w:rsidR="00B330AE" w:rsidRPr="00654E3B">
        <w:rPr>
          <w:rFonts w:cs="Times New Roman"/>
          <w:lang w:eastAsia="hr-HR"/>
        </w:rPr>
        <w:t xml:space="preserve">koje </w:t>
      </w:r>
      <w:r w:rsidRPr="00654E3B">
        <w:rPr>
          <w:rFonts w:cs="Times New Roman"/>
          <w:lang w:eastAsia="hr-HR"/>
        </w:rPr>
        <w:t xml:space="preserve">su </w:t>
      </w:r>
      <w:r w:rsidR="00B330AE" w:rsidRPr="00654E3B">
        <w:rPr>
          <w:rFonts w:cs="Times New Roman"/>
          <w:lang w:eastAsia="hr-HR"/>
        </w:rPr>
        <w:t xml:space="preserve">otpornije </w:t>
      </w:r>
      <w:r w:rsidRPr="00654E3B">
        <w:rPr>
          <w:rFonts w:cs="Times New Roman"/>
          <w:lang w:eastAsia="hr-HR"/>
        </w:rPr>
        <w:t>na sušu ili bolesti</w:t>
      </w:r>
      <w:r w:rsidR="00B330AE" w:rsidRPr="00654E3B">
        <w:rPr>
          <w:rFonts w:cs="Times New Roman"/>
          <w:lang w:eastAsia="hr-HR"/>
        </w:rPr>
        <w:t>,</w:t>
      </w:r>
      <w:r w:rsidRPr="00654E3B">
        <w:rPr>
          <w:rFonts w:cs="Times New Roman"/>
          <w:lang w:eastAsia="hr-HR"/>
        </w:rPr>
        <w:t xml:space="preserve"> odnosno imaju manji ukupni ugljični otisak te poticaji za prelazak i prilagodbe cijelog proizvodnog lanca na proizvodnju novih poljoprivrednih </w:t>
      </w:r>
      <w:r w:rsidR="00FD4068" w:rsidRPr="00654E3B">
        <w:rPr>
          <w:rFonts w:cs="Times New Roman"/>
          <w:lang w:eastAsia="hr-HR"/>
        </w:rPr>
        <w:t>vrsta</w:t>
      </w:r>
      <w:r w:rsidRPr="00654E3B">
        <w:rPr>
          <w:rFonts w:cs="Times New Roman"/>
          <w:lang w:eastAsia="hr-HR"/>
        </w:rPr>
        <w:t xml:space="preserve">. Ovo uključuje i ciljane </w:t>
      </w:r>
      <w:r w:rsidR="00FD4068" w:rsidRPr="00654E3B">
        <w:rPr>
          <w:rFonts w:cs="Times New Roman"/>
          <w:lang w:eastAsia="hr-HR"/>
        </w:rPr>
        <w:t xml:space="preserve">vrste </w:t>
      </w:r>
      <w:r w:rsidRPr="00654E3B">
        <w:rPr>
          <w:rFonts w:cs="Times New Roman"/>
          <w:lang w:eastAsia="hr-HR"/>
        </w:rPr>
        <w:t>za proizvodnju biomase za energetska postrojenja</w:t>
      </w:r>
      <w:r w:rsidR="00B330AE" w:rsidRPr="00654E3B">
        <w:rPr>
          <w:rFonts w:cs="Times New Roman"/>
          <w:lang w:eastAsia="hr-HR"/>
        </w:rPr>
        <w:t>.</w:t>
      </w:r>
    </w:p>
    <w:p w:rsidR="007D4A93" w:rsidRPr="00654E3B" w:rsidRDefault="00EF0BEB" w:rsidP="00C05AE6">
      <w:pPr>
        <w:numPr>
          <w:ilvl w:val="0"/>
          <w:numId w:val="45"/>
        </w:numPr>
        <w:spacing w:after="0" w:line="240" w:lineRule="auto"/>
        <w:ind w:left="714" w:hanging="357"/>
        <w:rPr>
          <w:rFonts w:cs="Times New Roman"/>
          <w:lang w:eastAsia="hr-HR"/>
        </w:rPr>
      </w:pPr>
      <w:r w:rsidRPr="00654E3B">
        <w:rPr>
          <w:rFonts w:cs="Times New Roman"/>
          <w:lang w:eastAsia="hr-HR"/>
        </w:rPr>
        <w:t>Regulirati primjenu gnojiva baziranu na analizama tla koje su mjerljive</w:t>
      </w:r>
      <w:r w:rsidR="00B330AE" w:rsidRPr="00654E3B">
        <w:rPr>
          <w:rFonts w:cs="Times New Roman"/>
          <w:lang w:eastAsia="hr-HR"/>
        </w:rPr>
        <w:t>,</w:t>
      </w:r>
      <w:r w:rsidRPr="00654E3B">
        <w:rPr>
          <w:rFonts w:cs="Times New Roman"/>
          <w:lang w:eastAsia="hr-HR"/>
        </w:rPr>
        <w:t xml:space="preserve"> te razvijati tzv. </w:t>
      </w:r>
      <w:r w:rsidR="00B330AE" w:rsidRPr="00654E3B">
        <w:rPr>
          <w:rFonts w:cs="Times New Roman"/>
          <w:lang w:eastAsia="hr-HR"/>
        </w:rPr>
        <w:t xml:space="preserve">kalkulatore </w:t>
      </w:r>
      <w:r w:rsidRPr="00654E3B">
        <w:rPr>
          <w:rFonts w:cs="Times New Roman"/>
          <w:lang w:eastAsia="hr-HR"/>
        </w:rPr>
        <w:t>gnojidbe koji će ovisno o opskrbljenosti tla definirati potrebne količine, načine primjene i vrste gnojiva</w:t>
      </w:r>
      <w:r w:rsidR="00B330AE" w:rsidRPr="00654E3B">
        <w:rPr>
          <w:rFonts w:cs="Times New Roman"/>
          <w:lang w:eastAsia="hr-HR"/>
        </w:rPr>
        <w:t>.</w:t>
      </w:r>
    </w:p>
    <w:p w:rsidR="007D4A93" w:rsidRPr="00654E3B" w:rsidRDefault="00EF0BEB" w:rsidP="00C05AE6">
      <w:pPr>
        <w:numPr>
          <w:ilvl w:val="0"/>
          <w:numId w:val="45"/>
        </w:numPr>
        <w:spacing w:after="0" w:line="240" w:lineRule="auto"/>
        <w:ind w:left="714" w:hanging="357"/>
        <w:rPr>
          <w:rFonts w:cs="Times New Roman"/>
          <w:lang w:eastAsia="hr-HR"/>
        </w:rPr>
      </w:pPr>
      <w:r w:rsidRPr="00654E3B">
        <w:rPr>
          <w:rFonts w:cs="Times New Roman"/>
          <w:lang w:eastAsia="hr-HR"/>
        </w:rPr>
        <w:t>Poticati projekte kojima se unaprjeđuju sustavi zaštite poljoprivrednog zemljišta kao neobnovljivog prirodnog resursa Republike Hrvatske</w:t>
      </w:r>
      <w:r w:rsidR="00B330AE" w:rsidRPr="00654E3B">
        <w:rPr>
          <w:rFonts w:cs="Times New Roman"/>
          <w:lang w:eastAsia="hr-HR"/>
        </w:rPr>
        <w:t>.</w:t>
      </w:r>
    </w:p>
    <w:p w:rsidR="007D4A93" w:rsidRPr="00654E3B" w:rsidRDefault="00EF0BEB" w:rsidP="000C6795">
      <w:pPr>
        <w:numPr>
          <w:ilvl w:val="0"/>
          <w:numId w:val="45"/>
        </w:numPr>
        <w:spacing w:line="240" w:lineRule="auto"/>
        <w:ind w:left="714" w:hanging="357"/>
        <w:rPr>
          <w:rFonts w:cs="Times New Roman"/>
          <w:lang w:eastAsia="hr-HR"/>
        </w:rPr>
      </w:pPr>
      <w:r w:rsidRPr="00654E3B">
        <w:rPr>
          <w:rFonts w:cs="Times New Roman"/>
          <w:lang w:eastAsia="hr-HR"/>
        </w:rPr>
        <w:lastRenderedPageBreak/>
        <w:t xml:space="preserve">Potrebno je poticati projekte razvoja informatičkih tehnologija koje se </w:t>
      </w:r>
      <w:r w:rsidR="00CD4778" w:rsidRPr="00654E3B">
        <w:rPr>
          <w:rFonts w:cs="Times New Roman"/>
          <w:lang w:eastAsia="hr-HR"/>
        </w:rPr>
        <w:t>primjenjuju</w:t>
      </w:r>
      <w:r w:rsidRPr="00654E3B">
        <w:rPr>
          <w:rFonts w:cs="Times New Roman"/>
          <w:lang w:eastAsia="hr-HR"/>
        </w:rPr>
        <w:t xml:space="preserve"> u preciznoj poljoprivredi i istraživanja vezano za njihovu primjenu u praksi (upotreba dronova, pametne mehanizacije, automatske meteorološke postaje i sl</w:t>
      </w:r>
      <w:r w:rsidR="00BB5DB6" w:rsidRPr="00654E3B">
        <w:rPr>
          <w:rFonts w:cs="Times New Roman"/>
          <w:lang w:eastAsia="hr-HR"/>
        </w:rPr>
        <w:t>.</w:t>
      </w:r>
      <w:r w:rsidRPr="00654E3B">
        <w:rPr>
          <w:rFonts w:cs="Times New Roman"/>
          <w:lang w:eastAsia="hr-HR"/>
        </w:rPr>
        <w:t>)</w:t>
      </w:r>
      <w:r w:rsidR="00BB5DB6" w:rsidRPr="00654E3B">
        <w:rPr>
          <w:rFonts w:cs="Times New Roman"/>
          <w:lang w:eastAsia="hr-HR"/>
        </w:rPr>
        <w:t>.</w:t>
      </w:r>
      <w:r w:rsidRPr="00654E3B">
        <w:rPr>
          <w:rFonts w:cs="Times New Roman"/>
          <w:lang w:eastAsia="hr-HR"/>
        </w:rPr>
        <w:t xml:space="preserve"> </w:t>
      </w:r>
    </w:p>
    <w:p w:rsidR="007D4A93" w:rsidRPr="00654E3B" w:rsidRDefault="00EF0BEB">
      <w:pPr>
        <w:rPr>
          <w:rFonts w:cs="Times New Roman"/>
          <w:u w:val="single"/>
          <w:lang w:eastAsia="hr-HR"/>
        </w:rPr>
      </w:pPr>
      <w:r w:rsidRPr="00654E3B">
        <w:rPr>
          <w:rFonts w:cs="Times New Roman"/>
          <w:u w:val="single"/>
          <w:lang w:eastAsia="hr-HR"/>
        </w:rPr>
        <w:t>Do 2050. godine</w:t>
      </w:r>
    </w:p>
    <w:p w:rsidR="007D4A93" w:rsidRPr="00654E3B" w:rsidRDefault="002664F4" w:rsidP="00CF6205">
      <w:pPr>
        <w:pStyle w:val="ListParagraph"/>
        <w:numPr>
          <w:ilvl w:val="0"/>
          <w:numId w:val="44"/>
        </w:numPr>
        <w:spacing w:line="240" w:lineRule="auto"/>
        <w:ind w:left="714" w:hanging="357"/>
        <w:rPr>
          <w:rFonts w:cs="Times New Roman"/>
          <w:lang w:eastAsia="hr-HR"/>
        </w:rPr>
      </w:pPr>
      <w:r w:rsidRPr="00654E3B">
        <w:rPr>
          <w:rFonts w:cs="Times New Roman"/>
          <w:lang w:eastAsia="hr-HR"/>
        </w:rPr>
        <w:t>Optimiziranje primjene organskih i mineralnih gnojiva. Planira se povećanje udjela sporo djelujućih gnojiva od 15</w:t>
      </w:r>
      <w:r w:rsidR="00060992" w:rsidRPr="00654E3B">
        <w:rPr>
          <w:rFonts w:cs="Times New Roman"/>
          <w:lang w:eastAsia="hr-HR"/>
        </w:rPr>
        <w:t xml:space="preserve"> %</w:t>
      </w:r>
      <w:r w:rsidRPr="00654E3B">
        <w:rPr>
          <w:rFonts w:cs="Times New Roman"/>
          <w:lang w:eastAsia="hr-HR"/>
        </w:rPr>
        <w:t xml:space="preserve"> u ukupnom udjelu mineralnih gnojiva kao i povećanje djela novih sorti</w:t>
      </w:r>
      <w:r w:rsidR="00CF6205" w:rsidRPr="00654E3B">
        <w:rPr>
          <w:rFonts w:cs="Times New Roman"/>
          <w:lang w:eastAsia="hr-HR"/>
        </w:rPr>
        <w:t>.</w:t>
      </w:r>
    </w:p>
    <w:p w:rsidR="007D4A93" w:rsidRPr="00654E3B" w:rsidRDefault="00EF0BEB" w:rsidP="000C6795">
      <w:pPr>
        <w:pStyle w:val="ListParagraph"/>
        <w:numPr>
          <w:ilvl w:val="0"/>
          <w:numId w:val="44"/>
        </w:numPr>
        <w:spacing w:line="240" w:lineRule="auto"/>
        <w:ind w:left="714" w:hanging="357"/>
        <w:rPr>
          <w:rFonts w:cs="Times New Roman"/>
          <w:lang w:eastAsia="hr-HR"/>
        </w:rPr>
      </w:pPr>
      <w:r w:rsidRPr="00654E3B">
        <w:rPr>
          <w:rFonts w:cs="Times New Roman"/>
          <w:lang w:eastAsia="hr-HR"/>
        </w:rPr>
        <w:t>Nastavak uvođenja bioplinskih postrojenja na gospodarstvima</w:t>
      </w:r>
      <w:r w:rsidR="00BB5DB6" w:rsidRPr="00654E3B">
        <w:rPr>
          <w:rFonts w:cs="Times New Roman"/>
          <w:lang w:eastAsia="hr-HR"/>
        </w:rPr>
        <w:t>,</w:t>
      </w:r>
      <w:r w:rsidRPr="00654E3B">
        <w:rPr>
          <w:rFonts w:cs="Times New Roman"/>
          <w:lang w:eastAsia="hr-HR"/>
        </w:rPr>
        <w:t xml:space="preserve"> čime bi 30</w:t>
      </w:r>
      <w:r w:rsidR="00060992" w:rsidRPr="00654E3B">
        <w:rPr>
          <w:rFonts w:cs="Times New Roman"/>
          <w:lang w:eastAsia="hr-HR"/>
        </w:rPr>
        <w:t xml:space="preserve"> %</w:t>
      </w:r>
      <w:r w:rsidRPr="00654E3B">
        <w:rPr>
          <w:rFonts w:cs="Times New Roman"/>
          <w:lang w:eastAsia="hr-HR"/>
        </w:rPr>
        <w:t xml:space="preserve"> ostataka primarne biomase svinja, goveda i peradi trebalo biti obrađeno na digestorima.</w:t>
      </w:r>
    </w:p>
    <w:p w:rsidR="007D4A93" w:rsidRPr="00654E3B" w:rsidRDefault="002664F4" w:rsidP="00CF6205">
      <w:pPr>
        <w:pStyle w:val="ListParagraph"/>
        <w:numPr>
          <w:ilvl w:val="0"/>
          <w:numId w:val="44"/>
        </w:numPr>
        <w:spacing w:line="240" w:lineRule="auto"/>
        <w:ind w:left="714" w:hanging="357"/>
        <w:rPr>
          <w:rFonts w:cs="Times New Roman"/>
          <w:lang w:eastAsia="hr-HR"/>
        </w:rPr>
      </w:pPr>
      <w:r w:rsidRPr="00654E3B">
        <w:rPr>
          <w:rFonts w:cs="Times New Roman"/>
          <w:lang w:eastAsia="hr-HR"/>
        </w:rPr>
        <w:t>Planira se izgradnja hidromelioracijskih zahvata i sustava zaštite od prirodnih nepogoda na što većem broju poljoprivrednih površina.</w:t>
      </w:r>
    </w:p>
    <w:p w:rsidR="007D4A93" w:rsidRPr="00654E3B" w:rsidRDefault="00EF0BEB" w:rsidP="000C6795">
      <w:pPr>
        <w:pStyle w:val="ListParagraph"/>
        <w:numPr>
          <w:ilvl w:val="0"/>
          <w:numId w:val="44"/>
        </w:numPr>
        <w:spacing w:line="240" w:lineRule="auto"/>
        <w:ind w:left="714" w:hanging="357"/>
        <w:rPr>
          <w:rFonts w:cs="Times New Roman"/>
          <w:szCs w:val="24"/>
          <w:lang w:eastAsia="hr-HR"/>
        </w:rPr>
      </w:pPr>
      <w:r w:rsidRPr="00654E3B">
        <w:rPr>
          <w:rFonts w:cs="Times New Roman"/>
          <w:szCs w:val="24"/>
          <w:lang w:eastAsia="hr-HR"/>
        </w:rPr>
        <w:t>Očekuje se da će povećanje produktivnosti i strukturalne promjene u poljoprivredi</w:t>
      </w:r>
      <w:r w:rsidR="00BB5DB6" w:rsidRPr="00654E3B">
        <w:rPr>
          <w:rFonts w:cs="Times New Roman"/>
          <w:szCs w:val="24"/>
          <w:lang w:eastAsia="hr-HR"/>
        </w:rPr>
        <w:t>,</w:t>
      </w:r>
      <w:r w:rsidRPr="00654E3B">
        <w:rPr>
          <w:rFonts w:cs="Times New Roman"/>
          <w:szCs w:val="24"/>
          <w:lang w:eastAsia="hr-HR"/>
        </w:rPr>
        <w:t xml:space="preserve"> omogućiti primjenu novih mjera koje danas još nisu u primjeni.</w:t>
      </w:r>
    </w:p>
    <w:p w:rsidR="007D4A93" w:rsidRPr="00654E3B" w:rsidRDefault="00EF0BEB" w:rsidP="000C6795">
      <w:pPr>
        <w:pStyle w:val="ListParagraph"/>
        <w:numPr>
          <w:ilvl w:val="0"/>
          <w:numId w:val="44"/>
        </w:numPr>
        <w:spacing w:line="240" w:lineRule="auto"/>
        <w:ind w:left="714" w:hanging="357"/>
        <w:rPr>
          <w:rFonts w:cs="Times New Roman"/>
          <w:szCs w:val="24"/>
          <w:lang w:eastAsia="hr-HR"/>
        </w:rPr>
      </w:pPr>
      <w:r w:rsidRPr="00654E3B">
        <w:rPr>
          <w:rFonts w:cs="Times New Roman"/>
          <w:szCs w:val="24"/>
          <w:lang w:eastAsia="hr-HR"/>
        </w:rPr>
        <w:t>Povezivanje mjera ublažavanja emisije stakleničkih plinova s mjerama prilagodbe klimatskim promjenama</w:t>
      </w:r>
      <w:r w:rsidR="00CF6205" w:rsidRPr="00654E3B">
        <w:rPr>
          <w:rFonts w:cs="Times New Roman"/>
          <w:szCs w:val="24"/>
          <w:lang w:eastAsia="hr-HR"/>
        </w:rPr>
        <w:t>.</w:t>
      </w:r>
    </w:p>
    <w:p w:rsidR="007D4A93" w:rsidRPr="00654E3B" w:rsidRDefault="00EF0BEB" w:rsidP="000C6795">
      <w:pPr>
        <w:pStyle w:val="ListParagraph"/>
        <w:numPr>
          <w:ilvl w:val="0"/>
          <w:numId w:val="44"/>
        </w:numPr>
        <w:spacing w:line="240" w:lineRule="auto"/>
        <w:ind w:left="714" w:hanging="357"/>
        <w:rPr>
          <w:rFonts w:cs="Times New Roman"/>
          <w:szCs w:val="24"/>
          <w:lang w:eastAsia="hr-HR"/>
        </w:rPr>
      </w:pPr>
      <w:r w:rsidRPr="00654E3B">
        <w:rPr>
          <w:rFonts w:cs="Times New Roman"/>
          <w:szCs w:val="24"/>
          <w:lang w:eastAsia="hr-HR"/>
        </w:rPr>
        <w:t xml:space="preserve">Mjere zajedničke poljoprivredne prakse trebaju biti valorizirane kroz doprinos smanjenju emisije i povećanju </w:t>
      </w:r>
      <w:r w:rsidR="00BF4CA8" w:rsidRPr="00654E3B">
        <w:rPr>
          <w:rFonts w:cs="Times New Roman"/>
          <w:szCs w:val="24"/>
          <w:lang w:eastAsia="hr-HR"/>
        </w:rPr>
        <w:t>ponor</w:t>
      </w:r>
      <w:r w:rsidRPr="00654E3B">
        <w:rPr>
          <w:rFonts w:cs="Times New Roman"/>
          <w:szCs w:val="24"/>
          <w:lang w:eastAsia="hr-HR"/>
        </w:rPr>
        <w:t>a emisija u okviru LULUCF sektora</w:t>
      </w:r>
      <w:r w:rsidR="00CF6205" w:rsidRPr="00654E3B">
        <w:rPr>
          <w:rFonts w:cs="Times New Roman"/>
          <w:szCs w:val="24"/>
          <w:lang w:eastAsia="hr-HR"/>
        </w:rPr>
        <w:t>.</w:t>
      </w:r>
    </w:p>
    <w:p w:rsidR="004909E9" w:rsidRPr="00654E3B" w:rsidRDefault="004909E9" w:rsidP="004909E9">
      <w:pPr>
        <w:pStyle w:val="ListParagraph"/>
        <w:spacing w:line="240" w:lineRule="auto"/>
        <w:ind w:left="714"/>
        <w:rPr>
          <w:rFonts w:cs="Times New Roman"/>
          <w:szCs w:val="24"/>
          <w:lang w:eastAsia="hr-HR"/>
        </w:rPr>
      </w:pPr>
    </w:p>
    <w:p w:rsidR="007D4A93" w:rsidRPr="00654E3B" w:rsidRDefault="00EF0BEB">
      <w:pPr>
        <w:pStyle w:val="Heading2"/>
        <w:rPr>
          <w:rFonts w:ascii="Times New Roman" w:hAnsi="Times New Roman" w:cs="Times New Roman"/>
        </w:rPr>
      </w:pPr>
      <w:bookmarkStart w:id="269" w:name="_Toc20841310"/>
      <w:bookmarkStart w:id="270" w:name="_Toc20841416"/>
      <w:bookmarkStart w:id="271" w:name="_Toc69297767"/>
      <w:r w:rsidRPr="00654E3B">
        <w:rPr>
          <w:rFonts w:ascii="Times New Roman" w:hAnsi="Times New Roman" w:cs="Times New Roman"/>
        </w:rPr>
        <w:t xml:space="preserve">6.7. </w:t>
      </w:r>
      <w:r w:rsidRPr="00654E3B">
        <w:rPr>
          <w:rFonts w:ascii="Times New Roman" w:hAnsi="Times New Roman" w:cs="Times New Roman"/>
        </w:rPr>
        <w:tab/>
      </w:r>
      <w:bookmarkEnd w:id="269"/>
      <w:bookmarkEnd w:id="270"/>
      <w:r w:rsidRPr="00654E3B">
        <w:rPr>
          <w:rFonts w:ascii="Times New Roman" w:hAnsi="Times New Roman" w:cs="Times New Roman"/>
        </w:rPr>
        <w:t>OTPAD</w:t>
      </w:r>
      <w:bookmarkEnd w:id="271"/>
    </w:p>
    <w:p w:rsidR="007D4A93" w:rsidRPr="00654E3B" w:rsidRDefault="00EF0BEB" w:rsidP="009F6651">
      <w:pPr>
        <w:pStyle w:val="Heading3"/>
      </w:pPr>
      <w:bookmarkStart w:id="272" w:name="_Toc69297768"/>
      <w:r w:rsidRPr="00654E3B">
        <w:t>6.7.1. Emisije stakleničkih plinova</w:t>
      </w:r>
      <w:bookmarkEnd w:id="272"/>
    </w:p>
    <w:p w:rsidR="007D4A93" w:rsidRPr="00654E3B" w:rsidRDefault="007D4A93">
      <w:pPr>
        <w:rPr>
          <w:rFonts w:cs="Times New Roman"/>
        </w:rPr>
      </w:pPr>
    </w:p>
    <w:p w:rsidR="007D4A93" w:rsidRPr="00654E3B" w:rsidRDefault="00EF0BEB">
      <w:pPr>
        <w:spacing w:line="240" w:lineRule="auto"/>
        <w:rPr>
          <w:rFonts w:cs="Times New Roman"/>
        </w:rPr>
      </w:pPr>
      <w:bookmarkStart w:id="273" w:name="_Hlk36802462"/>
      <w:r w:rsidRPr="00654E3B">
        <w:rPr>
          <w:rFonts w:cs="Times New Roman"/>
        </w:rPr>
        <w:t>Sektor otpad</w:t>
      </w:r>
      <w:r w:rsidR="00BB5DB6" w:rsidRPr="00654E3B">
        <w:rPr>
          <w:rFonts w:cs="Times New Roman"/>
        </w:rPr>
        <w:t>a</w:t>
      </w:r>
      <w:r w:rsidRPr="00654E3B">
        <w:rPr>
          <w:rFonts w:cs="Times New Roman"/>
        </w:rPr>
        <w:t xml:space="preserve"> sudjeluje u ukupnoj emisiji stakleničkih plinova Republike Hrvatske s 8,6</w:t>
      </w:r>
      <w:r w:rsidR="00060992" w:rsidRPr="00654E3B">
        <w:rPr>
          <w:rFonts w:cs="Times New Roman"/>
        </w:rPr>
        <w:t xml:space="preserve"> %</w:t>
      </w:r>
      <w:r w:rsidRPr="00654E3B">
        <w:rPr>
          <w:rFonts w:cs="Times New Roman"/>
        </w:rPr>
        <w:t xml:space="preserve"> u 2018. godini, od čega 99,6</w:t>
      </w:r>
      <w:r w:rsidR="00060992" w:rsidRPr="00654E3B">
        <w:rPr>
          <w:rFonts w:cs="Times New Roman"/>
        </w:rPr>
        <w:t xml:space="preserve"> %</w:t>
      </w:r>
      <w:r w:rsidRPr="00654E3B">
        <w:rPr>
          <w:rFonts w:cs="Times New Roman"/>
        </w:rPr>
        <w:t xml:space="preserve"> potječe iz ključnih izvora emisije: odlaganja krutog otpada i upravljanja otpadnim vodama. Od toga se 86,9</w:t>
      </w:r>
      <w:r w:rsidR="00060992" w:rsidRPr="00654E3B">
        <w:rPr>
          <w:rFonts w:cs="Times New Roman"/>
        </w:rPr>
        <w:t xml:space="preserve"> %</w:t>
      </w:r>
      <w:r w:rsidRPr="00654E3B">
        <w:rPr>
          <w:rFonts w:cs="Times New Roman"/>
        </w:rPr>
        <w:t xml:space="preserve"> emisije odnosi na odlaganje krutog otpada.</w:t>
      </w:r>
      <w:bookmarkEnd w:id="273"/>
    </w:p>
    <w:p w:rsidR="007D4A93" w:rsidRPr="00654E3B" w:rsidRDefault="00B06316">
      <w:pPr>
        <w:spacing w:line="240" w:lineRule="auto"/>
        <w:rPr>
          <w:rFonts w:cs="Times New Roman"/>
        </w:rPr>
      </w:pPr>
      <w:r w:rsidRPr="00654E3B">
        <w:rPr>
          <w:rFonts w:cs="Times New Roman"/>
        </w:rPr>
        <w:t>U sektoru otpada</w:t>
      </w:r>
      <w:r w:rsidR="00F549A1" w:rsidRPr="00654E3B">
        <w:rPr>
          <w:rFonts w:cs="Times New Roman"/>
        </w:rPr>
        <w:t xml:space="preserve"> je emisija u 2030. godini još uvijek viša u odnosu na 1990. godinu</w:t>
      </w:r>
      <w:r w:rsidRPr="00654E3B">
        <w:rPr>
          <w:rFonts w:cs="Times New Roman"/>
        </w:rPr>
        <w:t>, obzirom da emisije bilježe porast do 2018. godine</w:t>
      </w:r>
      <w:r w:rsidR="00F549A1" w:rsidRPr="00654E3B">
        <w:rPr>
          <w:rFonts w:cs="Times New Roman"/>
        </w:rPr>
        <w:t>.</w:t>
      </w:r>
      <w:r w:rsidRPr="00654E3B">
        <w:rPr>
          <w:rFonts w:cs="Times New Roman"/>
          <w:sz w:val="24"/>
          <w:szCs w:val="24"/>
        </w:rPr>
        <w:t xml:space="preserve"> </w:t>
      </w:r>
      <w:r w:rsidR="00EF0BEB" w:rsidRPr="00654E3B">
        <w:rPr>
          <w:rFonts w:cs="Times New Roman"/>
        </w:rPr>
        <w:t xml:space="preserve">U ovom sektoru se u odnosu na 1990. godinu </w:t>
      </w:r>
      <w:r w:rsidR="00CD4778" w:rsidRPr="00654E3B">
        <w:rPr>
          <w:rFonts w:cs="Times New Roman"/>
        </w:rPr>
        <w:t>bilježi</w:t>
      </w:r>
      <w:r w:rsidR="00EF0BEB" w:rsidRPr="00654E3B">
        <w:rPr>
          <w:rFonts w:cs="Times New Roman"/>
        </w:rPr>
        <w:t xml:space="preserve"> povećanje emisije za 35</w:t>
      </w:r>
      <w:r w:rsidR="00060992" w:rsidRPr="00654E3B">
        <w:rPr>
          <w:rFonts w:cs="Times New Roman"/>
        </w:rPr>
        <w:t xml:space="preserve"> %</w:t>
      </w:r>
      <w:r w:rsidR="00EF0BEB" w:rsidRPr="00654E3B">
        <w:rPr>
          <w:rFonts w:cs="Times New Roman"/>
        </w:rPr>
        <w:t xml:space="preserve"> u 2030. godini. Smanjenje emisije očekuje se tek u 2040. godini (za 7,6</w:t>
      </w:r>
      <w:r w:rsidR="00060992" w:rsidRPr="00654E3B">
        <w:rPr>
          <w:rFonts w:cs="Times New Roman"/>
        </w:rPr>
        <w:t xml:space="preserve"> %</w:t>
      </w:r>
      <w:r w:rsidR="00EF0BEB" w:rsidRPr="00654E3B">
        <w:rPr>
          <w:rFonts w:cs="Times New Roman"/>
        </w:rPr>
        <w:t>). U 2050. godini smanjenje će iznositi 29,4</w:t>
      </w:r>
      <w:r w:rsidR="00060992" w:rsidRPr="00654E3B">
        <w:rPr>
          <w:rFonts w:cs="Times New Roman"/>
        </w:rPr>
        <w:t xml:space="preserve"> %</w:t>
      </w:r>
      <w:r w:rsidR="00EF0BEB" w:rsidRPr="00654E3B">
        <w:rPr>
          <w:rFonts w:cs="Times New Roman"/>
        </w:rPr>
        <w:t xml:space="preserve"> u odnosu na razinu emisije u 1990. godini.</w:t>
      </w:r>
    </w:p>
    <w:p w:rsidR="007D4A93" w:rsidRPr="00654E3B" w:rsidRDefault="00EF0BEB" w:rsidP="009F6651">
      <w:pPr>
        <w:pStyle w:val="Heading3"/>
      </w:pPr>
      <w:bookmarkStart w:id="274" w:name="_Toc69297769"/>
      <w:r w:rsidRPr="00654E3B">
        <w:t>6.7.2. Politike i mjere za niskougljični razvoj</w:t>
      </w:r>
      <w:bookmarkEnd w:id="274"/>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Utjecaj održivog gospodarenja otpadom</w:t>
      </w:r>
    </w:p>
    <w:p w:rsidR="007D4A93" w:rsidRPr="00654E3B" w:rsidRDefault="00EF0BEB">
      <w:pPr>
        <w:rPr>
          <w:rFonts w:cs="Times New Roman"/>
        </w:rPr>
      </w:pPr>
      <w:r w:rsidRPr="00654E3B">
        <w:rPr>
          <w:rFonts w:cs="Times New Roman"/>
        </w:rPr>
        <w:t>Sprječavanjem nastajanja, odvojenim prikupljanjem, recikliranjem i oporabom otpada, količina krutog otpada za odlaganje svesti će se na minimum. Sva odlagališta biti će sanirana, centri za gospodarenje otpadom koristiti će napredne tehnologije kojima se, osim za dobivanje sirovina za materijalnu oporabu, otpad kemijski reciklira čime se dobivaju različiti kemijski spojevi koji se mogu koristiti u industrijskoj proizvodnji (etilen, amonijak i sl.)</w:t>
      </w:r>
      <w:r w:rsidR="00BB5DB6" w:rsidRPr="00654E3B">
        <w:rPr>
          <w:rFonts w:cs="Times New Roman"/>
        </w:rPr>
        <w:t>,</w:t>
      </w:r>
      <w:r w:rsidRPr="00654E3B">
        <w:rPr>
          <w:rFonts w:cs="Times New Roman"/>
        </w:rPr>
        <w:t xml:space="preserve"> kao i različita goriva (vodik, sintetski plin, tekuća goriva). Nova odlagališta biti će uređena na način da je njihov utjecaj na okoliš zanemariv. Uspostava sustava gospodarenja otpadom sukladno načelima kružnog gospodarstva</w:t>
      </w:r>
      <w:r w:rsidR="00BB5DB6" w:rsidRPr="00654E3B">
        <w:rPr>
          <w:rFonts w:cs="Times New Roman"/>
        </w:rPr>
        <w:t>,</w:t>
      </w:r>
      <w:r w:rsidRPr="00654E3B">
        <w:rPr>
          <w:rFonts w:cs="Times New Roman"/>
        </w:rPr>
        <w:t xml:space="preserve"> doprinijeti će resursnoj učinkovitosti s manjim negativnim utjecajem na ljude i okoliš.</w:t>
      </w:r>
    </w:p>
    <w:p w:rsidR="007D4A93" w:rsidRPr="00654E3B" w:rsidRDefault="00EF0BEB">
      <w:pPr>
        <w:rPr>
          <w:rFonts w:cs="Times New Roman"/>
        </w:rPr>
      </w:pPr>
      <w:r w:rsidRPr="00654E3B">
        <w:rPr>
          <w:rFonts w:cs="Times New Roman"/>
        </w:rPr>
        <w:t>Cilj Akcijskog plana EU-a za kružno gospodarstvo je poboljšanje uvjeta za održiviji rast</w:t>
      </w:r>
      <w:r w:rsidR="00BB5DB6" w:rsidRPr="00654E3B">
        <w:rPr>
          <w:rFonts w:cs="Times New Roman"/>
        </w:rPr>
        <w:t>,</w:t>
      </w:r>
      <w:r w:rsidRPr="00654E3B">
        <w:rPr>
          <w:rFonts w:cs="Times New Roman"/>
        </w:rPr>
        <w:t xml:space="preserve"> uz učinkovitije korištenje resursa te uspostavljanje dosljednosti s drugim područjima politike. Akcijski plan obuhvaća brojne teme i mjere, od dizajniranja proizvoda preko potrošnje</w:t>
      </w:r>
      <w:r w:rsidR="00BB5DB6" w:rsidRPr="00654E3B">
        <w:rPr>
          <w:rFonts w:cs="Times New Roman"/>
        </w:rPr>
        <w:t>,</w:t>
      </w:r>
      <w:r w:rsidRPr="00654E3B">
        <w:rPr>
          <w:rFonts w:cs="Times New Roman"/>
        </w:rPr>
        <w:t xml:space="preserve"> do gospodarenja otpadom i priznavanja veće vrijednosti resursa. Plan je promijeniti zakonodavni okvir za razvoj kružnog gospodarstva, zacrtati dugoročne ciljeve u pogledu gospodarenja otpadom te provesti daljnje specifične mjere. Osim toga, Akcijskim bi planom tijekom provedbe trebalo podržati poduzeća, društvo i države članice, kako na regionalnoj tako i na lokalnoj razini. U Akcijskom se planu izričito naglašava globalna dimenzija ovoga pitanja i upućuje na zacrtane ciljeve Programa UN-a za 2030. godinu za održivi razvoj.</w:t>
      </w:r>
    </w:p>
    <w:p w:rsidR="007D4A93" w:rsidRPr="00654E3B" w:rsidRDefault="00EF0BEB">
      <w:pPr>
        <w:rPr>
          <w:rFonts w:cs="Times New Roman"/>
        </w:rPr>
      </w:pPr>
      <w:r w:rsidRPr="00654E3B">
        <w:rPr>
          <w:rFonts w:cs="Times New Roman"/>
        </w:rPr>
        <w:lastRenderedPageBreak/>
        <w:t>Održivo gospodarenje otpadom podrazumijeva:</w:t>
      </w:r>
    </w:p>
    <w:p w:rsidR="007D4A93" w:rsidRPr="00654E3B" w:rsidRDefault="00EF0BEB" w:rsidP="000C6795">
      <w:pPr>
        <w:numPr>
          <w:ilvl w:val="0"/>
          <w:numId w:val="43"/>
        </w:numPr>
        <w:spacing w:line="240" w:lineRule="auto"/>
        <w:rPr>
          <w:rFonts w:cs="Times New Roman"/>
          <w:bCs/>
          <w:lang w:eastAsia="hr-HR"/>
        </w:rPr>
      </w:pPr>
      <w:r w:rsidRPr="00654E3B">
        <w:rPr>
          <w:rFonts w:cs="Times New Roman"/>
          <w:bCs/>
          <w:lang w:eastAsia="hr-HR"/>
        </w:rPr>
        <w:t>smanjenje (izbjegavanje) nastajanja otpada i emisija stakleničkih plinova</w:t>
      </w:r>
    </w:p>
    <w:p w:rsidR="007D4A93" w:rsidRPr="00654E3B" w:rsidRDefault="00EF0BEB" w:rsidP="000C6795">
      <w:pPr>
        <w:numPr>
          <w:ilvl w:val="0"/>
          <w:numId w:val="43"/>
        </w:numPr>
        <w:spacing w:line="240" w:lineRule="auto"/>
        <w:rPr>
          <w:rFonts w:cs="Times New Roman"/>
          <w:lang w:eastAsia="hr-HR"/>
        </w:rPr>
      </w:pPr>
      <w:r w:rsidRPr="00654E3B">
        <w:rPr>
          <w:rFonts w:cs="Times New Roman"/>
          <w:bCs/>
          <w:lang w:eastAsia="hr-HR"/>
        </w:rPr>
        <w:t>uspostavljen sustav gospodarenja otpadom</w:t>
      </w:r>
    </w:p>
    <w:p w:rsidR="007D4A93" w:rsidRPr="00654E3B" w:rsidRDefault="00EF0BEB" w:rsidP="000C6795">
      <w:pPr>
        <w:numPr>
          <w:ilvl w:val="0"/>
          <w:numId w:val="43"/>
        </w:numPr>
        <w:spacing w:line="240" w:lineRule="auto"/>
        <w:rPr>
          <w:rFonts w:cs="Times New Roman"/>
          <w:lang w:eastAsia="hr-HR"/>
        </w:rPr>
      </w:pPr>
      <w:r w:rsidRPr="00654E3B">
        <w:rPr>
          <w:rFonts w:cs="Times New Roman"/>
          <w:bCs/>
          <w:lang w:eastAsia="hr-HR"/>
        </w:rPr>
        <w:t xml:space="preserve">sanirana odlagališta </w:t>
      </w:r>
      <w:r w:rsidRPr="00654E3B">
        <w:rPr>
          <w:rFonts w:cs="Times New Roman"/>
          <w:lang w:eastAsia="hr-HR"/>
        </w:rPr>
        <w:t>otpada</w:t>
      </w:r>
    </w:p>
    <w:p w:rsidR="007D4A93" w:rsidRPr="00654E3B" w:rsidRDefault="00EF0BEB" w:rsidP="000C6795">
      <w:pPr>
        <w:numPr>
          <w:ilvl w:val="0"/>
          <w:numId w:val="43"/>
        </w:numPr>
        <w:spacing w:line="240" w:lineRule="auto"/>
        <w:rPr>
          <w:rFonts w:cs="Times New Roman"/>
          <w:lang w:eastAsia="hr-HR"/>
        </w:rPr>
      </w:pPr>
      <w:r w:rsidRPr="00654E3B">
        <w:rPr>
          <w:rFonts w:cs="Times New Roman"/>
          <w:bCs/>
          <w:lang w:eastAsia="hr-HR"/>
        </w:rPr>
        <w:t>potpunu oporabu otpada korištenjem svih suvremenih i dostupnih tehnologija.</w:t>
      </w:r>
    </w:p>
    <w:p w:rsidR="007D4A93" w:rsidRPr="00654E3B" w:rsidRDefault="00EF0BEB">
      <w:pPr>
        <w:rPr>
          <w:rFonts w:cs="Times New Roman"/>
        </w:rPr>
      </w:pPr>
      <w:r w:rsidRPr="00654E3B">
        <w:rPr>
          <w:rFonts w:cs="Times New Roman"/>
        </w:rPr>
        <w:t>Projekcije emisija stakleničkih plinova iz sektora otpad</w:t>
      </w:r>
      <w:r w:rsidR="00BB5DB6" w:rsidRPr="00654E3B">
        <w:rPr>
          <w:rFonts w:cs="Times New Roman"/>
        </w:rPr>
        <w:t>a,</w:t>
      </w:r>
      <w:r w:rsidRPr="00654E3B">
        <w:rPr>
          <w:rFonts w:cs="Times New Roman"/>
        </w:rPr>
        <w:t xml:space="preserve"> temelje se na provedbi mjera propisanih sektorskim zakonodavstvom, usklađenim s EU zakonodavstvom. </w:t>
      </w:r>
    </w:p>
    <w:p w:rsidR="007D4A93" w:rsidRPr="00654E3B" w:rsidRDefault="00EF0BEB">
      <w:pPr>
        <w:rPr>
          <w:rFonts w:cs="Times New Roman"/>
          <w:szCs w:val="24"/>
        </w:rPr>
      </w:pPr>
      <w:r w:rsidRPr="00654E3B">
        <w:rPr>
          <w:rFonts w:cs="Times New Roman"/>
        </w:rPr>
        <w:t>U izradi projekcija iz odlaganja i biološke obrade krutog otpada (kompostiranja)</w:t>
      </w:r>
      <w:r w:rsidR="00BB5DB6" w:rsidRPr="00654E3B">
        <w:rPr>
          <w:rFonts w:cs="Times New Roman"/>
        </w:rPr>
        <w:t>,</w:t>
      </w:r>
      <w:r w:rsidRPr="00654E3B">
        <w:rPr>
          <w:rFonts w:cs="Times New Roman"/>
        </w:rPr>
        <w:t xml:space="preserve"> uključene su pretpostavke temeljene na postojećem pravnom okviru Republike Hrvatske i usvojenom pravnom okviru EU iz sektora otpad</w:t>
      </w:r>
      <w:r w:rsidR="00BB5DB6" w:rsidRPr="00654E3B">
        <w:rPr>
          <w:rFonts w:cs="Times New Roman"/>
        </w:rPr>
        <w:t>a</w:t>
      </w:r>
      <w:r w:rsidRPr="00654E3B">
        <w:rPr>
          <w:rFonts w:cs="Times New Roman"/>
        </w:rPr>
        <w:t xml:space="preserve"> za razdoblje do 2035. godine. Odgoda od </w:t>
      </w:r>
      <w:r w:rsidR="00EE7A3B" w:rsidRPr="00654E3B">
        <w:rPr>
          <w:rFonts w:cs="Times New Roman"/>
        </w:rPr>
        <w:t>pet</w:t>
      </w:r>
      <w:r w:rsidRPr="00654E3B">
        <w:rPr>
          <w:rFonts w:cs="Times New Roman"/>
        </w:rPr>
        <w:t xml:space="preserve"> godina za Republiku Hrvatsku uključena je u projekcije. Za razdoblje nakon 2040. godine</w:t>
      </w:r>
      <w:r w:rsidR="00BB5DB6" w:rsidRPr="00654E3B">
        <w:rPr>
          <w:rFonts w:cs="Times New Roman"/>
        </w:rPr>
        <w:t>,</w:t>
      </w:r>
      <w:r w:rsidRPr="00654E3B">
        <w:rPr>
          <w:rFonts w:cs="Times New Roman"/>
        </w:rPr>
        <w:t xml:space="preserve"> korištene su pretpostavke za primjenu mjera temeljene na stručnoj procjeni, sukladno pretpostavkama definiranima usvojenim planskim dokumentima. </w:t>
      </w:r>
    </w:p>
    <w:p w:rsidR="007D4A93" w:rsidRPr="00654E3B" w:rsidRDefault="00EF0BEB">
      <w:pPr>
        <w:rPr>
          <w:rFonts w:cs="Times New Roman"/>
        </w:rPr>
      </w:pPr>
      <w:r w:rsidRPr="00654E3B">
        <w:rPr>
          <w:rFonts w:cs="Times New Roman"/>
        </w:rPr>
        <w:t>U projekcije emisija iz spaljivanja otpada</w:t>
      </w:r>
      <w:r w:rsidR="00BB5DB6" w:rsidRPr="00654E3B">
        <w:rPr>
          <w:rFonts w:cs="Times New Roman"/>
        </w:rPr>
        <w:t>,</w:t>
      </w:r>
      <w:r w:rsidRPr="00654E3B">
        <w:rPr>
          <w:rFonts w:cs="Times New Roman"/>
        </w:rPr>
        <w:t xml:space="preserve"> uključena je pretpostavka da se više ne provodi spaljivanje bolničkog otpada bez oporabe energije. </w:t>
      </w:r>
    </w:p>
    <w:p w:rsidR="007D4A93" w:rsidRPr="00654E3B" w:rsidRDefault="00EF0BEB">
      <w:pPr>
        <w:rPr>
          <w:rFonts w:cs="Times New Roman"/>
        </w:rPr>
      </w:pPr>
      <w:r w:rsidRPr="00654E3B">
        <w:rPr>
          <w:rFonts w:cs="Times New Roman"/>
        </w:rPr>
        <w:t>Projekcije emisija iz upravljanja otpadnim vodama za razdoblje do 2050. godine</w:t>
      </w:r>
      <w:r w:rsidR="00BB5DB6" w:rsidRPr="00654E3B">
        <w:rPr>
          <w:rFonts w:cs="Times New Roman"/>
        </w:rPr>
        <w:t>,</w:t>
      </w:r>
      <w:r w:rsidRPr="00654E3B">
        <w:rPr>
          <w:rFonts w:cs="Times New Roman"/>
        </w:rPr>
        <w:t xml:space="preserve"> izračunavaju se na temelju emisije iz zadnje povijesne godine (2018.), korištenjem projekcija godišnje stope porasta BDP-a i broja stanovnika.</w:t>
      </w:r>
    </w:p>
    <w:p w:rsidR="007D4A93" w:rsidRPr="00654E3B" w:rsidRDefault="00EF0BEB">
      <w:pPr>
        <w:rPr>
          <w:rFonts w:cs="Times New Roman"/>
          <w:u w:val="single"/>
        </w:rPr>
      </w:pPr>
      <w:r w:rsidRPr="00654E3B">
        <w:rPr>
          <w:rFonts w:cs="Times New Roman"/>
          <w:u w:val="single"/>
        </w:rPr>
        <w:t>Mjere</w:t>
      </w:r>
    </w:p>
    <w:p w:rsidR="007D4A93" w:rsidRPr="00654E3B" w:rsidRDefault="00EF0BEB">
      <w:pPr>
        <w:rPr>
          <w:rFonts w:cs="Times New Roman"/>
        </w:rPr>
      </w:pPr>
      <w:r w:rsidRPr="00654E3B">
        <w:rPr>
          <w:rFonts w:cs="Times New Roman"/>
        </w:rPr>
        <w:t>Niskougljični scenariji uključuju primjenu mjera za smanjenje emisija stakleničkih plinova iz odlaganja krutog otpada.</w:t>
      </w:r>
    </w:p>
    <w:p w:rsidR="007D4A93" w:rsidRPr="00654E3B" w:rsidRDefault="00EF0BEB">
      <w:pPr>
        <w:rPr>
          <w:rFonts w:cs="Times New Roman"/>
        </w:rPr>
      </w:pPr>
      <w:r w:rsidRPr="00654E3B">
        <w:rPr>
          <w:rFonts w:cs="Times New Roman"/>
        </w:rPr>
        <w:t>U NUR scenarij uključene su sljedeće mjere:</w:t>
      </w:r>
    </w:p>
    <w:p w:rsidR="007D4A93" w:rsidRPr="00654E3B" w:rsidRDefault="00EF0BEB" w:rsidP="000C6795">
      <w:pPr>
        <w:pStyle w:val="ListParagraph"/>
        <w:numPr>
          <w:ilvl w:val="0"/>
          <w:numId w:val="26"/>
        </w:numPr>
        <w:rPr>
          <w:rFonts w:cs="Times New Roman"/>
        </w:rPr>
      </w:pPr>
      <w:r w:rsidRPr="00654E3B">
        <w:rPr>
          <w:rFonts w:cs="Times New Roman"/>
        </w:rPr>
        <w:t>sprječavanje nastajanja i smanjivanje količine krutog otpada</w:t>
      </w:r>
    </w:p>
    <w:p w:rsidR="007D4A93" w:rsidRPr="00654E3B" w:rsidRDefault="00EF0BEB" w:rsidP="000C6795">
      <w:pPr>
        <w:pStyle w:val="ListParagraph"/>
        <w:numPr>
          <w:ilvl w:val="0"/>
          <w:numId w:val="26"/>
        </w:numPr>
        <w:rPr>
          <w:rFonts w:cs="Times New Roman"/>
        </w:rPr>
      </w:pPr>
      <w:r w:rsidRPr="00654E3B">
        <w:rPr>
          <w:rFonts w:cs="Times New Roman"/>
        </w:rPr>
        <w:t>povećanje količine odvojeno skupljenog i recikliranog krutog otpada</w:t>
      </w:r>
    </w:p>
    <w:p w:rsidR="007D4A93" w:rsidRPr="00654E3B" w:rsidRDefault="00EF0BEB" w:rsidP="000C6795">
      <w:pPr>
        <w:pStyle w:val="ListParagraph"/>
        <w:numPr>
          <w:ilvl w:val="0"/>
          <w:numId w:val="26"/>
        </w:numPr>
        <w:rPr>
          <w:rFonts w:cs="Times New Roman"/>
        </w:rPr>
      </w:pPr>
      <w:r w:rsidRPr="00654E3B">
        <w:rPr>
          <w:rFonts w:cs="Times New Roman"/>
        </w:rPr>
        <w:t>osiguravanje sustava obrade i korištenja odlagališnog plina</w:t>
      </w:r>
    </w:p>
    <w:p w:rsidR="007D4A93" w:rsidRPr="00654E3B" w:rsidRDefault="00EF0BEB" w:rsidP="000C6795">
      <w:pPr>
        <w:pStyle w:val="ListParagraph"/>
        <w:numPr>
          <w:ilvl w:val="0"/>
          <w:numId w:val="26"/>
        </w:numPr>
        <w:rPr>
          <w:rFonts w:cs="Times New Roman"/>
        </w:rPr>
      </w:pPr>
      <w:r w:rsidRPr="00654E3B">
        <w:rPr>
          <w:rFonts w:cs="Times New Roman"/>
        </w:rPr>
        <w:t>smanjenje količine odloženog biorazgradivog otpada</w:t>
      </w:r>
    </w:p>
    <w:p w:rsidR="007D4A93" w:rsidRPr="00654E3B" w:rsidRDefault="00EF0BEB" w:rsidP="000C6795">
      <w:pPr>
        <w:pStyle w:val="ListParagraph"/>
        <w:numPr>
          <w:ilvl w:val="0"/>
          <w:numId w:val="26"/>
        </w:numPr>
        <w:rPr>
          <w:rFonts w:cs="Times New Roman"/>
        </w:rPr>
      </w:pPr>
      <w:r w:rsidRPr="00654E3B">
        <w:rPr>
          <w:rFonts w:cs="Times New Roman"/>
        </w:rPr>
        <w:t>korištenje bioplina za proizvodnju biometana, električne energije i topline.</w:t>
      </w:r>
    </w:p>
    <w:p w:rsidR="007D4A93" w:rsidRPr="00654E3B" w:rsidRDefault="00EF0BEB">
      <w:pPr>
        <w:rPr>
          <w:rFonts w:cs="Times New Roman"/>
        </w:rPr>
      </w:pPr>
      <w:r w:rsidRPr="00654E3B">
        <w:rPr>
          <w:rFonts w:cs="Times New Roman"/>
        </w:rPr>
        <w:t>Smanjenje količine odloženog biorazgradivog otpada</w:t>
      </w:r>
      <w:r w:rsidR="008F5195" w:rsidRPr="00654E3B">
        <w:rPr>
          <w:rFonts w:cs="Times New Roman"/>
        </w:rPr>
        <w:t>,</w:t>
      </w:r>
      <w:r w:rsidRPr="00654E3B">
        <w:rPr>
          <w:rFonts w:cs="Times New Roman"/>
        </w:rPr>
        <w:t xml:space="preserve"> rezultira povećanjem količine biorazgradivog otpada koji se upućuje na postupke biološke obrade, kao što je kompostiranje i anaerobna digestija u bioplinskim postrojenjima, što uvjetuje povećanje emisije CH</w:t>
      </w:r>
      <w:r w:rsidRPr="00654E3B">
        <w:rPr>
          <w:rFonts w:cs="Times New Roman"/>
          <w:vertAlign w:val="subscript"/>
        </w:rPr>
        <w:t>4</w:t>
      </w:r>
      <w:r w:rsidRPr="00654E3B">
        <w:rPr>
          <w:rFonts w:cs="Times New Roman"/>
        </w:rPr>
        <w:t xml:space="preserve"> tijekom promatranog razdoblja iz aktivnosti kompostiranja koja se bilancira u sektoru otpad</w:t>
      </w:r>
      <w:r w:rsidR="008D071F" w:rsidRPr="00654E3B">
        <w:rPr>
          <w:rFonts w:cs="Times New Roman"/>
        </w:rPr>
        <w:t>a</w:t>
      </w:r>
      <w:r w:rsidRPr="00654E3B">
        <w:rPr>
          <w:rFonts w:cs="Times New Roman"/>
        </w:rPr>
        <w:t>. Ukupni efekt smanjenja količine odloženog biorazgradivog otpada je pozitivan, odnosno dolazi do smanjenja emisije CH</w:t>
      </w:r>
      <w:r w:rsidRPr="00654E3B">
        <w:rPr>
          <w:rFonts w:cs="Times New Roman"/>
          <w:vertAlign w:val="subscript"/>
        </w:rPr>
        <w:t>4</w:t>
      </w:r>
      <w:r w:rsidRPr="00654E3B">
        <w:rPr>
          <w:rFonts w:cs="Times New Roman"/>
        </w:rPr>
        <w:t xml:space="preserve"> zbog smanjenja količine odloženog biorazgradivog otpada na odlagališta, što je i propisano sektorskim zakonodavstvom. </w:t>
      </w:r>
    </w:p>
    <w:p w:rsidR="007D4A93" w:rsidRPr="00654E3B" w:rsidRDefault="00EF0BEB">
      <w:pPr>
        <w:rPr>
          <w:rFonts w:cs="Times New Roman"/>
        </w:rPr>
      </w:pPr>
      <w:r w:rsidRPr="00654E3B">
        <w:rPr>
          <w:rFonts w:cs="Times New Roman"/>
        </w:rPr>
        <w:t>Potencijali smanjenja emisije CO</w:t>
      </w:r>
      <w:r w:rsidRPr="00654E3B">
        <w:rPr>
          <w:rFonts w:cs="Times New Roman"/>
          <w:vertAlign w:val="subscript"/>
        </w:rPr>
        <w:t>2</w:t>
      </w:r>
      <w:r w:rsidRPr="00654E3B">
        <w:rPr>
          <w:rFonts w:cs="Times New Roman"/>
        </w:rPr>
        <w:t xml:space="preserve"> koji se mogu ostvariti primjenom mjera uključenih u NUR scenarij bilanciraju se u sektoru Energetika.</w:t>
      </w:r>
    </w:p>
    <w:p w:rsidR="007D4A93" w:rsidRPr="00654E3B" w:rsidRDefault="00EF0BEB">
      <w:pPr>
        <w:rPr>
          <w:rFonts w:cs="Times New Roman"/>
        </w:rPr>
      </w:pPr>
      <w:r w:rsidRPr="00654E3B">
        <w:rPr>
          <w:rFonts w:cs="Times New Roman"/>
        </w:rPr>
        <w:t>Scenariji NU1 i NU2 jednaki su NUR scenariju, budući nisu raspoznate dodatne mjere za smanjenje emisija. Usporedbenom analizom grupe zemalja sličnih nacionalnih karakteristika</w:t>
      </w:r>
      <w:r w:rsidR="00536DED" w:rsidRPr="00654E3B">
        <w:rPr>
          <w:rFonts w:cs="Times New Roman"/>
        </w:rPr>
        <w:t>,</w:t>
      </w:r>
      <w:r w:rsidRPr="00654E3B">
        <w:rPr>
          <w:rFonts w:cs="Times New Roman"/>
        </w:rPr>
        <w:t xml:space="preserve"> utvrđeno je da nacionalno zakonodavstvo, koje je usklađeno s EU zakonodavstvom, propisuje mjere koje sve države članice moraju implementirati do određenog roka te ih razmatraju u okviru scenarija s mjerama (što odgovara NUR scenariju).</w:t>
      </w:r>
    </w:p>
    <w:p w:rsidR="00AB40C9" w:rsidRPr="00654E3B" w:rsidRDefault="00EF0BEB">
      <w:pPr>
        <w:rPr>
          <w:rFonts w:cs="Times New Roman"/>
        </w:rPr>
      </w:pPr>
      <w:r w:rsidRPr="00654E3B">
        <w:rPr>
          <w:rFonts w:cs="Times New Roman"/>
        </w:rPr>
        <w:t xml:space="preserve">Prema ciljevima iz Akcijskog plana EU-a za kružno gospodarstvo te integriranom pristupu u novom paketu mjera za kružno gospodarstvo i revidiranim EU Direktivama, predviđena je intenzivna primjena </w:t>
      </w:r>
      <w:r w:rsidRPr="00654E3B">
        <w:rPr>
          <w:rFonts w:cs="Times New Roman"/>
        </w:rPr>
        <w:lastRenderedPageBreak/>
        <w:t>mjera u razdoblju do 2035. godine</w:t>
      </w:r>
      <w:r w:rsidR="00536DED" w:rsidRPr="00654E3B">
        <w:rPr>
          <w:rFonts w:cs="Times New Roman"/>
        </w:rPr>
        <w:t>,</w:t>
      </w:r>
      <w:r w:rsidRPr="00654E3B">
        <w:rPr>
          <w:rFonts w:cs="Times New Roman"/>
        </w:rPr>
        <w:t xml:space="preserve"> kao i podizanje razine ciljeva u pogledu učinkovitog korištenja resursa, recikliranja, ponovne uporabe i gospodarenja otpadom.</w:t>
      </w:r>
    </w:p>
    <w:p w:rsidR="007D4A93" w:rsidRPr="00654E3B" w:rsidRDefault="00EF0BEB" w:rsidP="009F6651">
      <w:pPr>
        <w:pStyle w:val="Heading3"/>
      </w:pPr>
      <w:bookmarkStart w:id="275" w:name="_Toc69297770"/>
      <w:r w:rsidRPr="00654E3B">
        <w:t>6.7.3. Smjernice za niskougljični razvoj</w:t>
      </w:r>
      <w:bookmarkEnd w:id="275"/>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Do 2030. godine</w:t>
      </w:r>
    </w:p>
    <w:p w:rsidR="007D4A93" w:rsidRPr="00654E3B" w:rsidRDefault="00EF0BEB" w:rsidP="000C6795">
      <w:pPr>
        <w:pStyle w:val="ListParagraph"/>
        <w:numPr>
          <w:ilvl w:val="0"/>
          <w:numId w:val="25"/>
        </w:numPr>
        <w:rPr>
          <w:rFonts w:cs="Times New Roman"/>
        </w:rPr>
      </w:pPr>
      <w:r w:rsidRPr="00654E3B">
        <w:rPr>
          <w:rFonts w:cs="Times New Roman"/>
        </w:rPr>
        <w:t>Ušteda sirovina primjenom mjera sprječavanja nastajanja i recikliranja otpada.</w:t>
      </w:r>
    </w:p>
    <w:p w:rsidR="007D4A93" w:rsidRPr="00654E3B" w:rsidRDefault="00EF0BEB" w:rsidP="000C6795">
      <w:pPr>
        <w:pStyle w:val="ListParagraph"/>
        <w:numPr>
          <w:ilvl w:val="0"/>
          <w:numId w:val="25"/>
        </w:numPr>
        <w:rPr>
          <w:rFonts w:cs="Times New Roman"/>
        </w:rPr>
      </w:pPr>
      <w:r w:rsidRPr="00654E3B">
        <w:rPr>
          <w:rFonts w:cs="Times New Roman"/>
        </w:rPr>
        <w:t>Uspostava sustava odvojenog sakupljanja otpada, u skladu s ciljevima nacionalnog i EU zakonodavstva.</w:t>
      </w:r>
    </w:p>
    <w:p w:rsidR="007D4A93" w:rsidRPr="00654E3B" w:rsidRDefault="00EF0BEB" w:rsidP="000C6795">
      <w:pPr>
        <w:pStyle w:val="ListParagraph"/>
        <w:numPr>
          <w:ilvl w:val="0"/>
          <w:numId w:val="25"/>
        </w:numPr>
        <w:rPr>
          <w:rFonts w:cs="Times New Roman"/>
        </w:rPr>
      </w:pPr>
      <w:r w:rsidRPr="00654E3B">
        <w:rPr>
          <w:rFonts w:cs="Times New Roman"/>
        </w:rPr>
        <w:t>Potpuna provedba sanacije i zatvaranja postojećih odlagališta.</w:t>
      </w:r>
    </w:p>
    <w:p w:rsidR="007D4A93" w:rsidRPr="00654E3B" w:rsidRDefault="00EF0BEB" w:rsidP="000C6795">
      <w:pPr>
        <w:pStyle w:val="ListParagraph"/>
        <w:numPr>
          <w:ilvl w:val="0"/>
          <w:numId w:val="25"/>
        </w:numPr>
        <w:rPr>
          <w:rFonts w:cs="Times New Roman"/>
        </w:rPr>
      </w:pPr>
      <w:r w:rsidRPr="00654E3B">
        <w:rPr>
          <w:rFonts w:cs="Times New Roman"/>
        </w:rPr>
        <w:t>Uspostava cjelovitog sustava gospodarenja otpadom prema redu prvenstva koji se provodi u skladu s ciljevima EU direktiva - uspostava centara za gospodarenje otpadom.</w:t>
      </w:r>
    </w:p>
    <w:p w:rsidR="007D4A93" w:rsidRPr="00654E3B" w:rsidRDefault="00EF0BEB" w:rsidP="000C6795">
      <w:pPr>
        <w:pStyle w:val="ListParagraph"/>
        <w:numPr>
          <w:ilvl w:val="0"/>
          <w:numId w:val="25"/>
        </w:numPr>
        <w:rPr>
          <w:rFonts w:cs="Times New Roman"/>
        </w:rPr>
      </w:pPr>
      <w:r w:rsidRPr="00654E3B">
        <w:rPr>
          <w:rFonts w:cs="Times New Roman"/>
        </w:rPr>
        <w:t>Poticanje proizvodnje iz obnovljivih izvora energije - elektrane na odlagališni plin i plin iz postrojenja za pročišćavanje otpadnih voda, elektrane na bioplin i biomasu.</w:t>
      </w:r>
    </w:p>
    <w:p w:rsidR="007D4A93" w:rsidRPr="00654E3B" w:rsidRDefault="00EF0BEB" w:rsidP="000C6795">
      <w:pPr>
        <w:pStyle w:val="ListParagraph"/>
        <w:numPr>
          <w:ilvl w:val="0"/>
          <w:numId w:val="25"/>
        </w:numPr>
        <w:rPr>
          <w:rFonts w:cs="Times New Roman"/>
        </w:rPr>
      </w:pPr>
      <w:r w:rsidRPr="00654E3B">
        <w:rPr>
          <w:rFonts w:cs="Times New Roman"/>
        </w:rPr>
        <w:t>Učinkovita oporaba otpada - okosnicu sustava čine reciklažni centri sa sortirnicama, cjelokupni odvojeno sakupljeni otpad potrebno je oporabiti - gospodarenje sirovinama - kružno gospodarstvo.</w:t>
      </w:r>
    </w:p>
    <w:p w:rsidR="007D4A93" w:rsidRPr="00654E3B" w:rsidRDefault="00EF0BEB" w:rsidP="000C6795">
      <w:pPr>
        <w:pStyle w:val="ListParagraph"/>
        <w:numPr>
          <w:ilvl w:val="0"/>
          <w:numId w:val="25"/>
        </w:numPr>
        <w:rPr>
          <w:rFonts w:cs="Times New Roman"/>
        </w:rPr>
      </w:pPr>
      <w:r w:rsidRPr="00654E3B">
        <w:rPr>
          <w:rFonts w:cs="Times New Roman"/>
        </w:rPr>
        <w:t>Prijenos znanja i iskustava zemalja EU u primjeni najboljih raspoloživih tehnika za obradu otpada.</w:t>
      </w:r>
    </w:p>
    <w:p w:rsidR="007D4A93" w:rsidRPr="00654E3B" w:rsidRDefault="00EF0BEB" w:rsidP="000C6795">
      <w:pPr>
        <w:pStyle w:val="ListParagraph"/>
        <w:numPr>
          <w:ilvl w:val="0"/>
          <w:numId w:val="25"/>
        </w:numPr>
        <w:rPr>
          <w:rFonts w:cs="Times New Roman"/>
        </w:rPr>
      </w:pPr>
      <w:r w:rsidRPr="00654E3B">
        <w:rPr>
          <w:rFonts w:cs="Times New Roman"/>
        </w:rPr>
        <w:t>Razvoj svijesti o potrebi upravljanja otpadom - kružno gospodarstvo, poticanje međusektorske suradnje (prehrambena industrija, poljoprivreda, šumarstvo, …).</w:t>
      </w:r>
    </w:p>
    <w:p w:rsidR="007D4A93" w:rsidRPr="00654E3B" w:rsidRDefault="00EF0BEB" w:rsidP="000C6795">
      <w:pPr>
        <w:pStyle w:val="ListParagraph"/>
        <w:numPr>
          <w:ilvl w:val="0"/>
          <w:numId w:val="25"/>
        </w:numPr>
        <w:rPr>
          <w:rFonts w:cs="Times New Roman"/>
        </w:rPr>
      </w:pPr>
      <w:r w:rsidRPr="00654E3B">
        <w:rPr>
          <w:rFonts w:cs="Times New Roman"/>
        </w:rPr>
        <w:t>Razvoj novih tehnologija obrade otpada - ulaganje u istraživanje i razvoj.</w:t>
      </w:r>
    </w:p>
    <w:p w:rsidR="007D4A93" w:rsidRPr="00654E3B" w:rsidRDefault="00EF0BEB" w:rsidP="000C6795">
      <w:pPr>
        <w:pStyle w:val="ListParagraph"/>
        <w:numPr>
          <w:ilvl w:val="0"/>
          <w:numId w:val="25"/>
        </w:numPr>
        <w:rPr>
          <w:rFonts w:cs="Times New Roman"/>
        </w:rPr>
      </w:pPr>
      <w:r w:rsidRPr="00654E3B">
        <w:rPr>
          <w:rFonts w:cs="Times New Roman"/>
        </w:rPr>
        <w:t>Osiguravanje potpora za investicijske projekte - korištenje sredstava iz EU strukturnih i investicijskih fondova.</w:t>
      </w:r>
    </w:p>
    <w:p w:rsidR="007D4A93" w:rsidRPr="00654E3B" w:rsidRDefault="00EF0BEB" w:rsidP="000C6795">
      <w:pPr>
        <w:pStyle w:val="ListParagraph"/>
        <w:numPr>
          <w:ilvl w:val="0"/>
          <w:numId w:val="25"/>
        </w:numPr>
        <w:rPr>
          <w:rFonts w:cs="Times New Roman"/>
        </w:rPr>
      </w:pPr>
      <w:r w:rsidRPr="00654E3B">
        <w:rPr>
          <w:rFonts w:cs="Times New Roman"/>
        </w:rPr>
        <w:t>Ostvarivanje pozitivnog okruženja za privlačenje investicija.</w:t>
      </w:r>
    </w:p>
    <w:p w:rsidR="007D4A93" w:rsidRPr="00654E3B" w:rsidRDefault="00EF0BEB" w:rsidP="000C6795">
      <w:pPr>
        <w:pStyle w:val="ListParagraph"/>
        <w:numPr>
          <w:ilvl w:val="0"/>
          <w:numId w:val="25"/>
        </w:numPr>
        <w:rPr>
          <w:rFonts w:cs="Times New Roman"/>
        </w:rPr>
      </w:pPr>
      <w:r w:rsidRPr="00654E3B">
        <w:rPr>
          <w:rFonts w:cs="Times New Roman"/>
        </w:rPr>
        <w:t>Provedba programa razvoja kružnog gospodarenja prostorom i zgradama.</w:t>
      </w:r>
    </w:p>
    <w:p w:rsidR="007D4A93" w:rsidRPr="00654E3B" w:rsidRDefault="00EF0BEB">
      <w:pPr>
        <w:rPr>
          <w:rFonts w:cs="Times New Roman"/>
          <w:u w:val="single"/>
        </w:rPr>
      </w:pPr>
      <w:r w:rsidRPr="00654E3B">
        <w:rPr>
          <w:rFonts w:cs="Times New Roman"/>
          <w:u w:val="single"/>
        </w:rPr>
        <w:t>Do 2050. godine</w:t>
      </w:r>
    </w:p>
    <w:p w:rsidR="007D4A93" w:rsidRPr="00654E3B" w:rsidRDefault="00EF0BEB" w:rsidP="000C6795">
      <w:pPr>
        <w:pStyle w:val="ListParagraph"/>
        <w:numPr>
          <w:ilvl w:val="0"/>
          <w:numId w:val="24"/>
        </w:numPr>
        <w:rPr>
          <w:rFonts w:cs="Times New Roman"/>
        </w:rPr>
      </w:pPr>
      <w:bookmarkStart w:id="276" w:name="_Hlk43223400"/>
      <w:r w:rsidRPr="00654E3B">
        <w:rPr>
          <w:rFonts w:cs="Times New Roman"/>
        </w:rPr>
        <w:t>Uspostava sustava gospodarenja otpadom sukladno načelima kružnog gospodarstva</w:t>
      </w:r>
      <w:bookmarkEnd w:id="276"/>
      <w:r w:rsidRPr="00654E3B">
        <w:rPr>
          <w:rFonts w:cs="Times New Roman"/>
        </w:rPr>
        <w:t>.</w:t>
      </w:r>
    </w:p>
    <w:p w:rsidR="007D4A93" w:rsidRPr="00654E3B" w:rsidRDefault="00EF0BEB" w:rsidP="000C6795">
      <w:pPr>
        <w:pStyle w:val="ListParagraph"/>
        <w:numPr>
          <w:ilvl w:val="0"/>
          <w:numId w:val="24"/>
        </w:numPr>
        <w:rPr>
          <w:rFonts w:cs="Times New Roman"/>
        </w:rPr>
      </w:pPr>
      <w:r w:rsidRPr="00654E3B">
        <w:rPr>
          <w:rFonts w:cs="Times New Roman"/>
        </w:rPr>
        <w:t>Razvoj novih tehnologija obrade otpada - ulaganje u istraživanje i razvoj.</w:t>
      </w:r>
    </w:p>
    <w:p w:rsidR="007D4A93" w:rsidRPr="00654E3B" w:rsidRDefault="00EF0BEB" w:rsidP="000C6795">
      <w:pPr>
        <w:pStyle w:val="ListParagraph"/>
        <w:numPr>
          <w:ilvl w:val="0"/>
          <w:numId w:val="24"/>
        </w:numPr>
        <w:rPr>
          <w:rFonts w:cs="Times New Roman"/>
          <w:szCs w:val="24"/>
        </w:rPr>
      </w:pPr>
      <w:r w:rsidRPr="00654E3B">
        <w:rPr>
          <w:rFonts w:cs="Times New Roman"/>
        </w:rPr>
        <w:t>Provedba programa za investiranje u troškovno-učinkovite mjere za obradu otpada, kojima se ostvaruje veće smanjenje emisija stakleničkih plinova.</w:t>
      </w:r>
    </w:p>
    <w:p w:rsidR="007D4A93" w:rsidRPr="00654E3B" w:rsidRDefault="00EF0BEB" w:rsidP="000C6795">
      <w:pPr>
        <w:pStyle w:val="ListParagraph"/>
        <w:numPr>
          <w:ilvl w:val="0"/>
          <w:numId w:val="24"/>
        </w:numPr>
        <w:rPr>
          <w:rFonts w:cs="Times New Roman"/>
          <w:szCs w:val="24"/>
        </w:rPr>
      </w:pPr>
      <w:r w:rsidRPr="00654E3B">
        <w:rPr>
          <w:rFonts w:cs="Times New Roman"/>
          <w:szCs w:val="24"/>
        </w:rPr>
        <w:t>Potpuno funkcioniranje cjelovitog sustava kružnog gospodarenja prostorom i zgradama.</w:t>
      </w:r>
    </w:p>
    <w:p w:rsidR="007D4A93" w:rsidRPr="00D27803" w:rsidRDefault="00EF0BEB" w:rsidP="00AB40C9">
      <w:pPr>
        <w:pStyle w:val="Heading2"/>
        <w:rPr>
          <w:rFonts w:ascii="Times New Roman" w:hAnsi="Times New Roman" w:cs="Times New Roman"/>
        </w:rPr>
      </w:pPr>
      <w:bookmarkStart w:id="277" w:name="_Toc20841309"/>
      <w:bookmarkStart w:id="278" w:name="_Toc20841415"/>
      <w:bookmarkStart w:id="279" w:name="_Toc69297771"/>
      <w:r w:rsidRPr="00654E3B">
        <w:rPr>
          <w:rFonts w:ascii="Times New Roman" w:hAnsi="Times New Roman" w:cs="Times New Roman"/>
        </w:rPr>
        <w:t xml:space="preserve">6.8. </w:t>
      </w:r>
      <w:r w:rsidRPr="00654E3B">
        <w:rPr>
          <w:rFonts w:ascii="Times New Roman" w:hAnsi="Times New Roman" w:cs="Times New Roman"/>
        </w:rPr>
        <w:tab/>
        <w:t>Korištenje zemljišta, prenamjena u korištenju zemljišta i šumarstvo (LULUCF)</w:t>
      </w:r>
      <w:bookmarkEnd w:id="277"/>
      <w:bookmarkEnd w:id="278"/>
      <w:bookmarkEnd w:id="279"/>
    </w:p>
    <w:p w:rsidR="007D4A93" w:rsidRPr="00654E3B" w:rsidRDefault="00EF0BEB" w:rsidP="009F6651">
      <w:pPr>
        <w:pStyle w:val="Heading3"/>
      </w:pPr>
      <w:bookmarkStart w:id="280" w:name="_Toc69297772"/>
      <w:r w:rsidRPr="00F01191">
        <w:t>6.8.1. Emisije ugljikova dioksida i ponori</w:t>
      </w:r>
      <w:bookmarkEnd w:id="280"/>
    </w:p>
    <w:p w:rsidR="007D4A93" w:rsidRPr="00654E3B" w:rsidRDefault="007D4A93">
      <w:pPr>
        <w:keepNext/>
        <w:rPr>
          <w:rFonts w:cs="Times New Roman"/>
        </w:rPr>
      </w:pPr>
    </w:p>
    <w:p w:rsidR="007D4A93" w:rsidRPr="00654E3B" w:rsidRDefault="00EF0BEB">
      <w:pPr>
        <w:keepNext/>
        <w:rPr>
          <w:rFonts w:cs="Times New Roman"/>
        </w:rPr>
      </w:pPr>
      <w:r w:rsidRPr="00654E3B">
        <w:rPr>
          <w:rFonts w:cs="Times New Roman"/>
        </w:rPr>
        <w:t>Sektor Korištenja zemljišta, prenamjene zemljišta i šumarstva (LULUCF)</w:t>
      </w:r>
      <w:r w:rsidR="00536DED" w:rsidRPr="00654E3B">
        <w:rPr>
          <w:rFonts w:cs="Times New Roman"/>
        </w:rPr>
        <w:t>,</w:t>
      </w:r>
      <w:r w:rsidRPr="00654E3B">
        <w:rPr>
          <w:rFonts w:cs="Times New Roman"/>
        </w:rPr>
        <w:t xml:space="preserve"> jedini je sektor u kojem se pojavljuju ponori (uklanjanje) ugljikova dioksida iz atmosfere, ali i emisije stakleničkih plinova. LULUCF sektor na međunarodnoj razini reguliran je od strane UNFCCC-a, Kyotskim protokolom</w:t>
      </w:r>
      <w:r w:rsidR="00487476" w:rsidRPr="00654E3B">
        <w:rPr>
          <w:rFonts w:cs="Times New Roman"/>
        </w:rPr>
        <w:t>,</w:t>
      </w:r>
      <w:r w:rsidRPr="00654E3B">
        <w:rPr>
          <w:rFonts w:cs="Times New Roman"/>
        </w:rPr>
        <w:t xml:space="preserve"> Pariškim sporazumom te politikama EU. U sklopu međunarodnih pregovora o smanjenju emisija stakleničkih plinova</w:t>
      </w:r>
      <w:r w:rsidR="00536DED" w:rsidRPr="00654E3B">
        <w:rPr>
          <w:rFonts w:cs="Times New Roman"/>
        </w:rPr>
        <w:t>,</w:t>
      </w:r>
      <w:r w:rsidRPr="00654E3B">
        <w:rPr>
          <w:rFonts w:cs="Times New Roman"/>
        </w:rPr>
        <w:t xml:space="preserve"> LULUCF sektor je uvijek bio zasebno tretiran s obzirom na činjenicu da se jedino u njemu pojavljuju ponori kao rezultat antropogenog djelovanja i prirodnih procesa.</w:t>
      </w:r>
    </w:p>
    <w:p w:rsidR="007D4A93" w:rsidRPr="00654E3B" w:rsidRDefault="00EF0BEB">
      <w:pPr>
        <w:rPr>
          <w:rFonts w:cs="Times New Roman"/>
        </w:rPr>
      </w:pPr>
      <w:bookmarkStart w:id="281" w:name="_Hlk36802488"/>
      <w:r w:rsidRPr="00654E3B">
        <w:rPr>
          <w:rFonts w:cs="Times New Roman"/>
        </w:rPr>
        <w:t xml:space="preserve">Na razini sektora, LULUCF sektor u Republici Hrvatskoj je sektor ponora. LULUCF kategorije </w:t>
      </w:r>
      <w:r w:rsidRPr="00654E3B">
        <w:rPr>
          <w:rFonts w:cs="Times New Roman"/>
          <w:i/>
        </w:rPr>
        <w:t>Šumskog zemljišta</w:t>
      </w:r>
      <w:r w:rsidRPr="00654E3B">
        <w:rPr>
          <w:rFonts w:cs="Times New Roman"/>
        </w:rPr>
        <w:t xml:space="preserve"> i </w:t>
      </w:r>
      <w:r w:rsidRPr="00654E3B">
        <w:rPr>
          <w:rFonts w:cs="Times New Roman"/>
          <w:i/>
        </w:rPr>
        <w:t>Travnjaka</w:t>
      </w:r>
      <w:r w:rsidRPr="00654E3B">
        <w:rPr>
          <w:rFonts w:cs="Times New Roman"/>
        </w:rPr>
        <w:t xml:space="preserve"> su kategorije u kojima</w:t>
      </w:r>
      <w:r w:rsidR="00487476" w:rsidRPr="00654E3B">
        <w:rPr>
          <w:rFonts w:cs="Times New Roman"/>
        </w:rPr>
        <w:t>,</w:t>
      </w:r>
      <w:r w:rsidRPr="00654E3B">
        <w:rPr>
          <w:rFonts w:cs="Times New Roman"/>
        </w:rPr>
        <w:t xml:space="preserve"> </w:t>
      </w:r>
      <w:r w:rsidR="006328C7" w:rsidRPr="00654E3B">
        <w:rPr>
          <w:rFonts w:cs="Times New Roman"/>
        </w:rPr>
        <w:t xml:space="preserve">kad se zbroje ponori i emisije, u konačnici te kategorije rezultiraju </w:t>
      </w:r>
      <w:r w:rsidR="00BF4CA8" w:rsidRPr="00654E3B">
        <w:rPr>
          <w:rFonts w:cs="Times New Roman"/>
        </w:rPr>
        <w:t>ponor</w:t>
      </w:r>
      <w:r w:rsidR="006328C7" w:rsidRPr="00654E3B">
        <w:rPr>
          <w:rFonts w:cs="Times New Roman"/>
        </w:rPr>
        <w:t>om</w:t>
      </w:r>
      <w:r w:rsidRPr="00654E3B">
        <w:rPr>
          <w:rFonts w:cs="Times New Roman"/>
        </w:rPr>
        <w:t xml:space="preserve"> (uklanjanje</w:t>
      </w:r>
      <w:r w:rsidR="006328C7" w:rsidRPr="00654E3B">
        <w:rPr>
          <w:rFonts w:cs="Times New Roman"/>
        </w:rPr>
        <w:t>m</w:t>
      </w:r>
      <w:r w:rsidRPr="00654E3B">
        <w:rPr>
          <w:rFonts w:cs="Times New Roman"/>
        </w:rPr>
        <w:t xml:space="preserve">) </w:t>
      </w:r>
      <w:r w:rsidR="006328C7" w:rsidRPr="00654E3B">
        <w:rPr>
          <w:rFonts w:cs="Times New Roman"/>
        </w:rPr>
        <w:t xml:space="preserve">emisija </w:t>
      </w:r>
      <w:r w:rsidRPr="00654E3B">
        <w:rPr>
          <w:rFonts w:cs="Times New Roman"/>
        </w:rPr>
        <w:t xml:space="preserve">stakleničkih plinova. U kategorijama </w:t>
      </w:r>
      <w:r w:rsidRPr="00654E3B">
        <w:rPr>
          <w:rFonts w:cs="Times New Roman"/>
          <w:i/>
        </w:rPr>
        <w:t>Usjeva/Nasada</w:t>
      </w:r>
      <w:r w:rsidRPr="00654E3B">
        <w:rPr>
          <w:rFonts w:cs="Times New Roman"/>
        </w:rPr>
        <w:t xml:space="preserve">, </w:t>
      </w:r>
      <w:r w:rsidRPr="00654E3B">
        <w:rPr>
          <w:rFonts w:cs="Times New Roman"/>
          <w:i/>
        </w:rPr>
        <w:t>Naseljenih područja</w:t>
      </w:r>
      <w:r w:rsidRPr="00654E3B">
        <w:rPr>
          <w:rFonts w:cs="Times New Roman"/>
        </w:rPr>
        <w:t xml:space="preserve"> i </w:t>
      </w:r>
      <w:r w:rsidRPr="00654E3B">
        <w:rPr>
          <w:rFonts w:cs="Times New Roman"/>
          <w:i/>
        </w:rPr>
        <w:t>Močvarnog zemljišta</w:t>
      </w:r>
      <w:r w:rsidR="00536DED" w:rsidRPr="00654E3B">
        <w:rPr>
          <w:rFonts w:cs="Times New Roman"/>
          <w:i/>
        </w:rPr>
        <w:t>,</w:t>
      </w:r>
      <w:r w:rsidRPr="00654E3B">
        <w:rPr>
          <w:rFonts w:cs="Times New Roman"/>
        </w:rPr>
        <w:t xml:space="preserve"> konačni izračun za pojedinu kategoriju su emisije. U kategoriji </w:t>
      </w:r>
      <w:r w:rsidRPr="00654E3B">
        <w:rPr>
          <w:rFonts w:cs="Times New Roman"/>
          <w:i/>
        </w:rPr>
        <w:t>Ostalog zemljišta</w:t>
      </w:r>
      <w:r w:rsidRPr="00654E3B">
        <w:rPr>
          <w:rFonts w:cs="Times New Roman"/>
        </w:rPr>
        <w:t xml:space="preserve"> ne provodi se izračun emisija/ponora. U razdoblju od 1990. do </w:t>
      </w:r>
      <w:r w:rsidRPr="00654E3B">
        <w:rPr>
          <w:rFonts w:cs="Times New Roman"/>
        </w:rPr>
        <w:lastRenderedPageBreak/>
        <w:t>2018. godine ponori su bili (prema apsolutnoj vrijednosti) najniži u 2017. godini (-4728.71 kt CO</w:t>
      </w:r>
      <w:r w:rsidRPr="00654E3B">
        <w:rPr>
          <w:rFonts w:cs="Times New Roman"/>
          <w:vertAlign w:val="subscript"/>
        </w:rPr>
        <w:t>2</w:t>
      </w:r>
      <w:r w:rsidRPr="00654E3B">
        <w:rPr>
          <w:rFonts w:cs="Times New Roman"/>
        </w:rPr>
        <w:t>), te najviši u 1995. godini (-8954.6 kt CO</w:t>
      </w:r>
      <w:r w:rsidRPr="00654E3B">
        <w:rPr>
          <w:rFonts w:cs="Times New Roman"/>
          <w:vertAlign w:val="subscript"/>
        </w:rPr>
        <w:t>2</w:t>
      </w:r>
      <w:r w:rsidRPr="00654E3B">
        <w:rPr>
          <w:rFonts w:cs="Times New Roman"/>
        </w:rPr>
        <w:t xml:space="preserve">). </w:t>
      </w:r>
      <w:bookmarkEnd w:id="281"/>
    </w:p>
    <w:p w:rsidR="007D4A93" w:rsidRPr="00654E3B" w:rsidRDefault="00EF0BEB">
      <w:pPr>
        <w:rPr>
          <w:rFonts w:cs="Times New Roman"/>
        </w:rPr>
      </w:pPr>
      <w:r w:rsidRPr="00654E3B">
        <w:rPr>
          <w:rFonts w:cs="Times New Roman"/>
        </w:rPr>
        <w:t>U LULUCF sektoru zabilježen je trend smanjenja ponora. Najveći razlog za isto je izostanak provedbe propisanih praksi gospodarenja šumama na svim površinama šuma</w:t>
      </w:r>
      <w:r w:rsidR="00715FD3" w:rsidRPr="00654E3B">
        <w:rPr>
          <w:rFonts w:cs="Times New Roman"/>
        </w:rPr>
        <w:t>,</w:t>
      </w:r>
      <w:r w:rsidRPr="00654E3B">
        <w:rPr>
          <w:rFonts w:cs="Times New Roman"/>
        </w:rPr>
        <w:t xml:space="preserve"> u vrijeme Domovinskog rata i tijekom poratnog razdoblja. Rat i posljedice rata uzrokovali su poremećaj strukture šumskih sastojina te doveli do smanjenja prirasta u šumama</w:t>
      </w:r>
      <w:r w:rsidR="00536DED" w:rsidRPr="00654E3B">
        <w:rPr>
          <w:rFonts w:cs="Times New Roman"/>
        </w:rPr>
        <w:t>,</w:t>
      </w:r>
      <w:r w:rsidRPr="00654E3B">
        <w:rPr>
          <w:rFonts w:cs="Times New Roman"/>
        </w:rPr>
        <w:t xml:space="preserve"> radi izostanka pravovremene provedbe propisanih uzgojnih zahvata (izostanak sječa). Radovi predviđeni Šumskogospodarskom osnovom </w:t>
      </w:r>
      <w:r w:rsidRPr="00654E3B">
        <w:rPr>
          <w:rFonts w:cs="Times New Roman"/>
          <w:szCs w:val="24"/>
        </w:rPr>
        <w:t xml:space="preserve">područja </w:t>
      </w:r>
      <w:r w:rsidRPr="00654E3B">
        <w:rPr>
          <w:rFonts w:eastAsia="Times New Roman" w:cs="Times New Roman"/>
          <w:szCs w:val="24"/>
          <w:lang w:eastAsia="hr-HR"/>
        </w:rPr>
        <w:t>Republike Hrvatske</w:t>
      </w:r>
      <w:r w:rsidRPr="00654E3B">
        <w:rPr>
          <w:rFonts w:cs="Times New Roman"/>
          <w:szCs w:val="24"/>
        </w:rPr>
        <w:t xml:space="preserve"> za period</w:t>
      </w:r>
      <w:r w:rsidRPr="00654E3B">
        <w:rPr>
          <w:rFonts w:cs="Times New Roman"/>
        </w:rPr>
        <w:t xml:space="preserve"> 2016.-2025.</w:t>
      </w:r>
      <w:r w:rsidR="00715FD3" w:rsidRPr="00654E3B">
        <w:rPr>
          <w:rFonts w:cs="Times New Roman"/>
        </w:rPr>
        <w:t>,</w:t>
      </w:r>
      <w:r w:rsidRPr="00654E3B">
        <w:rPr>
          <w:rFonts w:cs="Times New Roman"/>
        </w:rPr>
        <w:t xml:space="preserve"> trebaju dovesti do uspostavljanja odgovarajuće strukture sastojina</w:t>
      </w:r>
      <w:r w:rsidR="00715FD3" w:rsidRPr="00654E3B">
        <w:rPr>
          <w:rFonts w:cs="Times New Roman"/>
        </w:rPr>
        <w:t>,</w:t>
      </w:r>
      <w:r w:rsidRPr="00654E3B">
        <w:rPr>
          <w:rFonts w:cs="Times New Roman"/>
        </w:rPr>
        <w:t xml:space="preserve"> za što je nužno provesti sve radove koji nisu pravovremeno provedeni u sastojinama koje su bile na ratom zahvaćenim područjima</w:t>
      </w:r>
      <w:r w:rsidR="00715FD3" w:rsidRPr="00654E3B">
        <w:rPr>
          <w:rFonts w:cs="Times New Roman"/>
        </w:rPr>
        <w:t>,</w:t>
      </w:r>
      <w:r w:rsidRPr="00654E3B">
        <w:rPr>
          <w:rFonts w:cs="Times New Roman"/>
        </w:rPr>
        <w:t xml:space="preserve"> kao i na površinama koje su bile pod utjecajem poslijeratnih događanja (npr. minirane i minski sumnjive šumske površine). </w:t>
      </w:r>
    </w:p>
    <w:p w:rsidR="007D4A93" w:rsidRPr="00654E3B" w:rsidRDefault="00EF0BEB" w:rsidP="009F6651">
      <w:pPr>
        <w:pStyle w:val="Heading3"/>
      </w:pPr>
      <w:bookmarkStart w:id="282" w:name="_Toc69297773"/>
      <w:r w:rsidRPr="00654E3B">
        <w:t>6.8.2. Politike i mjere za niskougljični razvoj</w:t>
      </w:r>
      <w:bookmarkEnd w:id="282"/>
    </w:p>
    <w:p w:rsidR="007D4A93" w:rsidRPr="00654E3B" w:rsidRDefault="007D4A93">
      <w:pPr>
        <w:rPr>
          <w:rFonts w:cs="Times New Roman"/>
        </w:rPr>
      </w:pPr>
    </w:p>
    <w:p w:rsidR="007D4A93" w:rsidRPr="00654E3B" w:rsidRDefault="00EF0BEB">
      <w:pPr>
        <w:spacing w:line="240" w:lineRule="auto"/>
        <w:rPr>
          <w:rFonts w:cs="Times New Roman"/>
          <w:bCs/>
        </w:rPr>
      </w:pPr>
      <w:r w:rsidRPr="00654E3B">
        <w:rPr>
          <w:rFonts w:cs="Times New Roman"/>
          <w:bCs/>
        </w:rPr>
        <w:t>Za potrebe postizanja cilja o smanjenju emisija stakleničkih plinova za 20</w:t>
      </w:r>
      <w:r w:rsidR="00060992" w:rsidRPr="00654E3B">
        <w:rPr>
          <w:rFonts w:cs="Times New Roman"/>
          <w:bCs/>
        </w:rPr>
        <w:t xml:space="preserve"> %</w:t>
      </w:r>
      <w:r w:rsidRPr="00654E3B">
        <w:rPr>
          <w:rFonts w:cs="Times New Roman"/>
          <w:bCs/>
        </w:rPr>
        <w:t xml:space="preserve"> do 2020. godine u odnosu na emisije iz 1990. godine, Europska </w:t>
      </w:r>
      <w:r w:rsidR="00715FD3" w:rsidRPr="00654E3B">
        <w:rPr>
          <w:rFonts w:cs="Times New Roman"/>
          <w:bCs/>
        </w:rPr>
        <w:t xml:space="preserve">unija </w:t>
      </w:r>
      <w:r w:rsidRPr="00654E3B">
        <w:rPr>
          <w:rFonts w:cs="Times New Roman"/>
          <w:bCs/>
        </w:rPr>
        <w:t>nije uzimala u obzir ponore/emisije iz LULUCF sektora.</w:t>
      </w:r>
    </w:p>
    <w:p w:rsidR="007D4A93" w:rsidRPr="00654E3B" w:rsidRDefault="00EF0BEB">
      <w:pPr>
        <w:spacing w:line="240" w:lineRule="auto"/>
        <w:rPr>
          <w:rFonts w:cs="Times New Roman"/>
          <w:bCs/>
        </w:rPr>
      </w:pPr>
      <w:r w:rsidRPr="00654E3B">
        <w:rPr>
          <w:rFonts w:cs="Times New Roman"/>
          <w:bCs/>
        </w:rPr>
        <w:t xml:space="preserve">Odlukom </w:t>
      </w:r>
      <w:r w:rsidR="00AC6410" w:rsidRPr="00654E3B">
        <w:rPr>
          <w:rFonts w:cs="Times New Roman"/>
          <w:bCs/>
        </w:rPr>
        <w:t xml:space="preserve">br. </w:t>
      </w:r>
      <w:r w:rsidRPr="00654E3B">
        <w:rPr>
          <w:rFonts w:cs="Times New Roman"/>
          <w:bCs/>
        </w:rPr>
        <w:t xml:space="preserve">529/2013/EU </w:t>
      </w:r>
      <w:r w:rsidR="00AC6410" w:rsidRPr="00654E3B">
        <w:rPr>
          <w:rFonts w:cs="Times New Roman"/>
          <w:bCs/>
        </w:rPr>
        <w:t>Europskog parlamenta i Vijeća od 21. svibnja 2013. o pravilima za obračun emisija i uklanjanja stakleničkih plinova koji nastaju iz djelatnosti povezanih s korištenjem zemljišta, prenamjenom zemljišta i šumarstvom te informacijama o mjerama povezanim s tim djelatnostima (</w:t>
      </w:r>
      <w:r w:rsidR="00060992" w:rsidRPr="00654E3B">
        <w:rPr>
          <w:rFonts w:cs="Times New Roman"/>
          <w:bCs/>
        </w:rPr>
        <w:t>u daljnjem tekstu</w:t>
      </w:r>
      <w:r w:rsidR="00AC6410" w:rsidRPr="00654E3B">
        <w:rPr>
          <w:rFonts w:cs="Times New Roman"/>
          <w:bCs/>
        </w:rPr>
        <w:t>: Odluka br. 529/2013/EU)</w:t>
      </w:r>
      <w:r w:rsidR="00536DED" w:rsidRPr="00654E3B">
        <w:rPr>
          <w:rFonts w:cs="Times New Roman"/>
          <w:bCs/>
        </w:rPr>
        <w:t xml:space="preserve">, </w:t>
      </w:r>
      <w:r w:rsidRPr="00654E3B">
        <w:rPr>
          <w:rFonts w:cs="Times New Roman"/>
          <w:bCs/>
        </w:rPr>
        <w:t xml:space="preserve">postavljena su pravila za obračunavanje emisijskih i jedinica ponora iz LULUCF sektora kao prvi korak za uključivanje ovih jedinica u postizanje dugoročnih ciljeva EU o smanjenju emisija stakleničkih plinova. </w:t>
      </w:r>
    </w:p>
    <w:p w:rsidR="007D4A93" w:rsidRPr="00654E3B" w:rsidRDefault="00EF0BEB">
      <w:pPr>
        <w:spacing w:line="240" w:lineRule="auto"/>
        <w:rPr>
          <w:rFonts w:cs="Times New Roman"/>
        </w:rPr>
      </w:pPr>
      <w:r w:rsidRPr="00654E3B">
        <w:rPr>
          <w:rFonts w:cs="Times New Roman"/>
          <w:bCs/>
        </w:rPr>
        <w:t>Prepoznajući ograničeni potencijal LULUCF sektora za doprinos ublažavanju klimatskih promjena, Uredbom se razrađuje i mehanizam fleksibilnosti (trgovanja jedinicama ponora)</w:t>
      </w:r>
      <w:r w:rsidR="00536DED" w:rsidRPr="00654E3B">
        <w:rPr>
          <w:rFonts w:cs="Times New Roman"/>
          <w:bCs/>
        </w:rPr>
        <w:t>,</w:t>
      </w:r>
      <w:r w:rsidRPr="00654E3B">
        <w:rPr>
          <w:rFonts w:cs="Times New Roman"/>
          <w:bCs/>
        </w:rPr>
        <w:t xml:space="preserve"> kako bi se Državama</w:t>
      </w:r>
      <w:r w:rsidR="00536DED" w:rsidRPr="00654E3B">
        <w:rPr>
          <w:rFonts w:cs="Times New Roman"/>
          <w:bCs/>
        </w:rPr>
        <w:t xml:space="preserve"> </w:t>
      </w:r>
      <w:r w:rsidRPr="00654E3B">
        <w:rPr>
          <w:rFonts w:cs="Times New Roman"/>
          <w:bCs/>
        </w:rPr>
        <w:t>članicama olakšalo ispunjavanje njihove obaveze o održavanju ukupnih ponora</w:t>
      </w:r>
      <w:r w:rsidR="00536DED" w:rsidRPr="00654E3B">
        <w:rPr>
          <w:rFonts w:cs="Times New Roman"/>
          <w:bCs/>
        </w:rPr>
        <w:t>,</w:t>
      </w:r>
      <w:r w:rsidRPr="00654E3B">
        <w:rPr>
          <w:rFonts w:cs="Times New Roman"/>
          <w:bCs/>
        </w:rPr>
        <w:t xml:space="preserve"> većima od ukupnih emisija za zadane obračunske kategorije zemljišta u periodu do 2030. godine.</w:t>
      </w:r>
      <w:r w:rsidRPr="00654E3B">
        <w:rPr>
          <w:rFonts w:cs="Times New Roman"/>
        </w:rPr>
        <w:t xml:space="preserve"> </w:t>
      </w:r>
    </w:p>
    <w:p w:rsidR="007D4A93" w:rsidRPr="00654E3B" w:rsidRDefault="00EF0BEB" w:rsidP="00146AEB">
      <w:pPr>
        <w:spacing w:line="240" w:lineRule="auto"/>
        <w:rPr>
          <w:rFonts w:cs="Times New Roman"/>
          <w:bCs/>
        </w:rPr>
      </w:pPr>
      <w:r w:rsidRPr="00654E3B">
        <w:rPr>
          <w:rFonts w:cs="Times New Roman"/>
          <w:bCs/>
        </w:rPr>
        <w:t xml:space="preserve">Uredbom </w:t>
      </w:r>
      <w:r w:rsidR="00146AEB" w:rsidRPr="00654E3B">
        <w:rPr>
          <w:rFonts w:cs="Times New Roman"/>
          <w:bCs/>
        </w:rPr>
        <w:t xml:space="preserve">(EU) </w:t>
      </w:r>
      <w:r w:rsidRPr="00654E3B">
        <w:rPr>
          <w:rFonts w:cs="Times New Roman"/>
          <w:bCs/>
        </w:rPr>
        <w:t>2018/841</w:t>
      </w:r>
      <w:r w:rsidR="00146AEB" w:rsidRPr="00654E3B">
        <w:rPr>
          <w:rFonts w:cs="Times New Roman"/>
          <w:bCs/>
        </w:rPr>
        <w:t xml:space="preserve"> Europskog parlamenta i Vijeća od 30. svibnja 2018. o uključivanju emisija i uklanjanja stakleničkih plinova iz korištenja zemljišta, prenamjene zemljišta i šumarstva u okvir za klimatsku i energetsku politiku do 2030.</w:t>
      </w:r>
      <w:r w:rsidR="00536DED" w:rsidRPr="00654E3B">
        <w:rPr>
          <w:rFonts w:cs="Times New Roman"/>
          <w:bCs/>
        </w:rPr>
        <w:t>,</w:t>
      </w:r>
      <w:r w:rsidR="00146AEB" w:rsidRPr="00654E3B">
        <w:rPr>
          <w:rFonts w:cs="Times New Roman"/>
          <w:bCs/>
        </w:rPr>
        <w:t xml:space="preserve"> te o izmjeni Uredbe (EU) br. 525/2013 i Odluke br. 529/2013/EU</w:t>
      </w:r>
      <w:r w:rsidR="00146AEB" w:rsidRPr="00654E3B" w:rsidDel="00146AEB">
        <w:rPr>
          <w:rFonts w:cs="Times New Roman"/>
          <w:bCs/>
        </w:rPr>
        <w:t xml:space="preserve"> </w:t>
      </w:r>
      <w:r w:rsidR="00146AEB" w:rsidRPr="00654E3B">
        <w:rPr>
          <w:rFonts w:cs="Times New Roman"/>
          <w:bCs/>
        </w:rPr>
        <w:t>(</w:t>
      </w:r>
      <w:r w:rsidR="00060992" w:rsidRPr="00654E3B">
        <w:rPr>
          <w:rFonts w:cs="Times New Roman"/>
          <w:bCs/>
        </w:rPr>
        <w:t>u daljnjem tekstu</w:t>
      </w:r>
      <w:r w:rsidR="00146AEB" w:rsidRPr="00654E3B">
        <w:rPr>
          <w:rFonts w:cs="Times New Roman"/>
          <w:bCs/>
        </w:rPr>
        <w:t>: Uredba 2018/841/EU)</w:t>
      </w:r>
      <w:r w:rsidR="00536DED" w:rsidRPr="00654E3B">
        <w:rPr>
          <w:rFonts w:cs="Times New Roman"/>
          <w:bCs/>
        </w:rPr>
        <w:t>,</w:t>
      </w:r>
      <w:r w:rsidR="00146AEB" w:rsidRPr="00654E3B">
        <w:rPr>
          <w:rFonts w:cs="Times New Roman"/>
          <w:bCs/>
        </w:rPr>
        <w:t xml:space="preserve"> </w:t>
      </w:r>
      <w:r w:rsidRPr="00654E3B">
        <w:rPr>
          <w:rFonts w:cs="Times New Roman"/>
          <w:bCs/>
        </w:rPr>
        <w:t>j</w:t>
      </w:r>
      <w:r w:rsidR="008D7D1F" w:rsidRPr="00654E3B">
        <w:rPr>
          <w:rFonts w:cs="Times New Roman"/>
          <w:bCs/>
        </w:rPr>
        <w:t>e zadržan osnovni princip tzv. „no debit rule“</w:t>
      </w:r>
      <w:r w:rsidR="00536DED" w:rsidRPr="00654E3B">
        <w:rPr>
          <w:rFonts w:cs="Times New Roman"/>
          <w:bCs/>
        </w:rPr>
        <w:t>,</w:t>
      </w:r>
      <w:r w:rsidRPr="00654E3B">
        <w:rPr>
          <w:rFonts w:cs="Times New Roman"/>
          <w:bCs/>
        </w:rPr>
        <w:t xml:space="preserve"> koji ima za cilj osigurati </w:t>
      </w:r>
      <w:r w:rsidR="00487476" w:rsidRPr="00654E3B">
        <w:rPr>
          <w:rFonts w:cs="Times New Roman"/>
          <w:bCs/>
        </w:rPr>
        <w:t xml:space="preserve">da se u sektoru LULUCF emisije </w:t>
      </w:r>
      <w:r w:rsidRPr="00654E3B">
        <w:rPr>
          <w:rFonts w:cs="Times New Roman"/>
          <w:bCs/>
        </w:rPr>
        <w:t>ne povećav</w:t>
      </w:r>
      <w:r w:rsidR="00487476" w:rsidRPr="00654E3B">
        <w:rPr>
          <w:rFonts w:cs="Times New Roman"/>
          <w:bCs/>
        </w:rPr>
        <w:t>aju</w:t>
      </w:r>
      <w:r w:rsidRPr="00654E3B">
        <w:rPr>
          <w:rFonts w:cs="Times New Roman"/>
          <w:bCs/>
        </w:rPr>
        <w:t xml:space="preserve">. </w:t>
      </w:r>
    </w:p>
    <w:p w:rsidR="007D4A93" w:rsidRPr="00654E3B" w:rsidRDefault="00EF0BEB">
      <w:pPr>
        <w:spacing w:line="240" w:lineRule="auto"/>
        <w:rPr>
          <w:rFonts w:cs="Times New Roman"/>
          <w:bCs/>
        </w:rPr>
      </w:pPr>
      <w:r w:rsidRPr="00654E3B">
        <w:rPr>
          <w:rFonts w:cs="Times New Roman"/>
          <w:bCs/>
        </w:rPr>
        <w:t>U sektoru se primjenjuju dva načina obračuna emisijskih jedinica/jedinica ponora:</w:t>
      </w:r>
    </w:p>
    <w:p w:rsidR="007D4A93" w:rsidRPr="00654E3B" w:rsidRDefault="00EF0BEB" w:rsidP="000C6795">
      <w:pPr>
        <w:numPr>
          <w:ilvl w:val="0"/>
          <w:numId w:val="28"/>
        </w:numPr>
        <w:spacing w:line="240" w:lineRule="auto"/>
        <w:rPr>
          <w:rFonts w:cs="Times New Roman"/>
          <w:bCs/>
        </w:rPr>
      </w:pPr>
      <w:r w:rsidRPr="00654E3B">
        <w:rPr>
          <w:rFonts w:cs="Times New Roman"/>
          <w:bCs/>
        </w:rPr>
        <w:t>Bruto-neto obračunavanje kada se cijeli iznos emisija i ponora u utvrđenom periodu (2021.-2025., 2026.-2030.)</w:t>
      </w:r>
      <w:r w:rsidR="00715FD3" w:rsidRPr="00654E3B">
        <w:rPr>
          <w:rFonts w:cs="Times New Roman"/>
          <w:bCs/>
        </w:rPr>
        <w:t>,</w:t>
      </w:r>
      <w:r w:rsidRPr="00654E3B">
        <w:rPr>
          <w:rFonts w:cs="Times New Roman"/>
          <w:bCs/>
        </w:rPr>
        <w:t xml:space="preserve"> uzima u obzir i ne uspoređuje s drugom, zadanom vrijednošću. Ovakva vrsta obračuna primjenjuje se u slučaju emisija/ponora pošumljenog i iskrčenog šumskog zemljišta.</w:t>
      </w:r>
    </w:p>
    <w:p w:rsidR="007D4A93" w:rsidRPr="00654E3B" w:rsidRDefault="00EF0BEB" w:rsidP="000C6795">
      <w:pPr>
        <w:numPr>
          <w:ilvl w:val="0"/>
          <w:numId w:val="28"/>
        </w:numPr>
        <w:spacing w:line="240" w:lineRule="auto"/>
        <w:rPr>
          <w:rFonts w:cs="Times New Roman"/>
          <w:bCs/>
        </w:rPr>
      </w:pPr>
      <w:r w:rsidRPr="00654E3B">
        <w:rPr>
          <w:rFonts w:cs="Times New Roman"/>
          <w:bCs/>
        </w:rPr>
        <w:t>Neto-neto obračunavanje kada se emisije/ponori u definiranom periodu uspoređuju s nekom utvrđenom vrijednošću (npr. iz bazne godine). Ovakva vrsta obračuna primjenjuje se u slučaju emisija/ponora na gospodarenom šumskom zemljištu te se koristi referentna razina za šume (FRL), gospodarenim pašnjacima i gospodarenom poljoprivrednom zemljištu. Uredba 2018/841/EU u određivanju referentne vrijednosti za šume</w:t>
      </w:r>
      <w:r w:rsidR="00A85897" w:rsidRPr="00654E3B">
        <w:rPr>
          <w:rFonts w:cs="Times New Roman"/>
          <w:bCs/>
        </w:rPr>
        <w:t>,</w:t>
      </w:r>
      <w:r w:rsidRPr="00654E3B">
        <w:rPr>
          <w:rFonts w:cs="Times New Roman"/>
          <w:bCs/>
        </w:rPr>
        <w:t xml:space="preserve"> uvažava činjenicu da </w:t>
      </w:r>
      <w:r w:rsidRPr="00654E3B">
        <w:rPr>
          <w:rFonts w:cs="Times New Roman"/>
          <w:bCs/>
          <w:szCs w:val="24"/>
        </w:rPr>
        <w:t xml:space="preserve">je </w:t>
      </w:r>
      <w:r w:rsidRPr="00654E3B">
        <w:rPr>
          <w:rFonts w:eastAsia="Times New Roman" w:cs="Times New Roman"/>
          <w:szCs w:val="24"/>
          <w:lang w:eastAsia="hr-HR"/>
        </w:rPr>
        <w:t>Republika Hrvatska</w:t>
      </w:r>
      <w:r w:rsidRPr="00654E3B">
        <w:rPr>
          <w:rFonts w:cs="Times New Roman"/>
          <w:bCs/>
          <w:szCs w:val="24"/>
        </w:rPr>
        <w:t xml:space="preserve"> ne</w:t>
      </w:r>
      <w:r w:rsidRPr="00654E3B">
        <w:rPr>
          <w:rFonts w:cs="Times New Roman"/>
          <w:bCs/>
        </w:rPr>
        <w:t xml:space="preserve"> tako davno bila pod vojnom okupacijom te da je rat imao negativan utjecaj na gospodarenje šumama u Republici Hrvatskoj. Za prvo razdoblje propisano Uredbom (od 2021. do 2025. godine)</w:t>
      </w:r>
      <w:r w:rsidR="00A85897" w:rsidRPr="00654E3B">
        <w:rPr>
          <w:rFonts w:cs="Times New Roman"/>
          <w:bCs/>
        </w:rPr>
        <w:t>,</w:t>
      </w:r>
      <w:r w:rsidRPr="00654E3B">
        <w:rPr>
          <w:rFonts w:cs="Times New Roman"/>
          <w:bCs/>
        </w:rPr>
        <w:t xml:space="preserve"> trenutno predložena vrijednost FRL za </w:t>
      </w:r>
      <w:r w:rsidRPr="00654E3B">
        <w:rPr>
          <w:rFonts w:eastAsia="Times New Roman" w:cs="Times New Roman"/>
          <w:szCs w:val="24"/>
          <w:lang w:eastAsia="hr-HR"/>
        </w:rPr>
        <w:t>Republiku Hrvatsku</w:t>
      </w:r>
      <w:r w:rsidRPr="00654E3B">
        <w:rPr>
          <w:rFonts w:cs="Times New Roman"/>
          <w:bCs/>
          <w:szCs w:val="24"/>
        </w:rPr>
        <w:t xml:space="preserve"> </w:t>
      </w:r>
      <w:r w:rsidRPr="00654E3B">
        <w:rPr>
          <w:rFonts w:cs="Times New Roman"/>
          <w:bCs/>
        </w:rPr>
        <w:t>iznosi -4,368 Mt CO</w:t>
      </w:r>
      <w:r w:rsidRPr="00654E3B">
        <w:rPr>
          <w:rFonts w:cs="Times New Roman"/>
          <w:bCs/>
          <w:vertAlign w:val="subscript"/>
        </w:rPr>
        <w:t>2</w:t>
      </w:r>
      <w:r w:rsidRPr="00654E3B">
        <w:rPr>
          <w:rFonts w:cs="Times New Roman"/>
          <w:bCs/>
        </w:rPr>
        <w:t>e. Ovdje su uključena uklanjanja i iz kategorije drvnih proizvoda, dok je vrijednost bez istih -3,906 Mt CO</w:t>
      </w:r>
      <w:r w:rsidRPr="00654E3B">
        <w:rPr>
          <w:rFonts w:cs="Times New Roman"/>
          <w:bCs/>
          <w:vertAlign w:val="subscript"/>
        </w:rPr>
        <w:t>2</w:t>
      </w:r>
      <w:r w:rsidRPr="00654E3B">
        <w:rPr>
          <w:rFonts w:cs="Times New Roman"/>
          <w:bCs/>
        </w:rPr>
        <w:t xml:space="preserve">e. </w:t>
      </w:r>
    </w:p>
    <w:p w:rsidR="007D4A93" w:rsidRPr="00654E3B" w:rsidRDefault="00D13CE4">
      <w:pPr>
        <w:spacing w:line="240" w:lineRule="auto"/>
        <w:rPr>
          <w:rFonts w:cs="Times New Roman"/>
          <w:bCs/>
        </w:rPr>
      </w:pPr>
      <w:r w:rsidRPr="00654E3B">
        <w:rPr>
          <w:rFonts w:cs="Times New Roman"/>
          <w:bCs/>
        </w:rPr>
        <w:t>Sukladno nacionalnim projekcijama emisija i uklanjanja stak</w:t>
      </w:r>
      <w:r w:rsidR="009F70A3" w:rsidRPr="00654E3B">
        <w:rPr>
          <w:rFonts w:cs="Times New Roman"/>
          <w:bCs/>
        </w:rPr>
        <w:t>leničkih plinova, jedna od moguć</w:t>
      </w:r>
      <w:r w:rsidRPr="00654E3B">
        <w:rPr>
          <w:rFonts w:cs="Times New Roman"/>
          <w:bCs/>
        </w:rPr>
        <w:t xml:space="preserve">nosti je da će se u LULUCF sektoru ponori i dalje smanjivati, tako da bi moguće uklanjanje ugljikova dioksida </w:t>
      </w:r>
      <w:r w:rsidRPr="00654E3B">
        <w:rPr>
          <w:rFonts w:cs="Times New Roman"/>
          <w:bCs/>
        </w:rPr>
        <w:lastRenderedPageBreak/>
        <w:t>u 2030, godini moglo biti manje od trenutnog. Naved</w:t>
      </w:r>
      <w:r w:rsidR="009F70A3" w:rsidRPr="00654E3B">
        <w:rPr>
          <w:rFonts w:cs="Times New Roman"/>
          <w:bCs/>
        </w:rPr>
        <w:t>eno se odnosi na realni ponor</w:t>
      </w:r>
      <w:r w:rsidR="00A85897" w:rsidRPr="00654E3B">
        <w:rPr>
          <w:rFonts w:cs="Times New Roman"/>
          <w:bCs/>
        </w:rPr>
        <w:t>, š</w:t>
      </w:r>
      <w:r w:rsidRPr="00654E3B">
        <w:rPr>
          <w:rFonts w:cs="Times New Roman"/>
          <w:bCs/>
        </w:rPr>
        <w:t>to nije jednako obračunskom ponoru, prema Uredbi 2018/841 EU. Mjere u okviru ove strategije trebaju pomoći da se obračunske jedinice ponora održe kroz razdoblje do 2030. godine te da sektor LULUCF ne postane izvor emisije</w:t>
      </w:r>
      <w:r w:rsidR="00EF0BEB" w:rsidRPr="00654E3B">
        <w:rPr>
          <w:rFonts w:cs="Times New Roman"/>
          <w:bCs/>
        </w:rPr>
        <w:t xml:space="preserve">.  </w:t>
      </w:r>
    </w:p>
    <w:p w:rsidR="007D4A93" w:rsidRPr="00654E3B" w:rsidRDefault="00EF0BEB">
      <w:pPr>
        <w:spacing w:line="240" w:lineRule="auto"/>
        <w:rPr>
          <w:rFonts w:cs="Times New Roman"/>
          <w:bCs/>
        </w:rPr>
      </w:pPr>
      <w:r w:rsidRPr="00654E3B">
        <w:rPr>
          <w:rFonts w:cs="Times New Roman"/>
          <w:bCs/>
        </w:rPr>
        <w:t>Uzimajući u obzir obaveze u LULUCF sektoru definirane prema EU propisima, kontinuiran rad na unaprjeđenju izračuna emisija/ponora u ovom sektoru, te provedba analize svih LULUCF kategorija zemljišta radi prepoznavanja njihova potencijala za smanjenje emisija i povećanje ponora za svaku od kategorija zemljišta</w:t>
      </w:r>
      <w:r w:rsidR="00A85897" w:rsidRPr="00654E3B">
        <w:rPr>
          <w:rFonts w:cs="Times New Roman"/>
          <w:bCs/>
        </w:rPr>
        <w:t>,</w:t>
      </w:r>
      <w:r w:rsidRPr="00654E3B">
        <w:rPr>
          <w:rFonts w:cs="Times New Roman"/>
          <w:bCs/>
        </w:rPr>
        <w:t xml:space="preserve"> je nužnost kako bi se mehanizmi fleksibilnosti mogli koristiti na najbolji mogući način za Republiku Hrvatsku (mogućnost prijenosa (prodaja) drugim državama članicama viška jedinica ponora ili prijenos viška jedinica za period 2026-2030. godina).</w:t>
      </w:r>
    </w:p>
    <w:p w:rsidR="007D4A93" w:rsidRPr="00654E3B" w:rsidRDefault="00EF0BEB">
      <w:pPr>
        <w:spacing w:line="240" w:lineRule="auto"/>
        <w:rPr>
          <w:rFonts w:cs="Times New Roman"/>
          <w:bCs/>
        </w:rPr>
      </w:pPr>
      <w:r w:rsidRPr="00654E3B">
        <w:rPr>
          <w:rFonts w:cs="Times New Roman"/>
          <w:bCs/>
        </w:rPr>
        <w:t>LULUCF sektor obuhvaća ukupnu kopnenu površinu države, a nadležnosti nad pojedinim kategorijama zemljišta u ovom sektoru raspodijeljene su između više različitih institucija RH. Posljedično, za učinkovito planiranje mjera kojima će se osigurati smanjenje emisija, povećanje ponora i ispunjavanje obaveza definiranih Uredbom 2018/841 u periodu do 2030. odnosno 2050. godine</w:t>
      </w:r>
      <w:r w:rsidR="00A85897" w:rsidRPr="00654E3B">
        <w:rPr>
          <w:rFonts w:cs="Times New Roman"/>
          <w:bCs/>
        </w:rPr>
        <w:t>,</w:t>
      </w:r>
      <w:r w:rsidRPr="00654E3B">
        <w:rPr>
          <w:rFonts w:cs="Times New Roman"/>
          <w:bCs/>
        </w:rPr>
        <w:t xml:space="preserve"> potrebno je izraditi </w:t>
      </w:r>
      <w:r w:rsidR="00F93068" w:rsidRPr="00654E3B">
        <w:rPr>
          <w:rFonts w:cs="Times New Roman"/>
          <w:bCs/>
        </w:rPr>
        <w:t xml:space="preserve">strateške odrednice za </w:t>
      </w:r>
      <w:r w:rsidRPr="00654E3B">
        <w:rPr>
          <w:rFonts w:cs="Times New Roman"/>
          <w:bCs/>
        </w:rPr>
        <w:t>upravljanj</w:t>
      </w:r>
      <w:r w:rsidR="00F93068" w:rsidRPr="00654E3B">
        <w:rPr>
          <w:rFonts w:cs="Times New Roman"/>
          <w:bCs/>
        </w:rPr>
        <w:t>e</w:t>
      </w:r>
      <w:r w:rsidRPr="00654E3B">
        <w:rPr>
          <w:rFonts w:cs="Times New Roman"/>
          <w:bCs/>
        </w:rPr>
        <w:t xml:space="preserve"> zemljištem Republike Hrvatske. </w:t>
      </w:r>
    </w:p>
    <w:p w:rsidR="007D4A93" w:rsidRPr="00654E3B" w:rsidRDefault="00EF0BEB">
      <w:pPr>
        <w:spacing w:line="240" w:lineRule="auto"/>
        <w:rPr>
          <w:rFonts w:cs="Times New Roman"/>
        </w:rPr>
      </w:pPr>
      <w:r w:rsidRPr="00654E3B">
        <w:rPr>
          <w:rFonts w:cs="Times New Roman"/>
        </w:rPr>
        <w:t xml:space="preserve">Definiranja mjera za povećanje ponora i smanjenje emisija prilikom </w:t>
      </w:r>
      <w:r w:rsidR="00A01B59" w:rsidRPr="00654E3B">
        <w:rPr>
          <w:rFonts w:cs="Times New Roman"/>
        </w:rPr>
        <w:t xml:space="preserve">unapređenja upravljanja </w:t>
      </w:r>
      <w:r w:rsidRPr="00654E3B">
        <w:rPr>
          <w:rFonts w:cs="Times New Roman"/>
        </w:rPr>
        <w:t>zemljištem Republike Hrvatske</w:t>
      </w:r>
      <w:r w:rsidR="00A85897" w:rsidRPr="00654E3B">
        <w:rPr>
          <w:rFonts w:cs="Times New Roman"/>
        </w:rPr>
        <w:t>,</w:t>
      </w:r>
      <w:r w:rsidRPr="00654E3B">
        <w:rPr>
          <w:rFonts w:cs="Times New Roman"/>
        </w:rPr>
        <w:t xml:space="preserve"> treba uskladiti s različitim zahtjevima (proizvodnja hrane, energija biomase, očuvanje biološke raznolikosti, drvni proizvodi), pri čemu ovo pitanje postaje osobito važno kod povećanja ambicije niskougljične strategije, prema nultoj neto emisiji u slijedećim iteracijama njezine izrade. </w:t>
      </w:r>
    </w:p>
    <w:p w:rsidR="007D4A93" w:rsidRPr="00654E3B" w:rsidRDefault="00EF0BEB">
      <w:pPr>
        <w:spacing w:line="240" w:lineRule="auto"/>
        <w:rPr>
          <w:rFonts w:cs="Times New Roman"/>
        </w:rPr>
      </w:pPr>
      <w:r w:rsidRPr="00654E3B">
        <w:rPr>
          <w:rFonts w:cs="Times New Roman"/>
        </w:rPr>
        <w:t>Napominje se da planiranje mjera za smanjenje emisija i povećanja ponora uzimanjem u obzir samo emisija/ponora u jednom pohraništu (npr fitotvari (biomasi))</w:t>
      </w:r>
      <w:r w:rsidR="00A85897" w:rsidRPr="00654E3B">
        <w:rPr>
          <w:rFonts w:cs="Times New Roman"/>
        </w:rPr>
        <w:t>,</w:t>
      </w:r>
      <w:r w:rsidRPr="00654E3B">
        <w:rPr>
          <w:rFonts w:cs="Times New Roman"/>
        </w:rPr>
        <w:t xml:space="preserve"> može imati krivi učinak i rezultirati povećanjem emisija. Recimo, prenamjena travnjaka u šumsko zemljište (pošumljavanje) rezultira emisijama u slučaju pohraništa tla nakon prenamjene, s obzirom da je zaliha ugljika u ovoj kategoriji tla veća od zalihe ugljika u </w:t>
      </w:r>
      <w:r w:rsidR="00A85897" w:rsidRPr="00654E3B">
        <w:rPr>
          <w:rFonts w:cs="Times New Roman"/>
        </w:rPr>
        <w:t xml:space="preserve">šumskom </w:t>
      </w:r>
      <w:r w:rsidRPr="00654E3B">
        <w:rPr>
          <w:rFonts w:cs="Times New Roman"/>
        </w:rPr>
        <w:t xml:space="preserve">zemljištu. </w:t>
      </w:r>
    </w:p>
    <w:p w:rsidR="007D4A93" w:rsidRPr="00654E3B" w:rsidRDefault="00EF0BEB">
      <w:pPr>
        <w:spacing w:line="240" w:lineRule="auto"/>
        <w:rPr>
          <w:rFonts w:cs="Times New Roman"/>
        </w:rPr>
      </w:pPr>
      <w:r w:rsidRPr="00654E3B">
        <w:rPr>
          <w:rFonts w:cs="Times New Roman"/>
        </w:rPr>
        <w:t xml:space="preserve">Na ispunjavanje obaveza iz Uredbe 2018/841 negativan utjecaj može imati uvođenje novih praksi gospodarenja u pojedinim LULUCF kategorijama zemljišta. U slučaju iznošenja drvnog ostatka koji nastaje nakon sječe i izrade u šumi za energetske svrhe, ustanovljeno je da ova praksa ima negativan utjecaj na ciklus kruženja ugljika u pohraništima u </w:t>
      </w:r>
      <w:r w:rsidRPr="00654E3B">
        <w:rPr>
          <w:rFonts w:cs="Times New Roman"/>
          <w:i/>
        </w:rPr>
        <w:t>šumskom zemljištu</w:t>
      </w:r>
      <w:r w:rsidRPr="00654E3B">
        <w:rPr>
          <w:rFonts w:cs="Times New Roman"/>
        </w:rPr>
        <w:t xml:space="preserve"> i dugoročno dovodi do smanjenja zalihe ugljika u pohraništima tla, listinca i mrtvog drva. </w:t>
      </w:r>
    </w:p>
    <w:p w:rsidR="007D4A93" w:rsidRPr="00654E3B" w:rsidRDefault="00EF0BEB">
      <w:pPr>
        <w:spacing w:line="240" w:lineRule="auto"/>
        <w:rPr>
          <w:rFonts w:cs="Times New Roman"/>
        </w:rPr>
      </w:pPr>
      <w:r w:rsidRPr="00654E3B">
        <w:rPr>
          <w:rFonts w:cs="Times New Roman"/>
        </w:rPr>
        <w:t>Detaljno poznavanje emisija/ponora do kojih dolazi u svakom pohraništu u svakoj kategoriji zemljišta</w:t>
      </w:r>
      <w:r w:rsidR="00A85897" w:rsidRPr="00654E3B">
        <w:rPr>
          <w:rFonts w:cs="Times New Roman"/>
        </w:rPr>
        <w:t>,</w:t>
      </w:r>
      <w:r w:rsidRPr="00654E3B">
        <w:rPr>
          <w:rFonts w:cs="Times New Roman"/>
        </w:rPr>
        <w:t xml:space="preserve"> je preduvjet dobrog planiranja mjera za smanjenje emisija i povećanje ponora koje trebaju biti prepoznate i činiti sastavni dio mjera Programa ruralnog razvoja Republike Hrvatske</w:t>
      </w:r>
      <w:r w:rsidR="009823B2" w:rsidRPr="00654E3B">
        <w:rPr>
          <w:rFonts w:cs="Times New Roman"/>
        </w:rPr>
        <w:t>.</w:t>
      </w:r>
    </w:p>
    <w:p w:rsidR="007D4A93" w:rsidRPr="00654E3B" w:rsidRDefault="00A01B59">
      <w:pPr>
        <w:spacing w:line="240" w:lineRule="auto"/>
        <w:rPr>
          <w:rFonts w:cs="Times New Roman"/>
        </w:rPr>
      </w:pPr>
      <w:r w:rsidRPr="00654E3B">
        <w:rPr>
          <w:rFonts w:cs="Times New Roman"/>
        </w:rPr>
        <w:t xml:space="preserve">Potrebno je unaprijediti </w:t>
      </w:r>
      <w:r w:rsidR="00EF0BEB" w:rsidRPr="00654E3B">
        <w:rPr>
          <w:rFonts w:cs="Times New Roman"/>
        </w:rPr>
        <w:t xml:space="preserve"> upravljanj</w:t>
      </w:r>
      <w:r w:rsidRPr="00654E3B">
        <w:rPr>
          <w:rFonts w:cs="Times New Roman"/>
        </w:rPr>
        <w:t>e</w:t>
      </w:r>
      <w:r w:rsidR="00EF0BEB" w:rsidRPr="00654E3B">
        <w:rPr>
          <w:rFonts w:cs="Times New Roman"/>
        </w:rPr>
        <w:t xml:space="preserve"> zemljištem</w:t>
      </w:r>
      <w:r w:rsidRPr="00654E3B">
        <w:rPr>
          <w:rFonts w:cs="Times New Roman"/>
        </w:rPr>
        <w:t xml:space="preserve"> (pokrov, uporaba zemljišta, načini gospodarenja na pojedinoj kategoriji zemljišta)</w:t>
      </w:r>
      <w:r w:rsidR="00A85897" w:rsidRPr="00654E3B">
        <w:rPr>
          <w:rFonts w:cs="Times New Roman"/>
        </w:rPr>
        <w:t>,</w:t>
      </w:r>
      <w:r w:rsidR="00EF0BEB" w:rsidRPr="00654E3B">
        <w:rPr>
          <w:rFonts w:cs="Times New Roman"/>
        </w:rPr>
        <w:t xml:space="preserve"> koj</w:t>
      </w:r>
      <w:r w:rsidRPr="00654E3B">
        <w:rPr>
          <w:rFonts w:cs="Times New Roman"/>
        </w:rPr>
        <w:t>e</w:t>
      </w:r>
      <w:r w:rsidR="00EF0BEB" w:rsidRPr="00654E3B">
        <w:rPr>
          <w:rFonts w:cs="Times New Roman"/>
        </w:rPr>
        <w:t xml:space="preserve"> bi kao polazište </w:t>
      </w:r>
      <w:r w:rsidR="00A85897" w:rsidRPr="00654E3B">
        <w:rPr>
          <w:rFonts w:cs="Times New Roman"/>
        </w:rPr>
        <w:t>,</w:t>
      </w:r>
      <w:r w:rsidR="00EF0BEB" w:rsidRPr="00654E3B">
        <w:rPr>
          <w:rFonts w:cs="Times New Roman"/>
        </w:rPr>
        <w:t xml:space="preserve"> uzimal</w:t>
      </w:r>
      <w:r w:rsidRPr="00654E3B">
        <w:rPr>
          <w:rFonts w:cs="Times New Roman"/>
        </w:rPr>
        <w:t>o</w:t>
      </w:r>
      <w:r w:rsidR="00EF0BEB" w:rsidRPr="00654E3B">
        <w:rPr>
          <w:rFonts w:cs="Times New Roman"/>
        </w:rPr>
        <w:t xml:space="preserve"> emisije/ponore u pojedinoj LULUCF kategoriji zemljišta</w:t>
      </w:r>
      <w:r w:rsidRPr="00654E3B">
        <w:rPr>
          <w:rFonts w:cs="Times New Roman"/>
        </w:rPr>
        <w:t>.</w:t>
      </w:r>
      <w:r w:rsidR="00EF0BEB" w:rsidRPr="00654E3B">
        <w:rPr>
          <w:rFonts w:cs="Times New Roman"/>
        </w:rPr>
        <w:t xml:space="preserve"> </w:t>
      </w:r>
      <w:r w:rsidRPr="00654E3B">
        <w:rPr>
          <w:rFonts w:cs="Times New Roman"/>
        </w:rPr>
        <w:t>U</w:t>
      </w:r>
      <w:r w:rsidR="00EF0BEB" w:rsidRPr="00654E3B">
        <w:rPr>
          <w:rFonts w:cs="Times New Roman"/>
        </w:rPr>
        <w:t xml:space="preserve"> </w:t>
      </w:r>
      <w:r w:rsidR="00EF0BEB" w:rsidRPr="00654E3B">
        <w:rPr>
          <w:rFonts w:eastAsia="Times New Roman" w:cs="Times New Roman"/>
          <w:szCs w:val="24"/>
          <w:lang w:eastAsia="hr-HR"/>
        </w:rPr>
        <w:t>Republici Hrvatskoj</w:t>
      </w:r>
      <w:r w:rsidR="00EF0BEB" w:rsidRPr="00654E3B">
        <w:rPr>
          <w:rFonts w:cs="Times New Roman"/>
          <w:bCs/>
          <w:szCs w:val="24"/>
        </w:rPr>
        <w:t xml:space="preserve"> </w:t>
      </w:r>
      <w:r w:rsidR="00EF0BEB" w:rsidRPr="00654E3B">
        <w:rPr>
          <w:rFonts w:cs="Times New Roman"/>
        </w:rPr>
        <w:t>je</w:t>
      </w:r>
      <w:r w:rsidRPr="00654E3B">
        <w:rPr>
          <w:rFonts w:cs="Times New Roman"/>
        </w:rPr>
        <w:t xml:space="preserve"> i dalje</w:t>
      </w:r>
      <w:r w:rsidR="00EF0BEB" w:rsidRPr="00654E3B">
        <w:rPr>
          <w:rFonts w:cs="Times New Roman"/>
        </w:rPr>
        <w:t xml:space="preserve"> potrebno provoditi prakse gospodarenja zemljištem koje su do sada rezultirale ponorima.</w:t>
      </w:r>
    </w:p>
    <w:p w:rsidR="007D4A93" w:rsidRPr="00654E3B" w:rsidRDefault="00EF0BEB">
      <w:pPr>
        <w:spacing w:line="240" w:lineRule="auto"/>
        <w:rPr>
          <w:rFonts w:cs="Times New Roman"/>
        </w:rPr>
      </w:pPr>
      <w:r w:rsidRPr="00654E3B">
        <w:rPr>
          <w:rFonts w:cs="Times New Roman"/>
        </w:rPr>
        <w:t>Za šumsko zemljište to je nastavak tradicije potrajnog (održivog) gospodarenja šumama i šumskim zemljištima u skladu sa pravilima struke i zahtjevima domaćih i međunarodnih politika. Raspoloživo, neobraslo proizvodno šumsko zemljište potrebno je koristiti za podizanje novih šuma. Površinama obraslim šumama niskih uzgojnih oblika</w:t>
      </w:r>
      <w:r w:rsidR="00A85897" w:rsidRPr="00654E3B">
        <w:rPr>
          <w:rFonts w:cs="Times New Roman"/>
        </w:rPr>
        <w:t>,</w:t>
      </w:r>
      <w:r w:rsidRPr="00654E3B">
        <w:rPr>
          <w:rFonts w:cs="Times New Roman"/>
        </w:rPr>
        <w:t xml:space="preserve"> potrebno je upravljati na način da se poveća zaliha ugljika. Gospodarenje drvnim ostacima nakon sječe i izrade u šumskim sastojinama</w:t>
      </w:r>
      <w:r w:rsidR="00A85897" w:rsidRPr="00654E3B">
        <w:rPr>
          <w:rFonts w:cs="Times New Roman"/>
        </w:rPr>
        <w:t>,</w:t>
      </w:r>
      <w:r w:rsidRPr="00654E3B">
        <w:rPr>
          <w:rFonts w:cs="Times New Roman"/>
        </w:rPr>
        <w:t xml:space="preserve"> potrebno je regulirati po provođenju znanstvenih istraživanja o utjecaju iznošenja drvnih ostataka na ciklus kruženja ugljika u šumama. Šumskim resursima potrebno je nastaviti gospodariti tako da se održe i poboljšaju njihove općekorisne funkcije (OKFŠ), zaštiti biološka raznolikost te podigne otpornost šuma na klimatske promjene. Potrebno je poticati korištenje drvnih proizvoda u tradicionalnim i novim proizvodima, te poduzimati aktivnosti osvješćivanja o važnosti drvnih proizvoda kao pohraništa ugljika, te značaj istih u smislu i dodatno izbjegnutih emisija kada se zbog uporabe ovih proizvoda izbjegnu emisije zbog proizvodnje npr. plastičnih proizvoda.</w:t>
      </w:r>
    </w:p>
    <w:p w:rsidR="007D4A93" w:rsidRPr="00654E3B" w:rsidRDefault="00EF0BEB">
      <w:pPr>
        <w:spacing w:line="240" w:lineRule="auto"/>
        <w:rPr>
          <w:rFonts w:cs="Times New Roman"/>
        </w:rPr>
      </w:pPr>
      <w:r w:rsidRPr="00654E3B">
        <w:rPr>
          <w:rFonts w:cs="Times New Roman"/>
        </w:rPr>
        <w:lastRenderedPageBreak/>
        <w:t>U konkurentnom poslovanju biti će sve više sustava gospodarenja, integralnih poslovnih i razvojnih projekata</w:t>
      </w:r>
      <w:r w:rsidR="00662E12" w:rsidRPr="00654E3B">
        <w:rPr>
          <w:rFonts w:cs="Times New Roman"/>
        </w:rPr>
        <w:t xml:space="preserve"> koji uvažavaju </w:t>
      </w:r>
      <w:r w:rsidR="00363F7B" w:rsidRPr="00654E3B">
        <w:rPr>
          <w:rFonts w:cs="Times New Roman"/>
        </w:rPr>
        <w:t xml:space="preserve">aspekte klimatskih promjena u pogledu povećanja ponora, smanjenja emisija te povećanja otpornosti na klimatske promjene. </w:t>
      </w:r>
      <w:r w:rsidR="00FE3855" w:rsidRPr="00654E3B">
        <w:rPr>
          <w:rFonts w:cs="Times New Roman"/>
        </w:rPr>
        <w:t xml:space="preserve">Pri </w:t>
      </w:r>
      <w:r w:rsidR="00363F7B" w:rsidRPr="00654E3B">
        <w:rPr>
          <w:rFonts w:cs="Times New Roman"/>
        </w:rPr>
        <w:t xml:space="preserve">tome je </w:t>
      </w:r>
      <w:r w:rsidR="00FE3855" w:rsidRPr="00654E3B">
        <w:rPr>
          <w:rFonts w:cs="Times New Roman"/>
        </w:rPr>
        <w:t xml:space="preserve">važno </w:t>
      </w:r>
      <w:r w:rsidR="00363F7B" w:rsidRPr="00654E3B">
        <w:rPr>
          <w:rFonts w:cs="Times New Roman"/>
        </w:rPr>
        <w:t>međusektorsko djelovanje, usklađivanje i postizanje sinergije</w:t>
      </w:r>
      <w:r w:rsidRPr="00654E3B">
        <w:rPr>
          <w:rFonts w:cs="Times New Roman"/>
        </w:rPr>
        <w:t xml:space="preserve">, s visokim stupnjem informacija o stanju šuma, inventaru, ugroženosti i projekcijama trendova. </w:t>
      </w:r>
    </w:p>
    <w:p w:rsidR="007D4A93" w:rsidRPr="00654E3B" w:rsidRDefault="00EF0BEB">
      <w:pPr>
        <w:spacing w:line="240" w:lineRule="auto"/>
        <w:rPr>
          <w:rFonts w:cs="Times New Roman"/>
        </w:rPr>
      </w:pPr>
      <w:r w:rsidRPr="00654E3B">
        <w:rPr>
          <w:rFonts w:cs="Times New Roman"/>
        </w:rPr>
        <w:t>Potrebno je regulirati izvoz drvne sirovine</w:t>
      </w:r>
      <w:r w:rsidR="00FE3855" w:rsidRPr="00654E3B">
        <w:rPr>
          <w:rFonts w:cs="Times New Roman"/>
        </w:rPr>
        <w:t>,</w:t>
      </w:r>
      <w:r w:rsidRPr="00654E3B">
        <w:rPr>
          <w:rFonts w:cs="Times New Roman"/>
        </w:rPr>
        <w:t xml:space="preserve"> poluobrađenog drva u cilju poticanja finalizacija domaće drvne industrije te energetskog drva</w:t>
      </w:r>
      <w:r w:rsidR="00FE3855" w:rsidRPr="00654E3B">
        <w:rPr>
          <w:rFonts w:cs="Times New Roman"/>
        </w:rPr>
        <w:t>,</w:t>
      </w:r>
      <w:r w:rsidRPr="00654E3B">
        <w:rPr>
          <w:rFonts w:cs="Times New Roman"/>
        </w:rPr>
        <w:t xml:space="preserve"> imajući u vidu da to nepovoljno utječe na bilancu korištenja obnovljivih izvora energije.</w:t>
      </w:r>
    </w:p>
    <w:p w:rsidR="007D4A93" w:rsidRPr="00654E3B" w:rsidRDefault="00EF0BEB">
      <w:pPr>
        <w:spacing w:line="240" w:lineRule="auto"/>
        <w:rPr>
          <w:rFonts w:cs="Times New Roman"/>
        </w:rPr>
      </w:pPr>
      <w:r w:rsidRPr="00654E3B">
        <w:rPr>
          <w:rFonts w:cs="Times New Roman"/>
        </w:rPr>
        <w:t xml:space="preserve">U razdoblju do 2030. i 2050. godine potrebno je osigurati financijska sredstva za tehničke projekte i znanstvena istraživanja povezana s LULUCF kategorijama zemljišta i emisijama/ponorima u ovom sektoru, te rezultate istraživanja koristiti za planiranje mjera i buduće politike klimatskih promjena u </w:t>
      </w:r>
      <w:r w:rsidRPr="00654E3B">
        <w:rPr>
          <w:rFonts w:eastAsia="Times New Roman" w:cs="Times New Roman"/>
          <w:szCs w:val="24"/>
          <w:lang w:eastAsia="hr-HR"/>
        </w:rPr>
        <w:t>Republici Hrvatskoj</w:t>
      </w:r>
      <w:r w:rsidRPr="00654E3B">
        <w:rPr>
          <w:rFonts w:cs="Times New Roman"/>
        </w:rPr>
        <w:t xml:space="preserve"> u razdoblju do 2030. i 2050. godine. </w:t>
      </w:r>
    </w:p>
    <w:p w:rsidR="00AB40C9" w:rsidRPr="00654E3B" w:rsidRDefault="00EF0BEB">
      <w:pPr>
        <w:spacing w:line="240" w:lineRule="auto"/>
        <w:rPr>
          <w:rFonts w:cs="Times New Roman"/>
        </w:rPr>
      </w:pPr>
      <w:r w:rsidRPr="00654E3B">
        <w:rPr>
          <w:rFonts w:cs="Times New Roman"/>
        </w:rPr>
        <w:t>Smjernice budućeg razvoja LULUCF sektora definirane strategijom niskougljičnog razvoja trebaju osigurati postizanje dugoročnog cilja za ovaj sektor - ukupni ponori trebaju biti veći od ukupnih emisija iz obračunskih kategorija zemljišta.</w:t>
      </w:r>
    </w:p>
    <w:p w:rsidR="007D4A93" w:rsidRPr="00654E3B" w:rsidRDefault="00EF0BEB" w:rsidP="009F6651">
      <w:pPr>
        <w:pStyle w:val="Heading3"/>
      </w:pPr>
      <w:bookmarkStart w:id="283" w:name="_Toc69297774"/>
      <w:r w:rsidRPr="00654E3B">
        <w:t>6.8.3. Smjernice za niskougljični razvoj</w:t>
      </w:r>
      <w:bookmarkEnd w:id="283"/>
    </w:p>
    <w:p w:rsidR="007D4A93" w:rsidRPr="00654E3B" w:rsidRDefault="007D4A93">
      <w:pPr>
        <w:rPr>
          <w:rFonts w:cs="Times New Roman"/>
        </w:rPr>
      </w:pPr>
    </w:p>
    <w:p w:rsidR="007D4A93" w:rsidRPr="00654E3B" w:rsidRDefault="00EF0BEB">
      <w:pPr>
        <w:spacing w:line="240" w:lineRule="auto"/>
        <w:rPr>
          <w:rFonts w:cs="Times New Roman"/>
          <w:u w:val="single"/>
        </w:rPr>
      </w:pPr>
      <w:r w:rsidRPr="00654E3B">
        <w:rPr>
          <w:rFonts w:cs="Times New Roman"/>
          <w:u w:val="single"/>
        </w:rPr>
        <w:t>Do 2030. godine</w:t>
      </w:r>
    </w:p>
    <w:p w:rsidR="007D4A93" w:rsidRPr="00654E3B" w:rsidRDefault="00EF0BEB" w:rsidP="000C6795">
      <w:pPr>
        <w:numPr>
          <w:ilvl w:val="0"/>
          <w:numId w:val="29"/>
        </w:numPr>
        <w:spacing w:line="240" w:lineRule="auto"/>
        <w:rPr>
          <w:rFonts w:cs="Times New Roman"/>
        </w:rPr>
      </w:pPr>
      <w:r w:rsidRPr="00654E3B">
        <w:rPr>
          <w:rFonts w:cs="Times New Roman"/>
        </w:rPr>
        <w:t>Kontinuirano raditi na unapređenju izračuna emisija/ponora u LULUCF sektoru kroz provedbu različitih projekata čiji rezultati omogućavaju primjenu više razine IPCC metodologije (Tier 2, Tier 3) u izračunu emisija/ponora.</w:t>
      </w:r>
    </w:p>
    <w:p w:rsidR="007D4A93" w:rsidRPr="00654E3B" w:rsidRDefault="006375AA" w:rsidP="000C6795">
      <w:pPr>
        <w:numPr>
          <w:ilvl w:val="0"/>
          <w:numId w:val="29"/>
        </w:numPr>
        <w:spacing w:line="240" w:lineRule="auto"/>
        <w:rPr>
          <w:rFonts w:cs="Times New Roman"/>
        </w:rPr>
      </w:pPr>
      <w:r w:rsidRPr="00654E3B">
        <w:rPr>
          <w:rFonts w:cs="Times New Roman"/>
        </w:rPr>
        <w:t>U suradnji nadležnih tijela r</w:t>
      </w:r>
      <w:r w:rsidR="00EF0BEB" w:rsidRPr="00654E3B">
        <w:rPr>
          <w:rFonts w:cs="Times New Roman"/>
        </w:rPr>
        <w:t xml:space="preserve">azviti </w:t>
      </w:r>
      <w:r w:rsidRPr="00654E3B">
        <w:rPr>
          <w:rFonts w:cs="Times New Roman"/>
        </w:rPr>
        <w:t>smjernice za</w:t>
      </w:r>
      <w:r w:rsidR="00EF0BEB" w:rsidRPr="00654E3B">
        <w:rPr>
          <w:rFonts w:cs="Times New Roman"/>
        </w:rPr>
        <w:t xml:space="preserve"> </w:t>
      </w:r>
      <w:r w:rsidRPr="00654E3B">
        <w:rPr>
          <w:rFonts w:cs="Times New Roman"/>
        </w:rPr>
        <w:t xml:space="preserve">upravljanje </w:t>
      </w:r>
      <w:r w:rsidR="00EF0BEB" w:rsidRPr="00654E3B">
        <w:rPr>
          <w:rFonts w:cs="Times New Roman"/>
        </w:rPr>
        <w:t xml:space="preserve">zemljištem </w:t>
      </w:r>
      <w:r w:rsidR="00BA35C4" w:rsidRPr="00654E3B">
        <w:rPr>
          <w:rFonts w:cs="Times New Roman"/>
        </w:rPr>
        <w:t xml:space="preserve">s ciljem povećanja ponora </w:t>
      </w:r>
      <w:r w:rsidR="00EF0BEB" w:rsidRPr="00654E3B">
        <w:rPr>
          <w:rFonts w:cs="Times New Roman"/>
        </w:rPr>
        <w:t>u Republici Hrvatskoj. Preduvjeti za</w:t>
      </w:r>
      <w:r w:rsidR="009823B2" w:rsidRPr="00654E3B">
        <w:rPr>
          <w:rFonts w:cs="Times New Roman"/>
        </w:rPr>
        <w:t xml:space="preserve"> njihov</w:t>
      </w:r>
      <w:r w:rsidR="00EF0BEB" w:rsidRPr="00654E3B">
        <w:rPr>
          <w:rFonts w:cs="Times New Roman"/>
        </w:rPr>
        <w:t xml:space="preserve"> razvoj su:</w:t>
      </w:r>
    </w:p>
    <w:p w:rsidR="007D4A93" w:rsidRPr="00654E3B" w:rsidRDefault="00EF0BEB" w:rsidP="000C6795">
      <w:pPr>
        <w:numPr>
          <w:ilvl w:val="1"/>
          <w:numId w:val="82"/>
        </w:numPr>
        <w:spacing w:line="240" w:lineRule="auto"/>
        <w:rPr>
          <w:rFonts w:cs="Times New Roman"/>
        </w:rPr>
      </w:pPr>
      <w:r w:rsidRPr="00654E3B">
        <w:rPr>
          <w:rFonts w:cs="Times New Roman"/>
        </w:rPr>
        <w:t>razviti jedinstveni informacijski sustav zemljišta u Republici Hrvatskoj ili utvrditi površine pojedine LULUCF kategorije zemljišta upotrebom prostorno točno utvrđenih podataka, za svaku kategoriju zemljišta te za svaku vrste prenamjene zemljišta iz jedne kategorije zemljišta u drugu</w:t>
      </w:r>
    </w:p>
    <w:p w:rsidR="007D4A93" w:rsidRPr="00654E3B" w:rsidRDefault="00EF0BEB" w:rsidP="000C6795">
      <w:pPr>
        <w:numPr>
          <w:ilvl w:val="1"/>
          <w:numId w:val="82"/>
        </w:numPr>
        <w:spacing w:line="240" w:lineRule="auto"/>
        <w:rPr>
          <w:rFonts w:cs="Times New Roman"/>
        </w:rPr>
      </w:pPr>
      <w:r w:rsidRPr="00654E3B">
        <w:rPr>
          <w:rFonts w:cs="Times New Roman"/>
        </w:rPr>
        <w:t>provesti a</w:t>
      </w:r>
      <w:r w:rsidRPr="00654E3B">
        <w:rPr>
          <w:rFonts w:cs="Times New Roman"/>
          <w:bCs/>
        </w:rPr>
        <w:t>nalizu svih LULUCF kategorija zemljišta u ovisnosti o pokrovu, uporabi zemljišta te praksama gospodarenja koje se na svakom zemljištu koriste i s time povezanim emisijama/ponorima radi razmatranja potencijala svakog od pohraništa</w:t>
      </w:r>
      <w:r w:rsidR="00FE3855" w:rsidRPr="00654E3B">
        <w:rPr>
          <w:rFonts w:cs="Times New Roman"/>
          <w:bCs/>
        </w:rPr>
        <w:t>,</w:t>
      </w:r>
      <w:r w:rsidRPr="00654E3B">
        <w:rPr>
          <w:rFonts w:cs="Times New Roman"/>
          <w:bCs/>
        </w:rPr>
        <w:t xml:space="preserve"> unutar svake LULUCF kategorije zemljišta za smanjenje emisija i povećanje ponora stakleničkih plinova</w:t>
      </w:r>
    </w:p>
    <w:p w:rsidR="007D4A93" w:rsidRPr="00654E3B" w:rsidRDefault="00EF0BEB" w:rsidP="000C6795">
      <w:pPr>
        <w:numPr>
          <w:ilvl w:val="1"/>
          <w:numId w:val="82"/>
        </w:numPr>
        <w:spacing w:line="240" w:lineRule="auto"/>
        <w:rPr>
          <w:rFonts w:cs="Times New Roman"/>
        </w:rPr>
      </w:pPr>
      <w:r w:rsidRPr="00654E3B">
        <w:rPr>
          <w:rFonts w:cs="Times New Roman"/>
          <w:bCs/>
        </w:rPr>
        <w:t xml:space="preserve">razviti detaljne projekcije razvoja budućih emisija/ponora u LULUCF sektoru po provedbi više navedene analize. </w:t>
      </w:r>
    </w:p>
    <w:p w:rsidR="007D4A93" w:rsidRPr="00654E3B" w:rsidRDefault="00EF0BEB" w:rsidP="000C6795">
      <w:pPr>
        <w:numPr>
          <w:ilvl w:val="0"/>
          <w:numId w:val="57"/>
        </w:numPr>
        <w:spacing w:line="240" w:lineRule="auto"/>
        <w:rPr>
          <w:rFonts w:cs="Times New Roman"/>
        </w:rPr>
      </w:pPr>
      <w:r w:rsidRPr="00654E3B">
        <w:rPr>
          <w:rFonts w:cs="Times New Roman"/>
        </w:rPr>
        <w:t>Po provedenoj više navedenoj analizi</w:t>
      </w:r>
      <w:r w:rsidR="00FE3855" w:rsidRPr="00654E3B">
        <w:rPr>
          <w:rFonts w:cs="Times New Roman"/>
        </w:rPr>
        <w:t>,</w:t>
      </w:r>
      <w:r w:rsidRPr="00654E3B">
        <w:rPr>
          <w:rFonts w:cs="Times New Roman"/>
        </w:rPr>
        <w:t xml:space="preserve"> definirati aktivnosti za smanjenje emisija/povećanje ponora za svaku od kategorija zemljišta i pripadajuća pohraništa, te definirati rokove za provedbu definiranih aktivnosti. Navedeno treba činiti sastavni dio </w:t>
      </w:r>
      <w:r w:rsidR="006C62B1" w:rsidRPr="00654E3B">
        <w:rPr>
          <w:rFonts w:cs="Times New Roman"/>
        </w:rPr>
        <w:t xml:space="preserve">sustava </w:t>
      </w:r>
      <w:r w:rsidRPr="00654E3B">
        <w:rPr>
          <w:rFonts w:cs="Times New Roman"/>
        </w:rPr>
        <w:t>upravljanja zemljištem Republike Hrvatske.</w:t>
      </w:r>
    </w:p>
    <w:p w:rsidR="007D4A93" w:rsidRPr="00654E3B" w:rsidRDefault="00EF0BEB" w:rsidP="000C6795">
      <w:pPr>
        <w:numPr>
          <w:ilvl w:val="0"/>
          <w:numId w:val="29"/>
        </w:numPr>
        <w:spacing w:line="240" w:lineRule="auto"/>
        <w:rPr>
          <w:rFonts w:cs="Times New Roman"/>
        </w:rPr>
      </w:pPr>
      <w:r w:rsidRPr="00654E3B">
        <w:rPr>
          <w:rFonts w:cs="Times New Roman"/>
        </w:rPr>
        <w:t xml:space="preserve">Provesti odabrane aktivnosti/ definirane u </w:t>
      </w:r>
      <w:r w:rsidR="00E56BCD" w:rsidRPr="00654E3B">
        <w:rPr>
          <w:rFonts w:cs="Times New Roman"/>
        </w:rPr>
        <w:t>mjeri unapređenja sustava upravljanja zemljištem Republike Hrvatske zbog</w:t>
      </w:r>
      <w:r w:rsidRPr="00654E3B">
        <w:rPr>
          <w:rFonts w:cs="Times New Roman"/>
        </w:rPr>
        <w:t xml:space="preserve"> smanjenja/zadržavanja emisija i povećanja/zadržavanja ponora stakleničkih plinova u LULUCF sektoru.</w:t>
      </w:r>
    </w:p>
    <w:p w:rsidR="007D4A93" w:rsidRPr="00654E3B" w:rsidRDefault="0048799C" w:rsidP="000C6795">
      <w:pPr>
        <w:numPr>
          <w:ilvl w:val="0"/>
          <w:numId w:val="29"/>
        </w:numPr>
        <w:spacing w:line="240" w:lineRule="auto"/>
        <w:rPr>
          <w:rFonts w:cs="Times New Roman"/>
        </w:rPr>
      </w:pPr>
      <w:r w:rsidRPr="00654E3B">
        <w:rPr>
          <w:rFonts w:cs="Times New Roman"/>
        </w:rPr>
        <w:t>U okviru potrajnog gospodarenja šumama, u</w:t>
      </w:r>
      <w:r w:rsidR="00EF0BEB" w:rsidRPr="00654E3B">
        <w:rPr>
          <w:rFonts w:cs="Times New Roman"/>
        </w:rPr>
        <w:t xml:space="preserve">vođenje novih praksi gospodarenja u </w:t>
      </w:r>
      <w:r w:rsidR="00FE3855" w:rsidRPr="00654E3B">
        <w:rPr>
          <w:rFonts w:cs="Times New Roman"/>
        </w:rPr>
        <w:t xml:space="preserve">šumama, </w:t>
      </w:r>
      <w:r w:rsidR="00EF0BEB" w:rsidRPr="00654E3B">
        <w:rPr>
          <w:rFonts w:cs="Times New Roman"/>
        </w:rPr>
        <w:t>uvjetovati provedbom znanstvenih radova kojima se dokazuje pozitivan učinak novih praksi gospodarenja na ciklus kruženja ugljika u pohraništima u šumama, te posljedično na emisije i ponore u kategoriji Šumskog zemljišta.</w:t>
      </w:r>
    </w:p>
    <w:p w:rsidR="007D4A93" w:rsidRPr="00654E3B" w:rsidRDefault="00EF0BEB" w:rsidP="000C6795">
      <w:pPr>
        <w:numPr>
          <w:ilvl w:val="0"/>
          <w:numId w:val="29"/>
        </w:numPr>
        <w:spacing w:line="240" w:lineRule="auto"/>
        <w:rPr>
          <w:rFonts w:cs="Times New Roman"/>
        </w:rPr>
      </w:pPr>
      <w:r w:rsidRPr="00654E3B">
        <w:rPr>
          <w:rFonts w:cs="Times New Roman"/>
        </w:rPr>
        <w:lastRenderedPageBreak/>
        <w:t xml:space="preserve">Na nacionalnoj razini unaprijediti i harmonizirati propise iz sektora šumarstva, poljoprivrede i zaštite okoliša radi postizanja ciljeva definiranih EU politikom u dijelu klimatskih promjena. </w:t>
      </w:r>
    </w:p>
    <w:p w:rsidR="007D4A93" w:rsidRPr="00654E3B" w:rsidRDefault="00EF0BEB" w:rsidP="000C6795">
      <w:pPr>
        <w:numPr>
          <w:ilvl w:val="0"/>
          <w:numId w:val="29"/>
        </w:numPr>
        <w:spacing w:line="240" w:lineRule="auto"/>
        <w:rPr>
          <w:rFonts w:cs="Times New Roman"/>
        </w:rPr>
      </w:pPr>
      <w:r w:rsidRPr="00654E3B">
        <w:rPr>
          <w:rFonts w:cs="Times New Roman"/>
        </w:rPr>
        <w:t>Provesti analizu učinkovitosti provedenih mjera i aktivnosti iz trenutno važećeg Programa ruralnog razvoja Republike Hrvatske za razdoblje 2014. – 2020.</w:t>
      </w:r>
      <w:r w:rsidR="004308A6" w:rsidRPr="00654E3B">
        <w:rPr>
          <w:rFonts w:cs="Times New Roman"/>
        </w:rPr>
        <w:t>,</w:t>
      </w:r>
      <w:r w:rsidRPr="00654E3B">
        <w:rPr>
          <w:rFonts w:cs="Times New Roman"/>
        </w:rPr>
        <w:t xml:space="preserve"> kao i programa za novo razdoblje (2021.-2027.) za poljoprivredni i šumarski sektor i mjera definiranih u studiji za ispunjavanje obaveza po članku 10. Odluke</w:t>
      </w:r>
      <w:r w:rsidR="00AC6410" w:rsidRPr="00654E3B">
        <w:rPr>
          <w:rFonts w:cs="Times New Roman"/>
        </w:rPr>
        <w:t xml:space="preserve"> br.</w:t>
      </w:r>
      <w:r w:rsidRPr="00654E3B">
        <w:rPr>
          <w:rFonts w:cs="Times New Roman"/>
        </w:rPr>
        <w:t xml:space="preserve"> 529/2013/EU</w:t>
      </w:r>
      <w:r w:rsidR="004308A6" w:rsidRPr="00654E3B">
        <w:rPr>
          <w:rFonts w:cs="Times New Roman"/>
        </w:rPr>
        <w:t>,</w:t>
      </w:r>
      <w:r w:rsidRPr="00654E3B">
        <w:rPr>
          <w:rFonts w:cs="Times New Roman"/>
        </w:rPr>
        <w:t xml:space="preserve"> na smanjenje/zadržavanje emisija i povećanje/zadržavanje ponora stakleničkih plinova radi izrade novih smjernica i definiranja mjera u šumarskom i poljoprivrednom sektoru za financiranje u Programu ruralnog razvoja Republike Hrvatske u razdoblju nakon 2027. godine.</w:t>
      </w:r>
    </w:p>
    <w:p w:rsidR="007D4A93" w:rsidRPr="00654E3B" w:rsidRDefault="00EF0BEB" w:rsidP="000C6795">
      <w:pPr>
        <w:numPr>
          <w:ilvl w:val="0"/>
          <w:numId w:val="29"/>
        </w:numPr>
        <w:spacing w:line="240" w:lineRule="auto"/>
        <w:rPr>
          <w:rFonts w:cs="Times New Roman"/>
        </w:rPr>
      </w:pPr>
      <w:r w:rsidRPr="00654E3B">
        <w:rPr>
          <w:rFonts w:cs="Times New Roman"/>
        </w:rPr>
        <w:t xml:space="preserve">Provoditi znanstvena istraživanja za potrebe unapređenje gospodarenja svim LULUCF kategorijama zemljišta u cilju smanjenja emisija i povećanja ponora. </w:t>
      </w:r>
    </w:p>
    <w:p w:rsidR="007D4A93" w:rsidRPr="00654E3B" w:rsidRDefault="00EF0BEB" w:rsidP="000C6795">
      <w:pPr>
        <w:numPr>
          <w:ilvl w:val="0"/>
          <w:numId w:val="29"/>
        </w:numPr>
        <w:spacing w:line="240" w:lineRule="auto"/>
        <w:rPr>
          <w:rFonts w:cs="Times New Roman"/>
        </w:rPr>
      </w:pPr>
      <w:r w:rsidRPr="00654E3B">
        <w:rPr>
          <w:rFonts w:cs="Times New Roman"/>
        </w:rPr>
        <w:t>Provoditi pošumljavanja u skladu sa šumskogospodarskim planovima</w:t>
      </w:r>
      <w:r w:rsidR="004308A6" w:rsidRPr="00654E3B">
        <w:rPr>
          <w:rFonts w:cs="Times New Roman"/>
        </w:rPr>
        <w:t>.</w:t>
      </w:r>
    </w:p>
    <w:p w:rsidR="007D4A93" w:rsidRPr="00654E3B" w:rsidRDefault="00EF0BEB" w:rsidP="000C6795">
      <w:pPr>
        <w:numPr>
          <w:ilvl w:val="0"/>
          <w:numId w:val="29"/>
        </w:numPr>
        <w:spacing w:line="240" w:lineRule="auto"/>
        <w:rPr>
          <w:rFonts w:cs="Times New Roman"/>
        </w:rPr>
      </w:pPr>
      <w:r w:rsidRPr="00654E3B">
        <w:rPr>
          <w:rFonts w:cs="Times New Roman"/>
        </w:rPr>
        <w:t xml:space="preserve">Ocijeniti učinak pošumljavanja neobraslog, proizvodnog šumskog zemljišta na ispunjavanje obaveza </w:t>
      </w:r>
      <w:r w:rsidRPr="00654E3B">
        <w:rPr>
          <w:rFonts w:eastAsia="Times New Roman" w:cs="Times New Roman"/>
          <w:szCs w:val="24"/>
          <w:lang w:eastAsia="hr-HR"/>
        </w:rPr>
        <w:t>Republike Hrvatske</w:t>
      </w:r>
      <w:r w:rsidRPr="00654E3B">
        <w:rPr>
          <w:rFonts w:cs="Times New Roman"/>
          <w:bCs/>
          <w:szCs w:val="24"/>
        </w:rPr>
        <w:t xml:space="preserve"> </w:t>
      </w:r>
      <w:r w:rsidRPr="00654E3B">
        <w:rPr>
          <w:rFonts w:cs="Times New Roman"/>
        </w:rPr>
        <w:t>povezanih s korištenjem obnovljivih izvora energije.</w:t>
      </w:r>
    </w:p>
    <w:p w:rsidR="007D4A93" w:rsidRPr="00654E3B" w:rsidRDefault="00EF0BEB" w:rsidP="000C6795">
      <w:pPr>
        <w:numPr>
          <w:ilvl w:val="0"/>
          <w:numId w:val="29"/>
        </w:numPr>
        <w:spacing w:line="240" w:lineRule="auto"/>
        <w:rPr>
          <w:rFonts w:cs="Times New Roman"/>
        </w:rPr>
      </w:pPr>
      <w:r w:rsidRPr="00654E3B">
        <w:rPr>
          <w:rFonts w:cs="Times New Roman"/>
        </w:rPr>
        <w:t xml:space="preserve">Unaprijediti </w:t>
      </w:r>
      <w:r w:rsidR="004308A6" w:rsidRPr="00654E3B">
        <w:rPr>
          <w:rFonts w:cs="Times New Roman"/>
        </w:rPr>
        <w:t xml:space="preserve">planiranje </w:t>
      </w:r>
      <w:r w:rsidRPr="00654E3B">
        <w:rPr>
          <w:rFonts w:cs="Times New Roman"/>
        </w:rPr>
        <w:t>zaštite šuma od požara.</w:t>
      </w:r>
    </w:p>
    <w:p w:rsidR="007D4A93" w:rsidRPr="00654E3B" w:rsidRDefault="00EF0BEB" w:rsidP="000C6795">
      <w:pPr>
        <w:numPr>
          <w:ilvl w:val="0"/>
          <w:numId w:val="29"/>
        </w:numPr>
        <w:spacing w:line="240" w:lineRule="auto"/>
        <w:rPr>
          <w:rFonts w:cs="Times New Roman"/>
        </w:rPr>
      </w:pPr>
      <w:r w:rsidRPr="00654E3B">
        <w:rPr>
          <w:rFonts w:cs="Times New Roman"/>
        </w:rPr>
        <w:t>Promicati načine gospodarenja površinama šuma, pašnjaka i površina poljoprivrednog zemljišta koje su korisne za klimu i okoliš.</w:t>
      </w:r>
    </w:p>
    <w:p w:rsidR="007D4A93" w:rsidRPr="00654E3B" w:rsidRDefault="00EF0BEB">
      <w:pPr>
        <w:spacing w:line="240" w:lineRule="auto"/>
        <w:rPr>
          <w:rFonts w:cs="Times New Roman"/>
          <w:u w:val="single"/>
        </w:rPr>
      </w:pPr>
      <w:r w:rsidRPr="00654E3B">
        <w:rPr>
          <w:rFonts w:cs="Times New Roman"/>
          <w:u w:val="single"/>
        </w:rPr>
        <w:t>Do 2050. godine</w:t>
      </w:r>
    </w:p>
    <w:p w:rsidR="007D4A93" w:rsidRPr="00654E3B" w:rsidRDefault="00EF0BEB" w:rsidP="000C6795">
      <w:pPr>
        <w:numPr>
          <w:ilvl w:val="0"/>
          <w:numId w:val="30"/>
        </w:numPr>
        <w:spacing w:line="240" w:lineRule="auto"/>
        <w:rPr>
          <w:rFonts w:cs="Times New Roman"/>
        </w:rPr>
      </w:pPr>
      <w:r w:rsidRPr="00654E3B">
        <w:rPr>
          <w:rFonts w:cs="Times New Roman"/>
        </w:rPr>
        <w:t>Analiza i ocjena učinaka provedenih mjera u različitim periodima za smanjenje/zadržavanje emisija stakleničkih plinova i povećanje/zadržavanje zalihe ugljika u pohraništima ugljika.</w:t>
      </w:r>
    </w:p>
    <w:p w:rsidR="007D4A93" w:rsidRPr="00654E3B" w:rsidRDefault="00EF0BEB" w:rsidP="000C6795">
      <w:pPr>
        <w:numPr>
          <w:ilvl w:val="0"/>
          <w:numId w:val="30"/>
        </w:numPr>
        <w:spacing w:line="240" w:lineRule="auto"/>
        <w:rPr>
          <w:rFonts w:cs="Times New Roman"/>
        </w:rPr>
      </w:pPr>
      <w:r w:rsidRPr="00654E3B">
        <w:rPr>
          <w:rFonts w:cs="Times New Roman"/>
        </w:rPr>
        <w:t xml:space="preserve">Izrada smjernica daljnjeg razvoja u LULUCF sektoru temeljem znanja i iskustava stečenih </w:t>
      </w:r>
      <w:r w:rsidR="00E56BCD" w:rsidRPr="00654E3B">
        <w:rPr>
          <w:rFonts w:cs="Times New Roman"/>
        </w:rPr>
        <w:t xml:space="preserve"> iz sustava</w:t>
      </w:r>
      <w:r w:rsidRPr="00654E3B">
        <w:rPr>
          <w:rFonts w:cs="Times New Roman"/>
        </w:rPr>
        <w:t xml:space="preserve"> upravljanja zemljištem i definiranim aktivnostima i mjerama za smanjenje emisija i povećanje ponora.</w:t>
      </w:r>
    </w:p>
    <w:p w:rsidR="007D4A93" w:rsidRPr="00654E3B" w:rsidRDefault="00EF0BEB" w:rsidP="000C6795">
      <w:pPr>
        <w:numPr>
          <w:ilvl w:val="0"/>
          <w:numId w:val="30"/>
        </w:numPr>
        <w:spacing w:line="240" w:lineRule="auto"/>
        <w:rPr>
          <w:rFonts w:cs="Times New Roman"/>
        </w:rPr>
      </w:pPr>
      <w:r w:rsidRPr="00654E3B">
        <w:rPr>
          <w:rFonts w:cs="Times New Roman"/>
        </w:rPr>
        <w:t xml:space="preserve">Izrada smjernica za unapređenje načina gospodarenja šumama i izrada plana provedbe aktivnosti gospodarenja šumama na način kojim se povećavaju </w:t>
      </w:r>
      <w:r w:rsidR="00BF4CA8" w:rsidRPr="00654E3B">
        <w:rPr>
          <w:rFonts w:cs="Times New Roman"/>
        </w:rPr>
        <w:t>ponori</w:t>
      </w:r>
      <w:r w:rsidRPr="00654E3B">
        <w:rPr>
          <w:rFonts w:cs="Times New Roman"/>
        </w:rPr>
        <w:t xml:space="preserve"> u šumama.</w:t>
      </w:r>
    </w:p>
    <w:p w:rsidR="007D4A93" w:rsidRPr="00654E3B" w:rsidRDefault="00EF0BEB" w:rsidP="000C6795">
      <w:pPr>
        <w:numPr>
          <w:ilvl w:val="0"/>
          <w:numId w:val="30"/>
        </w:numPr>
        <w:spacing w:line="240" w:lineRule="auto"/>
        <w:rPr>
          <w:rFonts w:cs="Times New Roman"/>
        </w:rPr>
      </w:pPr>
      <w:r w:rsidRPr="00654E3B">
        <w:rPr>
          <w:rFonts w:cs="Times New Roman"/>
        </w:rPr>
        <w:t>Osiguranje financijskih sredstava za tehničke projekte i znanstvena istraživanja povezana s LULUCF kategorijama zemljišta i emisijama/</w:t>
      </w:r>
      <w:r w:rsidR="00BF4CA8" w:rsidRPr="00654E3B">
        <w:rPr>
          <w:rFonts w:cs="Times New Roman"/>
        </w:rPr>
        <w:t>ponorima</w:t>
      </w:r>
      <w:r w:rsidRPr="00654E3B">
        <w:rPr>
          <w:rFonts w:cs="Times New Roman"/>
        </w:rPr>
        <w:t xml:space="preserve"> u ovom sektoru.</w:t>
      </w:r>
    </w:p>
    <w:p w:rsidR="007D4A93" w:rsidRPr="00D27803" w:rsidRDefault="00EF0BEB" w:rsidP="00AB40C9">
      <w:pPr>
        <w:pStyle w:val="Heading1"/>
        <w:rPr>
          <w:rFonts w:ascii="Times New Roman" w:hAnsi="Times New Roman" w:cs="Times New Roman"/>
        </w:rPr>
      </w:pPr>
      <w:bookmarkStart w:id="284" w:name="_Toc20841311"/>
      <w:bookmarkStart w:id="285" w:name="_Toc20841417"/>
      <w:bookmarkStart w:id="286" w:name="_Toc69297775"/>
      <w:bookmarkStart w:id="287" w:name="_Hlk36544503"/>
      <w:r w:rsidRPr="00654E3B">
        <w:rPr>
          <w:rFonts w:ascii="Times New Roman" w:hAnsi="Times New Roman" w:cs="Times New Roman"/>
        </w:rPr>
        <w:t xml:space="preserve">7. </w:t>
      </w:r>
      <w:r w:rsidRPr="00654E3B">
        <w:rPr>
          <w:rFonts w:ascii="Times New Roman" w:hAnsi="Times New Roman" w:cs="Times New Roman"/>
        </w:rPr>
        <w:tab/>
        <w:t>FINANCIRANJE</w:t>
      </w:r>
      <w:bookmarkEnd w:id="284"/>
      <w:bookmarkEnd w:id="285"/>
      <w:bookmarkEnd w:id="286"/>
    </w:p>
    <w:p w:rsidR="007D4A93" w:rsidRPr="00654E3B" w:rsidRDefault="00EF0BEB">
      <w:pPr>
        <w:pStyle w:val="Heading2"/>
        <w:rPr>
          <w:rFonts w:ascii="Times New Roman" w:hAnsi="Times New Roman" w:cs="Times New Roman"/>
        </w:rPr>
      </w:pPr>
      <w:bookmarkStart w:id="288" w:name="_Toc20841312"/>
      <w:bookmarkStart w:id="289" w:name="_Toc20841418"/>
      <w:bookmarkStart w:id="290" w:name="_Toc69297776"/>
      <w:r w:rsidRPr="00F01191">
        <w:rPr>
          <w:rFonts w:ascii="Times New Roman" w:hAnsi="Times New Roman" w:cs="Times New Roman"/>
        </w:rPr>
        <w:t xml:space="preserve">7.1. </w:t>
      </w:r>
      <w:r w:rsidRPr="00F01191">
        <w:rPr>
          <w:rFonts w:ascii="Times New Roman" w:hAnsi="Times New Roman" w:cs="Times New Roman"/>
        </w:rPr>
        <w:tab/>
        <w:t>PROCJENA POTREBNIH ULAGANJA</w:t>
      </w:r>
      <w:bookmarkEnd w:id="288"/>
      <w:bookmarkEnd w:id="289"/>
      <w:bookmarkEnd w:id="290"/>
    </w:p>
    <w:p w:rsidR="007D4A93" w:rsidRPr="00654E3B" w:rsidRDefault="007D4A93">
      <w:pPr>
        <w:keepNext/>
        <w:rPr>
          <w:rFonts w:cs="Times New Roman"/>
        </w:rPr>
      </w:pPr>
    </w:p>
    <w:p w:rsidR="007D4A93" w:rsidRPr="00654E3B" w:rsidRDefault="00EF0BEB">
      <w:pPr>
        <w:keepNext/>
        <w:spacing w:line="240" w:lineRule="auto"/>
        <w:rPr>
          <w:rFonts w:cs="Times New Roman"/>
        </w:rPr>
      </w:pPr>
      <w:r w:rsidRPr="00654E3B">
        <w:rPr>
          <w:rFonts w:cs="Times New Roman"/>
        </w:rPr>
        <w:t>Dugoročno, ulaganja u niskougljični razvoj trebaju biti ekonomski održiva. Javni izvori financiranja neće biti dostatni te je potrebno naći instrumente za mobilizaciju privatnih sredstva za ulaganje u poslove koj</w:t>
      </w:r>
      <w:r w:rsidR="009823B2" w:rsidRPr="00654E3B">
        <w:rPr>
          <w:rFonts w:cs="Times New Roman"/>
        </w:rPr>
        <w:t>i</w:t>
      </w:r>
      <w:r w:rsidRPr="00654E3B">
        <w:rPr>
          <w:rFonts w:cs="Times New Roman"/>
        </w:rPr>
        <w:t xml:space="preserve"> doprinose niskougljično</w:t>
      </w:r>
      <w:r w:rsidR="009823B2" w:rsidRPr="00654E3B">
        <w:rPr>
          <w:rFonts w:cs="Times New Roman"/>
        </w:rPr>
        <w:t>m</w:t>
      </w:r>
      <w:r w:rsidRPr="00654E3B">
        <w:rPr>
          <w:rFonts w:cs="Times New Roman"/>
        </w:rPr>
        <w:t xml:space="preserve"> razvoju i gospodarskom rastu.  </w:t>
      </w:r>
    </w:p>
    <w:p w:rsidR="007D4A93" w:rsidRPr="00654E3B" w:rsidRDefault="00EF0BEB">
      <w:pPr>
        <w:rPr>
          <w:rFonts w:cs="Times New Roman"/>
          <w:b/>
        </w:rPr>
      </w:pPr>
      <w:r w:rsidRPr="00654E3B">
        <w:rPr>
          <w:rFonts w:cs="Times New Roman"/>
          <w:b/>
        </w:rPr>
        <w:t>Procjenjuje se da će za tranziciju prema niskougljičnom razvoju biti potrebna ulaganja od 38,65 do 65,92 mlrd. kuna u razdoblju od 2021. do 2030. godine, odnosno od 0,92 do 1,6</w:t>
      </w:r>
      <w:r w:rsidR="00060992" w:rsidRPr="00654E3B">
        <w:rPr>
          <w:rFonts w:cs="Times New Roman"/>
          <w:b/>
        </w:rPr>
        <w:t xml:space="preserve"> %</w:t>
      </w:r>
      <w:r w:rsidRPr="00654E3B">
        <w:rPr>
          <w:rFonts w:cs="Times New Roman"/>
          <w:b/>
        </w:rPr>
        <w:t xml:space="preserve"> BDP-a. U razdoblju od 2031. do 2050. godine</w:t>
      </w:r>
      <w:r w:rsidR="006E7EAD" w:rsidRPr="00654E3B">
        <w:rPr>
          <w:rFonts w:cs="Times New Roman"/>
          <w:b/>
        </w:rPr>
        <w:t>,</w:t>
      </w:r>
      <w:r w:rsidRPr="00654E3B">
        <w:rPr>
          <w:rFonts w:cs="Times New Roman"/>
          <w:b/>
        </w:rPr>
        <w:t xml:space="preserve"> trošak će biti od 107,09 do 167,95 mlrd. kuna (od 0,96 do 1,51</w:t>
      </w:r>
      <w:r w:rsidR="00060992" w:rsidRPr="00654E3B">
        <w:rPr>
          <w:rFonts w:cs="Times New Roman"/>
          <w:b/>
        </w:rPr>
        <w:t xml:space="preserve"> %</w:t>
      </w:r>
      <w:r w:rsidRPr="00654E3B">
        <w:rPr>
          <w:rFonts w:cs="Times New Roman"/>
          <w:b/>
        </w:rPr>
        <w:t xml:space="preserve"> BDP-a).</w:t>
      </w:r>
      <w:r w:rsidRPr="00654E3B">
        <w:rPr>
          <w:rFonts w:cs="Times New Roman"/>
        </w:rPr>
        <w:t xml:space="preserve"> </w:t>
      </w:r>
      <w:r w:rsidRPr="00654E3B">
        <w:rPr>
          <w:rFonts w:cs="Times New Roman"/>
          <w:bCs/>
        </w:rPr>
        <w:t>Navedeni iznosi ulaganja predstavljaju razliku ulaganja između tranzicijskih scenarija (NU1 i NU2) i referentnog scenarija (NUR).</w:t>
      </w:r>
    </w:p>
    <w:p w:rsidR="007D4A93" w:rsidRPr="00654E3B" w:rsidRDefault="00EF0BEB" w:rsidP="006F55AE">
      <w:pPr>
        <w:rPr>
          <w:rFonts w:cs="Times New Roman"/>
        </w:rPr>
      </w:pPr>
      <w:r w:rsidRPr="00654E3B">
        <w:rPr>
          <w:rFonts w:cs="Times New Roman"/>
        </w:rPr>
        <w:t>Na slici 7-1 je prikazana procjena potrebnih ulaganja u razdoblju od 2021. do 2030. godine za tranziciju prema niskougljičnom gospodarstvu.</w:t>
      </w:r>
      <w:bookmarkStart w:id="291" w:name="_Toc477771751"/>
      <w:bookmarkStart w:id="292" w:name="_Toc484158377"/>
    </w:p>
    <w:p w:rsidR="006F55AE" w:rsidRPr="00654E3B" w:rsidRDefault="006F55AE" w:rsidP="006F55AE">
      <w:pPr>
        <w:rPr>
          <w:rFonts w:cs="Times New Roman"/>
        </w:rPr>
      </w:pPr>
    </w:p>
    <w:p w:rsidR="007D4A93" w:rsidRPr="00F01191" w:rsidRDefault="00EF0BEB">
      <w:pPr>
        <w:pStyle w:val="Slika"/>
        <w:spacing w:before="120"/>
        <w:jc w:val="center"/>
        <w:rPr>
          <w:rFonts w:ascii="Times New Roman" w:hAnsi="Times New Roman"/>
        </w:rPr>
      </w:pPr>
      <w:bookmarkStart w:id="293" w:name="_Toc33417102"/>
      <w:r w:rsidRPr="00F01191">
        <w:rPr>
          <w:rFonts w:ascii="Times New Roman" w:hAnsi="Times New Roman"/>
          <w:noProof/>
          <w:lang w:eastAsia="hr-HR"/>
        </w:rPr>
        <w:lastRenderedPageBreak/>
        <w:drawing>
          <wp:inline distT="0" distB="0" distL="0" distR="0" wp14:anchorId="56506388" wp14:editId="6507413B">
            <wp:extent cx="3688080" cy="2511552"/>
            <wp:effectExtent l="0" t="0" r="7620" b="3175"/>
            <wp:docPr id="12"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jpg"/>
                    <pic:cNvPicPr>
                      <a:picLocks noChangeAspect="1"/>
                    </pic:cNvPicPr>
                  </pic:nvPicPr>
                  <pic:blipFill>
                    <a:blip r:embed="rId21"/>
                    <a:stretch/>
                  </pic:blipFill>
                  <pic:spPr bwMode="auto">
                    <a:xfrm>
                      <a:off x="0" y="0"/>
                      <a:ext cx="3688080" cy="2511552"/>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7-1: Procjena potrebnih ulaganja u razdoblju od 2021. do 2030. godine za tranziciju prema niskougljičnom gospodarstvu</w:t>
      </w:r>
      <w:bookmarkEnd w:id="291"/>
      <w:bookmarkEnd w:id="292"/>
      <w:bookmarkEnd w:id="293"/>
    </w:p>
    <w:p w:rsidR="007D4A93" w:rsidRPr="00654E3B" w:rsidRDefault="00EF0BEB">
      <w:pPr>
        <w:keepNext/>
        <w:rPr>
          <w:rFonts w:cs="Times New Roman"/>
        </w:rPr>
      </w:pPr>
      <w:bookmarkStart w:id="294" w:name="_Toc21619761"/>
      <w:r w:rsidRPr="00654E3B">
        <w:rPr>
          <w:rFonts w:cs="Times New Roman"/>
        </w:rPr>
        <w:t>Na slici 7-2 je prikazana procjena potrebnih ulaganja u razdoblju od 2031. do 2050. godine za tranziciju prema niskougljičnom gospodarstvu.</w:t>
      </w:r>
    </w:p>
    <w:p w:rsidR="006F55AE" w:rsidRPr="00654E3B" w:rsidRDefault="006F55AE">
      <w:pPr>
        <w:keepNext/>
        <w:rPr>
          <w:rFonts w:cs="Times New Roman"/>
        </w:rPr>
      </w:pPr>
    </w:p>
    <w:p w:rsidR="007D4A93" w:rsidRPr="00F01191" w:rsidRDefault="00EF0BEB">
      <w:pPr>
        <w:pStyle w:val="Slika"/>
        <w:spacing w:before="120"/>
        <w:jc w:val="center"/>
        <w:rPr>
          <w:rFonts w:ascii="Times New Roman" w:hAnsi="Times New Roman"/>
        </w:rPr>
      </w:pPr>
      <w:bookmarkStart w:id="295" w:name="_Toc33417103"/>
      <w:r w:rsidRPr="00F01191">
        <w:rPr>
          <w:rFonts w:ascii="Times New Roman" w:hAnsi="Times New Roman"/>
          <w:noProof/>
          <w:lang w:eastAsia="hr-HR"/>
        </w:rPr>
        <w:drawing>
          <wp:inline distT="0" distB="0" distL="0" distR="0" wp14:anchorId="625E52B1" wp14:editId="57973D78">
            <wp:extent cx="3694176" cy="2511552"/>
            <wp:effectExtent l="0" t="0" r="1905" b="3175"/>
            <wp:docPr id="1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2.jpg"/>
                    <pic:cNvPicPr>
                      <a:picLocks noChangeAspect="1"/>
                    </pic:cNvPicPr>
                  </pic:nvPicPr>
                  <pic:blipFill>
                    <a:blip r:embed="rId22"/>
                    <a:stretch/>
                  </pic:blipFill>
                  <pic:spPr bwMode="auto">
                    <a:xfrm>
                      <a:off x="0" y="0"/>
                      <a:ext cx="3694176" cy="2511552"/>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7-2: Procjena potrebnih ulaganja u razdoblju od 2031. do 2050. godine za tranziciju prema niskougljičnom gospodarstvu</w:t>
      </w:r>
      <w:bookmarkEnd w:id="295"/>
    </w:p>
    <w:p w:rsidR="00AB40C9" w:rsidRPr="00654E3B" w:rsidRDefault="00AB40C9">
      <w:pPr>
        <w:pStyle w:val="Slika"/>
        <w:spacing w:before="120"/>
        <w:jc w:val="center"/>
        <w:rPr>
          <w:rFonts w:ascii="Times New Roman" w:hAnsi="Times New Roman"/>
          <w:i/>
        </w:rPr>
      </w:pPr>
    </w:p>
    <w:p w:rsidR="007D4A93" w:rsidRPr="00654E3B" w:rsidRDefault="00EF0BEB" w:rsidP="00023BC3">
      <w:pPr>
        <w:pStyle w:val="Heading2"/>
        <w:rPr>
          <w:rFonts w:ascii="Times New Roman" w:hAnsi="Times New Roman" w:cs="Times New Roman"/>
        </w:rPr>
      </w:pPr>
      <w:bookmarkStart w:id="296" w:name="_Toc69297777"/>
      <w:r w:rsidRPr="00654E3B">
        <w:rPr>
          <w:rFonts w:ascii="Times New Roman" w:hAnsi="Times New Roman" w:cs="Times New Roman"/>
        </w:rPr>
        <w:t xml:space="preserve">7.2. </w:t>
      </w:r>
      <w:r w:rsidRPr="00654E3B">
        <w:rPr>
          <w:rFonts w:ascii="Times New Roman" w:hAnsi="Times New Roman" w:cs="Times New Roman"/>
        </w:rPr>
        <w:tab/>
        <w:t>IZVORI FINANCIRANJA</w:t>
      </w:r>
      <w:bookmarkEnd w:id="294"/>
      <w:bookmarkEnd w:id="296"/>
    </w:p>
    <w:p w:rsidR="00023BC3" w:rsidRPr="00654E3B" w:rsidRDefault="00023BC3" w:rsidP="00023BC3">
      <w:pPr>
        <w:rPr>
          <w:rFonts w:cs="Times New Roman"/>
        </w:rPr>
      </w:pPr>
    </w:p>
    <w:p w:rsidR="007D4A93" w:rsidRPr="00654E3B" w:rsidRDefault="00EF0BEB">
      <w:pPr>
        <w:spacing w:line="240" w:lineRule="auto"/>
        <w:rPr>
          <w:rFonts w:cs="Times New Roman"/>
        </w:rPr>
      </w:pPr>
      <w:r w:rsidRPr="00654E3B">
        <w:rPr>
          <w:rFonts w:cs="Times New Roman"/>
        </w:rPr>
        <w:t>Okvir za financiranje mjera u priličnoj mjeri već postoji, u smislu mogućih izvora financiranja, s time što on vrijedi za razdoblje do 2030. godine. Nakon 2030. godine, kako postaje sve dublja primjena mjera i trošak znatno raste, bit će potrebno osigurati široki spektar izvora financiranja.</w:t>
      </w:r>
    </w:p>
    <w:p w:rsidR="007D4A93" w:rsidRPr="00654E3B" w:rsidRDefault="00EF0BEB">
      <w:pPr>
        <w:spacing w:line="240" w:lineRule="auto"/>
        <w:rPr>
          <w:rFonts w:cs="Times New Roman"/>
        </w:rPr>
      </w:pPr>
      <w:r w:rsidRPr="00654E3B">
        <w:rPr>
          <w:rFonts w:cs="Times New Roman"/>
        </w:rPr>
        <w:t>U ovom su poglavlju sveobuhvatno navedeni izvori financiranja koji su dostupni za realizaciju ciljeva niskougljične strategije.</w:t>
      </w:r>
    </w:p>
    <w:p w:rsidR="007D4A93" w:rsidRPr="00654E3B" w:rsidRDefault="00EF0BEB">
      <w:pPr>
        <w:rPr>
          <w:rFonts w:cs="Times New Roman"/>
        </w:rPr>
      </w:pPr>
      <w:r w:rsidRPr="00654E3B">
        <w:rPr>
          <w:rFonts w:cs="Times New Roman"/>
        </w:rPr>
        <w:lastRenderedPageBreak/>
        <w:t xml:space="preserve">Kao i u proteklom razdoblju, očekuje se da će i dalje glavni izvor financiranja biti sredstva </w:t>
      </w:r>
      <w:r w:rsidRPr="00654E3B">
        <w:rPr>
          <w:rFonts w:cs="Times New Roman"/>
          <w:b/>
          <w:bCs/>
        </w:rPr>
        <w:t>Europskih strukturnih i investicijskih fondova (ESI)</w:t>
      </w:r>
      <w:r w:rsidRPr="00654E3B">
        <w:rPr>
          <w:rFonts w:cs="Times New Roman"/>
        </w:rPr>
        <w:t xml:space="preserve"> i </w:t>
      </w:r>
      <w:r w:rsidRPr="00654E3B">
        <w:rPr>
          <w:rFonts w:cs="Times New Roman"/>
          <w:b/>
          <w:bCs/>
        </w:rPr>
        <w:t xml:space="preserve">sredstva prikupljena </w:t>
      </w:r>
      <w:r w:rsidR="00AE6A25" w:rsidRPr="00654E3B">
        <w:rPr>
          <w:rFonts w:cs="Times New Roman"/>
          <w:b/>
          <w:bCs/>
        </w:rPr>
        <w:t>od</w:t>
      </w:r>
      <w:r w:rsidRPr="00654E3B">
        <w:rPr>
          <w:rFonts w:cs="Times New Roman"/>
          <w:b/>
          <w:bCs/>
        </w:rPr>
        <w:t xml:space="preserve"> dražbi emisijskih jedinica </w:t>
      </w:r>
      <w:r w:rsidR="00AE6A25" w:rsidRPr="00654E3B">
        <w:rPr>
          <w:rFonts w:cs="Times New Roman"/>
        </w:rPr>
        <w:t>stakleničkih plinova.</w:t>
      </w:r>
      <w:r w:rsidRPr="00654E3B">
        <w:rPr>
          <w:rFonts w:cs="Times New Roman"/>
        </w:rPr>
        <w:t xml:space="preserve"> Uz to, glavni izvori financiranja biti će: </w:t>
      </w:r>
    </w:p>
    <w:p w:rsidR="007D4A93" w:rsidRPr="00654E3B" w:rsidRDefault="00EF0BEB" w:rsidP="000C6795">
      <w:pPr>
        <w:numPr>
          <w:ilvl w:val="0"/>
          <w:numId w:val="71"/>
        </w:numPr>
        <w:contextualSpacing/>
        <w:rPr>
          <w:rFonts w:cs="Times New Roman"/>
          <w:b/>
          <w:bCs/>
        </w:rPr>
      </w:pPr>
      <w:r w:rsidRPr="00654E3B">
        <w:rPr>
          <w:rFonts w:cs="Times New Roman"/>
          <w:b/>
          <w:bCs/>
        </w:rPr>
        <w:t>EU fondovi i programi</w:t>
      </w:r>
    </w:p>
    <w:p w:rsidR="007D4A93" w:rsidRPr="00654E3B" w:rsidRDefault="00EF0BEB" w:rsidP="000C6795">
      <w:pPr>
        <w:numPr>
          <w:ilvl w:val="1"/>
          <w:numId w:val="73"/>
        </w:numPr>
        <w:ind w:left="1071" w:hanging="357"/>
        <w:contextualSpacing/>
        <w:rPr>
          <w:rFonts w:cs="Times New Roman"/>
        </w:rPr>
      </w:pPr>
      <w:r w:rsidRPr="00654E3B">
        <w:rPr>
          <w:rFonts w:cs="Times New Roman"/>
        </w:rPr>
        <w:t xml:space="preserve">Fond za modernizaciju, iz dražbovne kvote ETS-a </w:t>
      </w:r>
    </w:p>
    <w:p w:rsidR="007D4A93" w:rsidRPr="00654E3B" w:rsidRDefault="00EF0BEB" w:rsidP="000C6795">
      <w:pPr>
        <w:numPr>
          <w:ilvl w:val="1"/>
          <w:numId w:val="73"/>
        </w:numPr>
        <w:ind w:left="1071" w:hanging="357"/>
        <w:contextualSpacing/>
        <w:rPr>
          <w:rFonts w:cs="Times New Roman"/>
        </w:rPr>
      </w:pPr>
      <w:r w:rsidRPr="00654E3B">
        <w:rPr>
          <w:rFonts w:cs="Times New Roman"/>
        </w:rPr>
        <w:t>Fond za inovacije, iz dražbovne kvote ETS-a</w:t>
      </w:r>
    </w:p>
    <w:p w:rsidR="007D4A93" w:rsidRPr="00654E3B" w:rsidRDefault="00EF0BEB" w:rsidP="000C6795">
      <w:pPr>
        <w:numPr>
          <w:ilvl w:val="1"/>
          <w:numId w:val="73"/>
        </w:numPr>
        <w:ind w:left="1071" w:hanging="357"/>
        <w:contextualSpacing/>
        <w:rPr>
          <w:rFonts w:cs="Times New Roman"/>
        </w:rPr>
      </w:pPr>
      <w:r w:rsidRPr="00654E3B">
        <w:rPr>
          <w:rFonts w:cs="Times New Roman"/>
        </w:rPr>
        <w:t>Fond za povezivanje Europe (Co</w:t>
      </w:r>
      <w:r w:rsidR="001C0429" w:rsidRPr="00654E3B">
        <w:rPr>
          <w:rFonts w:cs="Times New Roman"/>
        </w:rPr>
        <w:t xml:space="preserve">nn </w:t>
      </w:r>
      <w:r w:rsidRPr="00654E3B">
        <w:rPr>
          <w:rFonts w:cs="Times New Roman"/>
        </w:rPr>
        <w:t>ecting Europe Facility)</w:t>
      </w:r>
    </w:p>
    <w:p w:rsidR="00AE6A25" w:rsidRPr="00654E3B" w:rsidRDefault="00EF0BEB" w:rsidP="000C6795">
      <w:pPr>
        <w:numPr>
          <w:ilvl w:val="1"/>
          <w:numId w:val="73"/>
        </w:numPr>
        <w:ind w:left="1071" w:hanging="357"/>
        <w:contextualSpacing/>
        <w:rPr>
          <w:rFonts w:cs="Times New Roman"/>
        </w:rPr>
      </w:pPr>
      <w:r w:rsidRPr="00654E3B">
        <w:rPr>
          <w:rFonts w:cs="Times New Roman"/>
        </w:rPr>
        <w:t>Europski fond za strateška ulaganja (EFSU)</w:t>
      </w:r>
    </w:p>
    <w:p w:rsidR="007D4A93" w:rsidRPr="00654E3B" w:rsidRDefault="00AE6A25" w:rsidP="000C6795">
      <w:pPr>
        <w:numPr>
          <w:ilvl w:val="1"/>
          <w:numId w:val="73"/>
        </w:numPr>
        <w:ind w:left="1071" w:hanging="357"/>
        <w:contextualSpacing/>
        <w:rPr>
          <w:rFonts w:cs="Times New Roman"/>
        </w:rPr>
      </w:pPr>
      <w:r w:rsidRPr="00654E3B">
        <w:rPr>
          <w:rFonts w:cs="Times New Roman"/>
        </w:rPr>
        <w:t>Fond za pravednu tranziciju</w:t>
      </w:r>
      <w:r w:rsidR="00EF0BEB" w:rsidRPr="00654E3B">
        <w:rPr>
          <w:rFonts w:cs="Times New Roman"/>
        </w:rPr>
        <w:t xml:space="preserve"> </w:t>
      </w:r>
      <w:r w:rsidRPr="00654E3B">
        <w:rPr>
          <w:rFonts w:cs="Times New Roman"/>
        </w:rPr>
        <w:t>(JTF)</w:t>
      </w:r>
    </w:p>
    <w:p w:rsidR="00AE6A25" w:rsidRPr="00654E3B" w:rsidRDefault="00AE6A25" w:rsidP="000C6795">
      <w:pPr>
        <w:numPr>
          <w:ilvl w:val="1"/>
          <w:numId w:val="73"/>
        </w:numPr>
        <w:ind w:left="1071" w:hanging="357"/>
        <w:contextualSpacing/>
        <w:rPr>
          <w:rFonts w:cs="Times New Roman"/>
        </w:rPr>
      </w:pPr>
      <w:r w:rsidRPr="00654E3B">
        <w:rPr>
          <w:rFonts w:cs="Times New Roman"/>
        </w:rPr>
        <w:t>Fond za oporavak i otpornost (RRF)</w:t>
      </w:r>
    </w:p>
    <w:p w:rsidR="007D4A93" w:rsidRPr="00654E3B" w:rsidRDefault="00EF0BEB" w:rsidP="000C6795">
      <w:pPr>
        <w:numPr>
          <w:ilvl w:val="1"/>
          <w:numId w:val="73"/>
        </w:numPr>
        <w:ind w:left="1071" w:hanging="357"/>
        <w:contextualSpacing/>
        <w:rPr>
          <w:rFonts w:cs="Times New Roman"/>
        </w:rPr>
      </w:pPr>
      <w:r w:rsidRPr="00654E3B">
        <w:rPr>
          <w:rFonts w:cs="Times New Roman"/>
        </w:rPr>
        <w:t>Europski energetski program za oporavak (EEPR) i Europski fond za energetsku učinkovitost (EEEF)</w:t>
      </w:r>
    </w:p>
    <w:p w:rsidR="007D4A93" w:rsidRPr="00654E3B" w:rsidRDefault="00EF0BEB" w:rsidP="000C6795">
      <w:pPr>
        <w:numPr>
          <w:ilvl w:val="1"/>
          <w:numId w:val="73"/>
        </w:numPr>
        <w:ind w:left="1071" w:hanging="357"/>
        <w:contextualSpacing/>
        <w:rPr>
          <w:rFonts w:cs="Times New Roman"/>
        </w:rPr>
      </w:pPr>
      <w:r w:rsidRPr="00654E3B">
        <w:rPr>
          <w:rFonts w:cs="Times New Roman"/>
        </w:rPr>
        <w:t>Europski socijalni fond (ESF) i Europski socijalni fond plus (ESF+)</w:t>
      </w:r>
    </w:p>
    <w:p w:rsidR="007D4A93" w:rsidRPr="00654E3B" w:rsidRDefault="00EF0BEB" w:rsidP="000C6795">
      <w:pPr>
        <w:numPr>
          <w:ilvl w:val="1"/>
          <w:numId w:val="73"/>
        </w:numPr>
        <w:spacing w:after="0"/>
        <w:ind w:left="1071" w:hanging="357"/>
        <w:contextualSpacing/>
        <w:rPr>
          <w:rFonts w:cs="Times New Roman"/>
        </w:rPr>
      </w:pPr>
      <w:r w:rsidRPr="00654E3B">
        <w:rPr>
          <w:rFonts w:cs="Times New Roman"/>
        </w:rPr>
        <w:t>Europski fond za pomorstvo i ribarstvo (EFPR)</w:t>
      </w:r>
    </w:p>
    <w:p w:rsidR="007D4A93" w:rsidRPr="00654E3B" w:rsidRDefault="00EF0BEB" w:rsidP="000C6795">
      <w:pPr>
        <w:pStyle w:val="ListParagraph"/>
        <w:numPr>
          <w:ilvl w:val="1"/>
          <w:numId w:val="73"/>
        </w:numPr>
        <w:ind w:left="1071" w:hanging="357"/>
        <w:rPr>
          <w:rFonts w:cs="Times New Roman"/>
        </w:rPr>
      </w:pPr>
      <w:r w:rsidRPr="00654E3B">
        <w:rPr>
          <w:rFonts w:cs="Times New Roman"/>
        </w:rPr>
        <w:t>Europski poljoprivredni fond za ruralni razvoj (EPFRR)</w:t>
      </w:r>
    </w:p>
    <w:p w:rsidR="007D4A93" w:rsidRPr="00654E3B" w:rsidRDefault="00EF0BEB" w:rsidP="000C6795">
      <w:pPr>
        <w:pStyle w:val="ListParagraph"/>
        <w:numPr>
          <w:ilvl w:val="1"/>
          <w:numId w:val="73"/>
        </w:numPr>
        <w:ind w:left="1071" w:hanging="357"/>
        <w:rPr>
          <w:rFonts w:cs="Times New Roman"/>
        </w:rPr>
      </w:pPr>
      <w:r w:rsidRPr="00654E3B">
        <w:rPr>
          <w:rFonts w:cs="Times New Roman"/>
        </w:rPr>
        <w:t>Obzor 2020 i Obzor Europa</w:t>
      </w:r>
    </w:p>
    <w:p w:rsidR="007D4A93" w:rsidRPr="00654E3B" w:rsidRDefault="00EF0BEB" w:rsidP="000C6795">
      <w:pPr>
        <w:pStyle w:val="ListParagraph"/>
        <w:numPr>
          <w:ilvl w:val="1"/>
          <w:numId w:val="73"/>
        </w:numPr>
        <w:ind w:left="1072" w:hanging="357"/>
        <w:rPr>
          <w:rFonts w:cs="Times New Roman"/>
        </w:rPr>
      </w:pPr>
      <w:r w:rsidRPr="00654E3B">
        <w:rPr>
          <w:rFonts w:cs="Times New Roman"/>
        </w:rPr>
        <w:t>LIFE program</w:t>
      </w:r>
    </w:p>
    <w:p w:rsidR="007D4A93" w:rsidRPr="00654E3B" w:rsidRDefault="00EF0BEB" w:rsidP="000C6795">
      <w:pPr>
        <w:pStyle w:val="ListParagraph"/>
        <w:numPr>
          <w:ilvl w:val="1"/>
          <w:numId w:val="73"/>
        </w:numPr>
        <w:ind w:left="1072" w:hanging="357"/>
        <w:rPr>
          <w:rFonts w:cs="Times New Roman"/>
        </w:rPr>
      </w:pPr>
      <w:r w:rsidRPr="00654E3B">
        <w:rPr>
          <w:rFonts w:cs="Times New Roman"/>
        </w:rPr>
        <w:t>Interreg: Europska teritorijalna suradnja (ETC)</w:t>
      </w:r>
    </w:p>
    <w:p w:rsidR="00544FAD" w:rsidRPr="00654E3B" w:rsidRDefault="00544FAD" w:rsidP="006F55AE">
      <w:pPr>
        <w:pStyle w:val="ListParagraph"/>
        <w:numPr>
          <w:ilvl w:val="1"/>
          <w:numId w:val="73"/>
        </w:numPr>
        <w:spacing w:after="0"/>
        <w:ind w:left="1072" w:hanging="357"/>
        <w:rPr>
          <w:rFonts w:cs="Times New Roman"/>
        </w:rPr>
      </w:pPr>
      <w:r w:rsidRPr="00654E3B">
        <w:rPr>
          <w:rFonts w:cs="Times New Roman"/>
        </w:rPr>
        <w:t xml:space="preserve">Drugi međunarodni </w:t>
      </w:r>
      <w:r w:rsidR="00A92E6E" w:rsidRPr="00654E3B">
        <w:rPr>
          <w:rFonts w:cs="Times New Roman"/>
        </w:rPr>
        <w:t xml:space="preserve">multilateralni </w:t>
      </w:r>
      <w:r w:rsidRPr="00654E3B">
        <w:rPr>
          <w:rFonts w:cs="Times New Roman"/>
        </w:rPr>
        <w:t xml:space="preserve">financijski mehanizmi kao što </w:t>
      </w:r>
      <w:r w:rsidR="00A92E6E" w:rsidRPr="00654E3B">
        <w:rPr>
          <w:rFonts w:cs="Times New Roman"/>
        </w:rPr>
        <w:t xml:space="preserve">je </w:t>
      </w:r>
      <w:r w:rsidRPr="00654E3B">
        <w:rPr>
          <w:rFonts w:cs="Times New Roman"/>
        </w:rPr>
        <w:t xml:space="preserve">primjerice Norveški financijski mehanizam </w:t>
      </w:r>
    </w:p>
    <w:p w:rsidR="007D4A93" w:rsidRPr="00654E3B" w:rsidRDefault="00EF0BEB" w:rsidP="006F55AE">
      <w:pPr>
        <w:pStyle w:val="ListParagraph"/>
        <w:numPr>
          <w:ilvl w:val="0"/>
          <w:numId w:val="71"/>
        </w:numPr>
        <w:spacing w:after="0"/>
        <w:rPr>
          <w:rFonts w:cs="Times New Roman"/>
          <w:b/>
          <w:bCs/>
        </w:rPr>
      </w:pPr>
      <w:r w:rsidRPr="00654E3B">
        <w:rPr>
          <w:rFonts w:cs="Times New Roman"/>
          <w:b/>
          <w:bCs/>
        </w:rPr>
        <w:t xml:space="preserve">Nacionalni mehanizmi financiranja </w:t>
      </w:r>
    </w:p>
    <w:p w:rsidR="007D4A93" w:rsidRPr="00654E3B" w:rsidRDefault="00EF0BEB" w:rsidP="006F55AE">
      <w:pPr>
        <w:numPr>
          <w:ilvl w:val="1"/>
          <w:numId w:val="73"/>
        </w:numPr>
        <w:spacing w:after="0"/>
        <w:ind w:left="1071" w:hanging="357"/>
        <w:contextualSpacing/>
        <w:rPr>
          <w:rFonts w:cs="Times New Roman"/>
        </w:rPr>
      </w:pPr>
      <w:r w:rsidRPr="00654E3B">
        <w:rPr>
          <w:rFonts w:cs="Times New Roman"/>
        </w:rPr>
        <w:t>Proračun Republike Hrvatske</w:t>
      </w:r>
    </w:p>
    <w:p w:rsidR="007D4A93" w:rsidRPr="00654E3B" w:rsidRDefault="00EF0BEB" w:rsidP="006F55AE">
      <w:pPr>
        <w:numPr>
          <w:ilvl w:val="1"/>
          <w:numId w:val="73"/>
        </w:numPr>
        <w:spacing w:after="0"/>
        <w:ind w:left="1071" w:hanging="357"/>
        <w:contextualSpacing/>
        <w:rPr>
          <w:rFonts w:cs="Times New Roman"/>
        </w:rPr>
      </w:pPr>
      <w:r w:rsidRPr="00654E3B">
        <w:rPr>
          <w:rFonts w:cs="Times New Roman"/>
        </w:rPr>
        <w:t xml:space="preserve">Financiranje provedbe mjera na osnovi sustava obveze energetske učinkovitosti sukladno Direktivi 2012/27/EU o energetskoj učinkovitosti </w:t>
      </w:r>
    </w:p>
    <w:p w:rsidR="007D4A93" w:rsidRPr="00654E3B" w:rsidRDefault="00EF0BEB" w:rsidP="006F55AE">
      <w:pPr>
        <w:numPr>
          <w:ilvl w:val="1"/>
          <w:numId w:val="73"/>
        </w:numPr>
        <w:spacing w:after="0"/>
        <w:ind w:left="1071" w:hanging="357"/>
        <w:contextualSpacing/>
        <w:rPr>
          <w:rFonts w:cs="Times New Roman"/>
        </w:rPr>
      </w:pPr>
      <w:r w:rsidRPr="00654E3B">
        <w:rPr>
          <w:rFonts w:cs="Times New Roman"/>
        </w:rPr>
        <w:t>Naknada za emisije CO</w:t>
      </w:r>
      <w:r w:rsidRPr="00654E3B">
        <w:rPr>
          <w:rFonts w:cs="Times New Roman"/>
          <w:vertAlign w:val="subscript"/>
        </w:rPr>
        <w:t>2</w:t>
      </w:r>
    </w:p>
    <w:p w:rsidR="007D4A93" w:rsidRPr="00654E3B" w:rsidRDefault="00EF0BEB" w:rsidP="006F55AE">
      <w:pPr>
        <w:pStyle w:val="ListParagraph"/>
        <w:numPr>
          <w:ilvl w:val="1"/>
          <w:numId w:val="74"/>
        </w:numPr>
        <w:spacing w:after="0"/>
        <w:ind w:left="1071" w:hanging="357"/>
        <w:rPr>
          <w:rFonts w:cs="Times New Roman"/>
        </w:rPr>
      </w:pPr>
      <w:r w:rsidRPr="00654E3B">
        <w:rPr>
          <w:rFonts w:cs="Times New Roman"/>
        </w:rPr>
        <w:t xml:space="preserve">Naknada za proizvodnju električne energije iz obnovljivih izvora energije </w:t>
      </w:r>
    </w:p>
    <w:p w:rsidR="007D4A93" w:rsidRPr="00654E3B" w:rsidRDefault="00EF0BEB" w:rsidP="006F55AE">
      <w:pPr>
        <w:pStyle w:val="ListParagraph"/>
        <w:numPr>
          <w:ilvl w:val="0"/>
          <w:numId w:val="71"/>
        </w:numPr>
        <w:spacing w:after="0"/>
        <w:rPr>
          <w:rFonts w:cs="Times New Roman"/>
        </w:rPr>
      </w:pPr>
      <w:r w:rsidRPr="00654E3B">
        <w:rPr>
          <w:rFonts w:cs="Times New Roman"/>
          <w:b/>
          <w:bCs/>
        </w:rPr>
        <w:t>Krediti i inovativni modeli financiranja</w:t>
      </w:r>
    </w:p>
    <w:p w:rsidR="007D4A93" w:rsidRPr="00654E3B" w:rsidRDefault="00EF0BEB" w:rsidP="006F55AE">
      <w:pPr>
        <w:pStyle w:val="ListParagraph"/>
        <w:numPr>
          <w:ilvl w:val="1"/>
          <w:numId w:val="75"/>
        </w:numPr>
        <w:spacing w:after="0"/>
        <w:ind w:left="1071" w:hanging="357"/>
        <w:rPr>
          <w:rFonts w:cs="Times New Roman"/>
        </w:rPr>
      </w:pPr>
      <w:r w:rsidRPr="00654E3B">
        <w:rPr>
          <w:rFonts w:cs="Times New Roman"/>
        </w:rPr>
        <w:t>Kreditne linije poslovnih banaka</w:t>
      </w:r>
    </w:p>
    <w:p w:rsidR="007D4A93" w:rsidRPr="00654E3B" w:rsidRDefault="00EF0BEB" w:rsidP="006F55AE">
      <w:pPr>
        <w:pStyle w:val="ListParagraph"/>
        <w:numPr>
          <w:ilvl w:val="1"/>
          <w:numId w:val="75"/>
        </w:numPr>
        <w:spacing w:after="0"/>
        <w:ind w:left="1071" w:hanging="357"/>
        <w:rPr>
          <w:rFonts w:cs="Times New Roman"/>
        </w:rPr>
      </w:pPr>
      <w:r w:rsidRPr="00654E3B">
        <w:rPr>
          <w:rFonts w:cs="Times New Roman"/>
        </w:rPr>
        <w:t>ESCO modeli financiranja</w:t>
      </w:r>
    </w:p>
    <w:p w:rsidR="007D4A93" w:rsidRPr="00654E3B" w:rsidRDefault="00EF0BEB" w:rsidP="006F55AE">
      <w:pPr>
        <w:pStyle w:val="ListParagraph"/>
        <w:numPr>
          <w:ilvl w:val="1"/>
          <w:numId w:val="75"/>
        </w:numPr>
        <w:spacing w:after="0"/>
        <w:ind w:left="1071" w:hanging="357"/>
        <w:rPr>
          <w:rFonts w:cs="Times New Roman"/>
        </w:rPr>
      </w:pPr>
      <w:r w:rsidRPr="00654E3B">
        <w:rPr>
          <w:rFonts w:cs="Times New Roman"/>
        </w:rPr>
        <w:t>Grupno financiranje</w:t>
      </w:r>
    </w:p>
    <w:p w:rsidR="007D4A93" w:rsidRPr="00654E3B" w:rsidRDefault="00EF0BEB" w:rsidP="000C6795">
      <w:pPr>
        <w:pStyle w:val="ListParagraph"/>
        <w:numPr>
          <w:ilvl w:val="1"/>
          <w:numId w:val="75"/>
        </w:numPr>
        <w:ind w:left="714" w:hanging="357"/>
        <w:rPr>
          <w:rFonts w:cs="Times New Roman"/>
        </w:rPr>
      </w:pPr>
      <w:r w:rsidRPr="00654E3B">
        <w:rPr>
          <w:rFonts w:cs="Times New Roman"/>
          <w:b/>
          <w:bCs/>
        </w:rPr>
        <w:t>Javno-privatna partnerstva (JPP)</w:t>
      </w:r>
    </w:p>
    <w:p w:rsidR="007D4A93" w:rsidRPr="00654E3B" w:rsidRDefault="00EF0BEB">
      <w:pPr>
        <w:spacing w:line="240" w:lineRule="auto"/>
        <w:rPr>
          <w:rFonts w:cs="Times New Roman"/>
        </w:rPr>
      </w:pPr>
      <w:r w:rsidRPr="00654E3B">
        <w:rPr>
          <w:rFonts w:cs="Times New Roman"/>
        </w:rPr>
        <w:t>Navedeni izvori financiranja su aktualni u razdoblju do 2020. godine te će dodatna sredstva putem istoimenih fondova i programa biti dostupna i u nadolazećem razdoblju. Iznimke su promjena naziva programa iz Obzor 2020 (program na snazi do 2020. godine) u Obzor Europa (na snazi od 2021. godine), a novoosnovan je alat Mehanizam za pravednu tranziciju Europskog zelenog plana koji će biti aktivan između 2021. do 2027. godine.</w:t>
      </w:r>
    </w:p>
    <w:p w:rsidR="007D4A93" w:rsidRPr="00654E3B" w:rsidRDefault="00EF0BEB">
      <w:pPr>
        <w:spacing w:line="240" w:lineRule="auto"/>
        <w:rPr>
          <w:rFonts w:cs="Times New Roman"/>
        </w:rPr>
      </w:pPr>
      <w:r w:rsidRPr="00654E3B">
        <w:rPr>
          <w:rFonts w:cs="Times New Roman"/>
        </w:rPr>
        <w:t>Važno pitanje je kako će Republika Hrvatska programirati sredstva iz ESI fondova od 2021. godine na dalje, koliko će biti namijenjeno klimatskim aktivnostima te kakva će biti raspodjela između mjera za ublažavanje klimatskih promjena i mjera za prilagodbu klimatskim promjenama. Republika Hrvatska je u razdoblju financiranja od 2014. do 2020. godine raspodijelila klimatskim aktivnostima 20,4</w:t>
      </w:r>
      <w:r w:rsidR="00060992" w:rsidRPr="00654E3B">
        <w:rPr>
          <w:rFonts w:cs="Times New Roman"/>
        </w:rPr>
        <w:t xml:space="preserve"> %</w:t>
      </w:r>
      <w:r w:rsidRPr="00654E3B">
        <w:rPr>
          <w:rFonts w:cs="Times New Roman"/>
        </w:rPr>
        <w:t xml:space="preserve"> od ukupnih sredstava. (2,18 milijardi EUR). Na razini EU, u okviru ESI fondova, u ovom razdoblju</w:t>
      </w:r>
      <w:r w:rsidR="006E7EAD" w:rsidRPr="00654E3B">
        <w:rPr>
          <w:rFonts w:cs="Times New Roman"/>
        </w:rPr>
        <w:t>,</w:t>
      </w:r>
      <w:r w:rsidRPr="00654E3B">
        <w:rPr>
          <w:rFonts w:cs="Times New Roman"/>
        </w:rPr>
        <w:t xml:space="preserve"> ulaganja u klimatske aktivnosti iznose 25,1</w:t>
      </w:r>
      <w:r w:rsidR="00060992" w:rsidRPr="00654E3B">
        <w:rPr>
          <w:rFonts w:cs="Times New Roman"/>
        </w:rPr>
        <w:t xml:space="preserve"> %</w:t>
      </w:r>
      <w:r w:rsidRPr="00654E3B">
        <w:rPr>
          <w:rFonts w:cs="Times New Roman"/>
        </w:rPr>
        <w:t>. Ako se analizira raspodjela ESI fondova na ublažavanje i prilagodbu na razini EU 28, 11,2</w:t>
      </w:r>
      <w:r w:rsidR="00060992" w:rsidRPr="00654E3B">
        <w:rPr>
          <w:rFonts w:cs="Times New Roman"/>
        </w:rPr>
        <w:t xml:space="preserve"> %</w:t>
      </w:r>
      <w:r w:rsidRPr="00654E3B">
        <w:rPr>
          <w:rFonts w:cs="Times New Roman"/>
        </w:rPr>
        <w:t xml:space="preserve"> je za ublažavanje, 3,1</w:t>
      </w:r>
      <w:r w:rsidR="00060992" w:rsidRPr="00654E3B">
        <w:rPr>
          <w:rFonts w:cs="Times New Roman"/>
        </w:rPr>
        <w:t xml:space="preserve"> %</w:t>
      </w:r>
      <w:r w:rsidRPr="00654E3B">
        <w:rPr>
          <w:rFonts w:cs="Times New Roman"/>
        </w:rPr>
        <w:t xml:space="preserve"> za prilagodbu i 10,5</w:t>
      </w:r>
      <w:r w:rsidR="00060992" w:rsidRPr="00654E3B">
        <w:rPr>
          <w:rFonts w:cs="Times New Roman"/>
        </w:rPr>
        <w:t xml:space="preserve"> %</w:t>
      </w:r>
      <w:r w:rsidRPr="00654E3B">
        <w:rPr>
          <w:rFonts w:cs="Times New Roman"/>
        </w:rPr>
        <w:t xml:space="preserve"> za ublažavanje i/ili prilagodbu. U Republici Hrvatskoj je raspodjela do 2020. godine sljedeća: 7,1</w:t>
      </w:r>
      <w:r w:rsidR="00060992" w:rsidRPr="00654E3B">
        <w:rPr>
          <w:rFonts w:cs="Times New Roman"/>
        </w:rPr>
        <w:t xml:space="preserve"> %</w:t>
      </w:r>
      <w:r w:rsidRPr="00654E3B">
        <w:rPr>
          <w:rFonts w:cs="Times New Roman"/>
        </w:rPr>
        <w:t xml:space="preserve"> za ublažavanje, 4,7</w:t>
      </w:r>
      <w:r w:rsidR="00060992" w:rsidRPr="00654E3B">
        <w:rPr>
          <w:rFonts w:cs="Times New Roman"/>
        </w:rPr>
        <w:t xml:space="preserve"> %</w:t>
      </w:r>
      <w:r w:rsidRPr="00654E3B">
        <w:rPr>
          <w:rFonts w:cs="Times New Roman"/>
        </w:rPr>
        <w:t xml:space="preserve"> za prilagodbu i 8,8</w:t>
      </w:r>
      <w:r w:rsidR="00060992" w:rsidRPr="00654E3B">
        <w:rPr>
          <w:rFonts w:cs="Times New Roman"/>
        </w:rPr>
        <w:t xml:space="preserve"> %</w:t>
      </w:r>
      <w:r w:rsidRPr="00654E3B">
        <w:rPr>
          <w:rFonts w:cs="Times New Roman"/>
        </w:rPr>
        <w:t xml:space="preserve"> </w:t>
      </w:r>
      <w:r w:rsidR="006E7EAD" w:rsidRPr="00654E3B">
        <w:rPr>
          <w:rFonts w:cs="Times New Roman"/>
        </w:rPr>
        <w:t xml:space="preserve">za </w:t>
      </w:r>
      <w:r w:rsidRPr="00654E3B">
        <w:rPr>
          <w:rFonts w:cs="Times New Roman"/>
        </w:rPr>
        <w:t xml:space="preserve">ublažavanje i/ili prilagodbu. </w:t>
      </w:r>
    </w:p>
    <w:p w:rsidR="007D4A93" w:rsidRPr="00654E3B" w:rsidRDefault="00EF0BEB">
      <w:pPr>
        <w:rPr>
          <w:rFonts w:cs="Times New Roman"/>
          <w:u w:val="single"/>
        </w:rPr>
      </w:pPr>
      <w:r w:rsidRPr="00654E3B">
        <w:rPr>
          <w:rFonts w:cs="Times New Roman"/>
          <w:u w:val="single"/>
        </w:rPr>
        <w:t>Prihodi od prodaje emisijskih jedinica na dražbama ETS-a</w:t>
      </w:r>
    </w:p>
    <w:p w:rsidR="007D4A93" w:rsidRPr="00654E3B" w:rsidRDefault="00EF0BEB">
      <w:pPr>
        <w:rPr>
          <w:rFonts w:cs="Times New Roman"/>
        </w:rPr>
      </w:pPr>
      <w:r w:rsidRPr="00654E3B">
        <w:rPr>
          <w:rFonts w:cs="Times New Roman"/>
        </w:rPr>
        <w:t>Prikupljena sredstva namjenski se koriste sukladno Planu korištenja financijskih sredstava dobivenih od prodaje emisijskih jedinica putem dražbi u Republici Hrvatskoj</w:t>
      </w:r>
      <w:r w:rsidR="000464C7" w:rsidRPr="00654E3B">
        <w:rPr>
          <w:rFonts w:cs="Times New Roman"/>
        </w:rPr>
        <w:t>. Vlada Republike Hrvatske putem Fond</w:t>
      </w:r>
      <w:r w:rsidR="00142224" w:rsidRPr="00654E3B">
        <w:rPr>
          <w:rFonts w:cs="Times New Roman"/>
        </w:rPr>
        <w:t>a</w:t>
      </w:r>
      <w:r w:rsidR="000464C7" w:rsidRPr="00654E3B">
        <w:rPr>
          <w:rFonts w:cs="Times New Roman"/>
        </w:rPr>
        <w:t xml:space="preserve"> za zaštitu okoliša i energetsku učinkovitost (FZOEU)</w:t>
      </w:r>
      <w:r w:rsidR="00586DE7" w:rsidRPr="00654E3B">
        <w:rPr>
          <w:rFonts w:cs="Times New Roman"/>
        </w:rPr>
        <w:t>,</w:t>
      </w:r>
      <w:r w:rsidR="000464C7" w:rsidRPr="00654E3B">
        <w:rPr>
          <w:rFonts w:cs="Times New Roman"/>
        </w:rPr>
        <w:t xml:space="preserve"> </w:t>
      </w:r>
      <w:r w:rsidR="00586DE7" w:rsidRPr="00654E3B">
        <w:rPr>
          <w:rFonts w:cs="Times New Roman"/>
        </w:rPr>
        <w:t xml:space="preserve">financijskim sredstvima </w:t>
      </w:r>
      <w:r w:rsidR="000464C7" w:rsidRPr="00654E3B">
        <w:rPr>
          <w:rFonts w:cs="Times New Roman"/>
        </w:rPr>
        <w:t>od dražbi</w:t>
      </w:r>
      <w:r w:rsidR="00142224" w:rsidRPr="00654E3B">
        <w:rPr>
          <w:rFonts w:cs="Times New Roman"/>
        </w:rPr>
        <w:t xml:space="preserve"> financira mjere</w:t>
      </w:r>
      <w:r w:rsidRPr="00654E3B">
        <w:rPr>
          <w:rFonts w:cs="Times New Roman"/>
        </w:rPr>
        <w:t xml:space="preserve"> </w:t>
      </w:r>
      <w:r w:rsidRPr="00654E3B">
        <w:rPr>
          <w:rFonts w:cs="Times New Roman"/>
        </w:rPr>
        <w:lastRenderedPageBreak/>
        <w:t xml:space="preserve">u području prometa, energetske učinkovitosti, korištenja obnovljivih izvora energije te drugih mjera koje doprinose smanjenju emisija stakleničkih plinova i prilagodbe klimatskim promjenama. </w:t>
      </w:r>
    </w:p>
    <w:p w:rsidR="007D4A93" w:rsidRPr="00654E3B" w:rsidRDefault="00EF0BEB">
      <w:pPr>
        <w:rPr>
          <w:rFonts w:cs="Times New Roman"/>
          <w:u w:val="single"/>
        </w:rPr>
      </w:pPr>
      <w:r w:rsidRPr="00654E3B">
        <w:rPr>
          <w:rFonts w:cs="Times New Roman"/>
          <w:u w:val="single"/>
        </w:rPr>
        <w:t>Strukturni i investicijski fondovi EU</w:t>
      </w:r>
    </w:p>
    <w:p w:rsidR="007D4A93" w:rsidRPr="00654E3B" w:rsidRDefault="00EF0BEB">
      <w:pPr>
        <w:rPr>
          <w:rFonts w:cs="Times New Roman"/>
        </w:rPr>
      </w:pPr>
      <w:r w:rsidRPr="00654E3B">
        <w:rPr>
          <w:rFonts w:cs="Times New Roman"/>
        </w:rPr>
        <w:t>Za razdoblje od 2014. do 2020. godine</w:t>
      </w:r>
      <w:r w:rsidR="00586DE7" w:rsidRPr="00654E3B">
        <w:rPr>
          <w:rFonts w:cs="Times New Roman"/>
        </w:rPr>
        <w:t>,</w:t>
      </w:r>
      <w:r w:rsidRPr="00654E3B">
        <w:rPr>
          <w:rFonts w:cs="Times New Roman"/>
        </w:rPr>
        <w:t xml:space="preserve"> klimatske aktivnosti financiraju se kroz Operativni program konkurentnost i kohezija, kroz Operativni program učinkoviti ljudski resursi, Operativni program Pomorstvo i ribarstvo te Program ruralnog razvoja. Navedeni operativni programi povlače sredstva iz Europskog fonda za regionalni razvoj (EFRR), Europskog poljoprivrednog fonda za ruralni razvoj (EPFRR), Europskog fonda za pomorstvo i ribarstvo (EFPR) i Europskog kohezijskog fonda (KF). </w:t>
      </w:r>
    </w:p>
    <w:p w:rsidR="007D4A93" w:rsidRPr="00654E3B" w:rsidRDefault="00EF0BEB">
      <w:pPr>
        <w:rPr>
          <w:rFonts w:cs="Times New Roman"/>
        </w:rPr>
      </w:pPr>
      <w:r w:rsidRPr="00654E3B">
        <w:rPr>
          <w:rFonts w:cs="Times New Roman"/>
        </w:rPr>
        <w:t xml:space="preserve">Zajednička pravila financiranja iz strukturnih i investicijskih fondova za razdoblje </w:t>
      </w:r>
      <w:r w:rsidR="006F55AE" w:rsidRPr="00654E3B">
        <w:rPr>
          <w:rFonts w:cs="Times New Roman"/>
        </w:rPr>
        <w:t xml:space="preserve">od </w:t>
      </w:r>
      <w:r w:rsidRPr="00654E3B">
        <w:rPr>
          <w:rFonts w:cs="Times New Roman"/>
        </w:rPr>
        <w:t>2014. do 2020.</w:t>
      </w:r>
      <w:r w:rsidR="00586DE7" w:rsidRPr="00654E3B">
        <w:rPr>
          <w:rFonts w:cs="Times New Roman"/>
        </w:rPr>
        <w:t>,</w:t>
      </w:r>
      <w:r w:rsidRPr="00654E3B">
        <w:rPr>
          <w:rFonts w:cs="Times New Roman"/>
        </w:rPr>
        <w:t xml:space="preserve"> </w:t>
      </w:r>
      <w:r w:rsidR="006F55AE" w:rsidRPr="00654E3B">
        <w:rPr>
          <w:rFonts w:cs="Times New Roman"/>
        </w:rPr>
        <w:t xml:space="preserve">imala </w:t>
      </w:r>
      <w:r w:rsidRPr="00654E3B">
        <w:rPr>
          <w:rFonts w:cs="Times New Roman"/>
        </w:rPr>
        <w:t xml:space="preserve">su </w:t>
      </w:r>
      <w:r w:rsidR="006F55AE" w:rsidRPr="00654E3B">
        <w:rPr>
          <w:rFonts w:cs="Times New Roman"/>
        </w:rPr>
        <w:t xml:space="preserve">pravila </w:t>
      </w:r>
      <w:r w:rsidRPr="00654E3B">
        <w:rPr>
          <w:rFonts w:cs="Times New Roman"/>
        </w:rPr>
        <w:t>da se kroz sve operativne programe minimalno 20</w:t>
      </w:r>
      <w:r w:rsidR="00060992" w:rsidRPr="00654E3B">
        <w:rPr>
          <w:rFonts w:cs="Times New Roman"/>
        </w:rPr>
        <w:t xml:space="preserve"> %</w:t>
      </w:r>
      <w:r w:rsidRPr="00654E3B">
        <w:rPr>
          <w:rFonts w:cs="Times New Roman"/>
        </w:rPr>
        <w:t xml:space="preserve"> sredstava koristiti za klimatske aktivnosti – ublažavanje i prilagodbu klimatskim promjenama (kroz operativne programe Republika Hrvatska je alocirala 20,4</w:t>
      </w:r>
      <w:r w:rsidR="00060992" w:rsidRPr="00654E3B">
        <w:rPr>
          <w:rFonts w:cs="Times New Roman"/>
        </w:rPr>
        <w:t xml:space="preserve"> %</w:t>
      </w:r>
      <w:r w:rsidRPr="00654E3B">
        <w:rPr>
          <w:rFonts w:cs="Times New Roman"/>
        </w:rPr>
        <w:t xml:space="preserve">). </w:t>
      </w:r>
    </w:p>
    <w:p w:rsidR="00686AFF" w:rsidRPr="00654E3B" w:rsidRDefault="00EF0BEB">
      <w:pPr>
        <w:rPr>
          <w:rFonts w:cs="Times New Roman"/>
        </w:rPr>
      </w:pPr>
      <w:r w:rsidRPr="00654E3B">
        <w:rPr>
          <w:rFonts w:cs="Times New Roman"/>
        </w:rPr>
        <w:t>Za financijsko razdoblje od 2021. do 2027. godine</w:t>
      </w:r>
      <w:r w:rsidR="006F55AE" w:rsidRPr="00654E3B">
        <w:rPr>
          <w:rFonts w:cs="Times New Roman"/>
        </w:rPr>
        <w:t xml:space="preserve"> </w:t>
      </w:r>
      <w:r w:rsidRPr="00654E3B">
        <w:rPr>
          <w:rFonts w:cs="Times New Roman"/>
        </w:rPr>
        <w:t xml:space="preserve">pet </w:t>
      </w:r>
      <w:r w:rsidR="006F55AE" w:rsidRPr="00654E3B">
        <w:rPr>
          <w:rFonts w:cs="Times New Roman"/>
        </w:rPr>
        <w:t xml:space="preserve">je </w:t>
      </w:r>
      <w:r w:rsidRPr="00654E3B">
        <w:rPr>
          <w:rFonts w:cs="Times New Roman"/>
        </w:rPr>
        <w:t>ciljeva kohezijske politike: 1) Pametnija Europa, 2) Zelena Europa – s niskom razinom emisija ugljika promicanjem prelaska na čistu i pravednu energiju, zelenih i plavih ulaganja, kružnog gospodarstva, prilagodbe klimatskim promjenama i upravljanje rizicima i njihovo sprječavanje, 3) Povezanija Europa, 4) Europa s istaknutim socijalnim komponentama</w:t>
      </w:r>
      <w:r w:rsidR="00586DE7" w:rsidRPr="00654E3B">
        <w:rPr>
          <w:rFonts w:cs="Times New Roman"/>
        </w:rPr>
        <w:t xml:space="preserve"> i </w:t>
      </w:r>
      <w:r w:rsidRPr="00654E3B">
        <w:rPr>
          <w:rFonts w:cs="Times New Roman"/>
        </w:rPr>
        <w:t xml:space="preserve">5) Europa bliža građanima. Financiranje je previđeno iz sedam fondova od kojih </w:t>
      </w:r>
      <w:r w:rsidR="006F55AE" w:rsidRPr="00654E3B">
        <w:rPr>
          <w:rFonts w:cs="Times New Roman"/>
        </w:rPr>
        <w:t xml:space="preserve">su </w:t>
      </w:r>
      <w:r w:rsidRPr="00654E3B">
        <w:rPr>
          <w:rFonts w:cs="Times New Roman"/>
        </w:rPr>
        <w:t>četiri potencijalno raspoloživi za klimatske aktivnosti: Europski fond za regionalni razvoj (EFRR), Kohezijski fond (KF), Europski socijalni fond plus (ESF+) i Europski fond za pomorstvo i ribarstvo (EFPR).</w:t>
      </w:r>
    </w:p>
    <w:p w:rsidR="007D4A93" w:rsidRPr="00654E3B" w:rsidRDefault="00686AFF">
      <w:pPr>
        <w:rPr>
          <w:rFonts w:cs="Times New Roman"/>
        </w:rPr>
      </w:pPr>
      <w:r w:rsidRPr="00654E3B">
        <w:rPr>
          <w:rFonts w:cs="Times New Roman"/>
        </w:rPr>
        <w:t xml:space="preserve">Hrvatska će iz 750 milijardi eura vrijednog paketa pomoći za gospodarski oporavak država članica te kroz izmijenjeni </w:t>
      </w:r>
      <w:r w:rsidR="006F55AE" w:rsidRPr="00654E3B">
        <w:rPr>
          <w:rFonts w:cs="Times New Roman"/>
        </w:rPr>
        <w:t>V</w:t>
      </w:r>
      <w:r w:rsidRPr="00654E3B">
        <w:rPr>
          <w:rFonts w:cs="Times New Roman"/>
        </w:rPr>
        <w:t xml:space="preserve">išegodišnji financijski okvir, odnosno proračun Europske unije za razdoblje 2021. – 2027., na raspolaganju imati više od 23,5 milijarde eura (što je preko 40 </w:t>
      </w:r>
      <w:r w:rsidR="00060992" w:rsidRPr="00654E3B">
        <w:rPr>
          <w:rFonts w:cs="Times New Roman"/>
        </w:rPr>
        <w:t xml:space="preserve"> %</w:t>
      </w:r>
      <w:r w:rsidRPr="00654E3B">
        <w:rPr>
          <w:rFonts w:cs="Times New Roman"/>
        </w:rPr>
        <w:t xml:space="preserve"> godišnjeg BDP-a Hrvatske), </w:t>
      </w:r>
      <w:r w:rsidR="002837DA" w:rsidRPr="00654E3B">
        <w:rPr>
          <w:rFonts w:cs="Times New Roman"/>
        </w:rPr>
        <w:t xml:space="preserve">a </w:t>
      </w:r>
      <w:r w:rsidRPr="00654E3B">
        <w:rPr>
          <w:rFonts w:cs="Times New Roman"/>
        </w:rPr>
        <w:t>što predstavlja snažnu po</w:t>
      </w:r>
      <w:r w:rsidR="00586DE7" w:rsidRPr="00654E3B">
        <w:rPr>
          <w:rFonts w:cs="Times New Roman"/>
        </w:rPr>
        <w:t>d</w:t>
      </w:r>
      <w:r w:rsidRPr="00654E3B">
        <w:rPr>
          <w:rFonts w:cs="Times New Roman"/>
        </w:rPr>
        <w:t xml:space="preserve">logu za gospodarski rast i razvoj. Više od 30 </w:t>
      </w:r>
      <w:r w:rsidR="00060992" w:rsidRPr="00654E3B">
        <w:rPr>
          <w:rFonts w:cs="Times New Roman"/>
        </w:rPr>
        <w:t xml:space="preserve"> %</w:t>
      </w:r>
      <w:r w:rsidRPr="00654E3B">
        <w:rPr>
          <w:rFonts w:cs="Times New Roman"/>
        </w:rPr>
        <w:t xml:space="preserve"> tih sredstava trebat će uložiti u niskougljični razvoj radi postizanja klimatske neutralnosti te povećanja otpornosti na klimatske promjene.</w:t>
      </w:r>
      <w:r w:rsidR="00EF0BEB" w:rsidRPr="00654E3B">
        <w:rPr>
          <w:rFonts w:cs="Times New Roman"/>
        </w:rPr>
        <w:t xml:space="preserve"> </w:t>
      </w:r>
    </w:p>
    <w:p w:rsidR="007D4A93" w:rsidRPr="00654E3B" w:rsidRDefault="002837DA">
      <w:pPr>
        <w:rPr>
          <w:rFonts w:cs="Times New Roman"/>
          <w:u w:val="single"/>
        </w:rPr>
      </w:pPr>
      <w:r w:rsidRPr="00654E3B">
        <w:rPr>
          <w:rFonts w:cs="Times New Roman"/>
          <w:u w:val="single"/>
        </w:rPr>
        <w:t>M</w:t>
      </w:r>
      <w:r w:rsidR="00EF0BEB" w:rsidRPr="00654E3B">
        <w:rPr>
          <w:rFonts w:cs="Times New Roman"/>
          <w:u w:val="single"/>
        </w:rPr>
        <w:t>odernizacij</w:t>
      </w:r>
      <w:r w:rsidRPr="00654E3B">
        <w:rPr>
          <w:rFonts w:cs="Times New Roman"/>
          <w:u w:val="single"/>
        </w:rPr>
        <w:t>ski fond</w:t>
      </w:r>
    </w:p>
    <w:p w:rsidR="007D4A93" w:rsidRPr="00654E3B" w:rsidRDefault="00EF0BEB">
      <w:pPr>
        <w:rPr>
          <w:rFonts w:cs="Times New Roman"/>
        </w:rPr>
      </w:pPr>
      <w:r w:rsidRPr="00654E3B">
        <w:rPr>
          <w:rFonts w:cs="Times New Roman"/>
        </w:rPr>
        <w:t xml:space="preserve">Od 2021. godine </w:t>
      </w:r>
      <w:r w:rsidR="00565E28" w:rsidRPr="00654E3B">
        <w:rPr>
          <w:rFonts w:cs="Times New Roman"/>
        </w:rPr>
        <w:t>uspostavlja</w:t>
      </w:r>
      <w:r w:rsidR="0098287C" w:rsidRPr="00654E3B">
        <w:rPr>
          <w:rFonts w:cs="Times New Roman"/>
        </w:rPr>
        <w:t xml:space="preserve"> </w:t>
      </w:r>
      <w:r w:rsidRPr="00654E3B">
        <w:rPr>
          <w:rFonts w:cs="Times New Roman"/>
        </w:rPr>
        <w:t xml:space="preserve">se </w:t>
      </w:r>
      <w:r w:rsidR="002837DA" w:rsidRPr="00654E3B">
        <w:rPr>
          <w:rFonts w:cs="Times New Roman"/>
        </w:rPr>
        <w:t>M</w:t>
      </w:r>
      <w:r w:rsidRPr="00654E3B">
        <w:rPr>
          <w:rFonts w:cs="Times New Roman"/>
        </w:rPr>
        <w:t>odernizacij</w:t>
      </w:r>
      <w:r w:rsidR="002837DA" w:rsidRPr="00654E3B">
        <w:rPr>
          <w:rFonts w:cs="Times New Roman"/>
        </w:rPr>
        <w:t>ski fond</w:t>
      </w:r>
      <w:r w:rsidRPr="00654E3B">
        <w:rPr>
          <w:rFonts w:cs="Times New Roman"/>
        </w:rPr>
        <w:t xml:space="preserve"> u okviru ETS sustava</w:t>
      </w:r>
      <w:r w:rsidR="00586DE7" w:rsidRPr="00654E3B">
        <w:rPr>
          <w:rFonts w:cs="Times New Roman"/>
        </w:rPr>
        <w:t>,</w:t>
      </w:r>
      <w:r w:rsidRPr="00654E3B">
        <w:rPr>
          <w:rFonts w:cs="Times New Roman"/>
        </w:rPr>
        <w:t xml:space="preserve"> namijenjen kao potpora investicijama za modernizaciju energetskog</w:t>
      </w:r>
      <w:r w:rsidR="002837DA" w:rsidRPr="00654E3B">
        <w:rPr>
          <w:rFonts w:cs="Times New Roman"/>
        </w:rPr>
        <w:t xml:space="preserve"> i industrijskog</w:t>
      </w:r>
      <w:r w:rsidRPr="00654E3B">
        <w:rPr>
          <w:rFonts w:cs="Times New Roman"/>
        </w:rPr>
        <w:t xml:space="preserve"> sektora, kao i za povećanje energetske učinkovitosti. Sredstava iz ovoga Fonda namijenjena su državama članicama s BDP-om po stanovniku manjim od 60</w:t>
      </w:r>
      <w:r w:rsidR="00060992" w:rsidRPr="00654E3B">
        <w:rPr>
          <w:rFonts w:cs="Times New Roman"/>
        </w:rPr>
        <w:t xml:space="preserve"> %</w:t>
      </w:r>
      <w:r w:rsidRPr="00654E3B">
        <w:rPr>
          <w:rFonts w:cs="Times New Roman"/>
        </w:rPr>
        <w:t xml:space="preserve"> u odnosu na prosjek EU ostvaren 2013. godine, a među njih se ubraja i Republika Hrvatska. Dodjela sredstava iz </w:t>
      </w:r>
      <w:r w:rsidR="002837DA" w:rsidRPr="00654E3B">
        <w:rPr>
          <w:rFonts w:cs="Times New Roman"/>
        </w:rPr>
        <w:t>M</w:t>
      </w:r>
      <w:r w:rsidRPr="00654E3B">
        <w:rPr>
          <w:rFonts w:cs="Times New Roman"/>
        </w:rPr>
        <w:t>odernizacij</w:t>
      </w:r>
      <w:r w:rsidR="002837DA" w:rsidRPr="00654E3B">
        <w:rPr>
          <w:rFonts w:cs="Times New Roman"/>
        </w:rPr>
        <w:t>skog fonda</w:t>
      </w:r>
      <w:r w:rsidRPr="00654E3B">
        <w:rPr>
          <w:rFonts w:cs="Times New Roman"/>
        </w:rPr>
        <w:t xml:space="preserve"> biti će putem natječaja koje raspisuje država članica koja ujedno i daje prijedloge projekata. </w:t>
      </w:r>
    </w:p>
    <w:p w:rsidR="007D4A93" w:rsidRPr="00654E3B" w:rsidRDefault="00EF0BEB">
      <w:pPr>
        <w:rPr>
          <w:rFonts w:cs="Times New Roman"/>
          <w:b/>
        </w:rPr>
      </w:pPr>
      <w:r w:rsidRPr="00654E3B">
        <w:rPr>
          <w:rFonts w:cs="Times New Roman"/>
        </w:rPr>
        <w:t xml:space="preserve">Sredstvima </w:t>
      </w:r>
      <w:r w:rsidR="0047205B" w:rsidRPr="00654E3B">
        <w:rPr>
          <w:rFonts w:cs="Times New Roman"/>
        </w:rPr>
        <w:t>M</w:t>
      </w:r>
      <w:r w:rsidRPr="00654E3B">
        <w:rPr>
          <w:rFonts w:cs="Times New Roman"/>
        </w:rPr>
        <w:t>odernizacij</w:t>
      </w:r>
      <w:r w:rsidR="0047205B" w:rsidRPr="00654E3B">
        <w:rPr>
          <w:rFonts w:cs="Times New Roman"/>
        </w:rPr>
        <w:t>skog fonda</w:t>
      </w:r>
      <w:r w:rsidRPr="00654E3B">
        <w:rPr>
          <w:rFonts w:cs="Times New Roman"/>
        </w:rPr>
        <w:t xml:space="preserve"> predviđeno je financiranje projekata malih ulaganja, modernizacija energetskih sustava i</w:t>
      </w:r>
      <w:r w:rsidR="0047205B" w:rsidRPr="00654E3B">
        <w:rPr>
          <w:rFonts w:cs="Times New Roman"/>
        </w:rPr>
        <w:t xml:space="preserve"> industrije te</w:t>
      </w:r>
      <w:r w:rsidRPr="00654E3B">
        <w:rPr>
          <w:rFonts w:cs="Times New Roman"/>
        </w:rPr>
        <w:t xml:space="preserve"> poboljšanje energetske učinkovitosti u državama članicama. Najmanje 70</w:t>
      </w:r>
      <w:r w:rsidR="00060992" w:rsidRPr="00654E3B">
        <w:rPr>
          <w:rFonts w:cs="Times New Roman"/>
        </w:rPr>
        <w:t xml:space="preserve"> %</w:t>
      </w:r>
      <w:r w:rsidRPr="00654E3B">
        <w:rPr>
          <w:rFonts w:cs="Times New Roman"/>
        </w:rPr>
        <w:t xml:space="preserve"> financijskih sredstava iz </w:t>
      </w:r>
      <w:r w:rsidR="000703AF" w:rsidRPr="00654E3B">
        <w:rPr>
          <w:rFonts w:cs="Times New Roman"/>
        </w:rPr>
        <w:t>M</w:t>
      </w:r>
      <w:r w:rsidRPr="00654E3B">
        <w:rPr>
          <w:rFonts w:cs="Times New Roman"/>
        </w:rPr>
        <w:t>odernizacij</w:t>
      </w:r>
      <w:r w:rsidR="000703AF" w:rsidRPr="00654E3B">
        <w:rPr>
          <w:rFonts w:cs="Times New Roman"/>
        </w:rPr>
        <w:t>skog fonda</w:t>
      </w:r>
      <w:r w:rsidRPr="00654E3B">
        <w:rPr>
          <w:rFonts w:cs="Times New Roman"/>
        </w:rPr>
        <w:t xml:space="preserve"> predviđeno je za potporu ulaganjima u proizvodnju i uporabu električne energije iz obnovljivih izvora, poboljšanje energetske učinkovitosti, izuzev energetske učinkovitosti vezane za proizvodnju energije pri čemu se upotrebljavaju kruta fosilna goriva, skladištenje energije i modernizaciju energetskih mreža, kao i za potporu pravednom prijelazu u regijama koje ovise o ugljiku u državama članicama korisnicama, kako bi se pružila potpora preraspoređivanju, prekvalifikaciji i usavršavanju radnika, obrazovanju, inicijativama pri zapošljavanju i osnivanju poduzeća. </w:t>
      </w:r>
      <w:r w:rsidR="000703AF" w:rsidRPr="00654E3B">
        <w:rPr>
          <w:rFonts w:cs="Times New Roman"/>
        </w:rPr>
        <w:t>Pravna osnova za provedbu M</w:t>
      </w:r>
      <w:r w:rsidRPr="00654E3B">
        <w:rPr>
          <w:rFonts w:cs="Times New Roman"/>
        </w:rPr>
        <w:t>odernizacij</w:t>
      </w:r>
      <w:r w:rsidR="000703AF" w:rsidRPr="00654E3B">
        <w:rPr>
          <w:rFonts w:cs="Times New Roman"/>
        </w:rPr>
        <w:t>skog fonda</w:t>
      </w:r>
      <w:r w:rsidRPr="00654E3B">
        <w:rPr>
          <w:rFonts w:cs="Times New Roman"/>
        </w:rPr>
        <w:t xml:space="preserve"> </w:t>
      </w:r>
      <w:r w:rsidR="000703AF" w:rsidRPr="00654E3B">
        <w:rPr>
          <w:rFonts w:cs="Times New Roman"/>
        </w:rPr>
        <w:t>dana je u</w:t>
      </w:r>
      <w:r w:rsidRPr="00654E3B">
        <w:rPr>
          <w:rFonts w:cs="Times New Roman"/>
        </w:rPr>
        <w:t xml:space="preserve"> Zakon</w:t>
      </w:r>
      <w:r w:rsidR="000703AF" w:rsidRPr="00654E3B">
        <w:rPr>
          <w:rFonts w:cs="Times New Roman"/>
        </w:rPr>
        <w:t>u</w:t>
      </w:r>
      <w:r w:rsidRPr="00654E3B">
        <w:rPr>
          <w:rFonts w:cs="Times New Roman"/>
        </w:rPr>
        <w:t xml:space="preserve"> o klimatskim promjenama i zaštiti ozonskog </w:t>
      </w:r>
      <w:r w:rsidR="00AE3F12" w:rsidRPr="00654E3B">
        <w:rPr>
          <w:rFonts w:cs="Times New Roman"/>
        </w:rPr>
        <w:t xml:space="preserve">sloja </w:t>
      </w:r>
      <w:r w:rsidRPr="00654E3B">
        <w:rPr>
          <w:rFonts w:cs="Times New Roman"/>
        </w:rPr>
        <w:t>(</w:t>
      </w:r>
      <w:r w:rsidR="001C0429" w:rsidRPr="00654E3B">
        <w:rPr>
          <w:rFonts w:cs="Times New Roman"/>
        </w:rPr>
        <w:t>Narodne novine</w:t>
      </w:r>
      <w:r w:rsidR="008D7D1F" w:rsidRPr="00654E3B">
        <w:rPr>
          <w:rFonts w:cs="Times New Roman"/>
        </w:rPr>
        <w:t>,</w:t>
      </w:r>
      <w:r w:rsidRPr="00654E3B">
        <w:rPr>
          <w:rFonts w:cs="Times New Roman"/>
        </w:rPr>
        <w:t xml:space="preserve"> </w:t>
      </w:r>
      <w:r w:rsidR="001C0429" w:rsidRPr="00654E3B">
        <w:rPr>
          <w:rFonts w:cs="Times New Roman"/>
        </w:rPr>
        <w:t xml:space="preserve">broj </w:t>
      </w:r>
      <w:r w:rsidRPr="00654E3B">
        <w:rPr>
          <w:rFonts w:cs="Times New Roman"/>
        </w:rPr>
        <w:t xml:space="preserve">127/19). </w:t>
      </w:r>
    </w:p>
    <w:p w:rsidR="007D4A93" w:rsidRPr="00654E3B" w:rsidRDefault="000703AF">
      <w:pPr>
        <w:rPr>
          <w:rFonts w:cs="Times New Roman"/>
          <w:u w:val="single"/>
        </w:rPr>
      </w:pPr>
      <w:r w:rsidRPr="00654E3B">
        <w:rPr>
          <w:rFonts w:cs="Times New Roman"/>
          <w:u w:val="single"/>
        </w:rPr>
        <w:t>I</w:t>
      </w:r>
      <w:r w:rsidR="00EF0BEB" w:rsidRPr="00654E3B">
        <w:rPr>
          <w:rFonts w:cs="Times New Roman"/>
          <w:u w:val="single"/>
        </w:rPr>
        <w:t>novacij</w:t>
      </w:r>
      <w:r w:rsidRPr="00654E3B">
        <w:rPr>
          <w:rFonts w:cs="Times New Roman"/>
          <w:u w:val="single"/>
        </w:rPr>
        <w:t>ski fond</w:t>
      </w:r>
      <w:r w:rsidR="00EF0BEB" w:rsidRPr="00654E3B">
        <w:rPr>
          <w:rFonts w:cs="Times New Roman"/>
          <w:u w:val="single"/>
        </w:rPr>
        <w:t xml:space="preserve"> (NER 400)</w:t>
      </w:r>
    </w:p>
    <w:p w:rsidR="007D4A93" w:rsidRPr="00654E3B" w:rsidRDefault="00EF0BEB">
      <w:pPr>
        <w:rPr>
          <w:rFonts w:cs="Times New Roman"/>
        </w:rPr>
      </w:pPr>
      <w:r w:rsidRPr="00654E3B">
        <w:rPr>
          <w:rFonts w:cs="Times New Roman"/>
        </w:rPr>
        <w:t>D</w:t>
      </w:r>
      <w:r w:rsidR="000703AF" w:rsidRPr="00654E3B">
        <w:rPr>
          <w:rFonts w:cs="Times New Roman"/>
        </w:rPr>
        <w:t xml:space="preserve">elegiranom uredbom Komisije </w:t>
      </w:r>
      <w:r w:rsidRPr="00654E3B">
        <w:rPr>
          <w:rFonts w:cs="Times New Roman"/>
        </w:rPr>
        <w:t xml:space="preserve">2019/856 propisuje se da su sredstva </w:t>
      </w:r>
      <w:r w:rsidR="000703AF" w:rsidRPr="00654E3B">
        <w:rPr>
          <w:rFonts w:cs="Times New Roman"/>
        </w:rPr>
        <w:t>I</w:t>
      </w:r>
      <w:r w:rsidRPr="00654E3B">
        <w:rPr>
          <w:rFonts w:cs="Times New Roman"/>
        </w:rPr>
        <w:t>novacij</w:t>
      </w:r>
      <w:r w:rsidR="000703AF" w:rsidRPr="00654E3B">
        <w:rPr>
          <w:rFonts w:cs="Times New Roman"/>
        </w:rPr>
        <w:t>skog fonda</w:t>
      </w:r>
      <w:r w:rsidRPr="00654E3B">
        <w:rPr>
          <w:rFonts w:cs="Times New Roman"/>
        </w:rPr>
        <w:t xml:space="preserve"> namijenjena inovacijskim projektima (isključivo „prvima za određenu vrstu tehnologije“)</w:t>
      </w:r>
      <w:r w:rsidR="00AE3F12" w:rsidRPr="00654E3B">
        <w:rPr>
          <w:rFonts w:cs="Times New Roman"/>
        </w:rPr>
        <w:t>,</w:t>
      </w:r>
      <w:r w:rsidRPr="00654E3B">
        <w:rPr>
          <w:rFonts w:cs="Times New Roman"/>
        </w:rPr>
        <w:t xml:space="preserve"> obnovljivih izvora </w:t>
      </w:r>
      <w:r w:rsidRPr="00654E3B">
        <w:rPr>
          <w:rFonts w:cs="Times New Roman"/>
        </w:rPr>
        <w:lastRenderedPageBreak/>
        <w:t xml:space="preserve">energije, hvatanja i skladištenja ugljikova dioksida i energetski intenzivnih industrija. Time bi se nastavilo s primjenom postojećeg mehanizma financiranja projekata, tzv. NER 300. Dodjela sredstava iz </w:t>
      </w:r>
      <w:r w:rsidR="000703AF" w:rsidRPr="00654E3B">
        <w:rPr>
          <w:rFonts w:cs="Times New Roman"/>
        </w:rPr>
        <w:t>I</w:t>
      </w:r>
      <w:r w:rsidRPr="00654E3B">
        <w:rPr>
          <w:rFonts w:cs="Times New Roman"/>
        </w:rPr>
        <w:t>novacij</w:t>
      </w:r>
      <w:r w:rsidR="000703AF" w:rsidRPr="00654E3B">
        <w:rPr>
          <w:rFonts w:cs="Times New Roman"/>
        </w:rPr>
        <w:t>skog fonda</w:t>
      </w:r>
      <w:r w:rsidRPr="00654E3B">
        <w:rPr>
          <w:rFonts w:cs="Times New Roman"/>
        </w:rPr>
        <w:t xml:space="preserve"> biti će putem otvorenih poziva na podnošenje prijedloga projekata koje objavljuje EK.</w:t>
      </w:r>
    </w:p>
    <w:p w:rsidR="007D4A93" w:rsidRPr="00654E3B" w:rsidRDefault="00EF0BEB">
      <w:pPr>
        <w:rPr>
          <w:rFonts w:cs="Times New Roman"/>
          <w:u w:val="single"/>
        </w:rPr>
      </w:pPr>
      <w:r w:rsidRPr="00654E3B">
        <w:rPr>
          <w:rFonts w:cs="Times New Roman"/>
          <w:u w:val="single"/>
        </w:rPr>
        <w:t>Fond za povezivanje Europe (Co</w:t>
      </w:r>
      <w:r w:rsidR="00023BC3" w:rsidRPr="00654E3B">
        <w:rPr>
          <w:rFonts w:cs="Times New Roman"/>
          <w:u w:val="single"/>
        </w:rPr>
        <w:t>nn</w:t>
      </w:r>
      <w:r w:rsidRPr="00654E3B">
        <w:rPr>
          <w:rFonts w:cs="Times New Roman"/>
          <w:u w:val="single"/>
        </w:rPr>
        <w:t>ecting Europe Facility)</w:t>
      </w:r>
    </w:p>
    <w:p w:rsidR="007D4A93" w:rsidRPr="00654E3B" w:rsidRDefault="00EF0BEB">
      <w:pPr>
        <w:rPr>
          <w:rFonts w:cs="Times New Roman"/>
        </w:rPr>
      </w:pPr>
      <w:r w:rsidRPr="00654E3B">
        <w:rPr>
          <w:rFonts w:cs="Times New Roman"/>
        </w:rPr>
        <w:t>Co</w:t>
      </w:r>
      <w:r w:rsidR="006C09E4" w:rsidRPr="00654E3B">
        <w:rPr>
          <w:rFonts w:cs="Times New Roman"/>
        </w:rPr>
        <w:t>nn</w:t>
      </w:r>
      <w:r w:rsidRPr="00654E3B">
        <w:rPr>
          <w:rFonts w:cs="Times New Roman"/>
        </w:rPr>
        <w:t xml:space="preserve">ecting Europe Facility (CEF) je važan instrument </w:t>
      </w:r>
      <w:r w:rsidR="006C09E4" w:rsidRPr="00654E3B">
        <w:rPr>
          <w:rFonts w:cs="Times New Roman"/>
        </w:rPr>
        <w:t xml:space="preserve">EU-a </w:t>
      </w:r>
      <w:r w:rsidRPr="00654E3B">
        <w:rPr>
          <w:rFonts w:cs="Times New Roman"/>
        </w:rPr>
        <w:t>za financiranje s ciljem promocije rasta, novih poslova i konkurentnosti</w:t>
      </w:r>
      <w:r w:rsidR="00AE3F12" w:rsidRPr="00654E3B">
        <w:rPr>
          <w:rFonts w:cs="Times New Roman"/>
        </w:rPr>
        <w:t>,</w:t>
      </w:r>
      <w:r w:rsidRPr="00654E3B">
        <w:rPr>
          <w:rFonts w:cs="Times New Roman"/>
        </w:rPr>
        <w:t xml:space="preserve"> kroz ulaganja u ciljanu infrastrukturu na razini EU. Podupire razvoj visokoučinkovitih i održivih trans-europskih mreža u području prometa, energije i digitalnih usluga. Kao takav značajnim dijelom omogućuje financiranje mjera koje doprinose niskougljičnom razvoju. CEF daje bespovratna sredstva, ali i inovativne financijske instrumente kao što su garancije ili projektne obveznice. Na taj način se ostvaruje veći učinak sredstava te se pokreću investicije iz privatnog sektora i ostalih javnih mogućnosti.</w:t>
      </w:r>
    </w:p>
    <w:p w:rsidR="007D4A93" w:rsidRPr="00654E3B" w:rsidRDefault="00EF0BEB" w:rsidP="0005019E">
      <w:pPr>
        <w:keepNext/>
        <w:rPr>
          <w:rFonts w:cs="Times New Roman"/>
          <w:u w:val="single"/>
        </w:rPr>
      </w:pPr>
      <w:r w:rsidRPr="00654E3B">
        <w:rPr>
          <w:rFonts w:cs="Times New Roman"/>
          <w:u w:val="single"/>
        </w:rPr>
        <w:t xml:space="preserve">Europski fond za strateška ulaganja (EFSU) </w:t>
      </w:r>
    </w:p>
    <w:p w:rsidR="007D4A93" w:rsidRPr="00654E3B" w:rsidRDefault="00EF0BEB" w:rsidP="0005019E">
      <w:pPr>
        <w:keepNext/>
        <w:rPr>
          <w:rFonts w:cs="Times New Roman"/>
        </w:rPr>
      </w:pPr>
      <w:r w:rsidRPr="00654E3B">
        <w:rPr>
          <w:rFonts w:cs="Times New Roman"/>
        </w:rPr>
        <w:t>Europski fond za strateška ulaganja (EFSU) ključan je element Plana ulaganja za Europu, čija je svrha poticanje dugoročnog gospodarskog rasta i konkurentnosti u EU. Cilj je tog fonda doprinijeti upotrebi javnih sredstava, među ostalim sredstava iz proračuna EU-a, kako bi se potaknula privatna ulaganja u širok raspon projekata u EU-u. Projektima su među ostalim obuhvaćena područja poput infrastrukture, istraživanja i inovacija, obrazovanja, zdravstva, informacijske i komunikacijske tehnologije.</w:t>
      </w:r>
    </w:p>
    <w:p w:rsidR="007D4A93" w:rsidRPr="00654E3B" w:rsidRDefault="00EF0BEB" w:rsidP="0005019E">
      <w:pPr>
        <w:keepNext/>
        <w:rPr>
          <w:rFonts w:cs="Times New Roman"/>
          <w:u w:val="single"/>
        </w:rPr>
      </w:pPr>
      <w:r w:rsidRPr="00654E3B">
        <w:rPr>
          <w:rFonts w:cs="Times New Roman"/>
          <w:u w:val="single"/>
        </w:rPr>
        <w:t>Europski energetski program za oporavak (EEPR) i Europski fond za energetsku učinkovitost (EEEF)</w:t>
      </w:r>
    </w:p>
    <w:p w:rsidR="007D4A93" w:rsidRPr="00654E3B" w:rsidRDefault="00EF0BEB" w:rsidP="0005019E">
      <w:pPr>
        <w:keepNext/>
        <w:rPr>
          <w:rFonts w:cs="Times New Roman"/>
        </w:rPr>
      </w:pPr>
      <w:r w:rsidRPr="00654E3B">
        <w:rPr>
          <w:rFonts w:cs="Times New Roman"/>
        </w:rPr>
        <w:t>Europski energetski program za oporavak (EEPR) omogućava odobrenje financijske pomoći u sektoru energetike, posebice za uvođenje međusobno povezanih infrastruktura, proizvodnju energije koja se temelji na obnovljivim izvorima, hvatanje ugljikovog dioksida i promicanje energetske učinkovitosti. Cilj programa je ostvarivanje ušteda u potrošnji primarne energije i smanjenju emisija stakleničkih plinova.</w:t>
      </w:r>
    </w:p>
    <w:p w:rsidR="007D4A93" w:rsidRPr="00654E3B" w:rsidRDefault="00EF0BEB">
      <w:pPr>
        <w:rPr>
          <w:rFonts w:cs="Times New Roman"/>
        </w:rPr>
      </w:pPr>
      <w:r w:rsidRPr="00654E3B">
        <w:rPr>
          <w:rFonts w:cs="Times New Roman"/>
        </w:rPr>
        <w:t>U okviru Europskog fonda za energetsku učinkovitost (EEEF)</w:t>
      </w:r>
      <w:r w:rsidR="00477129" w:rsidRPr="00654E3B">
        <w:rPr>
          <w:rFonts w:cs="Times New Roman"/>
        </w:rPr>
        <w:t>,</w:t>
      </w:r>
      <w:r w:rsidRPr="00654E3B">
        <w:rPr>
          <w:rFonts w:cs="Times New Roman"/>
        </w:rPr>
        <w:t xml:space="preserve"> obuhvaćena su namjenska financiranja projekata u područjima energetske učinkovitosti, obnovljivih izvora energije i čistog gradskog prijevoza. Korisnici su lokalna ili regionalna javna tijela ili privatni subjekti koji djeluju u njihovo ime.</w:t>
      </w:r>
    </w:p>
    <w:p w:rsidR="007D4A93" w:rsidRPr="00654E3B" w:rsidRDefault="00EF0BEB">
      <w:pPr>
        <w:rPr>
          <w:rFonts w:cs="Times New Roman"/>
          <w:u w:val="single"/>
        </w:rPr>
      </w:pPr>
      <w:r w:rsidRPr="00654E3B">
        <w:rPr>
          <w:rFonts w:cs="Times New Roman"/>
          <w:u w:val="single"/>
        </w:rPr>
        <w:t>Europski socijalni fond (ESF) i Europski socijalni fond plus (ESF+)</w:t>
      </w:r>
    </w:p>
    <w:p w:rsidR="007D4A93" w:rsidRPr="00654E3B" w:rsidRDefault="00EF0BEB">
      <w:pPr>
        <w:rPr>
          <w:rFonts w:cs="Times New Roman"/>
        </w:rPr>
      </w:pPr>
      <w:r w:rsidRPr="00654E3B">
        <w:rPr>
          <w:rFonts w:cs="Times New Roman"/>
        </w:rPr>
        <w:t>Europski socijalni fond (ESF) jedan je od strukturnih fondova Europske unije kojem je temeljni cilj smanjenje razlika u prosperitetu i životnom standardu između država članica EU-a i njihovih regija, te time promicanje gospodarske i socijalne kohezije. ESF-om se doprinosi i drugim tematskim ciljevima, ponajprije pomoću potpore prelaska na okolišno održivo gospodarstvo s niskom razinom CO</w:t>
      </w:r>
      <w:r w:rsidRPr="00654E3B">
        <w:rPr>
          <w:rFonts w:cs="Times New Roman"/>
          <w:vertAlign w:val="subscript"/>
        </w:rPr>
        <w:t>2</w:t>
      </w:r>
      <w:r w:rsidRPr="00654E3B">
        <w:rPr>
          <w:rFonts w:cs="Times New Roman"/>
        </w:rPr>
        <w:t xml:space="preserve">. </w:t>
      </w:r>
    </w:p>
    <w:p w:rsidR="007D4A93" w:rsidRPr="00654E3B" w:rsidRDefault="00EF0BEB">
      <w:pPr>
        <w:rPr>
          <w:rFonts w:cs="Times New Roman"/>
          <w:szCs w:val="24"/>
        </w:rPr>
      </w:pPr>
      <w:r w:rsidRPr="00654E3B">
        <w:rPr>
          <w:rFonts w:cs="Times New Roman"/>
          <w:szCs w:val="24"/>
        </w:rPr>
        <w:t>Tijekom 2018. godine</w:t>
      </w:r>
      <w:r w:rsidR="00BA2FC9" w:rsidRPr="00654E3B">
        <w:rPr>
          <w:rFonts w:cs="Times New Roman"/>
          <w:szCs w:val="24"/>
        </w:rPr>
        <w:t>,</w:t>
      </w:r>
      <w:r w:rsidRPr="00654E3B">
        <w:rPr>
          <w:rFonts w:cs="Times New Roman"/>
          <w:szCs w:val="24"/>
        </w:rPr>
        <w:t xml:space="preserve"> EK je predstavila Europski socijalni fond plus (ESF+) za potporu provedbi načela europskog stupa socijalnih prava. U fondu ESF+ bit će spojeni Europski socijalni fond, Inicijativa za zapošljavanje mladih, Fond za europsku pomoć najugroženijima, Program EU-a za zapošljavanje i socijalne inovacije i Europski zdravstveni program. </w:t>
      </w:r>
    </w:p>
    <w:p w:rsidR="007D4A93" w:rsidRPr="00654E3B" w:rsidRDefault="00EF0BEB">
      <w:pPr>
        <w:rPr>
          <w:rFonts w:cs="Times New Roman"/>
          <w:u w:val="single"/>
        </w:rPr>
      </w:pPr>
      <w:r w:rsidRPr="00654E3B">
        <w:rPr>
          <w:rFonts w:cs="Times New Roman"/>
          <w:u w:val="single"/>
        </w:rPr>
        <w:t>Europski fond za pomorstvo i ribarstvo (EFPR)</w:t>
      </w:r>
    </w:p>
    <w:p w:rsidR="007D4A93" w:rsidRPr="00654E3B" w:rsidRDefault="00EF0BEB">
      <w:pPr>
        <w:rPr>
          <w:rFonts w:cs="Times New Roman"/>
        </w:rPr>
      </w:pPr>
      <w:r w:rsidRPr="00654E3B">
        <w:rPr>
          <w:rFonts w:cs="Times New Roman"/>
        </w:rPr>
        <w:t xml:space="preserve">Europski fond za pomorstvo i ribarstvo (EFPR) osigurava sredstva ribarskoj industriji i priobalnim zajednicama s ciljem njihove prilagodbe promijenjenim uvjetima u sektoru i postizanja gospodarske i ekološke održivosti. Fond je osmišljen tako da osigura održivo ribarstvo i akvakulturu (uzgoj ribe, školjkaša i podvodnog bilja). Prioritetno područje se odnosi na poticanje okolišno održivog, resursno učinkovitog, inovativnog, konkurentnog i na znanju utemeljenog ribarstva. </w:t>
      </w:r>
    </w:p>
    <w:p w:rsidR="007D4A93" w:rsidRPr="00654E3B" w:rsidRDefault="00EF0BEB">
      <w:pPr>
        <w:rPr>
          <w:rFonts w:cs="Times New Roman"/>
          <w:u w:val="single"/>
        </w:rPr>
      </w:pPr>
      <w:r w:rsidRPr="00654E3B">
        <w:rPr>
          <w:rFonts w:cs="Times New Roman"/>
          <w:u w:val="single"/>
        </w:rPr>
        <w:t>Europski poljoprivredni fond za ruralni razvoj (EPFRR)</w:t>
      </w:r>
    </w:p>
    <w:p w:rsidR="00CB1D8E" w:rsidRPr="00654E3B" w:rsidRDefault="006774C8">
      <w:pPr>
        <w:rPr>
          <w:rFonts w:cs="Times New Roman"/>
        </w:rPr>
      </w:pPr>
      <w:r w:rsidRPr="00654E3B">
        <w:rPr>
          <w:rFonts w:cs="Times New Roman"/>
        </w:rPr>
        <w:lastRenderedPageBreak/>
        <w:t xml:space="preserve">Sredstva Europskog poljoprivrednog fonda za ruralni razvoj doprinose ostvarenju ciljeva Zajedničke poljoprivredne politike, a naročito u dijelu </w:t>
      </w:r>
      <w:r w:rsidR="00CB1D8E" w:rsidRPr="00654E3B">
        <w:rPr>
          <w:rFonts w:cs="Times New Roman"/>
        </w:rPr>
        <w:t xml:space="preserve">održivog </w:t>
      </w:r>
      <w:r w:rsidRPr="00654E3B">
        <w:rPr>
          <w:rFonts w:cs="Times New Roman"/>
        </w:rPr>
        <w:t>ruralnog razvoja.</w:t>
      </w:r>
    </w:p>
    <w:p w:rsidR="007D4A93" w:rsidRPr="00654E3B" w:rsidRDefault="00EF0BEB">
      <w:pPr>
        <w:rPr>
          <w:rFonts w:cs="Times New Roman"/>
          <w:u w:val="single"/>
        </w:rPr>
      </w:pPr>
      <w:r w:rsidRPr="00654E3B">
        <w:rPr>
          <w:rFonts w:cs="Times New Roman"/>
          <w:u w:val="single"/>
        </w:rPr>
        <w:t>Obzor 2020 i Obzor Europa</w:t>
      </w:r>
    </w:p>
    <w:p w:rsidR="007D4A93" w:rsidRPr="00654E3B" w:rsidRDefault="00EF0BEB">
      <w:pPr>
        <w:rPr>
          <w:rFonts w:cs="Times New Roman"/>
        </w:rPr>
      </w:pPr>
      <w:r w:rsidRPr="00654E3B">
        <w:rPr>
          <w:rFonts w:cs="Times New Roman"/>
        </w:rPr>
        <w:t>Obzor 2020 je najveći EU program za istraživanje i razvoj</w:t>
      </w:r>
      <w:r w:rsidR="006C09E4" w:rsidRPr="00654E3B">
        <w:rPr>
          <w:rFonts w:cs="Times New Roman"/>
        </w:rPr>
        <w:t xml:space="preserve">, koji će se za razdoblje od 2021. do 2027. godine nastaviti   </w:t>
      </w:r>
      <w:r w:rsidRPr="00654E3B">
        <w:rPr>
          <w:rFonts w:cs="Times New Roman"/>
        </w:rPr>
        <w:t xml:space="preserve">pod nazivom Obzor Europa (eng. </w:t>
      </w:r>
      <w:r w:rsidRPr="00654E3B">
        <w:rPr>
          <w:rFonts w:cs="Times New Roman"/>
          <w:i/>
        </w:rPr>
        <w:t>Horizon Europe</w:t>
      </w:r>
      <w:r w:rsidRPr="00654E3B">
        <w:rPr>
          <w:rFonts w:cs="Times New Roman"/>
        </w:rPr>
        <w:t xml:space="preserve">). Novi će se program oslanjati na dostignuća programa Obzor 2020 sa snažnijim naglaskom na postizanje rezultata iz područja medicine, hrane i klimatskih promjena. </w:t>
      </w:r>
    </w:p>
    <w:p w:rsidR="007D4A93" w:rsidRPr="00654E3B" w:rsidRDefault="00EF0BEB" w:rsidP="0005019E">
      <w:pPr>
        <w:keepNext/>
        <w:rPr>
          <w:rFonts w:cs="Times New Roman"/>
          <w:u w:val="single"/>
        </w:rPr>
      </w:pPr>
      <w:r w:rsidRPr="00654E3B">
        <w:rPr>
          <w:rFonts w:cs="Times New Roman"/>
          <w:u w:val="single"/>
        </w:rPr>
        <w:t>LIFE program</w:t>
      </w:r>
    </w:p>
    <w:p w:rsidR="007D4A93" w:rsidRPr="00654E3B" w:rsidRDefault="00EF0BEB" w:rsidP="0005019E">
      <w:pPr>
        <w:keepNext/>
        <w:rPr>
          <w:rFonts w:cs="Times New Roman"/>
        </w:rPr>
      </w:pPr>
      <w:r w:rsidRPr="00654E3B">
        <w:rPr>
          <w:rFonts w:cs="Times New Roman"/>
        </w:rPr>
        <w:t>LIFE program je financijski instrument EU za potporu projektima iz područja zaštite okoliša, očuvanja prirode i klimatsk</w:t>
      </w:r>
      <w:r w:rsidR="000703AF" w:rsidRPr="00654E3B">
        <w:rPr>
          <w:rFonts w:cs="Times New Roman"/>
        </w:rPr>
        <w:t>ih</w:t>
      </w:r>
      <w:r w:rsidRPr="00654E3B">
        <w:rPr>
          <w:rFonts w:cs="Times New Roman"/>
        </w:rPr>
        <w:t xml:space="preserve"> aktivnosti u EU. </w:t>
      </w:r>
      <w:r w:rsidR="006C09E4" w:rsidRPr="00654E3B">
        <w:rPr>
          <w:rFonts w:cs="Times New Roman"/>
        </w:rPr>
        <w:t>Cilj Programa LIFE je doprinijeti implementaciji, ažuriranju i razvoju EU politika i zakonodavstva iz područja okoliša i klime kroz sufinanciranje projekata koji imaju europsku dodanu vrijednost</w:t>
      </w:r>
    </w:p>
    <w:p w:rsidR="007D4A93" w:rsidRPr="00654E3B" w:rsidRDefault="00EF0BEB">
      <w:pPr>
        <w:rPr>
          <w:rFonts w:cs="Times New Roman"/>
          <w:u w:val="single"/>
        </w:rPr>
      </w:pPr>
      <w:r w:rsidRPr="00654E3B">
        <w:rPr>
          <w:rFonts w:cs="Times New Roman"/>
          <w:u w:val="single"/>
        </w:rPr>
        <w:t>Interreg: Europska teritorijalna suradnja (ETC)</w:t>
      </w:r>
    </w:p>
    <w:p w:rsidR="007D4A93" w:rsidRPr="00654E3B" w:rsidRDefault="00EF0BEB">
      <w:pPr>
        <w:rPr>
          <w:rFonts w:cs="Times New Roman"/>
        </w:rPr>
      </w:pPr>
      <w:r w:rsidRPr="00654E3B">
        <w:rPr>
          <w:rFonts w:cs="Times New Roman"/>
        </w:rPr>
        <w:t>Program je pokrenut s ciljem jačanja učinaka Kohezijske politike EU u razdoblju od 2014. do 2020. godine. Cilj je smanjiti postojeće nejednakosti između regija EU</w:t>
      </w:r>
      <w:r w:rsidR="00947B9F" w:rsidRPr="00654E3B">
        <w:rPr>
          <w:rFonts w:cs="Times New Roman"/>
        </w:rPr>
        <w:t>-a</w:t>
      </w:r>
      <w:r w:rsidRPr="00654E3B">
        <w:rPr>
          <w:rFonts w:cs="Times New Roman"/>
        </w:rPr>
        <w:t xml:space="preserve"> u pogledu njihovog ekonomskog i društvenog razvoja i održivosti okoliša, pritom uzimajući u obzir njihove specifične prostorne značajke i mogućnosti. Sredstva su namijenjena za 11 investicijskih prioriteta, među kojima su i niskougljično gospodarstvo, ublažavanje klimatskih promjena, okoliš i učinkovitost resursa te održivi transport.</w:t>
      </w:r>
    </w:p>
    <w:p w:rsidR="00544FAD" w:rsidRPr="00654E3B" w:rsidRDefault="00544FAD" w:rsidP="00CB1D8E">
      <w:pPr>
        <w:rPr>
          <w:rFonts w:cs="Times New Roman"/>
          <w:u w:val="single"/>
        </w:rPr>
      </w:pPr>
      <w:r w:rsidRPr="00654E3B">
        <w:rPr>
          <w:rFonts w:cs="Times New Roman"/>
          <w:u w:val="single"/>
        </w:rPr>
        <w:t>EGP financijski mehanizam, Norveški financijski mehanizam i Švicarsko hrvatski program suradnje</w:t>
      </w:r>
    </w:p>
    <w:p w:rsidR="00544FAD" w:rsidRPr="00654E3B" w:rsidRDefault="00544FAD" w:rsidP="00544FAD">
      <w:pPr>
        <w:rPr>
          <w:rFonts w:cs="Times New Roman"/>
        </w:rPr>
      </w:pPr>
      <w:r w:rsidRPr="00654E3B">
        <w:rPr>
          <w:rFonts w:cs="Times New Roman"/>
        </w:rPr>
        <w:t xml:space="preserve">Programska područja koja se financiraju iz ovih mehanizama financiranja predmet su pregovora između </w:t>
      </w:r>
      <w:r w:rsidR="00CB1D8E" w:rsidRPr="00654E3B">
        <w:rPr>
          <w:rFonts w:cs="Times New Roman"/>
        </w:rPr>
        <w:t>R</w:t>
      </w:r>
      <w:r w:rsidRPr="00654E3B">
        <w:rPr>
          <w:rFonts w:cs="Times New Roman"/>
        </w:rPr>
        <w:t xml:space="preserve">epublike Hrvatske i država donatora. </w:t>
      </w:r>
      <w:r w:rsidR="00947B9F" w:rsidRPr="00654E3B">
        <w:rPr>
          <w:rFonts w:cs="Times New Roman"/>
        </w:rPr>
        <w:t>F</w:t>
      </w:r>
      <w:r w:rsidRPr="00654E3B">
        <w:rPr>
          <w:rFonts w:cs="Times New Roman"/>
        </w:rPr>
        <w:t>inancijska perspektiva za sva ova tri mehanizma obuhvaća programe s razdobljem provedbe do 2024. go</w:t>
      </w:r>
      <w:r w:rsidR="00CB1D8E" w:rsidRPr="00654E3B">
        <w:rPr>
          <w:rFonts w:cs="Times New Roman"/>
        </w:rPr>
        <w:t>d</w:t>
      </w:r>
      <w:r w:rsidRPr="00654E3B">
        <w:rPr>
          <w:rFonts w:cs="Times New Roman"/>
        </w:rPr>
        <w:t xml:space="preserve">ine. </w:t>
      </w:r>
      <w:r w:rsidR="00CB1D8E" w:rsidRPr="00654E3B">
        <w:rPr>
          <w:rFonts w:cs="Times New Roman"/>
        </w:rPr>
        <w:t>U</w:t>
      </w:r>
      <w:r w:rsidRPr="00654E3B">
        <w:rPr>
          <w:rFonts w:cs="Times New Roman"/>
        </w:rPr>
        <w:t xml:space="preserve"> sklopu EGP financijskog mehanizma se provodi program Energija i klimatske promjene, s ciljem uvođenja i primjene tehnologija s manjom emisijom ugljika, poboljšanja energetske učinkovitosti i povećanja sigurnosti opskrbe energije.</w:t>
      </w:r>
    </w:p>
    <w:p w:rsidR="007D4A93" w:rsidRPr="00654E3B" w:rsidRDefault="00EF0BEB">
      <w:pPr>
        <w:rPr>
          <w:rFonts w:cs="Times New Roman"/>
          <w:u w:val="single"/>
        </w:rPr>
      </w:pPr>
      <w:r w:rsidRPr="00654E3B">
        <w:rPr>
          <w:rFonts w:cs="Times New Roman"/>
          <w:u w:val="single"/>
        </w:rPr>
        <w:t xml:space="preserve">Financiranje provedbe mjera na osnovi sustava obveze energetske učinkovitosti sukladno Direktivi 2012/27/EU o energetskoj učinkovitosti </w:t>
      </w:r>
    </w:p>
    <w:p w:rsidR="007D4A93" w:rsidRPr="00654E3B" w:rsidRDefault="00EF0BEB">
      <w:pPr>
        <w:rPr>
          <w:rFonts w:cs="Times New Roman"/>
        </w:rPr>
      </w:pPr>
      <w:r w:rsidRPr="00654E3B">
        <w:rPr>
          <w:rFonts w:cs="Times New Roman"/>
        </w:rPr>
        <w:t xml:space="preserve">Opskrbljivači energije dužni su provoditi mjere energetske učinkovitosti kod krajnjih potrošača. Ciljevi su zadani Sustavom obveze energetske učinkovitosti. Očekuje se da će se troškovi ovih mjera najvećim dijelom prebaciti na potrošače. Ukoliko obveznici ne ostvare propisane uštede, </w:t>
      </w:r>
      <w:r w:rsidR="00BA2FC9" w:rsidRPr="00654E3B">
        <w:rPr>
          <w:rFonts w:cs="Times New Roman"/>
        </w:rPr>
        <w:t>u</w:t>
      </w:r>
      <w:r w:rsidRPr="00654E3B">
        <w:rPr>
          <w:rFonts w:cs="Times New Roman"/>
        </w:rPr>
        <w:t>plać</w:t>
      </w:r>
      <w:r w:rsidR="00BA2FC9" w:rsidRPr="00654E3B">
        <w:rPr>
          <w:rFonts w:cs="Times New Roman"/>
        </w:rPr>
        <w:t>iv</w:t>
      </w:r>
      <w:r w:rsidRPr="00654E3B">
        <w:rPr>
          <w:rFonts w:cs="Times New Roman"/>
        </w:rPr>
        <w:t>ati će naknadu u FZOEU. Ovo će biti značajan izvor financiranja.</w:t>
      </w:r>
    </w:p>
    <w:p w:rsidR="007D4A93" w:rsidRPr="00654E3B" w:rsidRDefault="00EF0BEB">
      <w:pPr>
        <w:rPr>
          <w:rFonts w:cs="Times New Roman"/>
          <w:u w:val="single"/>
        </w:rPr>
      </w:pPr>
      <w:r w:rsidRPr="00654E3B">
        <w:rPr>
          <w:rFonts w:cs="Times New Roman"/>
          <w:u w:val="single"/>
        </w:rPr>
        <w:t>Naknada za emisije CO</w:t>
      </w:r>
      <w:r w:rsidRPr="00654E3B">
        <w:rPr>
          <w:rFonts w:cs="Times New Roman"/>
          <w:u w:val="single"/>
          <w:vertAlign w:val="subscript"/>
        </w:rPr>
        <w:t>2</w:t>
      </w:r>
    </w:p>
    <w:p w:rsidR="007D4A93" w:rsidRPr="00654E3B" w:rsidRDefault="00EF0BEB">
      <w:pPr>
        <w:rPr>
          <w:rFonts w:cs="Times New Roman"/>
        </w:rPr>
      </w:pPr>
      <w:r w:rsidRPr="00654E3B">
        <w:rPr>
          <w:rFonts w:cs="Times New Roman"/>
        </w:rPr>
        <w:t>U Republici Hrvatskoj postoji naknada na emisije CO</w:t>
      </w:r>
      <w:r w:rsidRPr="00654E3B">
        <w:rPr>
          <w:rFonts w:cs="Times New Roman"/>
          <w:vertAlign w:val="subscript"/>
        </w:rPr>
        <w:t>2</w:t>
      </w:r>
      <w:r w:rsidRPr="00654E3B">
        <w:rPr>
          <w:rFonts w:cs="Times New Roman"/>
        </w:rPr>
        <w:t xml:space="preserve">, za dvije skupine izvora. </w:t>
      </w:r>
      <w:r w:rsidR="003A104C" w:rsidRPr="00654E3B">
        <w:rPr>
          <w:rFonts w:cs="Times New Roman"/>
        </w:rPr>
        <w:t>Naknadu plaćaju pojedinačni stacionarni izvori, iz kojih se ispušta CO</w:t>
      </w:r>
      <w:r w:rsidR="003A104C" w:rsidRPr="00654E3B">
        <w:rPr>
          <w:rFonts w:cs="Times New Roman"/>
          <w:vertAlign w:val="subscript"/>
        </w:rPr>
        <w:t>2</w:t>
      </w:r>
      <w:r w:rsidR="003A104C" w:rsidRPr="00654E3B">
        <w:rPr>
          <w:rFonts w:cs="Times New Roman"/>
        </w:rPr>
        <w:t xml:space="preserve"> u zrak u količini većoj od 450 tona godišnje. </w:t>
      </w:r>
      <w:r w:rsidRPr="00654E3B">
        <w:rPr>
          <w:rFonts w:cs="Times New Roman"/>
        </w:rPr>
        <w:t>Naplata postoji</w:t>
      </w:r>
      <w:r w:rsidR="004B5FE7" w:rsidRPr="00654E3B">
        <w:rPr>
          <w:rFonts w:cs="Times New Roman"/>
        </w:rPr>
        <w:t xml:space="preserve"> i</w:t>
      </w:r>
      <w:r w:rsidRPr="00654E3B">
        <w:rPr>
          <w:rFonts w:cs="Times New Roman"/>
        </w:rPr>
        <w:t xml:space="preserve"> za operatere postrojenja uključenih u ETS koji imaju emisije manje od 25 kt godišnje i isključili su se iz ETS-a, ali moraju provoditi mjere za postizanje ekvivalentnog doprinosa smanjenju emisija s verificiranim emisijama.</w:t>
      </w:r>
    </w:p>
    <w:p w:rsidR="007D4A93" w:rsidRPr="00654E3B" w:rsidRDefault="00EF0BEB">
      <w:pPr>
        <w:rPr>
          <w:rFonts w:cs="Times New Roman"/>
          <w:u w:val="single"/>
        </w:rPr>
      </w:pPr>
      <w:r w:rsidRPr="00654E3B">
        <w:rPr>
          <w:rFonts w:cs="Times New Roman"/>
          <w:u w:val="single"/>
        </w:rPr>
        <w:t xml:space="preserve">Naknada za proizvodnju električne energije iz obnovljivih izvora energije </w:t>
      </w:r>
    </w:p>
    <w:p w:rsidR="007D4A93" w:rsidRPr="00654E3B" w:rsidRDefault="00EF0BEB">
      <w:pPr>
        <w:rPr>
          <w:rFonts w:cs="Times New Roman"/>
          <w:color w:val="000000"/>
        </w:rPr>
      </w:pPr>
      <w:r w:rsidRPr="00654E3B">
        <w:rPr>
          <w:rFonts w:cs="Times New Roman"/>
        </w:rPr>
        <w:t>Visina naknade za poticanje proizvodnje električne energije iz obnovljivih izvora iznosi 0,1050 kn/kWh + PDV za sve kupce električne energije. Iznimno, za kupce električne energije koji su sukladno Zakonu o klimatskim promjenama i zaštiti ozonskog sloja, obveznici ishođenja dozvole za emisije stakleničkih plinova, iznosi 0,</w:t>
      </w:r>
      <w:r w:rsidR="000B46E7" w:rsidRPr="00654E3B">
        <w:rPr>
          <w:rFonts w:cs="Times New Roman"/>
        </w:rPr>
        <w:t xml:space="preserve">021 </w:t>
      </w:r>
      <w:r w:rsidRPr="00654E3B">
        <w:rPr>
          <w:rFonts w:cs="Times New Roman"/>
        </w:rPr>
        <w:t xml:space="preserve">kn/kWh. </w:t>
      </w:r>
      <w:r w:rsidRPr="00654E3B">
        <w:rPr>
          <w:rFonts w:cs="Times New Roman"/>
          <w:color w:val="000000"/>
        </w:rPr>
        <w:t>Sredstva naknade za poticanje</w:t>
      </w:r>
      <w:r w:rsidR="00BA2FC9" w:rsidRPr="00654E3B">
        <w:rPr>
          <w:rFonts w:cs="Times New Roman"/>
          <w:color w:val="000000"/>
        </w:rPr>
        <w:t>,</w:t>
      </w:r>
      <w:r w:rsidRPr="00654E3B">
        <w:rPr>
          <w:rFonts w:cs="Times New Roman"/>
          <w:color w:val="000000"/>
        </w:rPr>
        <w:t xml:space="preserve"> koriste se za isplatu poticajne cijene električne energije povlaštenim proizvođačima koji su u sustavu poticanja proizvodnje električne </w:t>
      </w:r>
      <w:r w:rsidRPr="00654E3B">
        <w:rPr>
          <w:rFonts w:cs="Times New Roman"/>
          <w:color w:val="000000"/>
        </w:rPr>
        <w:lastRenderedPageBreak/>
        <w:t>energije</w:t>
      </w:r>
      <w:r w:rsidR="00BA2FC9" w:rsidRPr="00654E3B">
        <w:rPr>
          <w:rFonts w:cs="Times New Roman"/>
          <w:color w:val="000000"/>
        </w:rPr>
        <w:t>,</w:t>
      </w:r>
      <w:r w:rsidRPr="00654E3B">
        <w:rPr>
          <w:rFonts w:cs="Times New Roman"/>
          <w:color w:val="000000"/>
        </w:rPr>
        <w:t xml:space="preserve"> za isporučenu električnu energiju sukladno odredbama tarifnog sustava za proizvodnju električne energije iz obnovljivih izvora energije i visokoučinkovite kogeneracije (tzv. feed-in tarife). </w:t>
      </w:r>
    </w:p>
    <w:p w:rsidR="007D4A93" w:rsidRPr="00654E3B" w:rsidRDefault="00EF0BEB">
      <w:pPr>
        <w:rPr>
          <w:rFonts w:cs="Times New Roman"/>
          <w:u w:val="single"/>
        </w:rPr>
      </w:pPr>
      <w:r w:rsidRPr="00654E3B">
        <w:rPr>
          <w:rFonts w:cs="Times New Roman"/>
          <w:u w:val="single"/>
        </w:rPr>
        <w:t>Kreditne linije poslovnih banaka</w:t>
      </w:r>
    </w:p>
    <w:p w:rsidR="007D4A93" w:rsidRPr="00654E3B" w:rsidRDefault="00EF0BEB">
      <w:pPr>
        <w:rPr>
          <w:rFonts w:cs="Times New Roman"/>
        </w:rPr>
      </w:pPr>
      <w:r w:rsidRPr="00654E3B">
        <w:rPr>
          <w:rFonts w:cs="Times New Roman"/>
        </w:rPr>
        <w:t>Brojne poslovne banke su u svoje ponude uvrstile različite kreditne linije i modele financiranja</w:t>
      </w:r>
      <w:r w:rsidR="00BA2FC9" w:rsidRPr="00654E3B">
        <w:rPr>
          <w:rFonts w:cs="Times New Roman"/>
        </w:rPr>
        <w:t>,</w:t>
      </w:r>
      <w:r w:rsidRPr="00654E3B">
        <w:rPr>
          <w:rFonts w:cs="Times New Roman"/>
        </w:rPr>
        <w:t xml:space="preserve"> kao temelj za strateško opredjeljenje da ponude financijska rješenja za projekte energetske učinkovitosti i obnovljivih izvora energije te da povećaju sudjelovanje na ovom rastućem tržištu energije.</w:t>
      </w:r>
    </w:p>
    <w:p w:rsidR="007D4A93" w:rsidRPr="00654E3B" w:rsidRDefault="00EF0BEB" w:rsidP="0005019E">
      <w:pPr>
        <w:keepNext/>
        <w:rPr>
          <w:rFonts w:cs="Times New Roman"/>
          <w:u w:val="single"/>
        </w:rPr>
      </w:pPr>
      <w:r w:rsidRPr="00654E3B">
        <w:rPr>
          <w:rFonts w:cs="Times New Roman"/>
          <w:u w:val="single"/>
        </w:rPr>
        <w:t>ESCO poduzeća</w:t>
      </w:r>
    </w:p>
    <w:p w:rsidR="007D4A93" w:rsidRPr="00654E3B" w:rsidRDefault="00EF0BEB" w:rsidP="0005019E">
      <w:pPr>
        <w:keepNext/>
        <w:rPr>
          <w:rFonts w:cs="Times New Roman"/>
        </w:rPr>
      </w:pPr>
      <w:r w:rsidRPr="00654E3B">
        <w:rPr>
          <w:rFonts w:cs="Times New Roman"/>
        </w:rPr>
        <w:t xml:space="preserve">ESCO (eng. </w:t>
      </w:r>
      <w:r w:rsidRPr="00654E3B">
        <w:rPr>
          <w:rFonts w:cs="Times New Roman"/>
          <w:i/>
        </w:rPr>
        <w:t>Energy Service Company</w:t>
      </w:r>
      <w:r w:rsidRPr="00654E3B">
        <w:rPr>
          <w:rFonts w:cs="Times New Roman"/>
        </w:rPr>
        <w:t>) je poslovni model u kojem tvrtka ulaže vlastita sredstva, radnu snagu i tehnologiju, a naplaćuje se isključivo iz dijela proračunate uštede</w:t>
      </w:r>
      <w:r w:rsidR="00947B9F" w:rsidRPr="00654E3B">
        <w:rPr>
          <w:rFonts w:cs="Times New Roman"/>
        </w:rPr>
        <w:t xml:space="preserve"> potrošnje energije</w:t>
      </w:r>
      <w:r w:rsidRPr="00654E3B">
        <w:rPr>
          <w:rFonts w:cs="Times New Roman"/>
        </w:rPr>
        <w:t>.</w:t>
      </w:r>
    </w:p>
    <w:p w:rsidR="007D4A93" w:rsidRPr="00654E3B" w:rsidRDefault="00EF0BEB">
      <w:pPr>
        <w:keepNext/>
        <w:rPr>
          <w:rFonts w:cs="Times New Roman"/>
          <w:u w:val="single"/>
        </w:rPr>
      </w:pPr>
      <w:r w:rsidRPr="00654E3B">
        <w:rPr>
          <w:rFonts w:cs="Times New Roman"/>
          <w:u w:val="single"/>
        </w:rPr>
        <w:t>Grupno financiranje</w:t>
      </w:r>
    </w:p>
    <w:p w:rsidR="007D4A93" w:rsidRPr="00654E3B" w:rsidRDefault="00EF0BEB">
      <w:pPr>
        <w:keepNext/>
        <w:rPr>
          <w:rFonts w:cs="Times New Roman"/>
        </w:rPr>
      </w:pPr>
      <w:r w:rsidRPr="00654E3B">
        <w:rPr>
          <w:rFonts w:cs="Times New Roman"/>
        </w:rPr>
        <w:t xml:space="preserve">Grupno financiranje (eng. </w:t>
      </w:r>
      <w:r w:rsidRPr="00654E3B">
        <w:rPr>
          <w:rFonts w:cs="Times New Roman"/>
          <w:i/>
        </w:rPr>
        <w:t>crowdfunding</w:t>
      </w:r>
      <w:r w:rsidRPr="00654E3B">
        <w:rPr>
          <w:rFonts w:cs="Times New Roman"/>
        </w:rPr>
        <w:t>) označava financiranje projekata kroz prikupljanje sredstava od velikog broja ljudi</w:t>
      </w:r>
      <w:r w:rsidR="00BA2FC9" w:rsidRPr="00654E3B">
        <w:rPr>
          <w:rFonts w:cs="Times New Roman"/>
        </w:rPr>
        <w:t>,</w:t>
      </w:r>
      <w:r w:rsidRPr="00654E3B">
        <w:rPr>
          <w:rFonts w:cs="Times New Roman"/>
        </w:rPr>
        <w:t xml:space="preserve"> koji je postao jednostavan razvojem Interneta, a česte su namjene za društveno korisne projekte. Postoje četiri osnove vrste grupnog financiranja s obzirom na povrat uloženoga donatorima, </w:t>
      </w:r>
      <w:r w:rsidR="00BA2FC9" w:rsidRPr="00654E3B">
        <w:rPr>
          <w:rFonts w:cs="Times New Roman"/>
        </w:rPr>
        <w:t xml:space="preserve">a </w:t>
      </w:r>
      <w:r w:rsidRPr="00654E3B">
        <w:rPr>
          <w:rFonts w:cs="Times New Roman"/>
        </w:rPr>
        <w:t>platforme se temelje na donacijama, nagradama, posuđivanju ili vlasničkim udjelima.  Grupno financiranje se u Hrvatskoj već koristi kao način financiranja projekata u energetskom sektoru.</w:t>
      </w:r>
    </w:p>
    <w:p w:rsidR="007D4A93" w:rsidRPr="00654E3B" w:rsidRDefault="00EF0BEB">
      <w:pPr>
        <w:rPr>
          <w:rFonts w:cs="Times New Roman"/>
          <w:u w:val="single"/>
        </w:rPr>
      </w:pPr>
      <w:r w:rsidRPr="00654E3B">
        <w:rPr>
          <w:rFonts w:cs="Times New Roman"/>
          <w:u w:val="single"/>
        </w:rPr>
        <w:t xml:space="preserve">Javno-privatno partnerstvo (JPP) </w:t>
      </w:r>
    </w:p>
    <w:p w:rsidR="00103630" w:rsidRPr="00654E3B" w:rsidRDefault="00103630">
      <w:pPr>
        <w:rPr>
          <w:rFonts w:cs="Times New Roman"/>
          <w:u w:val="single"/>
        </w:rPr>
      </w:pPr>
      <w:r w:rsidRPr="00654E3B">
        <w:rPr>
          <w:rFonts w:cs="Times New Roman"/>
          <w:u w:val="single"/>
        </w:rPr>
        <w:t>Europska partnerstva i misije u okviru Obzora Europa</w:t>
      </w:r>
    </w:p>
    <w:p w:rsidR="00AB40C9" w:rsidRPr="00654E3B" w:rsidRDefault="00103630">
      <w:pPr>
        <w:rPr>
          <w:rFonts w:cs="Times New Roman"/>
        </w:rPr>
      </w:pPr>
      <w:r w:rsidRPr="00654E3B">
        <w:rPr>
          <w:rFonts w:cs="Times New Roman"/>
        </w:rPr>
        <w:t>Europska partnerstva su inicijative u kojima se EU zajedno s privatnim i/ili javnim partnerima obvezuje zajednički podržati razvoj i provedbu istraživačkih i inovacijskih aktivnosti. Za Republiku Hrvatsku postoji mogućnost sudjelovanja u svim javno-javnim ili javno-privatnim partnerstvima</w:t>
      </w:r>
      <w:r w:rsidR="003F2247" w:rsidRPr="00654E3B">
        <w:rPr>
          <w:rFonts w:cs="Times New Roman"/>
        </w:rPr>
        <w:t>,</w:t>
      </w:r>
      <w:r w:rsidRPr="00654E3B">
        <w:rPr>
          <w:rFonts w:cs="Times New Roman"/>
        </w:rPr>
        <w:t xml:space="preserve"> koja se izvode u okviru Okvirnog programa EU</w:t>
      </w:r>
      <w:r w:rsidR="00947B9F" w:rsidRPr="00654E3B">
        <w:rPr>
          <w:rFonts w:cs="Times New Roman"/>
        </w:rPr>
        <w:t>-a</w:t>
      </w:r>
      <w:r w:rsidRPr="00654E3B">
        <w:rPr>
          <w:rFonts w:cs="Times New Roman"/>
        </w:rPr>
        <w:t xml:space="preserve"> za istraživanje i inovacije</w:t>
      </w:r>
      <w:r w:rsidR="00947B9F" w:rsidRPr="00654E3B">
        <w:rPr>
          <w:rFonts w:cs="Times New Roman"/>
        </w:rPr>
        <w:t xml:space="preserve"> </w:t>
      </w:r>
      <w:r w:rsidRPr="00654E3B">
        <w:rPr>
          <w:rFonts w:cs="Times New Roman"/>
        </w:rPr>
        <w:t>- Obzora Europa, s 30-50</w:t>
      </w:r>
      <w:r w:rsidR="00060992" w:rsidRPr="00654E3B">
        <w:rPr>
          <w:rFonts w:cs="Times New Roman"/>
        </w:rPr>
        <w:t xml:space="preserve"> %</w:t>
      </w:r>
      <w:r w:rsidRPr="00654E3B">
        <w:rPr>
          <w:rFonts w:cs="Times New Roman"/>
        </w:rPr>
        <w:t xml:space="preserve"> ukupne alokacije sredstava. Partneri mogu </w:t>
      </w:r>
      <w:r w:rsidR="00947B9F" w:rsidRPr="00654E3B">
        <w:rPr>
          <w:rFonts w:cs="Times New Roman"/>
        </w:rPr>
        <w:t xml:space="preserve">biti </w:t>
      </w:r>
      <w:r w:rsidRPr="00654E3B">
        <w:rPr>
          <w:rFonts w:cs="Times New Roman"/>
        </w:rPr>
        <w:t>predstav</w:t>
      </w:r>
      <w:r w:rsidR="00947B9F" w:rsidRPr="00654E3B">
        <w:rPr>
          <w:rFonts w:cs="Times New Roman"/>
        </w:rPr>
        <w:t>nici</w:t>
      </w:r>
      <w:r w:rsidRPr="00654E3B">
        <w:rPr>
          <w:rFonts w:cs="Times New Roman"/>
        </w:rPr>
        <w:t xml:space="preserve"> industrij</w:t>
      </w:r>
      <w:r w:rsidR="00947B9F" w:rsidRPr="00654E3B">
        <w:rPr>
          <w:rFonts w:cs="Times New Roman"/>
        </w:rPr>
        <w:t>e</w:t>
      </w:r>
      <w:r w:rsidRPr="00654E3B">
        <w:rPr>
          <w:rFonts w:cs="Times New Roman"/>
        </w:rPr>
        <w:t>, sveučilišta, istraživačk</w:t>
      </w:r>
      <w:r w:rsidR="00947B9F" w:rsidRPr="00654E3B">
        <w:rPr>
          <w:rFonts w:cs="Times New Roman"/>
        </w:rPr>
        <w:t>ih</w:t>
      </w:r>
      <w:r w:rsidRPr="00654E3B">
        <w:rPr>
          <w:rFonts w:cs="Times New Roman"/>
        </w:rPr>
        <w:t xml:space="preserve"> organizacij</w:t>
      </w:r>
      <w:r w:rsidR="00947B9F" w:rsidRPr="00654E3B">
        <w:rPr>
          <w:rFonts w:cs="Times New Roman"/>
        </w:rPr>
        <w:t>a</w:t>
      </w:r>
      <w:r w:rsidRPr="00654E3B">
        <w:rPr>
          <w:rFonts w:cs="Times New Roman"/>
        </w:rPr>
        <w:t xml:space="preserve">, tijela na lokalnoj, regionalnoj, nacionalnoj ili međunarodnoj razini ili </w:t>
      </w:r>
      <w:r w:rsidR="00947B9F" w:rsidRPr="00654E3B">
        <w:rPr>
          <w:rFonts w:cs="Times New Roman"/>
        </w:rPr>
        <w:t xml:space="preserve">iz </w:t>
      </w:r>
      <w:r w:rsidRPr="00654E3B">
        <w:rPr>
          <w:rFonts w:cs="Times New Roman"/>
        </w:rPr>
        <w:t>organizacij</w:t>
      </w:r>
      <w:r w:rsidR="00947B9F" w:rsidRPr="00654E3B">
        <w:rPr>
          <w:rFonts w:cs="Times New Roman"/>
        </w:rPr>
        <w:t>a</w:t>
      </w:r>
      <w:r w:rsidRPr="00654E3B">
        <w:rPr>
          <w:rFonts w:cs="Times New Roman"/>
        </w:rPr>
        <w:t xml:space="preserve"> civilnog društva, uključujući zaklade i nevladine organizacije. Za ulazak u partnerstva potrebno je ulaganje određenih nacionalnih sredst</w:t>
      </w:r>
      <w:r w:rsidR="003F2247" w:rsidRPr="00654E3B">
        <w:rPr>
          <w:rFonts w:cs="Times New Roman"/>
        </w:rPr>
        <w:t>a</w:t>
      </w:r>
      <w:r w:rsidRPr="00654E3B">
        <w:rPr>
          <w:rFonts w:cs="Times New Roman"/>
        </w:rPr>
        <w:t xml:space="preserve">va, bilo resornih ministarstva ili drugih tijela državne i javne uprave ili tvrtki koje ulaze kao partner. </w:t>
      </w:r>
      <w:r w:rsidR="00636D99" w:rsidRPr="00654E3B">
        <w:rPr>
          <w:rFonts w:cs="Times New Roman"/>
        </w:rPr>
        <w:t>O</w:t>
      </w:r>
      <w:r w:rsidRPr="00654E3B">
        <w:rPr>
          <w:rFonts w:cs="Times New Roman"/>
        </w:rPr>
        <w:t>stale platforme u području istraživanja i inovacija</w:t>
      </w:r>
      <w:r w:rsidR="003F2247" w:rsidRPr="00654E3B">
        <w:rPr>
          <w:rFonts w:cs="Times New Roman"/>
        </w:rPr>
        <w:t>,</w:t>
      </w:r>
      <w:r w:rsidRPr="00654E3B">
        <w:rPr>
          <w:rFonts w:cs="Times New Roman"/>
        </w:rPr>
        <w:t xml:space="preserve"> putem kojih se može ostvariti potpora i suradnja su npr. Zajednice inovacije i znanja (</w:t>
      </w:r>
      <w:r w:rsidRPr="00654E3B">
        <w:rPr>
          <w:rFonts w:cs="Times New Roman"/>
          <w:i/>
        </w:rPr>
        <w:t>Knowledge and Inovation communities, KIC</w:t>
      </w:r>
      <w:r w:rsidRPr="00654E3B">
        <w:rPr>
          <w:rFonts w:cs="Times New Roman"/>
        </w:rPr>
        <w:t>)</w:t>
      </w:r>
      <w:r w:rsidR="003F2247" w:rsidRPr="00654E3B">
        <w:rPr>
          <w:rFonts w:cs="Times New Roman"/>
        </w:rPr>
        <w:t>,</w:t>
      </w:r>
      <w:r w:rsidRPr="00654E3B">
        <w:rPr>
          <w:rFonts w:cs="Times New Roman"/>
        </w:rPr>
        <w:t xml:space="preserve"> koje se izvode u okviru Europskog instituta za inovacije i tehnologije (EIT), </w:t>
      </w:r>
      <w:r w:rsidR="003F2247" w:rsidRPr="00654E3B">
        <w:rPr>
          <w:rFonts w:cs="Times New Roman"/>
        </w:rPr>
        <w:t xml:space="preserve">su </w:t>
      </w:r>
      <w:r w:rsidRPr="00654E3B">
        <w:rPr>
          <w:rFonts w:cs="Times New Roman"/>
        </w:rPr>
        <w:t>Europska inovacija partnerstva (EIP), te programi suradnje kao što su COST i EUREKA. Priliku za suradnju i umrežavanje</w:t>
      </w:r>
      <w:r w:rsidR="003F2247" w:rsidRPr="00654E3B">
        <w:rPr>
          <w:rFonts w:cs="Times New Roman"/>
        </w:rPr>
        <w:t>,</w:t>
      </w:r>
      <w:r w:rsidRPr="00654E3B">
        <w:rPr>
          <w:rFonts w:cs="Times New Roman"/>
        </w:rPr>
        <w:t xml:space="preserve"> predstavlja i posve novi instrument unutar Obzor Europa, a to su misije, svojevrsni „megaprojekti“ na razini EU koji imaju visoke ambicije i veliku vidljivost s ciljem pronalaženja rješenja za neki od glavnih izazova s kojima se suočavaju građani Europe (područja misija su Prilagodba klimatskim promjenama, uključujući društvene transformacije, Rak (karcinom), Zdravi ocean i voda, Ugljično neutralni i pametni gradovi te Zdravlje t</w:t>
      </w:r>
      <w:r w:rsidR="000F2A95" w:rsidRPr="00654E3B">
        <w:rPr>
          <w:rFonts w:cs="Times New Roman"/>
        </w:rPr>
        <w:t>l</w:t>
      </w:r>
      <w:r w:rsidRPr="00654E3B">
        <w:rPr>
          <w:rFonts w:cs="Times New Roman"/>
        </w:rPr>
        <w:t>a za održivu hranu</w:t>
      </w:r>
      <w:r w:rsidR="003F2247" w:rsidRPr="00654E3B">
        <w:rPr>
          <w:rFonts w:cs="Times New Roman"/>
        </w:rPr>
        <w:t>.</w:t>
      </w:r>
      <w:r w:rsidRPr="00654E3B">
        <w:rPr>
          <w:rFonts w:cs="Times New Roman"/>
        </w:rPr>
        <w:t xml:space="preserve"> </w:t>
      </w:r>
    </w:p>
    <w:p w:rsidR="007D4A93" w:rsidRPr="00654E3B" w:rsidRDefault="00EF0BEB" w:rsidP="009F6651">
      <w:pPr>
        <w:pStyle w:val="Heading3"/>
      </w:pPr>
      <w:bookmarkStart w:id="297" w:name="_Toc69297778"/>
      <w:bookmarkStart w:id="298" w:name="_Hlk38274947"/>
      <w:r w:rsidRPr="00654E3B">
        <w:t xml:space="preserve">7.2.1. </w:t>
      </w:r>
      <w:r w:rsidRPr="00654E3B">
        <w:tab/>
        <w:t>Nove financijske perspektive Europskog zelenog plana</w:t>
      </w:r>
      <w:bookmarkEnd w:id="297"/>
    </w:p>
    <w:p w:rsidR="007D4A93" w:rsidRPr="00654E3B" w:rsidRDefault="007D4A93">
      <w:pPr>
        <w:rPr>
          <w:rFonts w:cs="Times New Roman"/>
        </w:rPr>
      </w:pPr>
    </w:p>
    <w:p w:rsidR="007D4A93" w:rsidRPr="00654E3B" w:rsidRDefault="00EF0BEB">
      <w:pPr>
        <w:pStyle w:val="NormalWeb"/>
        <w:rPr>
          <w:rFonts w:cs="Times New Roman"/>
        </w:rPr>
      </w:pPr>
      <w:r w:rsidRPr="00654E3B">
        <w:rPr>
          <w:rFonts w:cs="Times New Roman"/>
        </w:rPr>
        <w:t xml:space="preserve">Europski zeleni plan </w:t>
      </w:r>
      <w:r w:rsidR="00286AFC" w:rsidRPr="00654E3B">
        <w:rPr>
          <w:rFonts w:cs="Times New Roman"/>
        </w:rPr>
        <w:t xml:space="preserve">(2019.) </w:t>
      </w:r>
      <w:r w:rsidRPr="00654E3B">
        <w:rPr>
          <w:rFonts w:cs="Times New Roman"/>
        </w:rPr>
        <w:t>nova je strategija rasta</w:t>
      </w:r>
      <w:r w:rsidR="003F2247" w:rsidRPr="00654E3B">
        <w:rPr>
          <w:rFonts w:cs="Times New Roman"/>
        </w:rPr>
        <w:t>,</w:t>
      </w:r>
      <w:r w:rsidRPr="00654E3B">
        <w:rPr>
          <w:rFonts w:cs="Times New Roman"/>
        </w:rPr>
        <w:t xml:space="preserve"> kojom se EU nastoji preobraziti u pravedno i prosperitetno društvo s modernim, resursno učinkovitim i konkurentnim gospodarstvom u kojem 2050. neće biti neto emisija stakleničkih plinova i u kojem gospodarski rast nije povezan s upotrebom resursa. Usto, nastoji se zaštititi, očuvati i povećati prirodni kapital EU-a te zaštititi zdravlje i dobrobit građana od rizika povezanih s okolišem i utjecaja okoliša na njih, uz pravednu i uključivu tranziciju.</w:t>
      </w:r>
    </w:p>
    <w:p w:rsidR="007D4A93" w:rsidRPr="00654E3B" w:rsidRDefault="00EF0BEB">
      <w:pPr>
        <w:pStyle w:val="NormalWeb"/>
        <w:rPr>
          <w:rFonts w:eastAsia="Times New Roman" w:cs="Times New Roman"/>
          <w:color w:val="000000"/>
          <w:szCs w:val="24"/>
          <w:lang w:eastAsia="hr-HR"/>
        </w:rPr>
      </w:pPr>
      <w:r w:rsidRPr="00654E3B">
        <w:rPr>
          <w:rFonts w:cs="Times New Roman"/>
        </w:rPr>
        <w:t xml:space="preserve">EK je početkom 2020. godine predstavila Plan ulaganja za održivu Europu kako bi pomogla osigurati potrebna dodatna financijska sredstva. Planom ulaganja za </w:t>
      </w:r>
      <w:r w:rsidR="00286AFC" w:rsidRPr="00654E3B">
        <w:rPr>
          <w:rFonts w:cs="Times New Roman"/>
        </w:rPr>
        <w:t>E</w:t>
      </w:r>
      <w:r w:rsidR="003F2247" w:rsidRPr="00654E3B">
        <w:rPr>
          <w:rFonts w:cs="Times New Roman"/>
        </w:rPr>
        <w:t xml:space="preserve">uropski </w:t>
      </w:r>
      <w:r w:rsidRPr="00654E3B">
        <w:rPr>
          <w:rFonts w:cs="Times New Roman"/>
        </w:rPr>
        <w:t>zeleni plan mobilizirat će se sredstva EU-a i stvoriti okvir za olakšavanje i stimuliranje javnih i privatnih ulaganja</w:t>
      </w:r>
      <w:r w:rsidR="00286AFC" w:rsidRPr="00654E3B">
        <w:rPr>
          <w:rFonts w:cs="Times New Roman"/>
        </w:rPr>
        <w:t>,</w:t>
      </w:r>
      <w:r w:rsidRPr="00654E3B">
        <w:rPr>
          <w:rFonts w:cs="Times New Roman"/>
        </w:rPr>
        <w:t xml:space="preserve"> koja su potrebna </w:t>
      </w:r>
      <w:r w:rsidRPr="00654E3B">
        <w:rPr>
          <w:rFonts w:cs="Times New Roman"/>
        </w:rPr>
        <w:lastRenderedPageBreak/>
        <w:t xml:space="preserve">za tranziciju prema klimatski neutralnom, zelenom, konkurentnom i uključivom </w:t>
      </w:r>
      <w:r w:rsidRPr="00654E3B">
        <w:rPr>
          <w:rFonts w:cs="Times New Roman"/>
          <w:szCs w:val="24"/>
        </w:rPr>
        <w:t xml:space="preserve">gospodarstvu. </w:t>
      </w:r>
      <w:r w:rsidRPr="00654E3B">
        <w:rPr>
          <w:rFonts w:eastAsia="Times New Roman" w:cs="Times New Roman"/>
          <w:color w:val="000000"/>
          <w:szCs w:val="24"/>
          <w:lang w:eastAsia="hr-HR"/>
        </w:rPr>
        <w:t xml:space="preserve">Plan dopunjuje druge inicijative najavljene u okviru </w:t>
      </w:r>
      <w:r w:rsidR="00286AFC" w:rsidRPr="00654E3B">
        <w:rPr>
          <w:rFonts w:eastAsia="Times New Roman" w:cs="Times New Roman"/>
          <w:color w:val="000000"/>
          <w:szCs w:val="24"/>
          <w:lang w:eastAsia="hr-HR"/>
        </w:rPr>
        <w:t>Z</w:t>
      </w:r>
      <w:r w:rsidRPr="00654E3B">
        <w:rPr>
          <w:rFonts w:eastAsia="Times New Roman" w:cs="Times New Roman"/>
          <w:color w:val="000000"/>
          <w:szCs w:val="24"/>
          <w:lang w:eastAsia="hr-HR"/>
        </w:rPr>
        <w:t>elenog plana, a obuhvaća tri dimenzije:</w:t>
      </w:r>
    </w:p>
    <w:p w:rsidR="007D4A93" w:rsidRPr="00654E3B" w:rsidRDefault="00EF0BEB" w:rsidP="000C6795">
      <w:pPr>
        <w:pStyle w:val="NormalWeb"/>
        <w:numPr>
          <w:ilvl w:val="0"/>
          <w:numId w:val="81"/>
        </w:numPr>
        <w:spacing w:after="0"/>
        <w:ind w:left="714" w:hanging="357"/>
        <w:rPr>
          <w:rFonts w:cs="Times New Roman"/>
        </w:rPr>
      </w:pPr>
      <w:r w:rsidRPr="00654E3B">
        <w:rPr>
          <w:rFonts w:cs="Times New Roman"/>
        </w:rPr>
        <w:t>Financiranje: tijekom sljedećeg desetljeća mobilizirat će se održiva ulaganja u vrijednosti od najmanje bilijun eura. Za djelovanja u području okoliša i klime izdvojit će se dosad najveći iznos iz proračuna EU-a, što bi trebalo privući i privatna ulaganja, a glavnu ulogu imat će Europska investicijska banka.</w:t>
      </w:r>
    </w:p>
    <w:p w:rsidR="007D4A93" w:rsidRPr="00654E3B" w:rsidRDefault="00EF0BEB" w:rsidP="000C6795">
      <w:pPr>
        <w:pStyle w:val="NormalWeb"/>
        <w:numPr>
          <w:ilvl w:val="0"/>
          <w:numId w:val="81"/>
        </w:numPr>
        <w:spacing w:after="0"/>
        <w:ind w:left="714" w:hanging="357"/>
        <w:rPr>
          <w:rFonts w:cs="Times New Roman"/>
        </w:rPr>
      </w:pPr>
      <w:r w:rsidRPr="00654E3B">
        <w:rPr>
          <w:rFonts w:cs="Times New Roman"/>
        </w:rPr>
        <w:t>Pogodni uvjeti: davat će se poticaji za privlačenje i preusmjeravanje ulaganja iz javnog i privatnog sektora. EU će pomoći ulagateljima tako što će davati prednost održivom financiranju, a javnim će tijelima olakšati održiva ulaganja poticanjem izrade zelenog proračuna i zelene javne nabave. Osim toga, pojednostavnit će postupke za odobravanje državne potpore za regije u kojima je potrebno osigurati pravednu tranziciju.</w:t>
      </w:r>
    </w:p>
    <w:p w:rsidR="007D4A93" w:rsidRPr="00654E3B" w:rsidRDefault="00EF0BEB" w:rsidP="000C6795">
      <w:pPr>
        <w:pStyle w:val="NormalWeb"/>
        <w:numPr>
          <w:ilvl w:val="0"/>
          <w:numId w:val="81"/>
        </w:numPr>
        <w:rPr>
          <w:rFonts w:cs="Times New Roman"/>
        </w:rPr>
      </w:pPr>
      <w:r w:rsidRPr="00654E3B">
        <w:rPr>
          <w:rFonts w:cs="Times New Roman"/>
        </w:rPr>
        <w:t>Praktična potpora: Komisija će pomoći javnim tijelima i nositeljima projekata u planiranju, osmišljavanju i realizaciji održivih projekata.</w:t>
      </w:r>
    </w:p>
    <w:p w:rsidR="007D4A93" w:rsidRPr="00654E3B" w:rsidRDefault="00EF0BEB">
      <w:pPr>
        <w:pStyle w:val="NormalWeb"/>
        <w:rPr>
          <w:rFonts w:cs="Times New Roman"/>
        </w:rPr>
      </w:pPr>
      <w:r w:rsidRPr="00654E3B">
        <w:rPr>
          <w:rFonts w:cs="Times New Roman"/>
        </w:rPr>
        <w:t>Mehanizam za pravednu tranziciju najvažniji je alat za pravednu tranziciju prema klimatski neutralnom gospodarstvu</w:t>
      </w:r>
      <w:r w:rsidR="003F2247" w:rsidRPr="00654E3B">
        <w:rPr>
          <w:rFonts w:cs="Times New Roman"/>
        </w:rPr>
        <w:t>,</w:t>
      </w:r>
      <w:r w:rsidRPr="00654E3B">
        <w:rPr>
          <w:rFonts w:cs="Times New Roman"/>
        </w:rPr>
        <w:t xml:space="preserve"> pri kojoj nitko neće biti zapostavljen. Iako će svim regijama trebati financijska pomoć, što je i predviđeno planom ulaganja za europski zeleni plan, u okviru mehanizma u razdoblju 2021. – 2027.</w:t>
      </w:r>
      <w:r w:rsidR="003F2247" w:rsidRPr="00654E3B">
        <w:rPr>
          <w:rFonts w:cs="Times New Roman"/>
        </w:rPr>
        <w:t>,</w:t>
      </w:r>
      <w:r w:rsidRPr="00654E3B">
        <w:rPr>
          <w:rFonts w:cs="Times New Roman"/>
        </w:rPr>
        <w:t xml:space="preserve"> mobilizirat će se najmanje 100 milijardi eura u obliku ciljane potpore za ublažavanje socioekonomskih posljedica tranzicije u najpogođenijim regijama. Mehanizmom će se potaknuti potrebna ulaganja kako bi se pomoglo zajednicama koje ovise o industriji fosilnih goriva.</w:t>
      </w:r>
    </w:p>
    <w:p w:rsidR="007D4A93" w:rsidRPr="00654E3B" w:rsidRDefault="00EF0BEB">
      <w:pPr>
        <w:pStyle w:val="NormalWeb"/>
        <w:rPr>
          <w:rFonts w:cs="Times New Roman"/>
        </w:rPr>
      </w:pPr>
      <w:r w:rsidRPr="00654E3B">
        <w:rPr>
          <w:rFonts w:cs="Times New Roman"/>
        </w:rPr>
        <w:t>Mehanizam za pravednu tranziciju obuhvaćat će tri glavna izvora financiranja:</w:t>
      </w:r>
    </w:p>
    <w:p w:rsidR="007D4A93" w:rsidRPr="00654E3B" w:rsidRDefault="00EF0BEB">
      <w:pPr>
        <w:pStyle w:val="NormalWeb"/>
        <w:rPr>
          <w:rFonts w:cs="Times New Roman"/>
        </w:rPr>
      </w:pPr>
      <w:r w:rsidRPr="00654E3B">
        <w:rPr>
          <w:rFonts w:cs="Times New Roman"/>
          <w:b/>
          <w:bCs/>
        </w:rPr>
        <w:t>1. Fond za pravednu tranziciju</w:t>
      </w:r>
      <w:r w:rsidRPr="00654E3B">
        <w:rPr>
          <w:rFonts w:cs="Times New Roman"/>
        </w:rPr>
        <w:t>, za koji će se izdvojiti nova sredstva EU-a u iznosu od 7,5 milijardi eura i koji je jedan od prioriteta iz prijedloga EK za sljedeći dugoročni proračun EU-a. Kako bi mogle povući svoj dio sredstava iz Fonda za pravednu tranziciju, države članice moraju u dijalogu s EK izraditi teritorijalne planove za pravednu tranziciju te u njima utvrditi teritorije kojima je potrebna pomoć. Bespovratna sredstva iz Fonda za pravednu tranziciju prvenstveno su namijenjena regijama. Konkretno, davat će se potpora za razvoj vještina i kompetencija za tržište rada budućnosti te će se pomoći u stvaranju novih gospodarskih prilika u tim regijama. Podupirat će se i ulaganja u prelazak na čistu energiju, primjerice ulaganja u energetsku učinkovitost.</w:t>
      </w:r>
    </w:p>
    <w:p w:rsidR="007D4A93" w:rsidRPr="00654E3B" w:rsidRDefault="00EF0BEB">
      <w:pPr>
        <w:pStyle w:val="NormalWeb"/>
        <w:rPr>
          <w:rFonts w:cs="Times New Roman"/>
        </w:rPr>
      </w:pPr>
      <w:r w:rsidRPr="00654E3B">
        <w:rPr>
          <w:rFonts w:cs="Times New Roman"/>
          <w:b/>
          <w:bCs/>
        </w:rPr>
        <w:t>2. Poseban program za pravednu tranziciju u okviru programa InvestEU</w:t>
      </w:r>
      <w:r w:rsidRPr="00654E3B">
        <w:rPr>
          <w:rFonts w:cs="Times New Roman"/>
        </w:rPr>
        <w:t>, kojim će se mobilizirati ulaganja u vrijednosti do 45 milijardi eura. Cilj je privući ulaganja iz privatnog sektora, uključujući ulaganja u održivu energiju i promet, kako bi se gospodarstvima u tim regijama osigurali novi izvori rasta.</w:t>
      </w:r>
    </w:p>
    <w:p w:rsidR="007D4A93" w:rsidRPr="00654E3B" w:rsidRDefault="00EF0BEB">
      <w:pPr>
        <w:pStyle w:val="NormalWeb"/>
        <w:rPr>
          <w:rFonts w:eastAsia="Times New Roman" w:cs="Times New Roman"/>
          <w:color w:val="000000"/>
          <w:szCs w:val="24"/>
          <w:lang w:eastAsia="hr-HR"/>
        </w:rPr>
      </w:pPr>
      <w:r w:rsidRPr="00654E3B">
        <w:rPr>
          <w:rFonts w:cs="Times New Roman"/>
          <w:b/>
          <w:bCs/>
        </w:rPr>
        <w:t>3. Instrument za kreditiranje u javnom sektoru uz uključivanje Europske investicijske banke koji se podupire iz proračuna EU-a</w:t>
      </w:r>
      <w:r w:rsidRPr="00654E3B">
        <w:rPr>
          <w:rFonts w:cs="Times New Roman"/>
        </w:rPr>
        <w:t xml:space="preserve"> omogućit će mobilizaciju ulaganja u iznosu 25–30 milijardi eura. Tim će se instrumentom osigurati zajmovi za javni sektor, primjerice za ulaganja u mreže centraliziranoga grijanja i obnovu zgrada. </w:t>
      </w:r>
    </w:p>
    <w:p w:rsidR="007D4A93" w:rsidRPr="00654E3B" w:rsidRDefault="00EF0BEB">
      <w:pPr>
        <w:pStyle w:val="NormalWeb"/>
        <w:rPr>
          <w:rFonts w:cs="Times New Roman"/>
        </w:rPr>
      </w:pPr>
      <w:r w:rsidRPr="00654E3B">
        <w:rPr>
          <w:rFonts w:cs="Times New Roman"/>
        </w:rPr>
        <w:t xml:space="preserve">Mehanizam za pravednu tranziciju ne nudi samo financijska sredstva: preko platforme za pravednu tranziciju EK će davati tehničku podršku državama članicama i </w:t>
      </w:r>
      <w:r w:rsidR="00022DD6" w:rsidRPr="00654E3B">
        <w:rPr>
          <w:rFonts w:cs="Times New Roman"/>
        </w:rPr>
        <w:t xml:space="preserve">ulagačima </w:t>
      </w:r>
      <w:r w:rsidRPr="00654E3B">
        <w:rPr>
          <w:rFonts w:cs="Times New Roman"/>
        </w:rPr>
        <w:t>te uključiti relevantne zajednice, lokalna tijela, socijalne partnere i nevladine organizacije. Mehanizam za pravednu tranziciju uključivat će snažan okvir za upravljanje</w:t>
      </w:r>
      <w:r w:rsidR="00022DD6" w:rsidRPr="00654E3B">
        <w:rPr>
          <w:rFonts w:cs="Times New Roman"/>
        </w:rPr>
        <w:t>,</w:t>
      </w:r>
      <w:r w:rsidRPr="00654E3B">
        <w:rPr>
          <w:rFonts w:cs="Times New Roman"/>
        </w:rPr>
        <w:t xml:space="preserve"> koji će se temeljiti na teritorijalnim planovima za pravednu tranziciju.</w:t>
      </w:r>
    </w:p>
    <w:p w:rsidR="007D4A93" w:rsidRPr="00654E3B" w:rsidRDefault="00EF0BEB">
      <w:pPr>
        <w:pStyle w:val="NormalWeb"/>
        <w:rPr>
          <w:rFonts w:cs="Times New Roman"/>
        </w:rPr>
      </w:pPr>
      <w:r w:rsidRPr="00654E3B">
        <w:rPr>
          <w:rFonts w:cs="Times New Roman"/>
        </w:rPr>
        <w:t xml:space="preserve">Republika Hrvatska treba </w:t>
      </w:r>
      <w:r w:rsidR="00615527" w:rsidRPr="00654E3B">
        <w:rPr>
          <w:rFonts w:cs="Times New Roman"/>
        </w:rPr>
        <w:t>jačati</w:t>
      </w:r>
      <w:r w:rsidRPr="00654E3B">
        <w:rPr>
          <w:rFonts w:cs="Times New Roman"/>
        </w:rPr>
        <w:t xml:space="preserve"> kapacitete za implementaciju novih instrumenata financiranja, to uključuje i pravodobno i kvalitetno planiranje i programiranje fondova i programa financiranja, na svim razinama kako bi se raspoloživa sredstva koristila učinkovito i namjenski za realizaciju postavljenih ciljeva. </w:t>
      </w:r>
      <w:r w:rsidR="00E22C18" w:rsidRPr="00654E3B">
        <w:rPr>
          <w:rFonts w:cs="Times New Roman"/>
        </w:rPr>
        <w:t xml:space="preserve">Pored toga </w:t>
      </w:r>
      <w:r w:rsidRPr="00654E3B">
        <w:rPr>
          <w:rFonts w:cs="Times New Roman"/>
        </w:rPr>
        <w:t xml:space="preserve">potrebno </w:t>
      </w:r>
      <w:r w:rsidR="00E22C18" w:rsidRPr="00654E3B">
        <w:rPr>
          <w:rFonts w:cs="Times New Roman"/>
        </w:rPr>
        <w:t xml:space="preserve">je </w:t>
      </w:r>
      <w:r w:rsidRPr="00654E3B">
        <w:rPr>
          <w:rFonts w:cs="Times New Roman"/>
        </w:rPr>
        <w:t xml:space="preserve">osigurati </w:t>
      </w:r>
      <w:r w:rsidR="00E22C18" w:rsidRPr="00654E3B">
        <w:rPr>
          <w:rFonts w:cs="Times New Roman"/>
        </w:rPr>
        <w:t xml:space="preserve">i </w:t>
      </w:r>
      <w:r w:rsidRPr="00654E3B">
        <w:rPr>
          <w:rFonts w:cs="Times New Roman"/>
        </w:rPr>
        <w:t>financiranj</w:t>
      </w:r>
      <w:r w:rsidR="00E22C18" w:rsidRPr="00654E3B">
        <w:rPr>
          <w:rFonts w:cs="Times New Roman"/>
        </w:rPr>
        <w:t>e</w:t>
      </w:r>
      <w:r w:rsidRPr="00654E3B">
        <w:rPr>
          <w:rFonts w:cs="Times New Roman"/>
        </w:rPr>
        <w:t xml:space="preserve"> pripremnih faza projekata temeljem iskustva dobre prakse u svijetu.</w:t>
      </w:r>
    </w:p>
    <w:p w:rsidR="00AB40C9" w:rsidRPr="00654E3B" w:rsidRDefault="00EF0BEB">
      <w:pPr>
        <w:pStyle w:val="NormalWeb"/>
        <w:rPr>
          <w:rFonts w:cs="Times New Roman"/>
        </w:rPr>
      </w:pPr>
      <w:r w:rsidRPr="00654E3B">
        <w:rPr>
          <w:rFonts w:cs="Times New Roman"/>
        </w:rPr>
        <w:lastRenderedPageBreak/>
        <w:t>Ključno će za financiranje u razdoblju do 2030. godine biti u kojoj mjeri će klimatske aktivnosti biti zastupljene u Partnerskom sporazumu Republike Hrvatske i operativnim programima za korištenje EU fondova, za financijsko razdoblje 2021.-2027. godine.</w:t>
      </w:r>
    </w:p>
    <w:p w:rsidR="007D4A93" w:rsidRPr="00654E3B" w:rsidRDefault="00EF0BEB" w:rsidP="009F6651">
      <w:pPr>
        <w:pStyle w:val="Heading3"/>
      </w:pPr>
      <w:bookmarkStart w:id="299" w:name="_Toc69297779"/>
      <w:r w:rsidRPr="00654E3B">
        <w:t xml:space="preserve">7.2.2. </w:t>
      </w:r>
      <w:r w:rsidRPr="00654E3B">
        <w:tab/>
        <w:t>Sredstva vezano za solidarnu pomoć državama vezano za posljedice COVID-19 pandemije</w:t>
      </w:r>
      <w:bookmarkEnd w:id="299"/>
      <w:r w:rsidRPr="00654E3B">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Europa i čitavi svijet sučeljava se sa zdravstvenom krizom koja prerasta u ekonomsku krizu kakve do sada nije bilo. Europska unija odgovara na krizu sa fondom solidarne pomoći za oporavak gospodarstva i očuvanje radnih mjesta. Republika Hrvatska je raspoznata kao osobito ranjiva. Planirana pomoć Europske unije kroz fond solidarnosti za oporavak doseže iznos koji je veličine oko dvadeset posto hrvatskog godišnjeg BDP-a. Podupirati će se ulaganja u zeleno gospodarstvo i digitalizaciju, što će biti dodatni poticaj za tranziciju prema niskougljičnom gospodarstvu. S gledišta emisija stakleničkih plinova, prepoznate su potrebne prioritetne intervencije u prometu, energetski intenzivnoj industriji, zgradarstvu i obnovljivim izvorima energije.</w:t>
      </w:r>
    </w:p>
    <w:p w:rsidR="007D4A93" w:rsidRPr="00D27803" w:rsidRDefault="00EF0BEB" w:rsidP="00286AFC">
      <w:pPr>
        <w:pStyle w:val="Heading1"/>
        <w:ind w:left="705" w:hanging="705"/>
        <w:rPr>
          <w:rFonts w:ascii="Times New Roman" w:hAnsi="Times New Roman" w:cs="Times New Roman"/>
        </w:rPr>
      </w:pPr>
      <w:bookmarkStart w:id="300" w:name="_Toc20841314"/>
      <w:bookmarkStart w:id="301" w:name="_Toc20841420"/>
      <w:bookmarkStart w:id="302" w:name="_Toc69297780"/>
      <w:bookmarkEnd w:id="287"/>
      <w:bookmarkEnd w:id="298"/>
      <w:r w:rsidRPr="00654E3B">
        <w:rPr>
          <w:rFonts w:ascii="Times New Roman" w:hAnsi="Times New Roman" w:cs="Times New Roman"/>
        </w:rPr>
        <w:t xml:space="preserve">8. </w:t>
      </w:r>
      <w:r w:rsidRPr="00654E3B">
        <w:rPr>
          <w:rFonts w:ascii="Times New Roman" w:hAnsi="Times New Roman" w:cs="Times New Roman"/>
        </w:rPr>
        <w:tab/>
        <w:t>UTJECAJ SCENARIJA NA OKOLIŠ, GOSPODARSTVO I DRUŠTVO</w:t>
      </w:r>
      <w:bookmarkEnd w:id="300"/>
      <w:bookmarkEnd w:id="301"/>
      <w:bookmarkEnd w:id="302"/>
    </w:p>
    <w:p w:rsidR="007D4A93" w:rsidRPr="00654E3B" w:rsidRDefault="00EF0BEB">
      <w:pPr>
        <w:pStyle w:val="Heading2"/>
        <w:rPr>
          <w:rFonts w:ascii="Times New Roman" w:hAnsi="Times New Roman" w:cs="Times New Roman"/>
        </w:rPr>
      </w:pPr>
      <w:bookmarkStart w:id="303" w:name="_Toc20841315"/>
      <w:bookmarkStart w:id="304" w:name="_Toc20841421"/>
      <w:bookmarkStart w:id="305" w:name="_Toc69297781"/>
      <w:r w:rsidRPr="00F01191">
        <w:rPr>
          <w:rFonts w:ascii="Times New Roman" w:hAnsi="Times New Roman" w:cs="Times New Roman"/>
        </w:rPr>
        <w:t xml:space="preserve">8.1. </w:t>
      </w:r>
      <w:r w:rsidRPr="00F01191">
        <w:rPr>
          <w:rFonts w:ascii="Times New Roman" w:hAnsi="Times New Roman" w:cs="Times New Roman"/>
        </w:rPr>
        <w:tab/>
        <w:t>UTJECAJ NA OKOLIŠ I PRIRODU</w:t>
      </w:r>
      <w:bookmarkEnd w:id="303"/>
      <w:bookmarkEnd w:id="304"/>
      <w:bookmarkEnd w:id="305"/>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Iako provedba Niskougljične strategije ima pozitivan učinak na smanjenje emisija stakleničkih plinova, neki aspekti niskougljičnog razvoja predstavljaju potencijalnu prijetnju za pojedine sastavnice okoliša i prirodu. Primjeri su: korištenje obnovljivih izvora energije za proizvodnju električne energije i/ili topline i izgradnja kogeneracijskih postrojenja, trajno skladištenje ugljikovog dioksida te aktivnosti koje mogu dovesti do neposredne ili posredne promjene u korištenju i/ili iskorištavanju poljoprivrednog i šumskog zemljišta i prostora u cjelini (smanjenje udjela klinkera u proizvodnji cementa, korištenje alternativnih goriva - biogoriva u prijevozu, uvođenje novih poljoprivrednih </w:t>
      </w:r>
      <w:r w:rsidR="00FD4068" w:rsidRPr="00654E3B">
        <w:rPr>
          <w:rFonts w:cs="Times New Roman"/>
        </w:rPr>
        <w:t>vrsta</w:t>
      </w:r>
      <w:r w:rsidRPr="00654E3B">
        <w:rPr>
          <w:rFonts w:cs="Times New Roman"/>
        </w:rPr>
        <w:t xml:space="preserve">, uključivo i sadnju energetskih usjeva, realizacija hidromelioracijskih zahvata i sustava zaštite od nepogoda te dr.). </w:t>
      </w:r>
    </w:p>
    <w:p w:rsidR="007D4A93" w:rsidRPr="00654E3B" w:rsidRDefault="00EF0BEB">
      <w:pPr>
        <w:rPr>
          <w:rFonts w:cs="Times New Roman"/>
        </w:rPr>
      </w:pPr>
      <w:r w:rsidRPr="00654E3B">
        <w:rPr>
          <w:rFonts w:cs="Times New Roman"/>
        </w:rPr>
        <w:t xml:space="preserve">Sukladno propisima koji uređuju zaštitu okoliša, za Niskougljičnu strategiju provodi se postupak strateške procjene utjecaja na okoliš, u kojem se, između ostaloga, procjenjuju vjerojatno značajni utjecaji na okoliš koji mogu nastati provedbom Niskougljične strategije. Sukladno provedenom postupku prethodne ocjene prihvatljivosti za ekološku mrežu, u okviru strateške procjene provodi se i glavna ocjena prihvatljivosti Niskougljične strategije za ekološku mrežu. Strateška procjena provodi se tijekom izrade nacrta prijedloga Niskougljične strategije, prije utvrđivanja njenog konačnog prijedloga i upućivanja u postupak donošenja, kako bi se osiguralo da se bitni elementi zaštite </w:t>
      </w:r>
      <w:r w:rsidR="00022DD6" w:rsidRPr="00654E3B">
        <w:rPr>
          <w:rFonts w:cs="Times New Roman"/>
        </w:rPr>
        <w:t xml:space="preserve">okoliša </w:t>
      </w:r>
      <w:r w:rsidRPr="00654E3B">
        <w:rPr>
          <w:rFonts w:cs="Times New Roman"/>
        </w:rPr>
        <w:t xml:space="preserve">i prirode uključe u Niskougljičnu strategiju. Mjere zaštite okoliša i mjere ublažavanja utjecaja na ekološku mrežu iz postupka strateške procjene uključene su u Niskougljičnu strategiju i navedene su </w:t>
      </w:r>
      <w:r w:rsidR="00022DD6" w:rsidRPr="00654E3B">
        <w:rPr>
          <w:rFonts w:cs="Times New Roman"/>
        </w:rPr>
        <w:t xml:space="preserve">u </w:t>
      </w:r>
      <w:r w:rsidRPr="00654E3B">
        <w:rPr>
          <w:rFonts w:cs="Times New Roman"/>
        </w:rPr>
        <w:t>Poglavlju 14.4.</w:t>
      </w:r>
    </w:p>
    <w:p w:rsidR="00225860" w:rsidRPr="00654E3B" w:rsidRDefault="00EF0BEB">
      <w:pPr>
        <w:rPr>
          <w:rFonts w:cs="Times New Roman"/>
        </w:rPr>
      </w:pPr>
      <w:r w:rsidRPr="00654E3B">
        <w:rPr>
          <w:rFonts w:cs="Times New Roman"/>
        </w:rPr>
        <w:t>Vezano uz konkretne projekte – zahvate, planove i programe koji će proizaći provedbom Niskougljične strategije, propisima s područja zaštite okoliša i prirode određeno je u kojim slučajevima se provode postupci u kojima se razmatraju pitanja zaštite okoliša i prirode, na osnovu detaljnijih podataka o zahvatima, planovima i programima i značajkama lokacija na kojima se oni planiraju. Osim tih postupaka, zaštita okoliša i prirode provodi se i kroz uvjete niza drugih propisa kao što su primjerice propisi koji uređuju prostorno planiranje, gradnju, zaštitu poljoprivrednog zemljišta, zaštitu kulturnih dobara i dr. Dakle, utjecaji na okoliš i prirodu koji proizlaze iz provedbe Niskougljične strategije neće se samo jednokratno razmatrati u strateškoj procjeni utjecaja na okoliš, već će se isto razmatrati i provoditi i dalje, kroz niz postupaka i obveza koji proizlaze iz propisa koji uređuju zaštitu okoliša i prirode te druga područja.</w:t>
      </w:r>
    </w:p>
    <w:p w:rsidR="007D4A93" w:rsidRPr="00654E3B" w:rsidRDefault="00EF0BEB">
      <w:pPr>
        <w:pStyle w:val="Heading2"/>
        <w:rPr>
          <w:rFonts w:ascii="Times New Roman" w:hAnsi="Times New Roman" w:cs="Times New Roman"/>
        </w:rPr>
      </w:pPr>
      <w:bookmarkStart w:id="306" w:name="_Toc20841316"/>
      <w:bookmarkStart w:id="307" w:name="_Toc20841422"/>
      <w:bookmarkStart w:id="308" w:name="_Toc69297782"/>
      <w:r w:rsidRPr="00654E3B">
        <w:rPr>
          <w:rFonts w:ascii="Times New Roman" w:hAnsi="Times New Roman" w:cs="Times New Roman"/>
        </w:rPr>
        <w:lastRenderedPageBreak/>
        <w:t>8.2.</w:t>
      </w:r>
      <w:r w:rsidRPr="00654E3B">
        <w:rPr>
          <w:rFonts w:ascii="Times New Roman" w:hAnsi="Times New Roman" w:cs="Times New Roman"/>
        </w:rPr>
        <w:tab/>
        <w:t>UTJECAJ NA GOSPODARSTVO</w:t>
      </w:r>
      <w:bookmarkEnd w:id="306"/>
      <w:bookmarkEnd w:id="307"/>
      <w:bookmarkEnd w:id="308"/>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Utjecaj na gospodarstvo očituje se kroz složene strukturne promjene. S pozitivne strane, rastu ekonomska aktivnost, zaposlenost i inovacije u sektorima koji proizvode čistu energiju, ulažu u energetsku učinkovitost, kao i u dijelovima gospodarstva koji će aktivno sudjelovati u održivom gospodarenju otpadom i kružnom gospodarstvu. S time su povezane i značajne dugoročne investicije koje imaju i multiplikativne učinke. S negativne strane, dolazi do određenog rasta troškova energije i s time povezanog pada gospodarske aktivnosti te postupno dolazi do manje zaposlenosti u sektorima i aktivnostima koji koriste tradicionalne tehnologije zasnovane na fosilnim gorivima. </w:t>
      </w:r>
    </w:p>
    <w:p w:rsidR="007D4A93" w:rsidRPr="00654E3B" w:rsidRDefault="00EF0BEB">
      <w:pPr>
        <w:rPr>
          <w:rFonts w:cs="Times New Roman"/>
        </w:rPr>
      </w:pPr>
      <w:r w:rsidRPr="00654E3B">
        <w:rPr>
          <w:rFonts w:cs="Times New Roman"/>
        </w:rPr>
        <w:t>Važno je uzeti u obzir da Republika Hrvatska ostvaruje značajna financijska sredstva od europskih strukturnih i investicijskih fondova te mehanizama u okviru ETS-a. Općenito, prihodi koje može ostvariti Republika Hrvatska iz EU fondova nadmašuju davanja za proračun EU. Svi ovi prihodi pomažu gospodarskom rastu bez potrebe za rastom zaduženosti, a sredstva se ulažu u održive projekte koji vraćaju uložene investicije. Dodatna sredstva koja će biti raspoloživa u oporavak gospodarstva i održavanje radnih mjesta zbog COVID-a, biti će raspoređena ovisno o ranjivosti sektora. Promicati će se zeleni poslovi i digitalizacija.</w:t>
      </w:r>
    </w:p>
    <w:p w:rsidR="007D4A93" w:rsidRPr="00654E3B" w:rsidRDefault="00EF0BEB">
      <w:pPr>
        <w:rPr>
          <w:rFonts w:cs="Times New Roman"/>
          <w:u w:val="single"/>
        </w:rPr>
      </w:pPr>
      <w:r w:rsidRPr="00654E3B">
        <w:rPr>
          <w:rFonts w:cs="Times New Roman"/>
          <w:u w:val="single"/>
        </w:rPr>
        <w:t>Energetskom tranzicijom težište troškova prelazi s troškova za gorivo na investicije</w:t>
      </w:r>
    </w:p>
    <w:p w:rsidR="007D4A93" w:rsidRPr="00654E3B" w:rsidRDefault="00EF0BEB">
      <w:pPr>
        <w:rPr>
          <w:rFonts w:cs="Times New Roman"/>
        </w:rPr>
      </w:pPr>
      <w:r w:rsidRPr="00654E3B">
        <w:rPr>
          <w:rFonts w:cs="Times New Roman"/>
        </w:rPr>
        <w:t>Niskougljičnim razvojem u energetskom sustavu težište troškova se premješta s troškova za nabavu goriva na investicijske troškove. Bit će potrebne kontinuirane investicije kako bi se u dužem roku ostvario troškovno učinkovit niskougljični razvoj. Investicije se prvenstveno moraju pokrenuti u sektorima neposredne potrošnje energije – kućanstvima, uslugama, prometu i industriji. S obzirom na razvoj konkurentnosti obnovljivih izvora energije te utjecaj mjera u neposrednoj potrošnji na manju potražnju za energijom, troškovi u sektoru energetskih transformacija mogu biti i manji nego u NUR scenariju</w:t>
      </w:r>
      <w:r w:rsidR="00BE5597" w:rsidRPr="00654E3B">
        <w:rPr>
          <w:rFonts w:cs="Times New Roman"/>
        </w:rPr>
        <w:t>,</w:t>
      </w:r>
      <w:r w:rsidRPr="00654E3B">
        <w:rPr>
          <w:rFonts w:cs="Times New Roman"/>
        </w:rPr>
        <w:t xml:space="preserve"> jer dolazi do ušteda u sektoru nafte i plina (značajnije nakon 2030.) te manje potrošnje električne energije. Troškovi mogu biti i značajno veći u slučaju snažne elektrifikacije u sektoru prometa i veće potrošnje električne energije.</w:t>
      </w:r>
    </w:p>
    <w:p w:rsidR="007D4A93" w:rsidRPr="00654E3B" w:rsidRDefault="00EF0BEB">
      <w:pPr>
        <w:rPr>
          <w:rFonts w:cs="Times New Roman"/>
          <w:u w:val="single"/>
        </w:rPr>
      </w:pPr>
      <w:r w:rsidRPr="00654E3B">
        <w:rPr>
          <w:rFonts w:cs="Times New Roman"/>
          <w:u w:val="single"/>
        </w:rPr>
        <w:t>Rast jediničnih troškova energije te smanjenje potrošnje energije</w:t>
      </w:r>
    </w:p>
    <w:p w:rsidR="007D4A93" w:rsidRPr="00654E3B" w:rsidRDefault="00EF0BEB">
      <w:pPr>
        <w:rPr>
          <w:rFonts w:cs="Times New Roman"/>
        </w:rPr>
      </w:pPr>
      <w:r w:rsidRPr="00654E3B">
        <w:rPr>
          <w:rFonts w:cs="Times New Roman"/>
        </w:rPr>
        <w:t xml:space="preserve">Rast cijena energije </w:t>
      </w:r>
      <w:r w:rsidR="007857C2" w:rsidRPr="00654E3B">
        <w:rPr>
          <w:rFonts w:cs="Times New Roman"/>
        </w:rPr>
        <w:t xml:space="preserve">iz </w:t>
      </w:r>
      <w:r w:rsidRPr="00654E3B">
        <w:rPr>
          <w:rFonts w:cs="Times New Roman"/>
        </w:rPr>
        <w:t>fosilnih goriva</w:t>
      </w:r>
      <w:r w:rsidR="00BE5597" w:rsidRPr="00654E3B">
        <w:rPr>
          <w:rFonts w:cs="Times New Roman"/>
        </w:rPr>
        <w:t>,</w:t>
      </w:r>
      <w:r w:rsidRPr="00654E3B">
        <w:rPr>
          <w:rFonts w:cs="Times New Roman"/>
        </w:rPr>
        <w:t xml:space="preserve"> u pravilu negativno utječe na gospodarstvo ovisno o uvozu, no potiče primjenu mjera energetske učinkovitosti i korištenja OIE te se energetskom tranzicijom smanjuje osjetljivost gospodarstva na uvozne cijene fosilnog goriva.</w:t>
      </w:r>
    </w:p>
    <w:p w:rsidR="007D4A93" w:rsidRPr="00654E3B" w:rsidRDefault="00EF0BEB">
      <w:pPr>
        <w:rPr>
          <w:rFonts w:cs="Times New Roman"/>
        </w:rPr>
      </w:pPr>
      <w:r w:rsidRPr="00654E3B">
        <w:rPr>
          <w:rFonts w:cs="Times New Roman"/>
        </w:rPr>
        <w:t xml:space="preserve">Rast cijena energije za krajnje kupce ima negativan utjecaj na osobnu potrošnju građana, ali će dodatno potaknuti mjere energetske učinkovitosti i razvoj malih integriranih fotonaponskih sustava za vlastitu potrošnju. </w:t>
      </w:r>
    </w:p>
    <w:p w:rsidR="007D4A93" w:rsidRPr="00654E3B" w:rsidRDefault="00EF0BEB">
      <w:pPr>
        <w:rPr>
          <w:rFonts w:cs="Times New Roman"/>
        </w:rPr>
      </w:pPr>
      <w:r w:rsidRPr="00654E3B">
        <w:rPr>
          <w:rFonts w:cs="Times New Roman"/>
        </w:rPr>
        <w:t xml:space="preserve">Potrebno je identificirati energetski intenzivnu industriju osjetljivu na rast cijena energije i ugrožene kupce energije (energetsko siromaštvo) te razraditi programe za smanjivanje tereta i jačanje otpornosti za industriju i za ugrožene kupce. Težište mjera treba biti na primjeni mjera energetske učinkovitosti i OIE za vlastitu potrošnju, kako bi se smanjila osjetljivost </w:t>
      </w:r>
      <w:r w:rsidR="007857C2" w:rsidRPr="00654E3B">
        <w:rPr>
          <w:rFonts w:cs="Times New Roman"/>
        </w:rPr>
        <w:t xml:space="preserve">na rast tržišnih </w:t>
      </w:r>
      <w:r w:rsidRPr="00654E3B">
        <w:rPr>
          <w:rFonts w:cs="Times New Roman"/>
        </w:rPr>
        <w:t>cijena.</w:t>
      </w:r>
    </w:p>
    <w:p w:rsidR="007D4A93" w:rsidRPr="00654E3B" w:rsidRDefault="00EF0BEB">
      <w:pPr>
        <w:rPr>
          <w:rFonts w:cs="Times New Roman"/>
          <w:u w:val="single"/>
        </w:rPr>
      </w:pPr>
      <w:r w:rsidRPr="00654E3B">
        <w:rPr>
          <w:rFonts w:cs="Times New Roman"/>
          <w:u w:val="single"/>
        </w:rPr>
        <w:t>Održivim gospodarenjem otpadom i kružnim gospodarstvom dolazi se do ušteda sirovina</w:t>
      </w:r>
    </w:p>
    <w:p w:rsidR="007D4A93" w:rsidRPr="00654E3B" w:rsidRDefault="00EF0BEB">
      <w:pPr>
        <w:rPr>
          <w:rFonts w:cs="Times New Roman"/>
        </w:rPr>
      </w:pPr>
      <w:r w:rsidRPr="00654E3B">
        <w:rPr>
          <w:rFonts w:cs="Times New Roman"/>
        </w:rPr>
        <w:t>Prema dosadašnjoj praksi gospodarenja otpadom, preko 72</w:t>
      </w:r>
      <w:r w:rsidR="00060992" w:rsidRPr="00654E3B">
        <w:rPr>
          <w:rFonts w:cs="Times New Roman"/>
        </w:rPr>
        <w:t xml:space="preserve"> %</w:t>
      </w:r>
      <w:r w:rsidRPr="00654E3B">
        <w:rPr>
          <w:rFonts w:cs="Times New Roman"/>
        </w:rPr>
        <w:t xml:space="preserve"> otpada se odlagalo na odlagališta. Postoje procjene da se time u samo deset godina bacilo sirovine poput stakla, papira, plastike i metala vrijednih preko 5 mlrd. kuna.</w:t>
      </w:r>
    </w:p>
    <w:p w:rsidR="007D4A93" w:rsidRPr="00654E3B" w:rsidRDefault="00EF0BEB">
      <w:pPr>
        <w:rPr>
          <w:rFonts w:cs="Times New Roman"/>
          <w:szCs w:val="24"/>
        </w:rPr>
      </w:pPr>
      <w:r w:rsidRPr="00654E3B">
        <w:rPr>
          <w:rFonts w:cs="Times New Roman"/>
          <w:szCs w:val="24"/>
        </w:rPr>
        <w:t>Reciklabilni otpad i biootpad sakupljaju se odvojeno na mjestu nastanka u svrhu oporabe odnosno recikliranja istih te se prevoze do građevina za gospodarenje otpadom</w:t>
      </w:r>
      <w:r w:rsidR="008E3717" w:rsidRPr="00654E3B">
        <w:rPr>
          <w:rFonts w:cs="Times New Roman"/>
          <w:szCs w:val="24"/>
        </w:rPr>
        <w:t>,</w:t>
      </w:r>
      <w:r w:rsidRPr="00654E3B">
        <w:rPr>
          <w:rFonts w:cs="Times New Roman"/>
          <w:szCs w:val="24"/>
        </w:rPr>
        <w:t xml:space="preserve"> u kojima se obrađuju različitim postupcima oporabe s ciljem proizvodnje sirovina, alternativnog goriva i/ili proizvoda.</w:t>
      </w:r>
    </w:p>
    <w:p w:rsidR="007D4A93" w:rsidRPr="00654E3B" w:rsidRDefault="00EF0BEB">
      <w:pPr>
        <w:rPr>
          <w:rFonts w:cs="Times New Roman"/>
        </w:rPr>
      </w:pPr>
      <w:r w:rsidRPr="00654E3B">
        <w:rPr>
          <w:rFonts w:cs="Times New Roman"/>
        </w:rPr>
        <w:lastRenderedPageBreak/>
        <w:t>Gospodarenje proizvodnim otpadom, u skladu sa zakonodavstvom Republike Hrvatske i EU-a te u skladu s načelima kružnog gospodarstva i biogospodarstva, otvara brojne mogućnosti energetske (ali i materijalne) oporabe otpada za industrijski sektor</w:t>
      </w:r>
      <w:r w:rsidR="008E3717" w:rsidRPr="00654E3B">
        <w:rPr>
          <w:rFonts w:cs="Times New Roman"/>
        </w:rPr>
        <w:t>,</w:t>
      </w:r>
      <w:r w:rsidRPr="00654E3B">
        <w:rPr>
          <w:rFonts w:cs="Times New Roman"/>
        </w:rPr>
        <w:t xml:space="preserve"> koji može koristiti vlastiti otpad kao izvor energije (sirovine) za svoje proizvodne procese.</w:t>
      </w:r>
    </w:p>
    <w:p w:rsidR="007D4A93" w:rsidRPr="00654E3B" w:rsidRDefault="00EF0BEB">
      <w:pPr>
        <w:rPr>
          <w:rFonts w:cs="Times New Roman"/>
        </w:rPr>
      </w:pPr>
      <w:r w:rsidRPr="00654E3B">
        <w:rPr>
          <w:rFonts w:cs="Times New Roman"/>
        </w:rPr>
        <w:t xml:space="preserve">Kružno gospodarenje prostorom i zgradama, prema kojemu postojeći prostori i zgrade predstavljaju bitne resurse, omogućava zadržavanje njihove vrijednosti jer se prostor i zgrade učinkovito i neprekidno koriste, optimizira se odnos primarnih i sekundarnih resursa, radikalno se smanjuje količina otpada, racionalizira se potrošnja energije i uporaba materijala, sprječava stvaranja otpada, reciklira i </w:t>
      </w:r>
      <w:r w:rsidR="008E3717" w:rsidRPr="00654E3B">
        <w:rPr>
          <w:rFonts w:cs="Times New Roman"/>
        </w:rPr>
        <w:t xml:space="preserve">smanjuje količina </w:t>
      </w:r>
      <w:r w:rsidRPr="00654E3B">
        <w:rPr>
          <w:rFonts w:cs="Times New Roman"/>
        </w:rPr>
        <w:t>opasnih kemikalija, te se razvijaju novi materijali i tehnologije. Posljedično se očekuje</w:t>
      </w:r>
      <w:r w:rsidR="008E3717" w:rsidRPr="00654E3B">
        <w:rPr>
          <w:rFonts w:cs="Times New Roman"/>
        </w:rPr>
        <w:t>,</w:t>
      </w:r>
      <w:r w:rsidRPr="00654E3B">
        <w:rPr>
          <w:rFonts w:cs="Times New Roman"/>
        </w:rPr>
        <w:t xml:space="preserve"> da će mjere osigurati gospodarsku stabilnost temeljem neovisnosti od </w:t>
      </w:r>
      <w:r w:rsidR="008E3717" w:rsidRPr="00654E3B">
        <w:rPr>
          <w:rFonts w:cs="Times New Roman"/>
        </w:rPr>
        <w:t xml:space="preserve">primarnih </w:t>
      </w:r>
      <w:r w:rsidRPr="00654E3B">
        <w:rPr>
          <w:rFonts w:cs="Times New Roman"/>
        </w:rPr>
        <w:t>sirovina, ekonomski rast temeljem veće vrijednosti materijala i povećanje stope zaposlenosti.</w:t>
      </w:r>
    </w:p>
    <w:p w:rsidR="007D4A93" w:rsidRPr="00654E3B" w:rsidRDefault="00EF0BEB">
      <w:pPr>
        <w:rPr>
          <w:rFonts w:cs="Times New Roman"/>
          <w:u w:val="single"/>
        </w:rPr>
      </w:pPr>
      <w:r w:rsidRPr="00654E3B">
        <w:rPr>
          <w:rFonts w:cs="Times New Roman"/>
          <w:u w:val="single"/>
        </w:rPr>
        <w:t>Prilike za inovacije i razvoj industrije</w:t>
      </w:r>
    </w:p>
    <w:p w:rsidR="007D4A93" w:rsidRPr="00654E3B" w:rsidRDefault="00EF0BEB">
      <w:pPr>
        <w:rPr>
          <w:rFonts w:cs="Times New Roman"/>
        </w:rPr>
      </w:pPr>
      <w:r w:rsidRPr="00654E3B">
        <w:rPr>
          <w:rFonts w:cs="Times New Roman"/>
        </w:rPr>
        <w:t xml:space="preserve">Niskougljičnim razvojem otvaraju se nove tržišne niše. Uključivanje domaće industrije u nova razvojna područja je prilika za razvoj inovacija, konkurentnosti i industrijski razvoj koji može biti snažan generator rasta BDP-a i zaposlenosti. </w:t>
      </w:r>
    </w:p>
    <w:p w:rsidR="007D4A93" w:rsidRPr="00654E3B" w:rsidRDefault="00EF0BEB">
      <w:pPr>
        <w:rPr>
          <w:rFonts w:cs="Times New Roman"/>
        </w:rPr>
      </w:pPr>
      <w:r w:rsidRPr="00654E3B">
        <w:rPr>
          <w:rFonts w:cs="Times New Roman"/>
        </w:rPr>
        <w:t xml:space="preserve">Nove politike niskougljičnog, energetskog i industrijskog razvoja, pametne specijalizacije kao i sve ostale, treba uskladiti kako bi hrvatska poduzeća ostvarila konkurentnost potrebnu za proizvodnju opreme i uređaja te pružanje usluga vezanih uz niskougljični razvoj na našem i međunarodnom tržištu. Potrebno je usmjeriti ulaganja u proizvodnju opreme i uređaja za kemijsko recikliranje otpada, </w:t>
      </w:r>
      <w:r w:rsidR="008E3717" w:rsidRPr="00654E3B">
        <w:rPr>
          <w:rFonts w:cs="Times New Roman"/>
        </w:rPr>
        <w:t xml:space="preserve">te </w:t>
      </w:r>
      <w:r w:rsidRPr="00654E3B">
        <w:rPr>
          <w:rFonts w:cs="Times New Roman"/>
        </w:rPr>
        <w:t>proizvodnju i preradu goriva iz otpada.</w:t>
      </w:r>
    </w:p>
    <w:p w:rsidR="007D4A93" w:rsidRPr="00654E3B" w:rsidRDefault="00EF0BEB">
      <w:pPr>
        <w:rPr>
          <w:rFonts w:cs="Times New Roman"/>
          <w:u w:val="single"/>
        </w:rPr>
      </w:pPr>
      <w:r w:rsidRPr="00654E3B">
        <w:rPr>
          <w:rFonts w:cs="Times New Roman"/>
          <w:u w:val="single"/>
        </w:rPr>
        <w:t xml:space="preserve">Utjecaj ciljeva ETS-a </w:t>
      </w:r>
    </w:p>
    <w:p w:rsidR="007D4A93" w:rsidRPr="00654E3B" w:rsidRDefault="00EF0BEB">
      <w:pPr>
        <w:rPr>
          <w:rFonts w:cs="Times New Roman"/>
        </w:rPr>
      </w:pPr>
      <w:r w:rsidRPr="00654E3B">
        <w:rPr>
          <w:rFonts w:cs="Times New Roman"/>
        </w:rPr>
        <w:t xml:space="preserve">Mehanizam održavanja stabilnosti tržišta (eng. </w:t>
      </w:r>
      <w:r w:rsidRPr="00654E3B">
        <w:rPr>
          <w:rFonts w:cs="Times New Roman"/>
          <w:i/>
        </w:rPr>
        <w:t>Market Stability Reserve – MSR</w:t>
      </w:r>
      <w:r w:rsidRPr="00654E3B">
        <w:rPr>
          <w:rFonts w:cs="Times New Roman"/>
        </w:rPr>
        <w:t>) koji uvodi EU</w:t>
      </w:r>
      <w:r w:rsidR="008E3717" w:rsidRPr="00654E3B">
        <w:rPr>
          <w:rFonts w:cs="Times New Roman"/>
        </w:rPr>
        <w:t>,</w:t>
      </w:r>
      <w:r w:rsidRPr="00654E3B">
        <w:rPr>
          <w:rFonts w:cs="Times New Roman"/>
        </w:rPr>
        <w:t xml:space="preserve"> doprinosi predvidivosti cijena emisijskih jedinica, što će ubrzati primjenu mjera za smanjenje emisija stakleničkih plinova. Troškovi za emisijske jedinice u razdoblju od 2020. do 2030. godine utjecati će na konkurentnost hrvatskih operatera, a mogli bi doseći 0,5</w:t>
      </w:r>
      <w:r w:rsidR="00060992" w:rsidRPr="00654E3B">
        <w:rPr>
          <w:rFonts w:cs="Times New Roman"/>
        </w:rPr>
        <w:t xml:space="preserve"> %</w:t>
      </w:r>
      <w:r w:rsidRPr="00654E3B">
        <w:rPr>
          <w:rFonts w:cs="Times New Roman"/>
        </w:rPr>
        <w:t xml:space="preserve"> BDP-a u 2030. godini, ako cijena jedinica bude viša od 30 EUR/tCO</w:t>
      </w:r>
      <w:r w:rsidRPr="00654E3B">
        <w:rPr>
          <w:rFonts w:cs="Times New Roman"/>
          <w:vertAlign w:val="subscript"/>
        </w:rPr>
        <w:t>2</w:t>
      </w:r>
      <w:r w:rsidRPr="00654E3B">
        <w:rPr>
          <w:rFonts w:cs="Times New Roman"/>
        </w:rPr>
        <w:t>e. Industrija u ETS-u može primijeniti niz troškovno učinkovitih mjera, što će biti isplativije od kupovanja emisijskih jedinica, budući većina mjera ima troškove manje od 30 EUR/tCO</w:t>
      </w:r>
      <w:r w:rsidRPr="00654E3B">
        <w:rPr>
          <w:rFonts w:cs="Times New Roman"/>
          <w:vertAlign w:val="subscript"/>
        </w:rPr>
        <w:t>2</w:t>
      </w:r>
      <w:r w:rsidRPr="00654E3B">
        <w:rPr>
          <w:rFonts w:cs="Times New Roman"/>
        </w:rPr>
        <w:t>e.</w:t>
      </w:r>
    </w:p>
    <w:p w:rsidR="00286AFC" w:rsidRPr="00654E3B" w:rsidRDefault="00EF0BEB">
      <w:pPr>
        <w:rPr>
          <w:rFonts w:cs="Times New Roman"/>
        </w:rPr>
      </w:pPr>
      <w:r w:rsidRPr="00654E3B">
        <w:rPr>
          <w:rFonts w:cs="Times New Roman"/>
        </w:rPr>
        <w:t xml:space="preserve">Potrebno je što prije započeti s primjenom mjera, modernizacijom postrojenja, snižavanjem ukupne energetske potrošnje i primjenom obnovljivih izvora energije. Postojeći poticaji i mehanizmi poticanja nisu dostatni. Potpore industriji su ograničene pravilima o dodjeljivanju državnih potpora. Potrebno je formirati programe poticanja za smanjenje emisije koji će potaknuti i mobilizirati industriju na poduzimanje mjera te pripremiti sheme financiranja za korištenje sredstava iz </w:t>
      </w:r>
      <w:r w:rsidR="00AD2DF6" w:rsidRPr="00654E3B">
        <w:rPr>
          <w:rFonts w:cs="Times New Roman"/>
        </w:rPr>
        <w:t>M</w:t>
      </w:r>
      <w:r w:rsidRPr="00654E3B">
        <w:rPr>
          <w:rFonts w:cs="Times New Roman"/>
        </w:rPr>
        <w:t>odernizacij</w:t>
      </w:r>
      <w:r w:rsidR="00AD2DF6" w:rsidRPr="00654E3B">
        <w:rPr>
          <w:rFonts w:cs="Times New Roman"/>
        </w:rPr>
        <w:t>skog fonda</w:t>
      </w:r>
      <w:r w:rsidRPr="00654E3B">
        <w:rPr>
          <w:rFonts w:cs="Times New Roman"/>
        </w:rPr>
        <w:t xml:space="preserve"> (dio </w:t>
      </w:r>
      <w:r w:rsidR="00AD2DF6" w:rsidRPr="00654E3B">
        <w:rPr>
          <w:rFonts w:cs="Times New Roman"/>
        </w:rPr>
        <w:t>preusmjeren</w:t>
      </w:r>
      <w:r w:rsidRPr="00654E3B">
        <w:rPr>
          <w:rFonts w:cs="Times New Roman"/>
        </w:rPr>
        <w:t xml:space="preserve"> iz dražbovnih prava ETS-a).</w:t>
      </w:r>
    </w:p>
    <w:p w:rsidR="007D4A93" w:rsidRPr="00654E3B" w:rsidRDefault="00EF0BEB">
      <w:pPr>
        <w:pStyle w:val="Heading2"/>
        <w:rPr>
          <w:rFonts w:ascii="Times New Roman" w:hAnsi="Times New Roman" w:cs="Times New Roman"/>
        </w:rPr>
      </w:pPr>
      <w:bookmarkStart w:id="309" w:name="_Toc20841317"/>
      <w:bookmarkStart w:id="310" w:name="_Toc20841423"/>
      <w:bookmarkStart w:id="311" w:name="_Toc69297783"/>
      <w:r w:rsidRPr="00654E3B">
        <w:rPr>
          <w:rFonts w:ascii="Times New Roman" w:hAnsi="Times New Roman" w:cs="Times New Roman"/>
        </w:rPr>
        <w:t>8.3.</w:t>
      </w:r>
      <w:r w:rsidRPr="00654E3B">
        <w:rPr>
          <w:rFonts w:ascii="Times New Roman" w:hAnsi="Times New Roman" w:cs="Times New Roman"/>
        </w:rPr>
        <w:tab/>
        <w:t>UTJECAJ NA DRUŠTVO</w:t>
      </w:r>
      <w:bookmarkEnd w:id="309"/>
      <w:bookmarkEnd w:id="310"/>
      <w:bookmarkEnd w:id="311"/>
    </w:p>
    <w:p w:rsidR="007D4A93" w:rsidRPr="00654E3B" w:rsidRDefault="007D4A93">
      <w:pPr>
        <w:rPr>
          <w:rFonts w:cs="Times New Roman"/>
        </w:rPr>
      </w:pPr>
    </w:p>
    <w:p w:rsidR="00286AFC" w:rsidRPr="00654E3B" w:rsidRDefault="00EF0BEB">
      <w:pPr>
        <w:rPr>
          <w:rFonts w:cs="Times New Roman"/>
        </w:rPr>
      </w:pPr>
      <w:r w:rsidRPr="00654E3B">
        <w:rPr>
          <w:rFonts w:cs="Times New Roman"/>
        </w:rPr>
        <w:t>Sociološki utjecaj se primarno odnosi na zapošljavanje, pozitivni utjecaj javnih prihoda koji se ostvaruju naknadama na emisije CO</w:t>
      </w:r>
      <w:r w:rsidRPr="00654E3B">
        <w:rPr>
          <w:rFonts w:cs="Times New Roman"/>
          <w:vertAlign w:val="subscript"/>
        </w:rPr>
        <w:t>2</w:t>
      </w:r>
      <w:r w:rsidR="00F61577" w:rsidRPr="00654E3B">
        <w:rPr>
          <w:rFonts w:cs="Times New Roman"/>
        </w:rPr>
        <w:t>.</w:t>
      </w:r>
      <w:r w:rsidRPr="00654E3B">
        <w:rPr>
          <w:rFonts w:cs="Times New Roman"/>
        </w:rPr>
        <w:t xml:space="preserve"> Koristi po društvo su</w:t>
      </w:r>
      <w:r w:rsidR="008E3717" w:rsidRPr="00654E3B">
        <w:rPr>
          <w:rFonts w:cs="Times New Roman"/>
        </w:rPr>
        <w:t xml:space="preserve"> </w:t>
      </w:r>
      <w:r w:rsidRPr="00654E3B">
        <w:rPr>
          <w:rFonts w:cs="Times New Roman"/>
        </w:rPr>
        <w:t>izbjegnuti štetni učinci na zdravlje zbog smanjene emisije SO</w:t>
      </w:r>
      <w:r w:rsidRPr="00654E3B">
        <w:rPr>
          <w:rFonts w:cs="Times New Roman"/>
          <w:vertAlign w:val="subscript"/>
        </w:rPr>
        <w:t>2</w:t>
      </w:r>
      <w:r w:rsidRPr="00654E3B">
        <w:rPr>
          <w:rFonts w:cs="Times New Roman"/>
        </w:rPr>
        <w:t xml:space="preserve">, NOx i čestica. </w:t>
      </w:r>
    </w:p>
    <w:p w:rsidR="007D4A93" w:rsidRPr="00654E3B" w:rsidRDefault="00EF0BEB">
      <w:pPr>
        <w:rPr>
          <w:rFonts w:cs="Times New Roman"/>
          <w:u w:val="single"/>
        </w:rPr>
      </w:pPr>
      <w:r w:rsidRPr="00654E3B">
        <w:rPr>
          <w:rFonts w:cs="Times New Roman"/>
          <w:u w:val="single"/>
        </w:rPr>
        <w:t>Radna mjesta</w:t>
      </w:r>
    </w:p>
    <w:p w:rsidR="007D4A93" w:rsidRPr="00654E3B" w:rsidRDefault="00EF0BEB">
      <w:pPr>
        <w:rPr>
          <w:rFonts w:cs="Times New Roman"/>
        </w:rPr>
      </w:pPr>
      <w:r w:rsidRPr="00654E3B">
        <w:rPr>
          <w:rFonts w:cs="Times New Roman"/>
        </w:rPr>
        <w:t>Primjenom niskougljičnih tehnologija otvaraju se tzv. 'zelena' radna mjesta. To su nova i postojeća radna mjesta koja će se preorijentirati na 'zelene' poslove. Određeni postojeći kapaciteti (iz primjerice, građevinskih i montažerskih radova)</w:t>
      </w:r>
      <w:r w:rsidR="00FC5E82" w:rsidRPr="00654E3B">
        <w:rPr>
          <w:rFonts w:cs="Times New Roman"/>
        </w:rPr>
        <w:t>,</w:t>
      </w:r>
      <w:r w:rsidRPr="00654E3B">
        <w:rPr>
          <w:rFonts w:cs="Times New Roman"/>
        </w:rPr>
        <w:t xml:space="preserve"> mogu se relativno lako preorijentirati na zelene poslove, dok će u nekim područjima biti potrebna nova znanja i specijalizacije.  </w:t>
      </w:r>
    </w:p>
    <w:p w:rsidR="007D4A93" w:rsidRPr="00654E3B" w:rsidRDefault="00EF0BEB">
      <w:pPr>
        <w:rPr>
          <w:rFonts w:cs="Times New Roman"/>
          <w:szCs w:val="24"/>
        </w:rPr>
      </w:pPr>
      <w:r w:rsidRPr="00654E3B">
        <w:rPr>
          <w:rFonts w:cs="Times New Roman"/>
          <w:szCs w:val="24"/>
        </w:rPr>
        <w:lastRenderedPageBreak/>
        <w:t>Predviđene investicije u niskougljični razvoj najveći utjecaj će imati na rast građevinarstva, industrije i uslužnih djelatnosti. U početnim godinama očekuje se oko 40.000 novozaposlenih, od čega oko 44</w:t>
      </w:r>
      <w:r w:rsidR="00060992" w:rsidRPr="00654E3B">
        <w:rPr>
          <w:rFonts w:cs="Times New Roman"/>
          <w:szCs w:val="24"/>
        </w:rPr>
        <w:t xml:space="preserve"> %</w:t>
      </w:r>
      <w:r w:rsidRPr="00654E3B">
        <w:rPr>
          <w:rFonts w:cs="Times New Roman"/>
          <w:szCs w:val="24"/>
        </w:rPr>
        <w:t xml:space="preserve"> u djelatnosti građevinarstva, oko 33</w:t>
      </w:r>
      <w:r w:rsidR="00060992" w:rsidRPr="00654E3B">
        <w:rPr>
          <w:rFonts w:cs="Times New Roman"/>
          <w:szCs w:val="24"/>
        </w:rPr>
        <w:t xml:space="preserve"> %</w:t>
      </w:r>
      <w:r w:rsidRPr="00654E3B">
        <w:rPr>
          <w:rFonts w:cs="Times New Roman"/>
          <w:szCs w:val="24"/>
        </w:rPr>
        <w:t xml:space="preserve"> u industriji, a ostatak od oko 23</w:t>
      </w:r>
      <w:r w:rsidR="00060992" w:rsidRPr="00654E3B">
        <w:rPr>
          <w:rFonts w:cs="Times New Roman"/>
          <w:szCs w:val="24"/>
        </w:rPr>
        <w:t xml:space="preserve"> %</w:t>
      </w:r>
      <w:r w:rsidRPr="00654E3B">
        <w:rPr>
          <w:rFonts w:cs="Times New Roman"/>
          <w:szCs w:val="24"/>
        </w:rPr>
        <w:t xml:space="preserve"> u uslužnim djelatnostima. Za očekivati je da rast zaposlenosti neće imati istu dinamiku u idućim godinama zbog rasta produktivnosti radnika, primjene novih tehnologija, premještanja radnika sa završenih radova na nove radove i sl.</w:t>
      </w:r>
    </w:p>
    <w:p w:rsidR="007D4A93" w:rsidRPr="00654E3B" w:rsidRDefault="00EF0BEB">
      <w:pPr>
        <w:keepNext/>
        <w:rPr>
          <w:rFonts w:cs="Times New Roman"/>
          <w:u w:val="single"/>
        </w:rPr>
      </w:pPr>
      <w:r w:rsidRPr="00654E3B">
        <w:rPr>
          <w:rFonts w:cs="Times New Roman"/>
          <w:u w:val="single"/>
        </w:rPr>
        <w:t xml:space="preserve">Dostupnost energije </w:t>
      </w:r>
    </w:p>
    <w:p w:rsidR="007D4A93" w:rsidRPr="00654E3B" w:rsidRDefault="00EF0BEB">
      <w:pPr>
        <w:keepNext/>
        <w:rPr>
          <w:rFonts w:cs="Times New Roman"/>
        </w:rPr>
      </w:pPr>
      <w:r w:rsidRPr="00654E3B">
        <w:rPr>
          <w:rFonts w:cs="Times New Roman"/>
        </w:rPr>
        <w:t>Prema analizama potrošnje kućanstava, gotovo 20</w:t>
      </w:r>
      <w:r w:rsidR="00060992" w:rsidRPr="00654E3B">
        <w:rPr>
          <w:rFonts w:cs="Times New Roman"/>
        </w:rPr>
        <w:t xml:space="preserve"> %</w:t>
      </w:r>
      <w:r w:rsidRPr="00654E3B">
        <w:rPr>
          <w:rFonts w:cs="Times New Roman"/>
        </w:rPr>
        <w:t xml:space="preserve"> kućanstava u Republici Hrvatskoj troši znatno više od 10</w:t>
      </w:r>
      <w:r w:rsidR="00060992" w:rsidRPr="00654E3B">
        <w:rPr>
          <w:rFonts w:cs="Times New Roman"/>
        </w:rPr>
        <w:t xml:space="preserve"> %</w:t>
      </w:r>
      <w:r w:rsidRPr="00654E3B">
        <w:rPr>
          <w:rFonts w:cs="Times New Roman"/>
        </w:rPr>
        <w:t xml:space="preserve"> ukupnih izdataka za osobnu potrošnju na energente (električnu energiju, plin i kruta goriva). Potrebno je programe provedbe pojedinih mjera energetske politike i primjenu novih tehničkih i tehnoloških rješenja povezati s mjerama smanjenja energetskog siromaštva te je u tom smislu potrebno izraditi, usvojiti i primjenjivati program za suzbijanje energetskog siromaštva. Na taj način bi se omogućilo trajno smanjenje troškova za energiju u energetski siromašnim kućanstvima, poboljšali bi se njihovi životni uvjeti te bi se smanjila potrebna izdvajanja za pružanje pomoći takvim kućanstvima.</w:t>
      </w:r>
    </w:p>
    <w:p w:rsidR="007D4A93" w:rsidRPr="00654E3B" w:rsidRDefault="00EF0BEB" w:rsidP="00B92F63">
      <w:pPr>
        <w:pStyle w:val="Heading2"/>
        <w:keepNext w:val="0"/>
        <w:rPr>
          <w:rFonts w:ascii="Times New Roman" w:hAnsi="Times New Roman" w:cs="Times New Roman"/>
        </w:rPr>
      </w:pPr>
      <w:bookmarkStart w:id="312" w:name="_Toc20841318"/>
      <w:bookmarkStart w:id="313" w:name="_Toc20841424"/>
      <w:bookmarkStart w:id="314" w:name="_Toc69297784"/>
      <w:r w:rsidRPr="00654E3B">
        <w:rPr>
          <w:rFonts w:ascii="Times New Roman" w:hAnsi="Times New Roman" w:cs="Times New Roman"/>
        </w:rPr>
        <w:t>8.4.</w:t>
      </w:r>
      <w:r w:rsidRPr="00654E3B">
        <w:rPr>
          <w:rFonts w:ascii="Times New Roman" w:hAnsi="Times New Roman" w:cs="Times New Roman"/>
        </w:rPr>
        <w:tab/>
        <w:t>PROCJENA KORISTI NISKOUGLJIČNOG RAZVOJA</w:t>
      </w:r>
      <w:bookmarkEnd w:id="312"/>
      <w:bookmarkEnd w:id="313"/>
      <w:bookmarkEnd w:id="314"/>
    </w:p>
    <w:p w:rsidR="007D4A93" w:rsidRPr="00654E3B" w:rsidRDefault="007D4A93" w:rsidP="00B92F63">
      <w:pPr>
        <w:rPr>
          <w:rFonts w:cs="Times New Roman"/>
        </w:rPr>
      </w:pPr>
    </w:p>
    <w:p w:rsidR="007D4A93" w:rsidRPr="00654E3B" w:rsidRDefault="00EF0BEB" w:rsidP="00B92F63">
      <w:pPr>
        <w:rPr>
          <w:rFonts w:cs="Times New Roman"/>
          <w:i/>
        </w:rPr>
      </w:pPr>
      <w:r w:rsidRPr="00654E3B">
        <w:rPr>
          <w:rFonts w:cs="Times New Roman"/>
        </w:rPr>
        <w:t>Niskougljičnim razvojem doći će do promjena u gospodarstvu i društvu u odnosu na razvoj prema referentnom scenariju. U tablici 8-1 navedene su glavne koristi i izazovi vezani za utjecaje na okoliš, gospodarstvo i društvo uslijed niskougljičnog razvoja.</w:t>
      </w:r>
      <w:bookmarkStart w:id="315" w:name="_Toc484158412"/>
      <w:bookmarkStart w:id="316" w:name="_Toc33417120"/>
    </w:p>
    <w:p w:rsidR="007D4A93" w:rsidRPr="00654E3B" w:rsidRDefault="00EF0BEB">
      <w:pPr>
        <w:rPr>
          <w:rFonts w:cs="Times New Roman"/>
          <w:i/>
        </w:rPr>
      </w:pPr>
      <w:r w:rsidRPr="00654E3B">
        <w:rPr>
          <w:rFonts w:cs="Times New Roman"/>
          <w:i/>
        </w:rPr>
        <w:t>Tablica 8-1: Glavni pozitivni i negativni utjecaji niskougljičnog razvoja</w:t>
      </w:r>
      <w:bookmarkEnd w:id="315"/>
      <w:bookmarkEnd w:id="316"/>
    </w:p>
    <w:tbl>
      <w:tblPr>
        <w:tblStyle w:val="TableGrid"/>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3402"/>
      </w:tblGrid>
      <w:tr w:rsidR="007D4A93" w:rsidRPr="00654E3B" w:rsidTr="007D4A9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right w:val="none" w:sz="0" w:space="0" w:color="auto"/>
            </w:tcBorders>
            <w:shd w:val="clear" w:color="auto" w:fill="F2F2F2" w:themeFill="background1" w:themeFillShade="F2"/>
            <w:noWrap/>
          </w:tcPr>
          <w:p w:rsidR="007D4A93" w:rsidRPr="00654E3B" w:rsidRDefault="00EF0BEB">
            <w:pPr>
              <w:jc w:val="left"/>
              <w:rPr>
                <w:rFonts w:cs="Times New Roman"/>
                <w:b/>
                <w:sz w:val="22"/>
              </w:rPr>
            </w:pPr>
            <w:r w:rsidRPr="00654E3B">
              <w:rPr>
                <w:rFonts w:cs="Times New Roman"/>
                <w:b/>
                <w:bCs/>
                <w:spacing w:val="-1"/>
              </w:rPr>
              <w:t>Sektor\Utjecaj</w:t>
            </w:r>
          </w:p>
        </w:tc>
        <w:tc>
          <w:tcPr>
            <w:tcW w:w="3685" w:type="dxa"/>
            <w:tcBorders>
              <w:left w:val="none" w:sz="0" w:space="0" w:color="auto"/>
              <w:right w:val="none" w:sz="0" w:space="0" w:color="auto"/>
            </w:tcBorders>
            <w:shd w:val="clear" w:color="auto" w:fill="F2F2F2" w:themeFill="background1" w:themeFillShade="F2"/>
          </w:tcPr>
          <w:p w:rsidR="007D4A93" w:rsidRPr="00654E3B" w:rsidRDefault="00EF0BEB">
            <w:pPr>
              <w:keepNext/>
              <w:cnfStyle w:val="100000000000" w:firstRow="1" w:lastRow="0" w:firstColumn="0" w:lastColumn="0" w:oddVBand="0" w:evenVBand="0" w:oddHBand="0" w:evenHBand="0" w:firstRowFirstColumn="0" w:firstRowLastColumn="0" w:lastRowFirstColumn="0" w:lastRowLastColumn="0"/>
              <w:rPr>
                <w:rFonts w:cs="Times New Roman"/>
                <w:b/>
                <w:sz w:val="22"/>
              </w:rPr>
            </w:pPr>
            <w:r w:rsidRPr="00654E3B">
              <w:rPr>
                <w:rFonts w:cs="Times New Roman"/>
                <w:b/>
              </w:rPr>
              <w:t>Koristi</w:t>
            </w:r>
          </w:p>
        </w:tc>
        <w:tc>
          <w:tcPr>
            <w:tcW w:w="3402" w:type="dxa"/>
            <w:tcBorders>
              <w:left w:val="none" w:sz="0" w:space="0" w:color="auto"/>
            </w:tcBorders>
            <w:shd w:val="clear" w:color="auto" w:fill="F2F2F2" w:themeFill="background1" w:themeFillShade="F2"/>
            <w:noWrap/>
          </w:tcPr>
          <w:p w:rsidR="007D4A93" w:rsidRPr="00654E3B" w:rsidRDefault="00EF0BEB">
            <w:pPr>
              <w:keepNext/>
              <w:cnfStyle w:val="100000000000" w:firstRow="1" w:lastRow="0" w:firstColumn="0" w:lastColumn="0" w:oddVBand="0" w:evenVBand="0" w:oddHBand="0" w:evenHBand="0" w:firstRowFirstColumn="0" w:firstRowLastColumn="0" w:lastRowFirstColumn="0" w:lastRowLastColumn="0"/>
              <w:rPr>
                <w:rFonts w:cs="Times New Roman"/>
                <w:b/>
                <w:sz w:val="22"/>
              </w:rPr>
            </w:pPr>
            <w:r w:rsidRPr="00654E3B">
              <w:rPr>
                <w:rFonts w:cs="Times New Roman"/>
                <w:b/>
              </w:rPr>
              <w:t>Izazovi i rizici</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F2F2F2" w:themeFill="background1" w:themeFillShade="F2"/>
            <w:noWrap/>
            <w:vAlign w:val="center"/>
          </w:tcPr>
          <w:p w:rsidR="007D4A93" w:rsidRPr="00654E3B" w:rsidRDefault="00EF0BEB">
            <w:pPr>
              <w:rPr>
                <w:rFonts w:cs="Times New Roman"/>
                <w:sz w:val="22"/>
              </w:rPr>
            </w:pPr>
            <w:r w:rsidRPr="00654E3B">
              <w:rPr>
                <w:rFonts w:cs="Times New Roman"/>
              </w:rPr>
              <w:t>Okoliš</w:t>
            </w:r>
          </w:p>
        </w:tc>
        <w:tc>
          <w:tcPr>
            <w:tcW w:w="3685" w:type="dxa"/>
            <w:shd w:val="clear" w:color="auto" w:fill="auto"/>
          </w:tcPr>
          <w:p w:rsidR="007D4A93" w:rsidRPr="00654E3B" w:rsidRDefault="00EF0BEB" w:rsidP="000C6795">
            <w:pPr>
              <w:pStyle w:val="ListParagraph"/>
              <w:keepNext/>
              <w:numPr>
                <w:ilvl w:val="0"/>
                <w:numId w:val="36"/>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emisija onečišćujućih tvari</w:t>
            </w:r>
          </w:p>
          <w:p w:rsidR="007D4A93" w:rsidRPr="00654E3B" w:rsidRDefault="00EF0BEB" w:rsidP="000C6795">
            <w:pPr>
              <w:pStyle w:val="ListParagraph"/>
              <w:keepNext/>
              <w:numPr>
                <w:ilvl w:val="0"/>
                <w:numId w:val="36"/>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odlaganja otpada</w:t>
            </w:r>
          </w:p>
        </w:tc>
        <w:tc>
          <w:tcPr>
            <w:tcW w:w="3402" w:type="dxa"/>
            <w:shd w:val="clear" w:color="auto" w:fill="auto"/>
          </w:tcPr>
          <w:p w:rsidR="007D4A93" w:rsidRPr="00654E3B" w:rsidRDefault="00EF0BEB" w:rsidP="000C6795">
            <w:pPr>
              <w:pStyle w:val="ListParagraph"/>
              <w:keepNext/>
              <w:numPr>
                <w:ilvl w:val="0"/>
                <w:numId w:val="38"/>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Utjecaj na okoliš OIE</w:t>
            </w:r>
          </w:p>
          <w:p w:rsidR="007D4A93" w:rsidRPr="00654E3B" w:rsidRDefault="00EF0BEB" w:rsidP="000C6795">
            <w:pPr>
              <w:pStyle w:val="ListParagraph"/>
              <w:keepNext/>
              <w:numPr>
                <w:ilvl w:val="0"/>
                <w:numId w:val="38"/>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 xml:space="preserve">Nove vrste i količine otpada </w:t>
            </w:r>
          </w:p>
        </w:tc>
      </w:tr>
      <w:tr w:rsidR="007D4A93" w:rsidRPr="00654E3B" w:rsidTr="007D4A93">
        <w:trPr>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F2F2F2" w:themeFill="background1" w:themeFillShade="F2"/>
            <w:noWrap/>
            <w:vAlign w:val="center"/>
          </w:tcPr>
          <w:p w:rsidR="007D4A93" w:rsidRPr="00654E3B" w:rsidRDefault="00EF0BEB">
            <w:pPr>
              <w:rPr>
                <w:rFonts w:cs="Times New Roman"/>
                <w:sz w:val="22"/>
              </w:rPr>
            </w:pPr>
            <w:r w:rsidRPr="00654E3B">
              <w:rPr>
                <w:rFonts w:cs="Times New Roman"/>
              </w:rPr>
              <w:t>Gospodarstvo</w:t>
            </w:r>
          </w:p>
        </w:tc>
        <w:tc>
          <w:tcPr>
            <w:tcW w:w="3685" w:type="dxa"/>
            <w:shd w:val="clear" w:color="auto" w:fill="auto"/>
          </w:tcPr>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Pokretanje investicija u niskougljične mjere</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Korištenje sredstva EU fondova za investicije</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Smanjenje uvoza energenata</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Manja potrošnja resursa uslijed održivog gospodarenja otpadom</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Otvaranje novih „zelenih“ radnih mjesta</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Poticaji za tehnološki razvoj i inovacije</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Izbjegavanje onečišćenja zraka i povezane koristi za zdravlje</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Ublažavanje klimatskih promjena i vezanih posljedica</w:t>
            </w:r>
          </w:p>
        </w:tc>
        <w:tc>
          <w:tcPr>
            <w:tcW w:w="3402" w:type="dxa"/>
            <w:shd w:val="clear" w:color="auto" w:fill="auto"/>
          </w:tcPr>
          <w:p w:rsidR="007D4A93" w:rsidRPr="00654E3B" w:rsidRDefault="00EF0BEB" w:rsidP="000C6795">
            <w:pPr>
              <w:pStyle w:val="ListParagraph"/>
              <w:keepNext/>
              <w:numPr>
                <w:ilvl w:val="0"/>
                <w:numId w:val="38"/>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Troškovi za subvencioniranje određenih investicija u niskougljične mjere</w:t>
            </w:r>
          </w:p>
          <w:p w:rsidR="007D4A93" w:rsidRPr="00654E3B" w:rsidRDefault="00EF0BEB" w:rsidP="000C6795">
            <w:pPr>
              <w:pStyle w:val="ListParagraph"/>
              <w:keepNext/>
              <w:numPr>
                <w:ilvl w:val="0"/>
                <w:numId w:val="38"/>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Trošak za postrojenja - izvore emisija stakleničkih plinova te djelatnosti osjetljive na porast troškova njihovih proizvoda</w:t>
            </w:r>
          </w:p>
          <w:p w:rsidR="007D4A93" w:rsidRPr="00654E3B" w:rsidRDefault="00EF0BEB" w:rsidP="000C6795">
            <w:pPr>
              <w:pStyle w:val="ListParagraph"/>
              <w:keepNext/>
              <w:numPr>
                <w:ilvl w:val="0"/>
                <w:numId w:val="38"/>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 dužem roku manje investicija u sektore vezane za potrošnju fosilnog goriva</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tcBorders>
            <w:shd w:val="clear" w:color="auto" w:fill="F2F2F2" w:themeFill="background1" w:themeFillShade="F2"/>
            <w:noWrap/>
            <w:vAlign w:val="center"/>
          </w:tcPr>
          <w:p w:rsidR="007D4A93" w:rsidRPr="00654E3B" w:rsidRDefault="00EF0BEB">
            <w:pPr>
              <w:rPr>
                <w:rFonts w:cs="Times New Roman"/>
                <w:sz w:val="22"/>
              </w:rPr>
            </w:pPr>
            <w:r w:rsidRPr="00654E3B">
              <w:rPr>
                <w:rFonts w:cs="Times New Roman"/>
              </w:rPr>
              <w:t>Društvo</w:t>
            </w:r>
          </w:p>
        </w:tc>
        <w:tc>
          <w:tcPr>
            <w:tcW w:w="3685" w:type="dxa"/>
            <w:shd w:val="clear" w:color="auto" w:fill="auto"/>
          </w:tcPr>
          <w:p w:rsidR="007D4A93" w:rsidRPr="00654E3B" w:rsidRDefault="00EF0BEB" w:rsidP="000C6795">
            <w:pPr>
              <w:pStyle w:val="ListParagraph"/>
              <w:keepNext/>
              <w:numPr>
                <w:ilvl w:val="0"/>
                <w:numId w:val="35"/>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zdravstvenih problema zbog manjih emisija onečišćujućih tvari</w:t>
            </w:r>
          </w:p>
          <w:p w:rsidR="007D4A93" w:rsidRPr="00654E3B" w:rsidRDefault="00EF0BEB" w:rsidP="000C6795">
            <w:pPr>
              <w:pStyle w:val="ListParagraph"/>
              <w:keepNext/>
              <w:numPr>
                <w:ilvl w:val="0"/>
                <w:numId w:val="35"/>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Otvaranje novih "zelenih" radnih mjesta</w:t>
            </w:r>
          </w:p>
          <w:p w:rsidR="007D4A93" w:rsidRPr="00654E3B" w:rsidRDefault="00EF0BEB" w:rsidP="000C6795">
            <w:pPr>
              <w:pStyle w:val="ListParagraph"/>
              <w:keepNext/>
              <w:numPr>
                <w:ilvl w:val="0"/>
                <w:numId w:val="35"/>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Mogućnost aktivnog sudjelovanja građana kao kupca i proizvođača energije</w:t>
            </w:r>
          </w:p>
          <w:p w:rsidR="007D4A93" w:rsidRPr="00654E3B" w:rsidRDefault="00EF0BEB" w:rsidP="000C6795">
            <w:pPr>
              <w:pStyle w:val="ListParagraph"/>
              <w:keepNext/>
              <w:numPr>
                <w:ilvl w:val="0"/>
                <w:numId w:val="35"/>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Razvoj načina mišljenja i djelovanja s ciljem smanjenja ugljičnog otiska</w:t>
            </w:r>
          </w:p>
        </w:tc>
        <w:tc>
          <w:tcPr>
            <w:tcW w:w="3402" w:type="dxa"/>
            <w:shd w:val="clear" w:color="auto" w:fill="auto"/>
          </w:tcPr>
          <w:p w:rsidR="007D4A93" w:rsidRPr="00654E3B" w:rsidRDefault="00EF0BEB" w:rsidP="000C6795">
            <w:pPr>
              <w:pStyle w:val="ListParagraph"/>
              <w:keepNext/>
              <w:numPr>
                <w:ilvl w:val="0"/>
                <w:numId w:val="38"/>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U dužem roku manje radnih mjesta u sektorima vezanim za fosilna goriva</w:t>
            </w:r>
          </w:p>
          <w:p w:rsidR="007D4A93" w:rsidRPr="00654E3B" w:rsidRDefault="00EF0BEB" w:rsidP="000C6795">
            <w:pPr>
              <w:pStyle w:val="ListParagraph"/>
              <w:keepNext/>
              <w:numPr>
                <w:ilvl w:val="0"/>
                <w:numId w:val="38"/>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Rizik od energetskog siromaštva uslijed rasta troškova za energiju</w:t>
            </w:r>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t>Ukupne očekivane koristi za društvo (uzimajući u obzir eksterne troškove)</w:t>
      </w:r>
      <w:r w:rsidR="00FC5E82" w:rsidRPr="00654E3B">
        <w:rPr>
          <w:rFonts w:cs="Times New Roman"/>
        </w:rPr>
        <w:t>,</w:t>
      </w:r>
      <w:r w:rsidRPr="00654E3B">
        <w:rPr>
          <w:rFonts w:cs="Times New Roman"/>
        </w:rPr>
        <w:t xml:space="preserve"> su pozitivne i rezultiraju ukupno manjim društvenim troškom. Osnovni izazov provedbe i dinamike promjena je potreba visokih ulaganja</w:t>
      </w:r>
      <w:r w:rsidR="00B95D09" w:rsidRPr="00654E3B">
        <w:rPr>
          <w:rFonts w:cs="Times New Roman"/>
        </w:rPr>
        <w:t>,</w:t>
      </w:r>
      <w:r w:rsidRPr="00654E3B">
        <w:rPr>
          <w:rFonts w:cs="Times New Roman"/>
        </w:rPr>
        <w:t xml:space="preserve"> koja mogu predstavljati značajan izazov za pojedine segmente gospodarstva i/ili kupaca. Ograničavajući čimbenik ubrzane tranzicije može biti sposobnost gospodarstva, društva i pojedinaca da pravovremeno sudjeluju u procesima</w:t>
      </w:r>
      <w:r w:rsidR="00B95D09" w:rsidRPr="00654E3B">
        <w:rPr>
          <w:rFonts w:cs="Times New Roman"/>
        </w:rPr>
        <w:t>,</w:t>
      </w:r>
      <w:r w:rsidRPr="00654E3B">
        <w:rPr>
          <w:rFonts w:cs="Times New Roman"/>
        </w:rPr>
        <w:t xml:space="preserve"> zbog velikih početnih ulaganja, bez obzira što procesi tranzicije donose dugoročnu korist društvu i okolišu.</w:t>
      </w:r>
    </w:p>
    <w:p w:rsidR="007D4A93" w:rsidRPr="00654E3B" w:rsidRDefault="00EF0BEB">
      <w:pPr>
        <w:rPr>
          <w:rFonts w:cs="Times New Roman"/>
        </w:rPr>
      </w:pPr>
      <w:r w:rsidRPr="00654E3B">
        <w:rPr>
          <w:rFonts w:cs="Times New Roman"/>
        </w:rPr>
        <w:lastRenderedPageBreak/>
        <w:t>Za osiguravanje ukupnih neto koristi te istovremenog smanjenja emisija i poticanja gospodarskog razvoja u Republici Hrvatskoj, ključno će biti:</w:t>
      </w:r>
    </w:p>
    <w:p w:rsidR="007D4A93" w:rsidRPr="00654E3B" w:rsidRDefault="00EF0BEB" w:rsidP="000C6795">
      <w:pPr>
        <w:pStyle w:val="ListParagraph"/>
        <w:numPr>
          <w:ilvl w:val="0"/>
          <w:numId w:val="27"/>
        </w:numPr>
        <w:rPr>
          <w:rFonts w:cs="Times New Roman"/>
        </w:rPr>
      </w:pPr>
      <w:r w:rsidRPr="00654E3B">
        <w:rPr>
          <w:rFonts w:cs="Times New Roman"/>
        </w:rPr>
        <w:t>maksimalno iskoristiti raspoloživa sredstva iz EU fondova</w:t>
      </w:r>
      <w:r w:rsidR="00B95D09"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poticanje istraživanja, inovacija, tehnološkog razvoja i sudjelovanja domaće industrije</w:t>
      </w:r>
      <w:r w:rsidR="00B95D09"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obrazovanje i promjene u načinu mišljenja i djelovanja te aktivno uključivanje građana</w:t>
      </w:r>
      <w:r w:rsidR="00B95D09"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inovativnim modelima financiranja maksimizirati učinke dostupnih sredstava.</w:t>
      </w:r>
    </w:p>
    <w:p w:rsidR="00AB40C9" w:rsidRPr="00654E3B" w:rsidRDefault="00EF0BEB">
      <w:pPr>
        <w:spacing w:line="240" w:lineRule="auto"/>
        <w:rPr>
          <w:rFonts w:cs="Times New Roman"/>
          <w:b/>
        </w:rPr>
      </w:pPr>
      <w:r w:rsidRPr="00654E3B">
        <w:rPr>
          <w:rFonts w:cs="Times New Roman"/>
          <w:b/>
        </w:rPr>
        <w:t xml:space="preserve">Niskougljičnim razvojem mogu se ostvariti neto koristi za društvo, ali su za provedbu mjera potrebna dodatna </w:t>
      </w:r>
      <w:r w:rsidR="00BB2664" w:rsidRPr="00654E3B">
        <w:rPr>
          <w:rFonts w:cs="Times New Roman"/>
          <w:b/>
        </w:rPr>
        <w:t xml:space="preserve">EU </w:t>
      </w:r>
      <w:r w:rsidRPr="00654E3B">
        <w:rPr>
          <w:rFonts w:cs="Times New Roman"/>
          <w:b/>
        </w:rPr>
        <w:t>sredstva</w:t>
      </w:r>
      <w:r w:rsidR="00BB2664" w:rsidRPr="00654E3B">
        <w:rPr>
          <w:rFonts w:cs="Times New Roman"/>
          <w:b/>
        </w:rPr>
        <w:t xml:space="preserve">. </w:t>
      </w:r>
    </w:p>
    <w:p w:rsidR="007D4A93" w:rsidRPr="00654E3B" w:rsidRDefault="00EF0BEB" w:rsidP="00286AFC">
      <w:pPr>
        <w:pStyle w:val="Heading1"/>
        <w:ind w:left="705" w:hanging="705"/>
        <w:rPr>
          <w:rFonts w:ascii="Times New Roman" w:hAnsi="Times New Roman" w:cs="Times New Roman"/>
        </w:rPr>
      </w:pPr>
      <w:bookmarkStart w:id="317" w:name="_Toc69297785"/>
      <w:bookmarkStart w:id="318" w:name="_Toc20841320"/>
      <w:bookmarkStart w:id="319" w:name="_Toc20841426"/>
      <w:r w:rsidRPr="00654E3B">
        <w:rPr>
          <w:rFonts w:ascii="Times New Roman" w:hAnsi="Times New Roman" w:cs="Times New Roman"/>
        </w:rPr>
        <w:t xml:space="preserve">9. </w:t>
      </w:r>
      <w:r w:rsidRPr="00654E3B">
        <w:rPr>
          <w:rFonts w:ascii="Times New Roman" w:hAnsi="Times New Roman" w:cs="Times New Roman"/>
        </w:rPr>
        <w:tab/>
        <w:t>OBRAZOVANJE I AKTIVNO UKLJUČIVANJE GRAĐANA U NISKOUGLJIČNI RAZVOJ</w:t>
      </w:r>
      <w:bookmarkEnd w:id="317"/>
      <w:r w:rsidRPr="00654E3B">
        <w:rPr>
          <w:rFonts w:ascii="Times New Roman" w:hAnsi="Times New Roman" w:cs="Times New Roman"/>
        </w:rPr>
        <w:t xml:space="preserve"> </w:t>
      </w:r>
      <w:bookmarkEnd w:id="318"/>
      <w:bookmarkEnd w:id="319"/>
    </w:p>
    <w:p w:rsidR="007D4A93" w:rsidRPr="00654E3B" w:rsidRDefault="007D4A93">
      <w:pPr>
        <w:rPr>
          <w:rFonts w:cs="Times New Roman"/>
        </w:rPr>
      </w:pPr>
    </w:p>
    <w:p w:rsidR="007D4A93" w:rsidRPr="00654E3B" w:rsidRDefault="00EF0BEB">
      <w:pPr>
        <w:spacing w:line="240" w:lineRule="auto"/>
        <w:rPr>
          <w:rFonts w:cs="Times New Roman"/>
          <w:u w:val="single"/>
        </w:rPr>
      </w:pPr>
      <w:r w:rsidRPr="00654E3B">
        <w:rPr>
          <w:rFonts w:cs="Times New Roman"/>
          <w:u w:val="single"/>
        </w:rPr>
        <w:t>Obrazovanje, stjecanje vještina i cjeloživotno učenje po načelima održivog razvoja i niskougljične strategije</w:t>
      </w:r>
    </w:p>
    <w:p w:rsidR="007D4A93" w:rsidRPr="00654E3B" w:rsidRDefault="00EF0BEB">
      <w:pPr>
        <w:pStyle w:val="NormalWeb"/>
        <w:contextualSpacing/>
        <w:rPr>
          <w:rFonts w:eastAsia="Times New Roman" w:cs="Times New Roman"/>
        </w:rPr>
      </w:pPr>
      <w:r w:rsidRPr="00654E3B">
        <w:rPr>
          <w:rFonts w:eastAsia="Times New Roman" w:cs="Times New Roman"/>
        </w:rPr>
        <w:t>Obrazovni sustav treba postati predvodnik u promicanju načela niskougljičnog razvoja</w:t>
      </w:r>
      <w:r w:rsidR="00B95D09" w:rsidRPr="00654E3B">
        <w:rPr>
          <w:rFonts w:eastAsia="Times New Roman" w:cs="Times New Roman"/>
        </w:rPr>
        <w:t>.</w:t>
      </w:r>
      <w:r w:rsidRPr="00654E3B">
        <w:rPr>
          <w:rFonts w:eastAsia="Times New Roman" w:cs="Times New Roman"/>
        </w:rPr>
        <w:t xml:space="preserve"> </w:t>
      </w:r>
      <w:r w:rsidR="00B95D09" w:rsidRPr="00654E3B">
        <w:rPr>
          <w:rFonts w:eastAsia="Times New Roman" w:cs="Times New Roman"/>
        </w:rPr>
        <w:t xml:space="preserve">Mladi </w:t>
      </w:r>
      <w:r w:rsidRPr="00654E3B">
        <w:rPr>
          <w:rFonts w:eastAsia="Times New Roman" w:cs="Times New Roman"/>
        </w:rPr>
        <w:t xml:space="preserve">ljudi koji ulaze u obrazovanje danas, biti će nositelji promjena u budućnosti, bez njihovog znanja i uvjerenja ciljevi ove strategije neće se provesti. Stoga je ovo prioritetna aktivnost  Niskougljične strategije, dugoročno važnija od bilo koje mjere tehničkog tipa. </w:t>
      </w:r>
    </w:p>
    <w:p w:rsidR="00EE7A3B" w:rsidRPr="00654E3B" w:rsidRDefault="00EE7A3B">
      <w:pPr>
        <w:pStyle w:val="NormalWeb"/>
        <w:contextualSpacing/>
        <w:rPr>
          <w:rFonts w:eastAsia="Times New Roman" w:cs="Times New Roman"/>
        </w:rPr>
      </w:pPr>
    </w:p>
    <w:p w:rsidR="00EE7A3B" w:rsidRPr="00654E3B" w:rsidRDefault="00EF0BEB">
      <w:pPr>
        <w:pStyle w:val="NormalWeb"/>
        <w:contextualSpacing/>
        <w:rPr>
          <w:rFonts w:eastAsia="Times New Roman" w:cs="Times New Roman"/>
        </w:rPr>
      </w:pPr>
      <w:r w:rsidRPr="00654E3B">
        <w:rPr>
          <w:rFonts w:eastAsia="Times New Roman" w:cs="Times New Roman"/>
        </w:rPr>
        <w:t xml:space="preserve">Prepoznajući važnost osviještenosti o složenim odnosima i povezanostima u ekosustavima i ljudskim zajednicama te </w:t>
      </w:r>
      <w:r w:rsidR="00B95D09" w:rsidRPr="00654E3B">
        <w:rPr>
          <w:rFonts w:eastAsia="Times New Roman" w:cs="Times New Roman"/>
        </w:rPr>
        <w:t xml:space="preserve">potrebe </w:t>
      </w:r>
      <w:r w:rsidRPr="00654E3B">
        <w:rPr>
          <w:rFonts w:eastAsia="Times New Roman" w:cs="Times New Roman"/>
        </w:rPr>
        <w:t>za prikladnim djelovanjem pri korištenju prirodnih resursa i održivom razvoju, Ministarstvo znanosti i obrazovanja donijelo je u siječnju 2019. godine</w:t>
      </w:r>
      <w:r w:rsidR="00B95D09" w:rsidRPr="00654E3B">
        <w:rPr>
          <w:rFonts w:eastAsia="Times New Roman" w:cs="Times New Roman"/>
        </w:rPr>
        <w:t xml:space="preserve">, </w:t>
      </w:r>
      <w:r w:rsidRPr="00654E3B">
        <w:rPr>
          <w:rFonts w:eastAsia="Times New Roman" w:cs="Times New Roman"/>
        </w:rPr>
        <w:t>Odluku o donošenju kurikuluma za međupredmetnu temu Održivi razvoj za osnovne i srednje škole u Republici Hrvatskoj (</w:t>
      </w:r>
      <w:r w:rsidR="001C0429" w:rsidRPr="00654E3B">
        <w:rPr>
          <w:rFonts w:eastAsia="Times New Roman" w:cs="Times New Roman"/>
        </w:rPr>
        <w:t>Narodne novine</w:t>
      </w:r>
      <w:r w:rsidR="00430F83" w:rsidRPr="00654E3B">
        <w:rPr>
          <w:rFonts w:eastAsia="Times New Roman" w:cs="Times New Roman"/>
        </w:rPr>
        <w:t>,</w:t>
      </w:r>
      <w:r w:rsidR="001C0429" w:rsidRPr="00654E3B">
        <w:rPr>
          <w:rFonts w:eastAsia="Times New Roman" w:cs="Times New Roman"/>
        </w:rPr>
        <w:t xml:space="preserve"> broj </w:t>
      </w:r>
      <w:r w:rsidRPr="00654E3B">
        <w:rPr>
          <w:rFonts w:eastAsia="Times New Roman" w:cs="Times New Roman"/>
        </w:rPr>
        <w:t xml:space="preserve">7/19). Od školske godine 2019./2020. poučava se prema novom kurikulumu, a međupredmetna tema Održivi razvoj obuhvaća sve tri dimenzije održivosti: okolišnu, društvenu i ekonomsku te njihovu međuovisnost. Nacionalni kurikulum obrazovnog sustava promiče održivi razvoj, cjelovitost, integralni pristup, inovativnost, plansku dugoročnost, razumijevanje društvene odgovornosti i međunarodnu solidarnost. </w:t>
      </w:r>
    </w:p>
    <w:p w:rsidR="007D4A93" w:rsidRPr="00654E3B" w:rsidRDefault="00EF0BEB">
      <w:pPr>
        <w:pStyle w:val="NormalWeb"/>
        <w:contextualSpacing/>
        <w:rPr>
          <w:rFonts w:eastAsia="Times New Roman" w:cs="Times New Roman"/>
        </w:rPr>
      </w:pPr>
      <w:r w:rsidRPr="00654E3B">
        <w:rPr>
          <w:rFonts w:eastAsia="Times New Roman" w:cs="Times New Roman"/>
        </w:rPr>
        <w:t xml:space="preserve"> </w:t>
      </w:r>
    </w:p>
    <w:p w:rsidR="007D4A93" w:rsidRPr="00654E3B" w:rsidRDefault="00EF0BEB">
      <w:pPr>
        <w:pStyle w:val="NormalWeb"/>
        <w:contextualSpacing/>
        <w:rPr>
          <w:rFonts w:eastAsia="Times New Roman" w:cs="Times New Roman"/>
        </w:rPr>
      </w:pPr>
      <w:r w:rsidRPr="00654E3B">
        <w:rPr>
          <w:rFonts w:eastAsia="Times New Roman" w:cs="Times New Roman"/>
        </w:rPr>
        <w:t>Nadalje je potrebno razvijati znanja i vještine za razvoj, primjenu i transfer novih tehnologija i pametnih rješenja, s orijentacijom na gospodarske grane koje se brzo razvijaju u smjeru kružnog gospodarstva i zelene ekonomije.</w:t>
      </w:r>
    </w:p>
    <w:p w:rsidR="00EE7A3B" w:rsidRPr="00654E3B" w:rsidRDefault="00EE7A3B">
      <w:pPr>
        <w:pStyle w:val="NormalWeb"/>
        <w:contextualSpacing/>
        <w:rPr>
          <w:rFonts w:eastAsia="Times New Roman" w:cs="Times New Roman"/>
        </w:rPr>
      </w:pPr>
    </w:p>
    <w:p w:rsidR="007D4A93" w:rsidRPr="00654E3B" w:rsidRDefault="00EF0BEB">
      <w:pPr>
        <w:pStyle w:val="NormalWeb"/>
        <w:contextualSpacing/>
        <w:rPr>
          <w:rFonts w:eastAsia="Times New Roman" w:cs="Times New Roman"/>
        </w:rPr>
      </w:pPr>
      <w:r w:rsidRPr="00654E3B">
        <w:rPr>
          <w:rFonts w:eastAsia="Times New Roman" w:cs="Times New Roman"/>
        </w:rPr>
        <w:t xml:space="preserve">Inicijacija sustavnog podizanja znanja o konceptu održivog razvoja i </w:t>
      </w:r>
      <w:r w:rsidR="00AD2DF6" w:rsidRPr="00654E3B">
        <w:rPr>
          <w:rFonts w:eastAsia="Times New Roman" w:cs="Times New Roman"/>
        </w:rPr>
        <w:t>svijesti</w:t>
      </w:r>
      <w:r w:rsidRPr="00654E3B">
        <w:rPr>
          <w:rFonts w:eastAsia="Times New Roman" w:cs="Times New Roman"/>
        </w:rPr>
        <w:t xml:space="preserve"> o klimatskim promjenama treba se odvijati kroz: </w:t>
      </w:r>
    </w:p>
    <w:p w:rsidR="007D4A93" w:rsidRPr="00654E3B" w:rsidRDefault="00EF0BEB" w:rsidP="000C6795">
      <w:pPr>
        <w:pStyle w:val="ListParagraph"/>
        <w:numPr>
          <w:ilvl w:val="0"/>
          <w:numId w:val="27"/>
        </w:numPr>
        <w:rPr>
          <w:rFonts w:cs="Times New Roman"/>
        </w:rPr>
      </w:pPr>
      <w:r w:rsidRPr="00654E3B">
        <w:rPr>
          <w:rFonts w:cs="Times New Roman"/>
        </w:rPr>
        <w:t>kontinuirano unapređivanje razine obrazovanja o održivom razvoju i pitanjima klimatskih promjena u redovitom obrazovnom sustavu (osnovna škola, srednja škola, više i visoke škole i fakulteti)</w:t>
      </w:r>
      <w:r w:rsidR="00B95D09" w:rsidRPr="00654E3B">
        <w:rPr>
          <w:rFonts w:cs="Times New Roman"/>
        </w:rPr>
        <w:t>;</w:t>
      </w:r>
    </w:p>
    <w:p w:rsidR="007D4A93" w:rsidRPr="00654E3B" w:rsidRDefault="00EF0BEB" w:rsidP="000C6795">
      <w:pPr>
        <w:pStyle w:val="ListParagraph"/>
        <w:numPr>
          <w:ilvl w:val="0"/>
          <w:numId w:val="55"/>
        </w:numPr>
        <w:rPr>
          <w:rFonts w:cs="Times New Roman"/>
        </w:rPr>
      </w:pPr>
      <w:r w:rsidRPr="00654E3B">
        <w:rPr>
          <w:rFonts w:cs="Times New Roman"/>
        </w:rPr>
        <w:t>prilagodba srednjoškolskih i visokoškolskih obrazovnih programa učenju potrebnom za s</w:t>
      </w:r>
      <w:r w:rsidR="00B95D09" w:rsidRPr="00654E3B">
        <w:rPr>
          <w:rFonts w:cs="Times New Roman"/>
        </w:rPr>
        <w:t>a</w:t>
      </w:r>
      <w:r w:rsidRPr="00654E3B">
        <w:rPr>
          <w:rFonts w:cs="Times New Roman"/>
        </w:rPr>
        <w:t>vladavanje znanja i vještina povezanih s niskougljičnim gospodarstvom i pametnom specijalizacijom</w:t>
      </w:r>
      <w:r w:rsidR="00B95D09"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cjeloživotno učenje putem medija (novine, televizija i Internet) o načelima Niskougljične strategije koje će obrazovati sve ljude, sve stanovnike Hrvatske koji više nisu u procesu institucionalnog obrazovanja Republike Hrvatske</w:t>
      </w:r>
      <w:r w:rsidR="00B64585"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 xml:space="preserve">razvoj aplikacijskih alata za izračunavanje i praćenje ekološkog otiska, ugljičnog otiska, za mlade, za njihove aktivnosti, za obrazovne institucije, kućanstva, prijevoz. Organizacije aktivnosti koje doprinose smanjenju ugljičnog otiska, natjecanja, testnih primjera </w:t>
      </w:r>
      <w:r w:rsidR="00B64585" w:rsidRPr="00654E3B">
        <w:rPr>
          <w:rFonts w:cs="Times New Roman"/>
        </w:rPr>
        <w:t xml:space="preserve">uključivanja </w:t>
      </w:r>
      <w:r w:rsidRPr="00654E3B">
        <w:rPr>
          <w:rFonts w:cs="Times New Roman"/>
        </w:rPr>
        <w:t>u kampanje, itd.</w:t>
      </w:r>
      <w:r w:rsidR="00B64585"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lastRenderedPageBreak/>
        <w:t>podršku razvoju centara obrazovne izvrsnosti, podršk</w:t>
      </w:r>
      <w:r w:rsidR="00E15BBD" w:rsidRPr="00654E3B">
        <w:rPr>
          <w:rFonts w:cs="Times New Roman"/>
        </w:rPr>
        <w:t>u</w:t>
      </w:r>
      <w:r w:rsidRPr="00654E3B">
        <w:rPr>
          <w:rFonts w:cs="Times New Roman"/>
        </w:rPr>
        <w:t xml:space="preserve"> razvoju tehnoloških demonstracijskih parkova, laboratorija, 'životnih laboratorija' kao što su sveučilišni kampusi. Oni bi trebali biti pokazni primjeri cjelovitog osmišljavanja prostora za rad i život, na kojima zajedno rade urbanisti, energetičari, prometna struka, obrazovanje, stručnjaci prirodnih i humanističkih struka, a temeljeno na primjeni naprednih tehnologija i inovativnih niskougljičnih rješenja. </w:t>
      </w:r>
    </w:p>
    <w:p w:rsidR="007D4A93" w:rsidRPr="00654E3B" w:rsidRDefault="00EF0BEB">
      <w:pPr>
        <w:pStyle w:val="NormalWeb"/>
        <w:contextualSpacing/>
        <w:rPr>
          <w:rFonts w:cs="Times New Roman"/>
          <w:lang w:eastAsia="hr-HR"/>
        </w:rPr>
      </w:pPr>
      <w:r w:rsidRPr="00654E3B">
        <w:rPr>
          <w:rFonts w:cs="Times New Roman"/>
        </w:rPr>
        <w:t>U razdoblju od 2021. do 2030. godine</w:t>
      </w:r>
      <w:r w:rsidR="00B64585" w:rsidRPr="00654E3B">
        <w:rPr>
          <w:rFonts w:cs="Times New Roman"/>
        </w:rPr>
        <w:t>,</w:t>
      </w:r>
      <w:r w:rsidRPr="00654E3B">
        <w:rPr>
          <w:rFonts w:cs="Times New Roman"/>
        </w:rPr>
        <w:t xml:space="preserve"> podizanje razine obrazovanja o održivom razvoju i klimatskim promjenama u Republici Hrvatskoj će se dopunjavati i modernizirati u hodu, te stvarati generacije građana Republike Hrvatske koji će biti cjelovito i sustavno „klimatski </w:t>
      </w:r>
      <w:r w:rsidR="005D2CB6" w:rsidRPr="00654E3B">
        <w:rPr>
          <w:rFonts w:cs="Times New Roman"/>
        </w:rPr>
        <w:t>osviješćeni</w:t>
      </w:r>
      <w:r w:rsidRPr="00654E3B">
        <w:rPr>
          <w:rFonts w:cs="Times New Roman"/>
        </w:rPr>
        <w:t>“. Moderni medijski kanali informiranja (televizija i društvene mreže)</w:t>
      </w:r>
      <w:r w:rsidR="00B64585" w:rsidRPr="00654E3B">
        <w:rPr>
          <w:rFonts w:cs="Times New Roman"/>
        </w:rPr>
        <w:t>,</w:t>
      </w:r>
      <w:r w:rsidRPr="00654E3B">
        <w:rPr>
          <w:rFonts w:cs="Times New Roman"/>
        </w:rPr>
        <w:t xml:space="preserve"> kao brzi i atraktivni prenositelji informacija i spoznaja biti će pri tome izuzetno važni. U tom razdoblju doći će do </w:t>
      </w:r>
      <w:r w:rsidRPr="00654E3B">
        <w:rPr>
          <w:rFonts w:cs="Times New Roman"/>
          <w:lang w:eastAsia="hr-HR"/>
        </w:rPr>
        <w:t>osnivanja prvih centara izvrsnosti i tehnoloških parkova, početak realizacije oglednih sveučilišnih kampusa i primjera nove prakse.</w:t>
      </w:r>
    </w:p>
    <w:p w:rsidR="007D4A93" w:rsidRPr="00654E3B" w:rsidRDefault="005D2CB6" w:rsidP="00286AFC">
      <w:pPr>
        <w:rPr>
          <w:rFonts w:cs="Times New Roman"/>
        </w:rPr>
      </w:pPr>
      <w:r w:rsidRPr="00654E3B">
        <w:rPr>
          <w:rFonts w:cs="Times New Roman"/>
        </w:rPr>
        <w:t>Stoga bi Nacionalni plan razvoja sustava obrazovanja za razdoblje od 2021. do 2027. godine</w:t>
      </w:r>
      <w:r w:rsidR="00B64585" w:rsidRPr="00654E3B">
        <w:rPr>
          <w:rFonts w:cs="Times New Roman"/>
        </w:rPr>
        <w:t>,</w:t>
      </w:r>
      <w:r w:rsidRPr="00654E3B">
        <w:rPr>
          <w:rFonts w:cs="Times New Roman"/>
        </w:rPr>
        <w:t xml:space="preserve"> </w:t>
      </w:r>
      <w:r w:rsidR="00EF0BEB" w:rsidRPr="00654E3B">
        <w:rPr>
          <w:rFonts w:cs="Times New Roman"/>
        </w:rPr>
        <w:t>treb</w:t>
      </w:r>
      <w:r w:rsidRPr="00654E3B">
        <w:rPr>
          <w:rFonts w:cs="Times New Roman"/>
        </w:rPr>
        <w:t>ao</w:t>
      </w:r>
      <w:r w:rsidR="00EF0BEB" w:rsidRPr="00654E3B">
        <w:rPr>
          <w:rFonts w:cs="Times New Roman"/>
        </w:rPr>
        <w:t xml:space="preserve"> biti orijentiran izgradnji znanja i razvoju tehnologija koji </w:t>
      </w:r>
      <w:r w:rsidRPr="00654E3B">
        <w:rPr>
          <w:rFonts w:cs="Times New Roman"/>
        </w:rPr>
        <w:t>ć</w:t>
      </w:r>
      <w:r w:rsidR="00EF0BEB" w:rsidRPr="00654E3B">
        <w:rPr>
          <w:rFonts w:cs="Times New Roman"/>
        </w:rPr>
        <w:t>e omogućiti tranziciju prema nisk</w:t>
      </w:r>
      <w:r w:rsidRPr="00654E3B">
        <w:rPr>
          <w:rFonts w:cs="Times New Roman"/>
        </w:rPr>
        <w:t>o</w:t>
      </w:r>
      <w:r w:rsidR="00EF0BEB" w:rsidRPr="00654E3B">
        <w:rPr>
          <w:rFonts w:cs="Times New Roman"/>
        </w:rPr>
        <w:t>ugljičnom gospodarstvu i društvu otpornom na klimatske promjene.</w:t>
      </w:r>
    </w:p>
    <w:p w:rsidR="007D4A93" w:rsidRPr="00654E3B" w:rsidRDefault="00EF0BEB">
      <w:pPr>
        <w:rPr>
          <w:rFonts w:cs="Times New Roman"/>
          <w:u w:val="single"/>
        </w:rPr>
      </w:pPr>
      <w:r w:rsidRPr="00654E3B">
        <w:rPr>
          <w:rFonts w:cs="Times New Roman"/>
          <w:u w:val="single"/>
        </w:rPr>
        <w:t xml:space="preserve">Promjena sociološkog poimanja i obrazaca ponašanja  </w:t>
      </w:r>
    </w:p>
    <w:p w:rsidR="007D4A93" w:rsidRPr="00654E3B" w:rsidRDefault="00EF0BEB">
      <w:pPr>
        <w:pStyle w:val="NormalWeb"/>
        <w:rPr>
          <w:rFonts w:cs="Times New Roman"/>
        </w:rPr>
      </w:pPr>
      <w:r w:rsidRPr="00654E3B">
        <w:rPr>
          <w:rFonts w:cs="Times New Roman"/>
        </w:rPr>
        <w:t xml:space="preserve">Problem klimatskih promjena je u posljednjih petnaestak godina sporo, ali konačno ušao u javni obzor hrvatskog društva. Daljnja afirmacija ove teme ovisi u značajnoj mjeri o </w:t>
      </w:r>
      <w:r w:rsidR="00B64585" w:rsidRPr="00654E3B">
        <w:rPr>
          <w:rFonts w:cs="Times New Roman"/>
        </w:rPr>
        <w:t xml:space="preserve">učinkovitoj realizaciji </w:t>
      </w:r>
      <w:r w:rsidRPr="00654E3B">
        <w:rPr>
          <w:rFonts w:cs="Times New Roman"/>
        </w:rPr>
        <w:t xml:space="preserve">Niskougljične strategije u praksi. Do današnjih dana je na dijelu bila u prosjeku građanstva niska </w:t>
      </w:r>
      <w:r w:rsidR="00E15BBD" w:rsidRPr="00654E3B">
        <w:rPr>
          <w:rFonts w:cs="Times New Roman"/>
        </w:rPr>
        <w:t xml:space="preserve">osviještenost za </w:t>
      </w:r>
      <w:r w:rsidRPr="00654E3B">
        <w:rPr>
          <w:rFonts w:cs="Times New Roman"/>
        </w:rPr>
        <w:t>klimatska pi</w:t>
      </w:r>
      <w:r w:rsidR="00E15BBD" w:rsidRPr="00654E3B">
        <w:rPr>
          <w:rFonts w:cs="Times New Roman"/>
        </w:rPr>
        <w:t>tanja</w:t>
      </w:r>
      <w:r w:rsidRPr="00654E3B">
        <w:rPr>
          <w:rFonts w:cs="Times New Roman"/>
        </w:rPr>
        <w:t>, pasivnost u spoznaji problema i neadekvatno, interno, pretežno - svjesno ili nesvjesno - visoko-ugljično ponašanje.</w:t>
      </w:r>
    </w:p>
    <w:p w:rsidR="007D4A93" w:rsidRPr="00654E3B" w:rsidRDefault="00EF0BEB">
      <w:pPr>
        <w:pStyle w:val="NormalWeb"/>
        <w:rPr>
          <w:rFonts w:eastAsia="Times New Roman" w:cs="Times New Roman"/>
        </w:rPr>
      </w:pPr>
      <w:r w:rsidRPr="00654E3B">
        <w:rPr>
          <w:rFonts w:cs="Times New Roman"/>
        </w:rPr>
        <w:t>Pod utjecajem rastućih negativnih posljedica klimatskih promjena diljem svijeta</w:t>
      </w:r>
      <w:r w:rsidR="00B64585" w:rsidRPr="00654E3B">
        <w:rPr>
          <w:rFonts w:cs="Times New Roman"/>
        </w:rPr>
        <w:t>,</w:t>
      </w:r>
      <w:r w:rsidRPr="00654E3B">
        <w:rPr>
          <w:rFonts w:cs="Times New Roman"/>
        </w:rPr>
        <w:t xml:space="preserve"> dolazi do promjene poimanja i obrazaca ponašanja građana i svih aktera koji donose razvojne odluke u smjeru razvoja Republike Hrvatske kao niskougljičnog društva. Promjene se izravno </w:t>
      </w:r>
      <w:r w:rsidR="005D2CB6" w:rsidRPr="00654E3B">
        <w:rPr>
          <w:rFonts w:cs="Times New Roman"/>
        </w:rPr>
        <w:t>nadovezuju</w:t>
      </w:r>
      <w:r w:rsidRPr="00654E3B">
        <w:rPr>
          <w:rFonts w:cs="Times New Roman"/>
        </w:rPr>
        <w:t xml:space="preserve"> na sustavno i kvalitetno obrazovanje i osvješćivanje mladih i </w:t>
      </w:r>
      <w:r w:rsidR="00535D01" w:rsidRPr="00654E3B">
        <w:rPr>
          <w:rFonts w:cs="Times New Roman"/>
        </w:rPr>
        <w:t xml:space="preserve">ostalih </w:t>
      </w:r>
      <w:r w:rsidRPr="00654E3B">
        <w:rPr>
          <w:rFonts w:cs="Times New Roman"/>
        </w:rPr>
        <w:t>građana Republike Hrvatske o klimatskim promjenama</w:t>
      </w:r>
      <w:r w:rsidR="00535D01" w:rsidRPr="00654E3B">
        <w:rPr>
          <w:rFonts w:cs="Times New Roman"/>
        </w:rPr>
        <w:t>,</w:t>
      </w:r>
      <w:r w:rsidRPr="00654E3B">
        <w:rPr>
          <w:rFonts w:cs="Times New Roman"/>
        </w:rPr>
        <w:t xml:space="preserve"> čemu doprinosi i svijest o rastućim utjecajima negativnih posljedica klimatskih promjena u Hrvatskoj i diljem svijeta. Pri tome je korištenje iskustva razvijenih europskih</w:t>
      </w:r>
      <w:r w:rsidRPr="00654E3B">
        <w:rPr>
          <w:rFonts w:eastAsia="Times New Roman" w:cs="Times New Roman"/>
        </w:rPr>
        <w:t xml:space="preserve"> zemalja koje prednjače u procesu klimatskog </w:t>
      </w:r>
      <w:r w:rsidR="005D2CB6" w:rsidRPr="00654E3B">
        <w:rPr>
          <w:rFonts w:eastAsia="Times New Roman" w:cs="Times New Roman"/>
        </w:rPr>
        <w:t xml:space="preserve">osvješćivanja </w:t>
      </w:r>
      <w:r w:rsidRPr="00654E3B">
        <w:rPr>
          <w:rFonts w:eastAsia="Times New Roman" w:cs="Times New Roman"/>
        </w:rPr>
        <w:t>od značajne koristi.</w:t>
      </w:r>
    </w:p>
    <w:p w:rsidR="007D4A93" w:rsidRPr="00654E3B" w:rsidRDefault="00EF0BEB">
      <w:pPr>
        <w:rPr>
          <w:rFonts w:cs="Times New Roman"/>
        </w:rPr>
      </w:pPr>
      <w:r w:rsidRPr="00654E3B">
        <w:rPr>
          <w:rFonts w:cs="Times New Roman"/>
        </w:rPr>
        <w:t>U razdoblju do 2030. godine</w:t>
      </w:r>
      <w:r w:rsidR="00535D01" w:rsidRPr="00654E3B">
        <w:rPr>
          <w:rFonts w:cs="Times New Roman"/>
        </w:rPr>
        <w:t>,</w:t>
      </w:r>
      <w:r w:rsidRPr="00654E3B">
        <w:rPr>
          <w:rFonts w:cs="Times New Roman"/>
        </w:rPr>
        <w:t xml:space="preserve"> previđa se </w:t>
      </w:r>
      <w:r w:rsidR="00535D01" w:rsidRPr="00654E3B">
        <w:rPr>
          <w:rFonts w:cs="Times New Roman"/>
        </w:rPr>
        <w:t xml:space="preserve">brža </w:t>
      </w:r>
      <w:r w:rsidRPr="00654E3B">
        <w:rPr>
          <w:rFonts w:cs="Times New Roman"/>
        </w:rPr>
        <w:t>promjena načina poimanja i obrazaca ponašanja u smjeru Republike Hrvatske kao niskougljičnog društva. Procesi u europskom okruženju te svijetu biti će dodatno globalizirani i slični. S jedne strane, sustavno će rasti osviještenost za klimatska pitanja, s druge strane će se trebati obrazovati za nove vještine koje će moći odgovoriti izazovima tranzicije prema niskougljičnom razvoju, a s treće</w:t>
      </w:r>
      <w:r w:rsidR="00535D01" w:rsidRPr="00654E3B">
        <w:rPr>
          <w:rFonts w:cs="Times New Roman"/>
        </w:rPr>
        <w:t>,</w:t>
      </w:r>
      <w:r w:rsidRPr="00654E3B">
        <w:rPr>
          <w:rFonts w:cs="Times New Roman"/>
        </w:rPr>
        <w:t xml:space="preserve"> obrasci ponašanja će se mijenjati primjenom </w:t>
      </w:r>
      <w:r w:rsidR="005D2CB6" w:rsidRPr="00654E3B">
        <w:rPr>
          <w:rFonts w:cs="Times New Roman"/>
        </w:rPr>
        <w:t>n</w:t>
      </w:r>
      <w:r w:rsidRPr="00654E3B">
        <w:rPr>
          <w:rFonts w:cs="Times New Roman"/>
        </w:rPr>
        <w:t>iskougljičnih praktičnih rješenja u organizaciji društvenog života, pro</w:t>
      </w:r>
      <w:r w:rsidR="000F5374" w:rsidRPr="00654E3B">
        <w:rPr>
          <w:rFonts w:cs="Times New Roman"/>
        </w:rPr>
        <w:t>izvodn</w:t>
      </w:r>
      <w:r w:rsidRPr="00654E3B">
        <w:rPr>
          <w:rFonts w:cs="Times New Roman"/>
        </w:rPr>
        <w:t>je, potrošnje i upravljanja razvojem u smjeru porasta održivosti.</w:t>
      </w:r>
    </w:p>
    <w:p w:rsidR="007D4A93" w:rsidRPr="00654E3B" w:rsidRDefault="00EF0BEB">
      <w:pPr>
        <w:pStyle w:val="Heading1"/>
        <w:rPr>
          <w:rFonts w:ascii="Times New Roman" w:hAnsi="Times New Roman" w:cs="Times New Roman"/>
        </w:rPr>
      </w:pPr>
      <w:bookmarkStart w:id="320" w:name="_Toc69297786"/>
      <w:bookmarkStart w:id="321" w:name="_Toc20841319"/>
      <w:bookmarkStart w:id="322" w:name="_Toc20841425"/>
      <w:r w:rsidRPr="00654E3B">
        <w:rPr>
          <w:rFonts w:ascii="Times New Roman" w:hAnsi="Times New Roman" w:cs="Times New Roman"/>
        </w:rPr>
        <w:t>10.</w:t>
      </w:r>
      <w:r w:rsidRPr="00654E3B">
        <w:rPr>
          <w:rFonts w:ascii="Times New Roman" w:hAnsi="Times New Roman" w:cs="Times New Roman"/>
        </w:rPr>
        <w:tab/>
        <w:t>ISTRAŽIVANJA, TEHNOLOŠKI RAZVOJ I INOVACIJE</w:t>
      </w:r>
      <w:bookmarkEnd w:id="320"/>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Niskougljični razvoj je potrebno integrirati u programe poticanja inovacija, istraživanja i razvoja visokih tehnologija u privatnom i javnom sektoru. Republika Hrvatska zaostaje u financiranju istraživanja, razvoja i inovacija za drugim državama EU, koji je na razini oko</w:t>
      </w:r>
      <w:r w:rsidR="003B2515" w:rsidRPr="00654E3B">
        <w:rPr>
          <w:rFonts w:cs="Times New Roman"/>
        </w:rPr>
        <w:t xml:space="preserve"> ili preko</w:t>
      </w:r>
      <w:r w:rsidRPr="00654E3B">
        <w:rPr>
          <w:rFonts w:cs="Times New Roman"/>
        </w:rPr>
        <w:t xml:space="preserve"> 3</w:t>
      </w:r>
      <w:r w:rsidR="00060992" w:rsidRPr="00654E3B">
        <w:rPr>
          <w:rFonts w:cs="Times New Roman"/>
        </w:rPr>
        <w:t xml:space="preserve"> %</w:t>
      </w:r>
      <w:r w:rsidRPr="00654E3B">
        <w:rPr>
          <w:rFonts w:cs="Times New Roman"/>
        </w:rPr>
        <w:t xml:space="preserve"> BDP-a. </w:t>
      </w:r>
      <w:r w:rsidR="003B2515" w:rsidRPr="00654E3B">
        <w:rPr>
          <w:rFonts w:cs="Times New Roman"/>
        </w:rPr>
        <w:t>U Republici Hrvatskoj u 2018. godini na istraživačko-razvojnu djelatnost utrošeno je 3,7 milijardi kuna, što je za 17,8</w:t>
      </w:r>
      <w:r w:rsidR="00060992" w:rsidRPr="00654E3B">
        <w:rPr>
          <w:rFonts w:cs="Times New Roman"/>
        </w:rPr>
        <w:t xml:space="preserve"> %</w:t>
      </w:r>
      <w:r w:rsidR="003B2515" w:rsidRPr="00654E3B">
        <w:rPr>
          <w:rFonts w:cs="Times New Roman"/>
        </w:rPr>
        <w:t xml:space="preserve"> više u odnosu na prethodnu godinu, no udio izdataka za istraživanje i razvoj </w:t>
      </w:r>
      <w:r w:rsidR="00757219" w:rsidRPr="00654E3B">
        <w:rPr>
          <w:rFonts w:cs="Times New Roman"/>
        </w:rPr>
        <w:t xml:space="preserve">u </w:t>
      </w:r>
      <w:r w:rsidR="003B2515" w:rsidRPr="00654E3B">
        <w:rPr>
          <w:rFonts w:cs="Times New Roman"/>
        </w:rPr>
        <w:t xml:space="preserve">BDP-u u 2018. </w:t>
      </w:r>
      <w:r w:rsidR="00757219" w:rsidRPr="00654E3B">
        <w:rPr>
          <w:rFonts w:cs="Times New Roman"/>
        </w:rPr>
        <w:t xml:space="preserve">godini </w:t>
      </w:r>
      <w:r w:rsidR="003B2515" w:rsidRPr="00654E3B">
        <w:rPr>
          <w:rFonts w:cs="Times New Roman"/>
        </w:rPr>
        <w:t>iznosio je 0,97</w:t>
      </w:r>
      <w:r w:rsidR="00060992" w:rsidRPr="00654E3B">
        <w:rPr>
          <w:rFonts w:cs="Times New Roman"/>
        </w:rPr>
        <w:t xml:space="preserve"> %</w:t>
      </w:r>
      <w:r w:rsidR="00757219" w:rsidRPr="00654E3B">
        <w:rPr>
          <w:rFonts w:cs="Times New Roman"/>
        </w:rPr>
        <w:t xml:space="preserve">. </w:t>
      </w:r>
      <w:r w:rsidR="003B2515" w:rsidRPr="00654E3B">
        <w:rPr>
          <w:rFonts w:cs="Times New Roman"/>
        </w:rPr>
        <w:t>U Republici Hrvatskoj u 2019. godini na istraživačko- razvojnu djelatnost utrošeno je 4,5 milijarde kuna što je za 19,7</w:t>
      </w:r>
      <w:r w:rsidR="00060992" w:rsidRPr="00654E3B">
        <w:rPr>
          <w:rFonts w:cs="Times New Roman"/>
        </w:rPr>
        <w:t xml:space="preserve"> %</w:t>
      </w:r>
      <w:r w:rsidR="003B2515" w:rsidRPr="00654E3B">
        <w:rPr>
          <w:rFonts w:cs="Times New Roman"/>
        </w:rPr>
        <w:t xml:space="preserve"> više u odnosu na prethodnu godinu, no udio izdataka za istraživanje i razvoj u BDP-u u 2019. godini iznosio </w:t>
      </w:r>
      <w:r w:rsidR="00757219" w:rsidRPr="00654E3B">
        <w:rPr>
          <w:rFonts w:cs="Times New Roman"/>
        </w:rPr>
        <w:t xml:space="preserve">je </w:t>
      </w:r>
      <w:r w:rsidR="003B2515" w:rsidRPr="00654E3B">
        <w:rPr>
          <w:rFonts w:cs="Times New Roman"/>
        </w:rPr>
        <w:t>1,11</w:t>
      </w:r>
      <w:r w:rsidR="00060992" w:rsidRPr="00654E3B">
        <w:rPr>
          <w:rFonts w:cs="Times New Roman"/>
        </w:rPr>
        <w:t xml:space="preserve"> %</w:t>
      </w:r>
      <w:r w:rsidR="00757219" w:rsidRPr="00654E3B">
        <w:rPr>
          <w:rFonts w:cs="Times New Roman"/>
        </w:rPr>
        <w:t>.</w:t>
      </w:r>
      <w:r w:rsidRPr="00654E3B">
        <w:rPr>
          <w:rFonts w:cs="Times New Roman"/>
        </w:rPr>
        <w:t xml:space="preserve"> Istraživanje i razvoj su među najvećim potencijalnim faktorima doprinosa rastu BDP-a, odmah nakon povećanja zaposlenosti, stoga je u Hrvatskoj potrebno povećanje izdataka za istraživanje i razvoj, bliže prosječnoj razini EU-a.</w:t>
      </w:r>
    </w:p>
    <w:p w:rsidR="007D4A93" w:rsidRPr="00654E3B" w:rsidRDefault="00EF0BEB">
      <w:pPr>
        <w:rPr>
          <w:rFonts w:cs="Times New Roman"/>
        </w:rPr>
      </w:pPr>
      <w:r w:rsidRPr="00654E3B">
        <w:rPr>
          <w:rFonts w:cs="Times New Roman"/>
        </w:rPr>
        <w:lastRenderedPageBreak/>
        <w:t>U Strategiji pametne specijalizacije Republike Hrvatske za razdoblje do 2020. godine, definirane su uz pet tematskih prioritetnih područja dvije horizontalne teme koje predstavljaju međusektorske tehnologije i procese i služe kao pokretači rasta unutar tematskih prioritetnih područja, a to su tzv. ključne razvojne tehnologije i informacijsko-komunikacijska tehnologija. Ključne razvojne tehnologije</w:t>
      </w:r>
      <w:r w:rsidR="00E00F6E" w:rsidRPr="00654E3B">
        <w:rPr>
          <w:rFonts w:cs="Times New Roman"/>
        </w:rPr>
        <w:t>,</w:t>
      </w:r>
      <w:r w:rsidRPr="00654E3B">
        <w:rPr>
          <w:rFonts w:cs="Times New Roman"/>
        </w:rPr>
        <w:t xml:space="preserve"> omogućuju prijelaz s tradicionalnog gospodarstva na gospodarstvo s niskom emisijom ugljika</w:t>
      </w:r>
      <w:r w:rsidR="00E00F6E" w:rsidRPr="00654E3B">
        <w:rPr>
          <w:rFonts w:cs="Times New Roman"/>
        </w:rPr>
        <w:t>,</w:t>
      </w:r>
      <w:r w:rsidRPr="00654E3B">
        <w:rPr>
          <w:rFonts w:cs="Times New Roman"/>
        </w:rPr>
        <w:t xml:space="preserve"> temeljeno na znanju. One imaju važnu ulogu u razvoju, inovaciji i jačanju konkurentnosti industrije, a uključuju biotehnologiju, mikro i nano-elektroniku i fotoniku te druge napredne materijale i tehnologije. Budući da je Strategija pametne specijalizacije jedan od temeljnih strateških dokumenata u području tehnološkog razvoja i inovacija, ovime su stvorene početne pretpostavke za tranziciju u niskougljično gospodarstvo i za uključivanje u ovaj proces</w:t>
      </w:r>
      <w:r w:rsidR="00E00F6E" w:rsidRPr="00654E3B">
        <w:rPr>
          <w:rFonts w:cs="Times New Roman"/>
        </w:rPr>
        <w:t>,</w:t>
      </w:r>
      <w:r w:rsidRPr="00654E3B">
        <w:rPr>
          <w:rFonts w:cs="Times New Roman"/>
        </w:rPr>
        <w:t xml:space="preserve"> institucija nadležnih za podršku poslovnim ulaganjima u istraživanje, razvoj i inovacije.</w:t>
      </w:r>
    </w:p>
    <w:p w:rsidR="009059EA" w:rsidRPr="00654E3B" w:rsidRDefault="009059EA">
      <w:pPr>
        <w:rPr>
          <w:rFonts w:cs="Times New Roman"/>
        </w:rPr>
      </w:pPr>
      <w:r w:rsidRPr="00654E3B">
        <w:rPr>
          <w:rFonts w:cs="Times New Roman"/>
        </w:rPr>
        <w:t>Novi okvirni program EU za istraživanje i inovacije za razdoblje 2021-2027, Obzor Europa</w:t>
      </w:r>
      <w:r w:rsidR="00E00F6E" w:rsidRPr="00654E3B">
        <w:rPr>
          <w:rFonts w:cs="Times New Roman"/>
        </w:rPr>
        <w:t>,</w:t>
      </w:r>
      <w:r w:rsidRPr="00654E3B">
        <w:rPr>
          <w:rFonts w:cs="Times New Roman"/>
        </w:rPr>
        <w:t xml:space="preserve"> igra ključnu ulogu u oblikovanju, potpori i provedbi prioriteta europske politike, uključujući Europski zeleni plan, kojem istraživanje i inovacije trebaju horizontalno </w:t>
      </w:r>
      <w:r w:rsidR="00B2469E" w:rsidRPr="00654E3B">
        <w:rPr>
          <w:rFonts w:cs="Times New Roman"/>
        </w:rPr>
        <w:t>doprinijeti</w:t>
      </w:r>
      <w:r w:rsidRPr="00654E3B">
        <w:rPr>
          <w:rFonts w:cs="Times New Roman"/>
        </w:rPr>
        <w:t>. Predviđeno je da će više od 35</w:t>
      </w:r>
      <w:r w:rsidR="00060992" w:rsidRPr="00654E3B">
        <w:rPr>
          <w:rFonts w:cs="Times New Roman"/>
        </w:rPr>
        <w:t xml:space="preserve"> %</w:t>
      </w:r>
      <w:r w:rsidRPr="00654E3B">
        <w:rPr>
          <w:rFonts w:cs="Times New Roman"/>
        </w:rPr>
        <w:t xml:space="preserve"> ukupnih sredstava unutar Obzor Europa doprinijeti ostvarivanju ciljeva zelenog plana. U skladu s ovim određenjem EU</w:t>
      </w:r>
      <w:r w:rsidR="00E00F6E" w:rsidRPr="00654E3B">
        <w:rPr>
          <w:rFonts w:cs="Times New Roman"/>
        </w:rPr>
        <w:t>,</w:t>
      </w:r>
      <w:r w:rsidRPr="00654E3B">
        <w:rPr>
          <w:rFonts w:cs="Times New Roman"/>
        </w:rPr>
        <w:t xml:space="preserve"> predlaže</w:t>
      </w:r>
      <w:r w:rsidR="000F5374" w:rsidRPr="00654E3B">
        <w:rPr>
          <w:rFonts w:cs="Times New Roman"/>
        </w:rPr>
        <w:t xml:space="preserve"> se</w:t>
      </w:r>
      <w:r w:rsidRPr="00654E3B">
        <w:rPr>
          <w:rFonts w:cs="Times New Roman"/>
        </w:rPr>
        <w:t xml:space="preserve"> da 30</w:t>
      </w:r>
      <w:r w:rsidR="00060992" w:rsidRPr="00654E3B">
        <w:rPr>
          <w:rFonts w:cs="Times New Roman"/>
        </w:rPr>
        <w:t xml:space="preserve"> %</w:t>
      </w:r>
      <w:r w:rsidRPr="00654E3B">
        <w:rPr>
          <w:rFonts w:cs="Times New Roman"/>
        </w:rPr>
        <w:t xml:space="preserve"> svih nacionalnih ulaganja u znanost u Republici </w:t>
      </w:r>
      <w:r w:rsidR="004F43C3" w:rsidRPr="00654E3B">
        <w:rPr>
          <w:rFonts w:cs="Times New Roman"/>
        </w:rPr>
        <w:t>Hrvatskoj mora biti vezano uz “</w:t>
      </w:r>
      <w:r w:rsidRPr="00654E3B">
        <w:rPr>
          <w:rFonts w:cs="Times New Roman"/>
        </w:rPr>
        <w:t>zelena istraživanja“, odnosno uz istraživanja koja doprinose ostvarivanja ciljeva Europskog zelenog plana</w:t>
      </w:r>
      <w:r w:rsidR="0061628D" w:rsidRPr="00654E3B">
        <w:rPr>
          <w:rFonts w:cs="Times New Roman"/>
        </w:rPr>
        <w:t>.</w:t>
      </w:r>
    </w:p>
    <w:p w:rsidR="007D4A93" w:rsidRPr="00654E3B" w:rsidRDefault="00EF0BEB">
      <w:pPr>
        <w:rPr>
          <w:rFonts w:cs="Times New Roman"/>
        </w:rPr>
      </w:pPr>
      <w:r w:rsidRPr="00654E3B">
        <w:rPr>
          <w:rFonts w:cs="Times New Roman"/>
        </w:rPr>
        <w:t>Neke od specifičnih mjera za niskougljični tehnološki razvoj, inovacije i istraživanja mogu biti:</w:t>
      </w:r>
    </w:p>
    <w:p w:rsidR="007D4A93" w:rsidRPr="00654E3B" w:rsidRDefault="00EF0BEB" w:rsidP="000C6795">
      <w:pPr>
        <w:pStyle w:val="ListParagraph"/>
        <w:numPr>
          <w:ilvl w:val="0"/>
          <w:numId w:val="16"/>
        </w:numPr>
        <w:rPr>
          <w:rFonts w:cs="Times New Roman"/>
        </w:rPr>
      </w:pPr>
      <w:r w:rsidRPr="00654E3B">
        <w:rPr>
          <w:rFonts w:cs="Times New Roman"/>
        </w:rPr>
        <w:t>sufinanciranje projekata industrijskog istraživanja i eksperimentalnog razvoja usklađenih sa Strategijom pametne specijalizacije i Niskougljičnom strategijom</w:t>
      </w:r>
    </w:p>
    <w:p w:rsidR="007D4A93" w:rsidRPr="00654E3B" w:rsidRDefault="00EF0BEB" w:rsidP="000C6795">
      <w:pPr>
        <w:pStyle w:val="ListParagraph"/>
        <w:numPr>
          <w:ilvl w:val="0"/>
          <w:numId w:val="16"/>
        </w:numPr>
        <w:rPr>
          <w:rFonts w:cs="Times New Roman"/>
        </w:rPr>
      </w:pPr>
      <w:r w:rsidRPr="00654E3B">
        <w:rPr>
          <w:rFonts w:cs="Times New Roman"/>
        </w:rPr>
        <w:t>sufinanciranje razvoja poduzetništva na području pametne specijalizacije i niskougljičnog gospodarstva</w:t>
      </w:r>
    </w:p>
    <w:p w:rsidR="007D4A93" w:rsidRPr="00654E3B" w:rsidRDefault="00EF0BEB" w:rsidP="000C6795">
      <w:pPr>
        <w:pStyle w:val="ListParagraph"/>
        <w:numPr>
          <w:ilvl w:val="0"/>
          <w:numId w:val="16"/>
        </w:numPr>
        <w:rPr>
          <w:rFonts w:cs="Times New Roman"/>
        </w:rPr>
      </w:pPr>
      <w:r w:rsidRPr="00654E3B">
        <w:rPr>
          <w:rFonts w:cs="Times New Roman"/>
        </w:rPr>
        <w:t>omogućavanje stjecanja domaćih referenci putem modela zajedničkog razvoja s javnim sektorom</w:t>
      </w:r>
    </w:p>
    <w:p w:rsidR="007D4A93" w:rsidRPr="00654E3B" w:rsidRDefault="00EF0BEB" w:rsidP="000C6795">
      <w:pPr>
        <w:pStyle w:val="ListParagraph"/>
        <w:numPr>
          <w:ilvl w:val="0"/>
          <w:numId w:val="16"/>
        </w:numPr>
        <w:rPr>
          <w:rFonts w:cs="Times New Roman"/>
        </w:rPr>
      </w:pPr>
      <w:r w:rsidRPr="00654E3B">
        <w:rPr>
          <w:rFonts w:cs="Times New Roman"/>
        </w:rPr>
        <w:t>raspoznavanje teme klimatskih promjena kao interdisciplinarno polje znanosti pri utvrđivanju kriterija i uvjeta za stjecanje znanstvenog statusa pravnih i fizičkih osoba.</w:t>
      </w:r>
    </w:p>
    <w:p w:rsidR="007D4A93" w:rsidRPr="00654E3B" w:rsidRDefault="00EF0BEB">
      <w:pPr>
        <w:rPr>
          <w:rFonts w:cs="Times New Roman"/>
        </w:rPr>
      </w:pPr>
      <w:r w:rsidRPr="00654E3B">
        <w:rPr>
          <w:rFonts w:cs="Times New Roman"/>
        </w:rPr>
        <w:t>Istraživanja su potrebna po sljedećim temama:</w:t>
      </w:r>
    </w:p>
    <w:p w:rsidR="007D4A93" w:rsidRPr="00654E3B" w:rsidRDefault="00EF0BEB" w:rsidP="000C6795">
      <w:pPr>
        <w:pStyle w:val="ListParagraph"/>
        <w:numPr>
          <w:ilvl w:val="0"/>
          <w:numId w:val="17"/>
        </w:numPr>
        <w:rPr>
          <w:rFonts w:cs="Times New Roman"/>
        </w:rPr>
      </w:pPr>
      <w:r w:rsidRPr="00654E3B">
        <w:rPr>
          <w:rFonts w:cs="Times New Roman"/>
        </w:rPr>
        <w:t>razvoj modela, metoda za integralno upravljanje ugljikom, za unapređenje proračuna emisija/</w:t>
      </w:r>
      <w:r w:rsidR="00BF4CA8" w:rsidRPr="00654E3B">
        <w:rPr>
          <w:rFonts w:cs="Times New Roman"/>
        </w:rPr>
        <w:t>ponora</w:t>
      </w:r>
      <w:r w:rsidRPr="00654E3B">
        <w:rPr>
          <w:rFonts w:cs="Times New Roman"/>
        </w:rPr>
        <w:t>, za projekcije emisija/</w:t>
      </w:r>
      <w:r w:rsidR="00BF4CA8" w:rsidRPr="00654E3B">
        <w:rPr>
          <w:rFonts w:cs="Times New Roman"/>
        </w:rPr>
        <w:t>ponora</w:t>
      </w:r>
      <w:r w:rsidRPr="00654E3B">
        <w:rPr>
          <w:rFonts w:cs="Times New Roman"/>
        </w:rPr>
        <w:t>, za primjenu proračuna po metodi ukupnog životnog ciklusa</w:t>
      </w:r>
    </w:p>
    <w:p w:rsidR="007D4A93" w:rsidRPr="00654E3B" w:rsidRDefault="00EF0BEB" w:rsidP="000C6795">
      <w:pPr>
        <w:pStyle w:val="ListParagraph"/>
        <w:numPr>
          <w:ilvl w:val="0"/>
          <w:numId w:val="17"/>
        </w:numPr>
        <w:rPr>
          <w:rFonts w:cs="Times New Roman"/>
        </w:rPr>
      </w:pPr>
      <w:r w:rsidRPr="00654E3B">
        <w:rPr>
          <w:rFonts w:cs="Times New Roman"/>
        </w:rPr>
        <w:t xml:space="preserve">istraživanje tehnologija, tehničkih i ne-tehničkih mjera za smanjenje emisija i povećanje </w:t>
      </w:r>
      <w:r w:rsidR="00BF4CA8" w:rsidRPr="00654E3B">
        <w:rPr>
          <w:rFonts w:cs="Times New Roman"/>
        </w:rPr>
        <w:t>ponora</w:t>
      </w:r>
      <w:r w:rsidRPr="00654E3B">
        <w:rPr>
          <w:rFonts w:cs="Times New Roman"/>
        </w:rPr>
        <w:t xml:space="preserve"> u svim sektorima (energetika, promet, poljoprivreda, šumarstvo, otpad i industrijski procesi)</w:t>
      </w:r>
    </w:p>
    <w:p w:rsidR="007D4A93" w:rsidRPr="00654E3B" w:rsidRDefault="00EF0BEB" w:rsidP="000C6795">
      <w:pPr>
        <w:pStyle w:val="ListParagraph"/>
        <w:numPr>
          <w:ilvl w:val="0"/>
          <w:numId w:val="17"/>
        </w:numPr>
        <w:rPr>
          <w:rFonts w:cs="Times New Roman"/>
        </w:rPr>
      </w:pPr>
      <w:r w:rsidRPr="00654E3B">
        <w:rPr>
          <w:rFonts w:cs="Times New Roman"/>
        </w:rPr>
        <w:t>istraživanja mogućnosti korištenja, načina skladištenja, transporta i geološkog skladištenja CO</w:t>
      </w:r>
      <w:r w:rsidRPr="00654E3B">
        <w:rPr>
          <w:rFonts w:cs="Times New Roman"/>
          <w:vertAlign w:val="subscript"/>
        </w:rPr>
        <w:t>2</w:t>
      </w:r>
    </w:p>
    <w:p w:rsidR="007D4A93" w:rsidRPr="00654E3B" w:rsidRDefault="00EF0BEB" w:rsidP="000C6795">
      <w:pPr>
        <w:pStyle w:val="ListParagraph"/>
        <w:numPr>
          <w:ilvl w:val="0"/>
          <w:numId w:val="18"/>
        </w:numPr>
        <w:rPr>
          <w:rFonts w:cs="Times New Roman"/>
        </w:rPr>
      </w:pPr>
      <w:r w:rsidRPr="00654E3B">
        <w:rPr>
          <w:rFonts w:cs="Times New Roman"/>
        </w:rPr>
        <w:t>istraživanja poveznica između ublažavanja klimatskih promjena i prilagodbe klimatskim promjenama, te interakcije s ostalim sastavnicama okoliša</w:t>
      </w:r>
    </w:p>
    <w:p w:rsidR="007D4A93" w:rsidRPr="00654E3B" w:rsidRDefault="00EF0BEB" w:rsidP="000C6795">
      <w:pPr>
        <w:pStyle w:val="ListParagraph"/>
        <w:numPr>
          <w:ilvl w:val="0"/>
          <w:numId w:val="18"/>
        </w:numPr>
        <w:rPr>
          <w:rFonts w:cs="Times New Roman"/>
        </w:rPr>
      </w:pPr>
      <w:r w:rsidRPr="00654E3B">
        <w:rPr>
          <w:rFonts w:cs="Times New Roman"/>
        </w:rPr>
        <w:t>razvoj integralnih modela procjene učinaka politika i mjera za ublažavanje klimatskih promjena na gospodarstvo, društvo i okoliš</w:t>
      </w:r>
    </w:p>
    <w:p w:rsidR="007D4A93" w:rsidRPr="00654E3B" w:rsidRDefault="00EF0BEB" w:rsidP="000C6795">
      <w:pPr>
        <w:pStyle w:val="ListParagraph"/>
        <w:numPr>
          <w:ilvl w:val="0"/>
          <w:numId w:val="18"/>
        </w:numPr>
        <w:rPr>
          <w:rFonts w:cs="Times New Roman"/>
        </w:rPr>
      </w:pPr>
      <w:r w:rsidRPr="00654E3B">
        <w:rPr>
          <w:rFonts w:cs="Times New Roman"/>
        </w:rPr>
        <w:t>istraživanja socioloških aspekata klimatskih promjena, razvoj modela i metoda promidžbe i podizanja javne svijesti o klimatskim promjenama</w:t>
      </w:r>
    </w:p>
    <w:p w:rsidR="007D4A93" w:rsidRPr="00654E3B" w:rsidRDefault="00EF0BEB" w:rsidP="000C6795">
      <w:pPr>
        <w:pStyle w:val="ListParagraph"/>
        <w:numPr>
          <w:ilvl w:val="0"/>
          <w:numId w:val="18"/>
        </w:numPr>
        <w:rPr>
          <w:rFonts w:cs="Times New Roman"/>
        </w:rPr>
      </w:pPr>
      <w:r w:rsidRPr="00654E3B">
        <w:rPr>
          <w:rFonts w:cs="Times New Roman"/>
        </w:rPr>
        <w:t>istraživanja u cilju unapređenja sustava obrazovanja, pametnih specijalizacija i životnog obrazovanja kao dijela odgovora na izazov ublažavanja klimatskih promjena</w:t>
      </w:r>
    </w:p>
    <w:p w:rsidR="007D4A93" w:rsidRPr="00654E3B" w:rsidRDefault="00EF0BEB" w:rsidP="000C6795">
      <w:pPr>
        <w:pStyle w:val="ListParagraph"/>
        <w:numPr>
          <w:ilvl w:val="0"/>
          <w:numId w:val="18"/>
        </w:numPr>
        <w:rPr>
          <w:rFonts w:cs="Times New Roman"/>
        </w:rPr>
      </w:pPr>
      <w:r w:rsidRPr="00654E3B">
        <w:rPr>
          <w:rFonts w:cs="Times New Roman"/>
        </w:rPr>
        <w:t xml:space="preserve">istraživanja modela financiranja, posebice mogućih modela javno privatnog partnerstva  </w:t>
      </w:r>
    </w:p>
    <w:p w:rsidR="007D4A93" w:rsidRPr="00654E3B" w:rsidRDefault="00EF0BEB" w:rsidP="000C6795">
      <w:pPr>
        <w:pStyle w:val="ListParagraph"/>
        <w:numPr>
          <w:ilvl w:val="0"/>
          <w:numId w:val="18"/>
        </w:numPr>
        <w:rPr>
          <w:rFonts w:cs="Times New Roman"/>
        </w:rPr>
      </w:pPr>
      <w:r w:rsidRPr="00654E3B">
        <w:rPr>
          <w:rFonts w:cs="Times New Roman"/>
        </w:rPr>
        <w:t>istraživanja potencijala biomase, bioplina, sintetskog plina i vodika dobivenog iz otpada, proizvodnje biomase, bioplina, sintetskog plina i vodika, korištenja biomase i s tim u vezi socio-gospodarskih aspekata</w:t>
      </w:r>
    </w:p>
    <w:p w:rsidR="007D4A93" w:rsidRPr="00654E3B" w:rsidRDefault="00EF0BEB" w:rsidP="000C6795">
      <w:pPr>
        <w:pStyle w:val="ListParagraph"/>
        <w:numPr>
          <w:ilvl w:val="0"/>
          <w:numId w:val="18"/>
        </w:numPr>
        <w:rPr>
          <w:rFonts w:cs="Times New Roman"/>
        </w:rPr>
      </w:pPr>
      <w:r w:rsidRPr="00654E3B">
        <w:rPr>
          <w:rFonts w:cs="Times New Roman"/>
        </w:rPr>
        <w:t>istraživanja potencijala obnovljivih izvora energije, troškovi i koristi njihove upotrebe, njihovog utjecaja na okoliš, prirodu i ekološku mrežu</w:t>
      </w:r>
    </w:p>
    <w:p w:rsidR="007D4A93" w:rsidRPr="00654E3B" w:rsidRDefault="00EF0BEB" w:rsidP="000C6795">
      <w:pPr>
        <w:pStyle w:val="ListParagraph"/>
        <w:numPr>
          <w:ilvl w:val="0"/>
          <w:numId w:val="18"/>
        </w:numPr>
        <w:rPr>
          <w:rFonts w:cs="Times New Roman"/>
        </w:rPr>
      </w:pPr>
      <w:r w:rsidRPr="00654E3B">
        <w:rPr>
          <w:rFonts w:cs="Times New Roman"/>
        </w:rPr>
        <w:lastRenderedPageBreak/>
        <w:t>istraživanje tehnologije i potencijala u proizvodnji sintetskog metana i vodika u procesu dekarbonizacije prirodnog plina</w:t>
      </w:r>
    </w:p>
    <w:p w:rsidR="007D4A93" w:rsidRPr="00654E3B" w:rsidRDefault="00EF0BEB" w:rsidP="000C6795">
      <w:pPr>
        <w:pStyle w:val="ListParagraph"/>
        <w:numPr>
          <w:ilvl w:val="0"/>
          <w:numId w:val="18"/>
        </w:numPr>
        <w:rPr>
          <w:rFonts w:cs="Times New Roman"/>
        </w:rPr>
      </w:pPr>
      <w:r w:rsidRPr="00654E3B">
        <w:rPr>
          <w:rFonts w:cs="Times New Roman"/>
        </w:rPr>
        <w:t>studije integralnih rješenja, energetske učinkovitosti, obnovljivih izvora energije u svim sektorima, optimizacijski modeli za pametne gradove, zelene gradove i urbanu infrastrukturu</w:t>
      </w:r>
      <w:r w:rsidR="00E00F6E" w:rsidRPr="00654E3B">
        <w:rPr>
          <w:rFonts w:cs="Times New Roman"/>
        </w:rPr>
        <w:t>;</w:t>
      </w:r>
    </w:p>
    <w:p w:rsidR="007D4A93" w:rsidRPr="00654E3B" w:rsidRDefault="00EF0BEB" w:rsidP="000C6795">
      <w:pPr>
        <w:pStyle w:val="ListParagraph"/>
        <w:numPr>
          <w:ilvl w:val="0"/>
          <w:numId w:val="18"/>
        </w:numPr>
        <w:rPr>
          <w:rFonts w:cs="Times New Roman"/>
        </w:rPr>
      </w:pPr>
      <w:r w:rsidRPr="00654E3B">
        <w:rPr>
          <w:rFonts w:cs="Times New Roman"/>
        </w:rPr>
        <w:t>istraživanja naprednih mreža i pametnih sustava</w:t>
      </w:r>
    </w:p>
    <w:p w:rsidR="007D4A93" w:rsidRPr="00654E3B" w:rsidRDefault="00EF0BEB" w:rsidP="000C6795">
      <w:pPr>
        <w:pStyle w:val="ListParagraph"/>
        <w:numPr>
          <w:ilvl w:val="0"/>
          <w:numId w:val="18"/>
        </w:numPr>
        <w:rPr>
          <w:rFonts w:cs="Times New Roman"/>
        </w:rPr>
      </w:pPr>
      <w:r w:rsidRPr="00654E3B">
        <w:rPr>
          <w:rFonts w:cs="Times New Roman"/>
        </w:rPr>
        <w:t>razvoj koncepata i planiranja pametnih gradova</w:t>
      </w:r>
    </w:p>
    <w:p w:rsidR="007D4A93" w:rsidRPr="00654E3B" w:rsidRDefault="00EF0BEB" w:rsidP="000C6795">
      <w:pPr>
        <w:pStyle w:val="ListParagraph"/>
        <w:numPr>
          <w:ilvl w:val="0"/>
          <w:numId w:val="19"/>
        </w:numPr>
        <w:rPr>
          <w:rFonts w:cs="Times New Roman"/>
        </w:rPr>
      </w:pPr>
      <w:r w:rsidRPr="00654E3B">
        <w:rPr>
          <w:rFonts w:cs="Times New Roman"/>
        </w:rPr>
        <w:t>istraživanja vezano za izgradnju kružnog gospodarstva, uvođenje sustava upravljanja korištenjem resursa, energije i ugljičnog otiska</w:t>
      </w:r>
    </w:p>
    <w:p w:rsidR="007D4A93" w:rsidRPr="00654E3B" w:rsidRDefault="00EF0BEB" w:rsidP="000C6795">
      <w:pPr>
        <w:pStyle w:val="ListParagraph"/>
        <w:numPr>
          <w:ilvl w:val="0"/>
          <w:numId w:val="19"/>
        </w:numPr>
        <w:rPr>
          <w:rFonts w:cs="Times New Roman"/>
        </w:rPr>
      </w:pPr>
      <w:r w:rsidRPr="00654E3B">
        <w:rPr>
          <w:rFonts w:cs="Times New Roman"/>
        </w:rPr>
        <w:t>istraživanja održive mobilnosti u gradovima, kooperativnih, inteligentnih i automatiziranih rješenja u prometu</w:t>
      </w:r>
    </w:p>
    <w:p w:rsidR="007D4A93" w:rsidRPr="00654E3B" w:rsidRDefault="00EF0BEB" w:rsidP="000C6795">
      <w:pPr>
        <w:pStyle w:val="ListParagraph"/>
        <w:numPr>
          <w:ilvl w:val="0"/>
          <w:numId w:val="19"/>
        </w:numPr>
        <w:rPr>
          <w:rFonts w:cs="Times New Roman"/>
        </w:rPr>
      </w:pPr>
      <w:r w:rsidRPr="00654E3B">
        <w:rPr>
          <w:rFonts w:cs="Times New Roman"/>
        </w:rPr>
        <w:t>istraživanja o mogućnostima povećanja pohrane ugljika na poljoprivrednom zemljištu i mogućih inovativnih mjera u stočarstvu.</w:t>
      </w:r>
    </w:p>
    <w:p w:rsidR="007D4A93" w:rsidRPr="00654E3B" w:rsidRDefault="00EF0BEB">
      <w:pPr>
        <w:rPr>
          <w:rFonts w:cs="Times New Roman"/>
        </w:rPr>
      </w:pPr>
      <w:r w:rsidRPr="00654E3B">
        <w:rPr>
          <w:rFonts w:cs="Times New Roman"/>
        </w:rPr>
        <w:t>Osobiti tehnološki napredak očekuje se u primjeni ICT tehnologija u svim sektorima, osobito s velikim učinkom u energetici i prometu. Odlučujuću ulogu će imati razvoj sustava za pohranu energije, infrastruktura za električna vozila i baterije, autonomni sustavi u raznim sektorima i robotika.</w:t>
      </w:r>
    </w:p>
    <w:p w:rsidR="007D4A93" w:rsidRPr="00654E3B" w:rsidRDefault="00EF0BEB">
      <w:pPr>
        <w:rPr>
          <w:rFonts w:cs="Times New Roman"/>
        </w:rPr>
      </w:pPr>
      <w:r w:rsidRPr="00654E3B">
        <w:rPr>
          <w:rFonts w:cs="Times New Roman"/>
        </w:rPr>
        <w:t>Potrebna je financijska podrška svim projektima koji se apliciraju za Obzor Europa i LIFE program, kojima se povećava znanje potrebno za stvaranje zelenog i konkurentnog gospodarstva s niskim udjelom ugljika u kojem će se učinkovitije koristiti resursi</w:t>
      </w:r>
      <w:r w:rsidR="0061628D" w:rsidRPr="00654E3B">
        <w:rPr>
          <w:rFonts w:cs="Times New Roman"/>
        </w:rPr>
        <w:t>.</w:t>
      </w:r>
    </w:p>
    <w:p w:rsidR="0061628D" w:rsidRPr="00654E3B" w:rsidRDefault="00EF0BEB">
      <w:pPr>
        <w:rPr>
          <w:rFonts w:cs="Times New Roman"/>
        </w:rPr>
      </w:pPr>
      <w:r w:rsidRPr="00654E3B">
        <w:rPr>
          <w:rFonts w:cs="Times New Roman"/>
        </w:rPr>
        <w:t>Kao i u proteklom razdoblju, i dalje će glavni izvor financiranja biti ESI fondovi i sredstva prikupljena na dražbi emisijskih jedinica CO</w:t>
      </w:r>
      <w:r w:rsidRPr="00654E3B">
        <w:rPr>
          <w:rFonts w:cs="Times New Roman"/>
          <w:vertAlign w:val="subscript"/>
        </w:rPr>
        <w:t>2</w:t>
      </w:r>
      <w:r w:rsidR="00B634F3" w:rsidRPr="00654E3B">
        <w:rPr>
          <w:rFonts w:cs="Times New Roman"/>
        </w:rPr>
        <w:t>.</w:t>
      </w:r>
      <w:r w:rsidRPr="00654E3B">
        <w:rPr>
          <w:rFonts w:cs="Times New Roman"/>
        </w:rPr>
        <w:t xml:space="preserve"> </w:t>
      </w:r>
      <w:r w:rsidR="0061628D" w:rsidRPr="00654E3B">
        <w:rPr>
          <w:rFonts w:cs="Times New Roman"/>
        </w:rPr>
        <w:t xml:space="preserve">Početne pretpostavke za tranziciju u niskougljično gospodarstvo postavljene su donošenjem Strategije pametne specijalizacije Republike Hrvatske, a glavni dio sredstava za provedbu Strategije osigurava se iz Europskih strukturnih i investicijskih fondova. </w:t>
      </w:r>
      <w:r w:rsidRPr="00654E3B">
        <w:rPr>
          <w:rFonts w:cs="Times New Roman"/>
        </w:rPr>
        <w:t>Uz to, dostupan izvor financiranja bit će i sredstva iz ETS-a namijenjena za modernizaciju te financijski mehanizam za potporu inovacijama za razdoblje od 2021. do 2030. godine, u deset država članica EU čiji je BDP po stanovniku prema tržišnim cijenama bio niži od 60</w:t>
      </w:r>
      <w:r w:rsidR="00060992" w:rsidRPr="00654E3B">
        <w:rPr>
          <w:rFonts w:cs="Times New Roman"/>
        </w:rPr>
        <w:t xml:space="preserve"> %</w:t>
      </w:r>
      <w:r w:rsidRPr="00654E3B">
        <w:rPr>
          <w:rFonts w:cs="Times New Roman"/>
        </w:rPr>
        <w:t xml:space="preserve"> prosjeka EU, u koje spada i Republika Hrvatska. Europski zeleni plan raspoznaje nužnost osiguranja dodatnih sredstava za istraživanje, tehnološki razvoj i inovacije.</w:t>
      </w:r>
      <w:r w:rsidR="0061628D" w:rsidRPr="00654E3B">
        <w:rPr>
          <w:rFonts w:cs="Times New Roman"/>
        </w:rPr>
        <w:t xml:space="preserve"> Država će povećati ulaganje u istraživanje, razvoj i inovacije te ulaganje u transfer znanja i tehnologija i razvoj na znanju i inovacijama utemeljenih tehnologija</w:t>
      </w:r>
      <w:r w:rsidR="00E00F6E" w:rsidRPr="00654E3B">
        <w:rPr>
          <w:rFonts w:cs="Times New Roman"/>
        </w:rPr>
        <w:t>,</w:t>
      </w:r>
      <w:r w:rsidR="0061628D" w:rsidRPr="00654E3B">
        <w:rPr>
          <w:rFonts w:cs="Times New Roman"/>
        </w:rPr>
        <w:t xml:space="preserve"> putem različitih programa</w:t>
      </w:r>
      <w:r w:rsidR="00E00F6E" w:rsidRPr="00654E3B">
        <w:rPr>
          <w:rFonts w:cs="Times New Roman"/>
        </w:rPr>
        <w:t>,</w:t>
      </w:r>
      <w:r w:rsidR="0061628D" w:rsidRPr="00654E3B">
        <w:rPr>
          <w:rFonts w:cs="Times New Roman"/>
        </w:rPr>
        <w:t xml:space="preserve"> od bespovratnih sredstva, preko uvjetnih zajmova do programa državnih potpora. </w:t>
      </w:r>
    </w:p>
    <w:p w:rsidR="007D4A93" w:rsidRPr="00654E3B" w:rsidRDefault="00EF0BEB">
      <w:pPr>
        <w:pStyle w:val="Heading1"/>
        <w:rPr>
          <w:rFonts w:ascii="Times New Roman" w:hAnsi="Times New Roman" w:cs="Times New Roman"/>
        </w:rPr>
      </w:pPr>
      <w:bookmarkStart w:id="323" w:name="_Toc69297787"/>
      <w:r w:rsidRPr="00654E3B">
        <w:rPr>
          <w:rFonts w:ascii="Times New Roman" w:hAnsi="Times New Roman" w:cs="Times New Roman"/>
        </w:rPr>
        <w:t>11.</w:t>
      </w:r>
      <w:r w:rsidRPr="00654E3B">
        <w:rPr>
          <w:rFonts w:ascii="Times New Roman" w:hAnsi="Times New Roman" w:cs="Times New Roman"/>
        </w:rPr>
        <w:tab/>
        <w:t>NISKOUGLJIČNI RAZVOJ NA LOKALNOJ I REGIONALNOJ RAZINI</w:t>
      </w:r>
      <w:bookmarkEnd w:id="321"/>
      <w:bookmarkEnd w:id="322"/>
      <w:bookmarkEnd w:id="323"/>
    </w:p>
    <w:p w:rsidR="007D4A93" w:rsidRPr="00654E3B" w:rsidRDefault="007D4A93">
      <w:pPr>
        <w:rPr>
          <w:rFonts w:cs="Times New Roman"/>
        </w:rPr>
      </w:pPr>
    </w:p>
    <w:p w:rsidR="007D4A93" w:rsidRPr="00654E3B" w:rsidRDefault="00EF0BEB">
      <w:pPr>
        <w:rPr>
          <w:rFonts w:cs="Times New Roman"/>
        </w:rPr>
      </w:pPr>
      <w:r w:rsidRPr="00654E3B">
        <w:rPr>
          <w:rFonts w:cs="Times New Roman"/>
        </w:rPr>
        <w:t>Gradovi sve više postaju središta odvijanja gospodarskih i društvenih aktivnosti kao posljedica kontinuirane urbanizacije i rastućeg trenda tranzicije društava u gospodarstva intenzivne primjene znanja. Kao posljedica ovih promjena u gradovima raste potrošnja resursa, što neizbježno dovodi i do porasta emisije.</w:t>
      </w:r>
    </w:p>
    <w:p w:rsidR="007D4A93" w:rsidRPr="00654E3B" w:rsidRDefault="00EF0BEB">
      <w:pPr>
        <w:rPr>
          <w:rFonts w:cs="Times New Roman"/>
        </w:rPr>
      </w:pPr>
      <w:r w:rsidRPr="00654E3B">
        <w:rPr>
          <w:rFonts w:cs="Times New Roman"/>
        </w:rPr>
        <w:t>U nastavku daje se prikaz instrumenata politike ublažavanja klimatskih promjena na lokalnoj i regionalnoj razini.</w:t>
      </w:r>
    </w:p>
    <w:p w:rsidR="007D4A93" w:rsidRPr="00654E3B" w:rsidRDefault="00EF0BEB">
      <w:pPr>
        <w:rPr>
          <w:rFonts w:cs="Times New Roman"/>
          <w:u w:val="single"/>
        </w:rPr>
      </w:pPr>
      <w:r w:rsidRPr="00654E3B">
        <w:rPr>
          <w:rFonts w:cs="Times New Roman"/>
          <w:u w:val="single"/>
        </w:rPr>
        <w:t>Prostorni i urbanistički planovi</w:t>
      </w:r>
    </w:p>
    <w:p w:rsidR="007D4A93" w:rsidRPr="00654E3B" w:rsidRDefault="00EF0BEB">
      <w:pPr>
        <w:rPr>
          <w:rFonts w:cs="Times New Roman"/>
        </w:rPr>
      </w:pPr>
      <w:r w:rsidRPr="00654E3B">
        <w:rPr>
          <w:rFonts w:cs="Times New Roman"/>
        </w:rPr>
        <w:t>Jedan od najvažnijih instrumenata za provođenje klimatskih politika je prostorno i urbanističko planiranje s obzirom da prostorni planovi imaju snagu i pravnu prirodu podzakonskog propisa. Načelo integralnog pristupa prostornom planiranju</w:t>
      </w:r>
      <w:r w:rsidR="00E31826" w:rsidRPr="00654E3B">
        <w:rPr>
          <w:rFonts w:cs="Times New Roman"/>
        </w:rPr>
        <w:t>,</w:t>
      </w:r>
      <w:r w:rsidRPr="00654E3B">
        <w:rPr>
          <w:rFonts w:cs="Times New Roman"/>
        </w:rPr>
        <w:t xml:space="preserve"> jedino osigurava optimalan sinergijski efekt sektorskih politika i mjera niskougljičnog razvoja u cilju smanjenja emisija. Planerska paradigma usmjerena prema niskougljičnom odnosno bezugljičnom razvoju i dekarbonizaciji je polazište za novu generaciju prostornih planova.</w:t>
      </w:r>
    </w:p>
    <w:p w:rsidR="007D4A93" w:rsidRPr="00654E3B" w:rsidRDefault="00EF0BEB">
      <w:pPr>
        <w:rPr>
          <w:rFonts w:cs="Times New Roman"/>
          <w:u w:val="single"/>
        </w:rPr>
      </w:pPr>
      <w:r w:rsidRPr="00654E3B">
        <w:rPr>
          <w:rFonts w:cs="Times New Roman"/>
          <w:u w:val="single"/>
        </w:rPr>
        <w:lastRenderedPageBreak/>
        <w:t>Pametni gradovi</w:t>
      </w:r>
    </w:p>
    <w:p w:rsidR="007D4A93" w:rsidRPr="00654E3B" w:rsidRDefault="00EF0BEB">
      <w:pPr>
        <w:rPr>
          <w:rFonts w:cs="Times New Roman"/>
        </w:rPr>
      </w:pPr>
      <w:r w:rsidRPr="00654E3B">
        <w:rPr>
          <w:rFonts w:cs="Times New Roman"/>
        </w:rPr>
        <w:t>Smanjenju emisija stakleničkih plinova na lokalnoj razini treba doprinijeti i realizacija koncepta „pametnih gradova“. Koncept se odnosi na primjenu integriranih tehnoloških rješenja kojima se omogućuje općenito veća kvaliteta javne usluge građanima, bolje iskorištenje resursa i manji utjecaj na okoliš u gradovima. Ulaganja u razvoj informacijsko-komunikacijskih tehnologija na području EU</w:t>
      </w:r>
      <w:r w:rsidR="00E31826" w:rsidRPr="00654E3B">
        <w:rPr>
          <w:rFonts w:cs="Times New Roman"/>
        </w:rPr>
        <w:t>,</w:t>
      </w:r>
      <w:r w:rsidRPr="00654E3B">
        <w:rPr>
          <w:rFonts w:cs="Times New Roman"/>
        </w:rPr>
        <w:t xml:space="preserve"> u tom smislu su između ostaloga postavljeni u funkciju ispunjavanja ciljeva klimatsko-energetskog paketa.</w:t>
      </w:r>
    </w:p>
    <w:p w:rsidR="007D4A93" w:rsidRPr="00654E3B" w:rsidRDefault="00EF0BEB">
      <w:pPr>
        <w:rPr>
          <w:rFonts w:cs="Times New Roman"/>
        </w:rPr>
      </w:pPr>
      <w:r w:rsidRPr="00654E3B">
        <w:rPr>
          <w:rFonts w:cs="Times New Roman"/>
        </w:rPr>
        <w:t>U namjeri da ubrza primjenu ovih tehnologija, Europska komisija je inicirala „Europsko inovacijsko partnerstvo za pametne gradove i zajednice“. Partnerstvo je usredotočeno na održivu mobilnost u gradovima i integraciju infrastrukture u području energetike, informacijsko-komunikacijske tehnologije i prometa. Partnerstvo nije inicirano prvenstveno zbog smanjenja emisija stakleničkih plinova, ali provedba rješenja za „pametne gradove“</w:t>
      </w:r>
      <w:r w:rsidR="00E31826" w:rsidRPr="00654E3B">
        <w:rPr>
          <w:rFonts w:cs="Times New Roman"/>
        </w:rPr>
        <w:t>,</w:t>
      </w:r>
      <w:r w:rsidRPr="00654E3B">
        <w:rPr>
          <w:rFonts w:cs="Times New Roman"/>
        </w:rPr>
        <w:t xml:space="preserve"> nedvojbeno rezultira smanjenom energetskom potrošnjom, učinkovitijim korištenjem resursa i smanjenjem emisija u gradovima.</w:t>
      </w:r>
    </w:p>
    <w:p w:rsidR="007D4A93" w:rsidRPr="00654E3B" w:rsidRDefault="00EF0BEB">
      <w:pPr>
        <w:rPr>
          <w:rFonts w:cs="Times New Roman"/>
        </w:rPr>
      </w:pPr>
      <w:r w:rsidRPr="00654E3B">
        <w:rPr>
          <w:rFonts w:cs="Times New Roman"/>
        </w:rPr>
        <w:t>U okviru partnerstva</w:t>
      </w:r>
      <w:r w:rsidR="00E31826" w:rsidRPr="00654E3B">
        <w:rPr>
          <w:rFonts w:cs="Times New Roman"/>
        </w:rPr>
        <w:t>,</w:t>
      </w:r>
      <w:r w:rsidRPr="00654E3B">
        <w:rPr>
          <w:rFonts w:cs="Times New Roman"/>
        </w:rPr>
        <w:t xml:space="preserve"> gradovi na području EU pozvani su da istaknu svoje obveze za osiguranje sredstava i razvoj rješenja „pametnih gradova“. Dosad je uključeno više od 3.000 partnera, među njima su i obveze istaknute od strane četiriju hrvatskih gradova: Zagreba, Rijeke, Osijeka i Dubrovnika.</w:t>
      </w:r>
    </w:p>
    <w:p w:rsidR="007D4A93" w:rsidRPr="00654E3B" w:rsidRDefault="00EF0BEB">
      <w:pPr>
        <w:rPr>
          <w:rFonts w:cs="Times New Roman"/>
        </w:rPr>
      </w:pPr>
      <w:r w:rsidRPr="00654E3B">
        <w:rPr>
          <w:rFonts w:cs="Times New Roman"/>
        </w:rPr>
        <w:t>Gradovi svoje planiranje trebaju temeljiti na planiranju energetike na razini čitavog grada i gradskih četvrti, čime se mogu dobiti optimalna rješenja.</w:t>
      </w:r>
    </w:p>
    <w:p w:rsidR="005D4D97" w:rsidRPr="00654E3B" w:rsidRDefault="005D4D97">
      <w:pPr>
        <w:rPr>
          <w:rFonts w:cs="Times New Roman"/>
        </w:rPr>
      </w:pPr>
      <w:r w:rsidRPr="00654E3B">
        <w:rPr>
          <w:rFonts w:cs="Times New Roman"/>
        </w:rPr>
        <w:t>Misija u okviru Obzora Europa pomoći će u ispunjavanju ciljeva utvrđenih međunarodnim političkim okvirima, kao što su Pariški sporazum, UN-ovi ciljevi održivog razvoja (osobito SDG 11</w:t>
      </w:r>
      <w:r w:rsidR="001B3376" w:rsidRPr="00654E3B">
        <w:rPr>
          <w:rFonts w:cs="Times New Roman"/>
        </w:rPr>
        <w:t xml:space="preserve"> i 13</w:t>
      </w:r>
      <w:r w:rsidRPr="00654E3B">
        <w:rPr>
          <w:rFonts w:cs="Times New Roman"/>
        </w:rPr>
        <w:t>), Urbana agenda za EU i Nova urbana agenda habitat III, s obzirom na to da gradovi imaju ključnu ulogu u svim</w:t>
      </w:r>
      <w:r w:rsidR="00E31826" w:rsidRPr="00654E3B">
        <w:rPr>
          <w:rFonts w:cs="Times New Roman"/>
        </w:rPr>
        <w:t>a</w:t>
      </w:r>
      <w:r w:rsidRPr="00654E3B">
        <w:rPr>
          <w:rFonts w:cs="Times New Roman"/>
        </w:rPr>
        <w:t xml:space="preserve"> njima. Dostizanje 100 klimatskih neutralnih gradova do 2030. godine</w:t>
      </w:r>
      <w:r w:rsidR="00E31826" w:rsidRPr="00654E3B">
        <w:rPr>
          <w:rFonts w:cs="Times New Roman"/>
        </w:rPr>
        <w:t>,</w:t>
      </w:r>
      <w:r w:rsidRPr="00654E3B">
        <w:rPr>
          <w:rFonts w:cs="Times New Roman"/>
        </w:rPr>
        <w:t xml:space="preserve"> cilj je koji je utvrdio Odbor misije za klimatski neutralne i pametne gradove. Misija na ovom području podržala bi, promovirala i prikazala100 europskih gradova u njihovoj sustavnoj transformaciji prema klimatskoj neutralnosti do 2030. godine i pretvorila ih u središte eksperimentiranja i inovacija za sve gradove.</w:t>
      </w:r>
    </w:p>
    <w:p w:rsidR="00544FAD" w:rsidRPr="00654E3B" w:rsidRDefault="00544FAD">
      <w:pPr>
        <w:rPr>
          <w:rFonts w:cs="Times New Roman"/>
          <w:u w:val="single"/>
        </w:rPr>
      </w:pPr>
      <w:r w:rsidRPr="00654E3B">
        <w:rPr>
          <w:rFonts w:cs="Times New Roman"/>
          <w:u w:val="single"/>
        </w:rPr>
        <w:t>Pametni otoci</w:t>
      </w:r>
    </w:p>
    <w:p w:rsidR="00544FAD" w:rsidRPr="00654E3B" w:rsidRDefault="00544FAD">
      <w:pPr>
        <w:rPr>
          <w:rFonts w:cs="Times New Roman"/>
        </w:rPr>
      </w:pPr>
      <w:r w:rsidRPr="00654E3B">
        <w:rPr>
          <w:rFonts w:cs="Times New Roman"/>
        </w:rPr>
        <w:t xml:space="preserve">Na inicijativu otočnih jedinica lokalne samouprave i drugih dionika na otocima, s ciljem razvoja pametnih, </w:t>
      </w:r>
      <w:r w:rsidR="00E31826" w:rsidRPr="00654E3B">
        <w:rPr>
          <w:rFonts w:cs="Times New Roman"/>
        </w:rPr>
        <w:t xml:space="preserve">uključivih </w:t>
      </w:r>
      <w:r w:rsidRPr="00654E3B">
        <w:rPr>
          <w:rFonts w:cs="Times New Roman"/>
        </w:rPr>
        <w:t xml:space="preserve">i uspješnih otočnih zajednica za inovativnu i održivu Europu, 2017. godine potpisana je deklaracija o pametnim otocima. </w:t>
      </w:r>
      <w:r w:rsidR="001B3376" w:rsidRPr="00654E3B">
        <w:rPr>
          <w:rFonts w:cs="Times New Roman"/>
        </w:rPr>
        <w:t>D</w:t>
      </w:r>
      <w:r w:rsidRPr="00654E3B">
        <w:rPr>
          <w:rFonts w:cs="Times New Roman"/>
        </w:rPr>
        <w:t xml:space="preserve">eklaracija ističe nužnost poticanja otočnih zajednica na prelazak na čistu energiju te naročito jačanje sinergije između energetike, transporta i informacijsko i komunikacijske tehnologije, uz uključivanje tema vezanih uz vodu i otpad. Ovakav način pristupa temelji se na osiguravanju optimalnog korištenja i upravljanja otočnim resursima te doprinosu održivog i ravnomjernog razvoja koji će maksimalno očuvati i iskoristiti otočne potencijale. </w:t>
      </w:r>
      <w:r w:rsidR="001B3376" w:rsidRPr="00654E3B">
        <w:rPr>
          <w:rFonts w:cs="Times New Roman"/>
        </w:rPr>
        <w:t>J</w:t>
      </w:r>
      <w:r w:rsidRPr="00654E3B">
        <w:rPr>
          <w:rFonts w:cs="Times New Roman"/>
        </w:rPr>
        <w:t>edna od glavnih odrednica pametnih otoka je smanjenje upotrebe fosilnih goriva</w:t>
      </w:r>
      <w:r w:rsidR="00C17167" w:rsidRPr="00654E3B">
        <w:rPr>
          <w:rFonts w:cs="Times New Roman"/>
        </w:rPr>
        <w:t>,</w:t>
      </w:r>
      <w:r w:rsidRPr="00654E3B">
        <w:rPr>
          <w:rFonts w:cs="Times New Roman"/>
        </w:rPr>
        <w:t xml:space="preserve"> povećanje korištenja značajnih resursa obnovljivih izvora energije i energetske učinkovitosti. Cilj iskorištavanja obnovljivih izvora energije, sunca, vjetra, morskih struja i valova je niskougljični razvoj</w:t>
      </w:r>
      <w:r w:rsidR="00C17167" w:rsidRPr="00654E3B">
        <w:rPr>
          <w:rFonts w:cs="Times New Roman"/>
        </w:rPr>
        <w:t>,</w:t>
      </w:r>
      <w:r w:rsidRPr="00654E3B">
        <w:rPr>
          <w:rFonts w:cs="Times New Roman"/>
        </w:rPr>
        <w:t xml:space="preserve"> kojem doprinosi i povećanje energetske učinkovitosti stambenih objekata (rasvjeta, grijanje, hlađenje) i infrastrukture (ulična rasvjeta, crpne stanice,...). Posebno je naglašen potencijal otoka kao pilot lokacija za razvoj integriranih rješenja kao što su proizvodnja energije iz otpada i energije vjetra i mora, korištenja energije proizvedene iz obnovljivih izvora energije u transportu i električnim vozilima ili pak za potrebe desalinizacije</w:t>
      </w:r>
      <w:r w:rsidR="00C17167" w:rsidRPr="00654E3B">
        <w:rPr>
          <w:rFonts w:cs="Times New Roman"/>
        </w:rPr>
        <w:t>,</w:t>
      </w:r>
      <w:r w:rsidRPr="00654E3B">
        <w:rPr>
          <w:rFonts w:cs="Times New Roman"/>
        </w:rPr>
        <w:t xml:space="preserve"> iskorištavanjem sinergije između održive energije, otpada, vode i mobilnosti.</w:t>
      </w:r>
    </w:p>
    <w:p w:rsidR="007D4A93" w:rsidRPr="00654E3B" w:rsidRDefault="00EF0BEB">
      <w:pPr>
        <w:rPr>
          <w:rFonts w:cs="Times New Roman"/>
          <w:u w:val="single"/>
        </w:rPr>
      </w:pPr>
      <w:r w:rsidRPr="00654E3B">
        <w:rPr>
          <w:rFonts w:cs="Times New Roman"/>
          <w:u w:val="single"/>
        </w:rPr>
        <w:t>Program ublažavanja klimatskih promjena, prilagodbe klimatskim promjenama i zaštite ozonskog sloja</w:t>
      </w:r>
    </w:p>
    <w:p w:rsidR="007D4A93" w:rsidRPr="00654E3B" w:rsidRDefault="00EF0BEB">
      <w:pPr>
        <w:rPr>
          <w:rFonts w:cs="Times New Roman"/>
        </w:rPr>
      </w:pPr>
      <w:r w:rsidRPr="00654E3B">
        <w:rPr>
          <w:rFonts w:cs="Times New Roman"/>
        </w:rPr>
        <w:t>Zakonom o klimatskim promjenama i zaštiti ozonskog sloja (</w:t>
      </w:r>
      <w:r w:rsidR="001C0429" w:rsidRPr="00654E3B">
        <w:rPr>
          <w:rFonts w:cs="Times New Roman"/>
        </w:rPr>
        <w:t>Narodne novin</w:t>
      </w:r>
      <w:r w:rsidR="00566C24" w:rsidRPr="00654E3B">
        <w:rPr>
          <w:rFonts w:cs="Times New Roman"/>
        </w:rPr>
        <w:t>e</w:t>
      </w:r>
      <w:r w:rsidRPr="00654E3B">
        <w:rPr>
          <w:rFonts w:cs="Times New Roman"/>
        </w:rPr>
        <w:t>, broj 127/2019)</w:t>
      </w:r>
      <w:r w:rsidR="00C17167" w:rsidRPr="00654E3B">
        <w:rPr>
          <w:rFonts w:cs="Times New Roman"/>
        </w:rPr>
        <w:t>,</w:t>
      </w:r>
      <w:r w:rsidRPr="00654E3B">
        <w:rPr>
          <w:rFonts w:cs="Times New Roman"/>
        </w:rPr>
        <w:t xml:space="preserve"> je propisana obveza predstavničkim tijelima županija, Grada Zagreba i velikih gradova</w:t>
      </w:r>
      <w:r w:rsidR="00C17167" w:rsidRPr="00654E3B">
        <w:rPr>
          <w:rFonts w:cs="Times New Roman"/>
        </w:rPr>
        <w:t>,</w:t>
      </w:r>
      <w:r w:rsidRPr="00654E3B">
        <w:rPr>
          <w:rFonts w:cs="Times New Roman"/>
        </w:rPr>
        <w:t xml:space="preserve"> da donesu program ublažavanja klimatskih promjena, prilagodbe klimatskim promjenama i zaštite ozonskog sloja kao sastavni dio programa zaštite okoliša.</w:t>
      </w:r>
    </w:p>
    <w:p w:rsidR="007D4A93" w:rsidRPr="00654E3B" w:rsidRDefault="00EF0BEB">
      <w:pPr>
        <w:rPr>
          <w:rFonts w:cs="Times New Roman"/>
          <w:color w:val="231F20"/>
          <w:shd w:val="clear" w:color="auto" w:fill="FFFFFF"/>
        </w:rPr>
      </w:pPr>
      <w:r w:rsidRPr="00654E3B">
        <w:rPr>
          <w:rFonts w:cs="Times New Roman"/>
        </w:rPr>
        <w:lastRenderedPageBreak/>
        <w:t xml:space="preserve">Obveza izrade programa propisana je za 20 županija, Grad Zagreb i desetak velikih gradova u Republici Hrvatskoj (gradova s više od 35.000 stanovnika). </w:t>
      </w:r>
    </w:p>
    <w:p w:rsidR="007D4A93" w:rsidRPr="00654E3B" w:rsidRDefault="00EF0BEB">
      <w:pPr>
        <w:rPr>
          <w:rFonts w:cs="Times New Roman"/>
          <w:u w:val="single"/>
        </w:rPr>
      </w:pPr>
      <w:r w:rsidRPr="00654E3B">
        <w:rPr>
          <w:rFonts w:cs="Times New Roman"/>
          <w:u w:val="single"/>
        </w:rPr>
        <w:t>Inicijativa Sporazum gradonačelnika za klimu i energiju</w:t>
      </w:r>
    </w:p>
    <w:p w:rsidR="007D4A93" w:rsidRPr="00654E3B" w:rsidRDefault="00EF0BEB">
      <w:pPr>
        <w:rPr>
          <w:rFonts w:cs="Times New Roman"/>
        </w:rPr>
      </w:pPr>
      <w:r w:rsidRPr="00654E3B">
        <w:rPr>
          <w:rFonts w:cs="Times New Roman"/>
        </w:rPr>
        <w:t xml:space="preserve">Jedan od instrumenata u implementaciji klimatsko-energetske politike EU je inicijativa Sporazum gradonačelnika za klimu i energiju. </w:t>
      </w:r>
    </w:p>
    <w:p w:rsidR="007D4A93" w:rsidRPr="00654E3B" w:rsidRDefault="00EF0BEB">
      <w:pPr>
        <w:rPr>
          <w:rFonts w:cs="Times New Roman"/>
        </w:rPr>
      </w:pPr>
      <w:r w:rsidRPr="00654E3B">
        <w:rPr>
          <w:rFonts w:cs="Times New Roman"/>
        </w:rPr>
        <w:t>Europska komisija pokrenula je 2008. godine inicijativu Sporazum gradonačelnika</w:t>
      </w:r>
      <w:r w:rsidR="00C17167" w:rsidRPr="00654E3B">
        <w:rPr>
          <w:rFonts w:cs="Times New Roman"/>
        </w:rPr>
        <w:t>,</w:t>
      </w:r>
      <w:r w:rsidRPr="00654E3B">
        <w:rPr>
          <w:rFonts w:cs="Times New Roman"/>
        </w:rPr>
        <w:t xml:space="preserve"> kako bi se </w:t>
      </w:r>
      <w:r w:rsidR="005941DA" w:rsidRPr="00654E3B">
        <w:rPr>
          <w:rFonts w:cs="Times New Roman"/>
        </w:rPr>
        <w:t xml:space="preserve">jedinice </w:t>
      </w:r>
      <w:r w:rsidRPr="00654E3B">
        <w:rPr>
          <w:rFonts w:cs="Times New Roman"/>
        </w:rPr>
        <w:t>lokaln</w:t>
      </w:r>
      <w:r w:rsidR="005941DA" w:rsidRPr="00654E3B">
        <w:rPr>
          <w:rFonts w:cs="Times New Roman"/>
        </w:rPr>
        <w:t>e</w:t>
      </w:r>
      <w:r w:rsidRPr="00654E3B">
        <w:rPr>
          <w:rFonts w:cs="Times New Roman"/>
        </w:rPr>
        <w:t xml:space="preserve"> </w:t>
      </w:r>
      <w:r w:rsidR="005941DA" w:rsidRPr="00654E3B">
        <w:rPr>
          <w:rFonts w:cs="Times New Roman"/>
        </w:rPr>
        <w:t>samo</w:t>
      </w:r>
      <w:r w:rsidRPr="00654E3B">
        <w:rPr>
          <w:rFonts w:cs="Times New Roman"/>
        </w:rPr>
        <w:t>uprav</w:t>
      </w:r>
      <w:r w:rsidR="005941DA" w:rsidRPr="00654E3B">
        <w:rPr>
          <w:rFonts w:cs="Times New Roman"/>
        </w:rPr>
        <w:t>e</w:t>
      </w:r>
      <w:r w:rsidRPr="00654E3B">
        <w:rPr>
          <w:rFonts w:cs="Times New Roman"/>
        </w:rPr>
        <w:t xml:space="preserve"> aktivno uključil</w:t>
      </w:r>
      <w:r w:rsidR="005941DA" w:rsidRPr="00654E3B">
        <w:rPr>
          <w:rFonts w:cs="Times New Roman"/>
        </w:rPr>
        <w:t>e</w:t>
      </w:r>
      <w:r w:rsidRPr="00654E3B">
        <w:rPr>
          <w:rFonts w:cs="Times New Roman"/>
        </w:rPr>
        <w:t xml:space="preserve"> u energetsku tranziciju s ciljem postizanja klimatskih i energetskih ciljeva EU – ciljevi 20-20-20 do 2020. godine. Na taj je način stvorena mreža osviješten</w:t>
      </w:r>
      <w:r w:rsidR="005941DA" w:rsidRPr="00654E3B">
        <w:rPr>
          <w:rFonts w:cs="Times New Roman"/>
        </w:rPr>
        <w:t>ih jedinica</w:t>
      </w:r>
      <w:r w:rsidRPr="00654E3B">
        <w:rPr>
          <w:rFonts w:cs="Times New Roman"/>
        </w:rPr>
        <w:t xml:space="preserve"> lokalne </w:t>
      </w:r>
      <w:r w:rsidR="005941DA" w:rsidRPr="00654E3B">
        <w:rPr>
          <w:rFonts w:cs="Times New Roman"/>
        </w:rPr>
        <w:t>samo</w:t>
      </w:r>
      <w:r w:rsidRPr="00654E3B">
        <w:rPr>
          <w:rFonts w:cs="Times New Roman"/>
        </w:rPr>
        <w:t>uprave opredijeljene prema održivom energetskom razvoju lokalne sredine i očuvanju okoliša</w:t>
      </w:r>
      <w:r w:rsidR="00C17167" w:rsidRPr="00654E3B">
        <w:rPr>
          <w:rFonts w:cs="Times New Roman"/>
        </w:rPr>
        <w:t>,</w:t>
      </w:r>
      <w:r w:rsidRPr="00654E3B">
        <w:rPr>
          <w:rFonts w:cs="Times New Roman"/>
        </w:rPr>
        <w:t xml:space="preserve"> koja služi za dobrobit svih stanovnika EU. </w:t>
      </w:r>
    </w:p>
    <w:p w:rsidR="007D4A93" w:rsidRPr="00654E3B" w:rsidRDefault="00EF0BEB">
      <w:pPr>
        <w:rPr>
          <w:rFonts w:cs="Times New Roman"/>
        </w:rPr>
      </w:pPr>
      <w:r w:rsidRPr="00654E3B">
        <w:rPr>
          <w:rFonts w:cs="Times New Roman"/>
        </w:rPr>
        <w:t xml:space="preserve">Po usvajanju Pariškog sporazuma o klimatskim promjenama 2015. godine, u okvirima europske klimatske politike održane su konzultacije o budućnosti Sporazuma gradonačelnika te je pokrenut Sporazum gradonačelnika za klimu i energiju, koji nadilazi ciljeve postavljene za 2020. godinu. Potpisnici Sporazuma gradonačelnika za energiju i klimu obvezuju se: </w:t>
      </w:r>
    </w:p>
    <w:p w:rsidR="007D4A93" w:rsidRPr="00654E3B" w:rsidRDefault="00EF0BEB" w:rsidP="000C6795">
      <w:pPr>
        <w:pStyle w:val="ListParagraph"/>
        <w:numPr>
          <w:ilvl w:val="0"/>
          <w:numId w:val="5"/>
        </w:numPr>
        <w:rPr>
          <w:rFonts w:cs="Times New Roman"/>
          <w:szCs w:val="24"/>
        </w:rPr>
      </w:pPr>
      <w:r w:rsidRPr="00654E3B">
        <w:rPr>
          <w:rFonts w:cs="Times New Roman"/>
          <w:szCs w:val="24"/>
        </w:rPr>
        <w:t>smanjiti emisije ugljikova dioksida (i prema mogućnosti, drugih stakleničkih plinova) na području svojih gradova ili općina za najmanje 40</w:t>
      </w:r>
      <w:r w:rsidR="00060992" w:rsidRPr="00654E3B">
        <w:rPr>
          <w:rFonts w:cs="Times New Roman"/>
          <w:szCs w:val="24"/>
        </w:rPr>
        <w:t xml:space="preserve"> %</w:t>
      </w:r>
      <w:r w:rsidRPr="00654E3B">
        <w:rPr>
          <w:rFonts w:cs="Times New Roman"/>
          <w:szCs w:val="24"/>
        </w:rPr>
        <w:t xml:space="preserve"> do 2030. godine učinkovitijom upotrebom energije i većom upotrebom obnovljivih izvora energije</w:t>
      </w:r>
      <w:r w:rsidR="00C17167" w:rsidRPr="00654E3B">
        <w:rPr>
          <w:rFonts w:cs="Times New Roman"/>
          <w:szCs w:val="24"/>
        </w:rPr>
        <w:t>;</w:t>
      </w:r>
    </w:p>
    <w:p w:rsidR="007D4A93" w:rsidRPr="00654E3B" w:rsidRDefault="00EF0BEB" w:rsidP="000C6795">
      <w:pPr>
        <w:pStyle w:val="ListParagraph"/>
        <w:numPr>
          <w:ilvl w:val="0"/>
          <w:numId w:val="5"/>
        </w:numPr>
        <w:rPr>
          <w:rFonts w:cs="Times New Roman"/>
          <w:szCs w:val="24"/>
        </w:rPr>
      </w:pPr>
      <w:r w:rsidRPr="00654E3B">
        <w:rPr>
          <w:rFonts w:cs="Times New Roman"/>
          <w:szCs w:val="24"/>
        </w:rPr>
        <w:t>povećati otpornost</w:t>
      </w:r>
      <w:r w:rsidR="00A91D59" w:rsidRPr="00654E3B">
        <w:rPr>
          <w:rFonts w:cs="Times New Roman"/>
          <w:szCs w:val="24"/>
        </w:rPr>
        <w:t>,</w:t>
      </w:r>
      <w:r w:rsidRPr="00654E3B">
        <w:rPr>
          <w:rFonts w:cs="Times New Roman"/>
          <w:szCs w:val="24"/>
        </w:rPr>
        <w:t xml:space="preserve"> prilago</w:t>
      </w:r>
      <w:r w:rsidR="00A91D59" w:rsidRPr="00654E3B">
        <w:rPr>
          <w:rFonts w:cs="Times New Roman"/>
          <w:szCs w:val="24"/>
        </w:rPr>
        <w:t>dbom</w:t>
      </w:r>
      <w:r w:rsidRPr="00654E3B">
        <w:rPr>
          <w:rFonts w:cs="Times New Roman"/>
          <w:szCs w:val="24"/>
        </w:rPr>
        <w:t xml:space="preserve"> klimatski</w:t>
      </w:r>
      <w:r w:rsidR="00A91D59" w:rsidRPr="00654E3B">
        <w:rPr>
          <w:rFonts w:cs="Times New Roman"/>
          <w:szCs w:val="24"/>
        </w:rPr>
        <w:t>m</w:t>
      </w:r>
      <w:r w:rsidRPr="00654E3B">
        <w:rPr>
          <w:rFonts w:cs="Times New Roman"/>
          <w:szCs w:val="24"/>
        </w:rPr>
        <w:t xml:space="preserve"> promjena</w:t>
      </w:r>
      <w:r w:rsidR="00A91D59" w:rsidRPr="00654E3B">
        <w:rPr>
          <w:rFonts w:cs="Times New Roman"/>
          <w:szCs w:val="24"/>
        </w:rPr>
        <w:t>ma</w:t>
      </w:r>
      <w:r w:rsidRPr="00654E3B">
        <w:rPr>
          <w:rFonts w:cs="Times New Roman"/>
          <w:szCs w:val="24"/>
        </w:rPr>
        <w:t xml:space="preserve"> te </w:t>
      </w:r>
    </w:p>
    <w:p w:rsidR="007D4A93" w:rsidRPr="00654E3B" w:rsidRDefault="00EF0BEB" w:rsidP="000C6795">
      <w:pPr>
        <w:pStyle w:val="ListParagraph"/>
        <w:numPr>
          <w:ilvl w:val="0"/>
          <w:numId w:val="5"/>
        </w:numPr>
        <w:rPr>
          <w:rFonts w:cs="Times New Roman"/>
          <w:szCs w:val="24"/>
        </w:rPr>
      </w:pPr>
      <w:r w:rsidRPr="00654E3B">
        <w:rPr>
          <w:rFonts w:cs="Times New Roman"/>
          <w:szCs w:val="24"/>
        </w:rPr>
        <w:t>dijeliti svoju viziju, rezultate, iskustvo i znanje s drugim lokalnim i regionalnim tijelima unutar i izvan EU-a</w:t>
      </w:r>
      <w:r w:rsidR="00C17167" w:rsidRPr="00654E3B">
        <w:rPr>
          <w:rFonts w:cs="Times New Roman"/>
          <w:szCs w:val="24"/>
        </w:rPr>
        <w:t xml:space="preserve">, </w:t>
      </w:r>
      <w:r w:rsidRPr="00654E3B">
        <w:rPr>
          <w:rFonts w:cs="Times New Roman"/>
          <w:szCs w:val="24"/>
        </w:rPr>
        <w:t xml:space="preserve">putem izravne suradnje i razmjene, posebno u kontekstu Globalnog sporazuma gradonačelnika. </w:t>
      </w:r>
    </w:p>
    <w:p w:rsidR="007D4A93" w:rsidRPr="00654E3B" w:rsidRDefault="00EF0BEB">
      <w:pPr>
        <w:rPr>
          <w:rFonts w:cs="Times New Roman"/>
        </w:rPr>
      </w:pPr>
      <w:r w:rsidRPr="00654E3B">
        <w:rPr>
          <w:rFonts w:cs="Times New Roman"/>
        </w:rPr>
        <w:t>U tu svrhu, potpisnice novog Sporazuma gradonačelnika za klimu i energiju</w:t>
      </w:r>
      <w:r w:rsidR="00C17167" w:rsidRPr="00654E3B">
        <w:rPr>
          <w:rFonts w:cs="Times New Roman"/>
        </w:rPr>
        <w:t>,</w:t>
      </w:r>
      <w:r w:rsidRPr="00654E3B">
        <w:rPr>
          <w:rFonts w:cs="Times New Roman"/>
        </w:rPr>
        <w:t xml:space="preserve"> obvezuju se da će izraditi i provesti Akcijski plan za održivu energiju i borbu protiv klimatskih promjena (eng. </w:t>
      </w:r>
      <w:r w:rsidRPr="00654E3B">
        <w:rPr>
          <w:rFonts w:cs="Times New Roman"/>
          <w:i/>
        </w:rPr>
        <w:t>Sustainable Energy and Climate Action Plan - SECAP</w:t>
      </w:r>
      <w:r w:rsidRPr="00654E3B">
        <w:rPr>
          <w:rFonts w:cs="Times New Roman"/>
        </w:rPr>
        <w:t xml:space="preserve">), u kojem se uz mjere održivog energetskog razvoja, čiji rezultat je smanjenje stakleničkih plinova, određuju i mjere prilagodbe klimatskim promjenama u skladu s lokalnim specifičnostima. </w:t>
      </w:r>
    </w:p>
    <w:p w:rsidR="007D4A93" w:rsidRPr="00654E3B" w:rsidRDefault="00EF0BEB">
      <w:pPr>
        <w:rPr>
          <w:rFonts w:cs="Times New Roman"/>
          <w:u w:val="single"/>
        </w:rPr>
      </w:pPr>
      <w:r w:rsidRPr="00654E3B">
        <w:rPr>
          <w:rFonts w:cs="Times New Roman"/>
          <w:u w:val="single"/>
        </w:rPr>
        <w:t>Povelja o suradnji u cilju dekarbonizacije zgrada do 2050. godine</w:t>
      </w:r>
    </w:p>
    <w:p w:rsidR="007D4A93" w:rsidRPr="00654E3B" w:rsidRDefault="00EF0BEB">
      <w:pPr>
        <w:rPr>
          <w:rFonts w:cs="Times New Roman"/>
        </w:rPr>
      </w:pPr>
      <w:r w:rsidRPr="00654E3B">
        <w:rPr>
          <w:rFonts w:cs="Times New Roman"/>
        </w:rPr>
        <w:t>Povelj</w:t>
      </w:r>
      <w:r w:rsidR="00C17167" w:rsidRPr="00654E3B">
        <w:rPr>
          <w:rFonts w:cs="Times New Roman"/>
        </w:rPr>
        <w:t>om</w:t>
      </w:r>
      <w:r w:rsidRPr="00654E3B">
        <w:rPr>
          <w:rFonts w:cs="Times New Roman"/>
        </w:rPr>
        <w:t xml:space="preserve"> o suradnji u cilju dekarbonizacije zgrada do 2050. godine, koju je pokrenulo Ministarstvo </w:t>
      </w:r>
      <w:r w:rsidR="006C7329" w:rsidRPr="00654E3B">
        <w:rPr>
          <w:rFonts w:cs="Times New Roman"/>
        </w:rPr>
        <w:t>prostornog</w:t>
      </w:r>
      <w:r w:rsidR="00A91D59" w:rsidRPr="00654E3B">
        <w:rPr>
          <w:rFonts w:cs="Times New Roman"/>
        </w:rPr>
        <w:t>a</w:t>
      </w:r>
      <w:r w:rsidR="006C7329" w:rsidRPr="00654E3B">
        <w:rPr>
          <w:rFonts w:cs="Times New Roman"/>
        </w:rPr>
        <w:t xml:space="preserve"> uređenja, graditeljstva i državne imovine</w:t>
      </w:r>
      <w:r w:rsidRPr="00654E3B">
        <w:rPr>
          <w:rFonts w:cs="Times New Roman"/>
        </w:rPr>
        <w:t>, podržava se EU vizija dekarbonizacije zgrada do 2050. godine. Povelja je pokrenuta zbog bolje komunikacije i suradnje između tijela državne uprave i realnog sektora. Cilj je putem radionica i otvorenog dijaloga partnera</w:t>
      </w:r>
      <w:r w:rsidR="00C17167" w:rsidRPr="00654E3B">
        <w:rPr>
          <w:rFonts w:cs="Times New Roman"/>
        </w:rPr>
        <w:t>,</w:t>
      </w:r>
      <w:r w:rsidRPr="00654E3B">
        <w:rPr>
          <w:rFonts w:cs="Times New Roman"/>
        </w:rPr>
        <w:t xml:space="preserve"> stvoriti široku mrežu povezanih stručnjaka koji su spremni na zajednički dijalog i doprinos dekarbonizaciji fonda zgrada do 2050. godine. Otvoreni dijalozi partnera</w:t>
      </w:r>
      <w:r w:rsidR="00C17167" w:rsidRPr="00654E3B">
        <w:rPr>
          <w:rFonts w:cs="Times New Roman"/>
        </w:rPr>
        <w:t xml:space="preserve">, </w:t>
      </w:r>
      <w:r w:rsidRPr="00654E3B">
        <w:rPr>
          <w:rFonts w:cs="Times New Roman"/>
        </w:rPr>
        <w:t xml:space="preserve">okupljaju predstavnike državne </w:t>
      </w:r>
      <w:r w:rsidR="005941DA" w:rsidRPr="00654E3B">
        <w:rPr>
          <w:rFonts w:cs="Times New Roman"/>
        </w:rPr>
        <w:t>uprave,</w:t>
      </w:r>
      <w:r w:rsidRPr="00654E3B">
        <w:rPr>
          <w:rFonts w:cs="Times New Roman"/>
        </w:rPr>
        <w:t xml:space="preserve"> </w:t>
      </w:r>
      <w:r w:rsidR="005941DA" w:rsidRPr="00654E3B">
        <w:rPr>
          <w:rFonts w:cs="Times New Roman"/>
        </w:rPr>
        <w:t xml:space="preserve">jedinica </w:t>
      </w:r>
      <w:r w:rsidRPr="00654E3B">
        <w:rPr>
          <w:rFonts w:cs="Times New Roman"/>
        </w:rPr>
        <w:t xml:space="preserve">lokalne </w:t>
      </w:r>
      <w:r w:rsidR="005941DA" w:rsidRPr="00654E3B">
        <w:rPr>
          <w:rFonts w:cs="Times New Roman"/>
        </w:rPr>
        <w:t>samo</w:t>
      </w:r>
      <w:r w:rsidRPr="00654E3B">
        <w:rPr>
          <w:rFonts w:cs="Times New Roman"/>
        </w:rPr>
        <w:t>uprave, akademske zajednice i stručne javnosti, građevinskog i energetskog sektora te pratećih industrija</w:t>
      </w:r>
      <w:r w:rsidR="00C17167" w:rsidRPr="00654E3B">
        <w:rPr>
          <w:rFonts w:cs="Times New Roman"/>
        </w:rPr>
        <w:t>,</w:t>
      </w:r>
      <w:r w:rsidRPr="00654E3B">
        <w:rPr>
          <w:rFonts w:cs="Times New Roman"/>
        </w:rPr>
        <w:t xml:space="preserve"> na tematskim radionicama koje organizira Ministarstva </w:t>
      </w:r>
      <w:r w:rsidR="006C7329" w:rsidRPr="00654E3B">
        <w:rPr>
          <w:rFonts w:cs="Times New Roman"/>
        </w:rPr>
        <w:t>prostornog</w:t>
      </w:r>
      <w:r w:rsidR="00A91D59" w:rsidRPr="00654E3B">
        <w:rPr>
          <w:rFonts w:cs="Times New Roman"/>
        </w:rPr>
        <w:t>a</w:t>
      </w:r>
      <w:r w:rsidR="006C7329" w:rsidRPr="00654E3B">
        <w:rPr>
          <w:rFonts w:cs="Times New Roman"/>
        </w:rPr>
        <w:t xml:space="preserve"> uređenja, graditeljstva i državne imovine</w:t>
      </w:r>
      <w:r w:rsidRPr="00654E3B">
        <w:rPr>
          <w:rFonts w:cs="Times New Roman"/>
        </w:rPr>
        <w:t xml:space="preserve">. </w:t>
      </w:r>
    </w:p>
    <w:p w:rsidR="007D4A93" w:rsidRPr="00654E3B" w:rsidRDefault="00EF0BEB">
      <w:pPr>
        <w:rPr>
          <w:rFonts w:cs="Times New Roman"/>
        </w:rPr>
      </w:pPr>
      <w:r w:rsidRPr="00654E3B">
        <w:rPr>
          <w:rFonts w:cs="Times New Roman"/>
        </w:rPr>
        <w:t>Sadržaj povelje odnosi se na postizanje energetskih i klimatskih ciljeva na nacionalnoj i EU razini kroz dekarbonizaciju fonda zgrada, obnovom zgrada i građenjem zgrada gotovo nulte energije, svjesni važnosti dodatnog smanjenja emisija stakleničkih plinova, povećanja udjela obnovljivih izvora energije, poboljšanja energetske sigurnosti te uvođenja inovacija i pametnih tehnologija</w:t>
      </w:r>
      <w:r w:rsidR="00C17167" w:rsidRPr="00654E3B">
        <w:rPr>
          <w:rFonts w:cs="Times New Roman"/>
        </w:rPr>
        <w:t>,</w:t>
      </w:r>
      <w:r w:rsidRPr="00654E3B">
        <w:rPr>
          <w:rFonts w:cs="Times New Roman"/>
        </w:rPr>
        <w:t xml:space="preserve"> koje omogućuju zgradama da potpomognu sveukupnu dekarbonizaciju gospodarstva.</w:t>
      </w:r>
    </w:p>
    <w:p w:rsidR="007D4A93" w:rsidRPr="00654E3B" w:rsidRDefault="00EF0BEB">
      <w:pPr>
        <w:rPr>
          <w:rFonts w:cs="Times New Roman"/>
          <w:u w:val="single"/>
        </w:rPr>
      </w:pPr>
      <w:r w:rsidRPr="00654E3B">
        <w:rPr>
          <w:rFonts w:cs="Times New Roman"/>
          <w:u w:val="single"/>
        </w:rPr>
        <w:t>Niskougljični regionalni i lokalni integralni sustavi</w:t>
      </w:r>
    </w:p>
    <w:p w:rsidR="007D4A93" w:rsidRPr="00654E3B" w:rsidRDefault="00EF0BEB" w:rsidP="00CF5E00">
      <w:pPr>
        <w:rPr>
          <w:rFonts w:cs="Times New Roman"/>
        </w:rPr>
      </w:pPr>
      <w:r w:rsidRPr="00654E3B">
        <w:rPr>
          <w:rFonts w:cs="Times New Roman"/>
        </w:rPr>
        <w:t>Prilikom planiranja razvoja i ulaganja u infrastrukturu u području energetike, prometa i informacijsko-komunikacijske tehnologije</w:t>
      </w:r>
      <w:r w:rsidR="00C17167" w:rsidRPr="00654E3B">
        <w:rPr>
          <w:rFonts w:cs="Times New Roman"/>
        </w:rPr>
        <w:t>,</w:t>
      </w:r>
      <w:r w:rsidRPr="00654E3B">
        <w:rPr>
          <w:rFonts w:cs="Times New Roman"/>
        </w:rPr>
        <w:t xml:space="preserve"> na razini gradova, lokalnih i regionalnih zajednica</w:t>
      </w:r>
      <w:r w:rsidR="00C17167" w:rsidRPr="00654E3B">
        <w:rPr>
          <w:rFonts w:cs="Times New Roman"/>
        </w:rPr>
        <w:t>,</w:t>
      </w:r>
      <w:r w:rsidRPr="00654E3B">
        <w:rPr>
          <w:rFonts w:cs="Times New Roman"/>
        </w:rPr>
        <w:t xml:space="preserve"> potrebno je analizirati mogućnosti uspostave integriranih rješenja</w:t>
      </w:r>
      <w:r w:rsidR="00C17167" w:rsidRPr="00654E3B">
        <w:rPr>
          <w:rFonts w:cs="Times New Roman"/>
        </w:rPr>
        <w:t>,</w:t>
      </w:r>
      <w:r w:rsidRPr="00654E3B">
        <w:rPr>
          <w:rFonts w:cs="Times New Roman"/>
        </w:rPr>
        <w:t xml:space="preserve"> u kojima bi navedeni sektori bili međusobno povezani. </w:t>
      </w:r>
      <w:r w:rsidRPr="00654E3B">
        <w:rPr>
          <w:rFonts w:cs="Times New Roman"/>
        </w:rPr>
        <w:lastRenderedPageBreak/>
        <w:t>Objedinjavanjem naprednih informacijsko-komunikacijskih tehnologija s energetskim i prometnim sustavima</w:t>
      </w:r>
      <w:r w:rsidR="00C17167" w:rsidRPr="00654E3B">
        <w:rPr>
          <w:rFonts w:cs="Times New Roman"/>
        </w:rPr>
        <w:t>,</w:t>
      </w:r>
      <w:r w:rsidRPr="00654E3B">
        <w:rPr>
          <w:rFonts w:cs="Times New Roman"/>
        </w:rPr>
        <w:t xml:space="preserve"> moguće je ostvariti višestruke pozitivne učinke s doprinosom niskougljičnom razvoju lokalnih i regionalnih zajednica. Kroz integracijske projekte je potrebno uspostaviti strateška partnerstva zajednica s industrijom i upoznati se s mogućnostima današnjih tehnologija. Planiranju projekata potrebno je pristupiti holistički.</w:t>
      </w:r>
    </w:p>
    <w:p w:rsidR="007D4A93" w:rsidRPr="00654E3B" w:rsidRDefault="00EF0BEB" w:rsidP="00CF5E00">
      <w:pPr>
        <w:rPr>
          <w:rFonts w:cs="Times New Roman"/>
        </w:rPr>
      </w:pPr>
      <w:r w:rsidRPr="00654E3B">
        <w:rPr>
          <w:rFonts w:cs="Times New Roman"/>
        </w:rPr>
        <w:t>Inovativna rješenja treba potražiti kroz alternativne oblike energije, unaprjeđenje javnog prijevoza, efikasnu logistiku i planiranje, povećanje energetske efikasnosti zgrada i naseljenih područja, povećanje udjela obnovljivih izvora energije te podizanje ukupne efikasnosti i održivosti sustava u gradovima. Rješenja trebaju polučiti mjerljivi doprinos smanjenju potrošnje energije, povećanju energetske efikasnosti i povećanju udjela obnovljivih izvora u proizvodnji energije.</w:t>
      </w:r>
    </w:p>
    <w:p w:rsidR="007D4A93" w:rsidRPr="00654E3B" w:rsidRDefault="00EF0BEB" w:rsidP="00CF5E00">
      <w:pPr>
        <w:rPr>
          <w:rFonts w:cs="Times New Roman"/>
        </w:rPr>
      </w:pPr>
      <w:r w:rsidRPr="00654E3B">
        <w:rPr>
          <w:rFonts w:cs="Times New Roman"/>
        </w:rPr>
        <w:t>Poseban slučaj integracije predstavljaju naseljeni otoci</w:t>
      </w:r>
      <w:r w:rsidR="00142A10" w:rsidRPr="00654E3B">
        <w:rPr>
          <w:rFonts w:cs="Times New Roman"/>
        </w:rPr>
        <w:t>,</w:t>
      </w:r>
      <w:r w:rsidRPr="00654E3B">
        <w:rPr>
          <w:rFonts w:cs="Times New Roman"/>
        </w:rPr>
        <w:t xml:space="preserve"> od kojih su neki već samostalno pokrenuli projekte energetske neovisnosti. </w:t>
      </w:r>
      <w:r w:rsidR="00A57321" w:rsidRPr="00654E3B">
        <w:rPr>
          <w:rFonts w:cs="Times New Roman"/>
        </w:rPr>
        <w:t>K</w:t>
      </w:r>
      <w:r w:rsidRPr="00654E3B">
        <w:rPr>
          <w:rFonts w:cs="Times New Roman"/>
        </w:rPr>
        <w:t>ao i u slučaju regionalnih i lokalnih zajednica</w:t>
      </w:r>
      <w:r w:rsidR="00142A10" w:rsidRPr="00654E3B">
        <w:rPr>
          <w:rFonts w:cs="Times New Roman"/>
        </w:rPr>
        <w:t>,</w:t>
      </w:r>
      <w:r w:rsidRPr="00654E3B">
        <w:rPr>
          <w:rFonts w:cs="Times New Roman"/>
        </w:rPr>
        <w:t xml:space="preserve"> prilikom planiranja razvoja infrastrukture na otocima</w:t>
      </w:r>
      <w:r w:rsidR="00142A10" w:rsidRPr="00654E3B">
        <w:rPr>
          <w:rFonts w:cs="Times New Roman"/>
        </w:rPr>
        <w:t>,</w:t>
      </w:r>
      <w:r w:rsidRPr="00654E3B">
        <w:rPr>
          <w:rFonts w:cs="Times New Roman"/>
        </w:rPr>
        <w:t xml:space="preserve"> </w:t>
      </w:r>
      <w:r w:rsidR="00A57321" w:rsidRPr="00654E3B">
        <w:rPr>
          <w:rFonts w:cs="Times New Roman"/>
        </w:rPr>
        <w:t xml:space="preserve">preporuka je </w:t>
      </w:r>
      <w:r w:rsidRPr="00654E3B">
        <w:rPr>
          <w:rFonts w:cs="Times New Roman"/>
        </w:rPr>
        <w:t>analizirati mogućnosti uspostave integriranih rješenja, a najviše s ciljem stvaranja energetske neovisnosti, odnosno otoka gotovo bez emisije CO</w:t>
      </w:r>
      <w:r w:rsidRPr="00654E3B">
        <w:rPr>
          <w:rFonts w:cs="Times New Roman"/>
          <w:vertAlign w:val="subscript"/>
        </w:rPr>
        <w:t>2</w:t>
      </w:r>
      <w:r w:rsidRPr="00654E3B">
        <w:rPr>
          <w:rFonts w:cs="Times New Roman"/>
        </w:rPr>
        <w:t xml:space="preserve">. To se najviše odnosi na proizvodnju energije, promet i otpad. Štoviše, </w:t>
      </w:r>
      <w:r w:rsidR="00A57321" w:rsidRPr="00654E3B">
        <w:rPr>
          <w:rFonts w:cs="Times New Roman"/>
        </w:rPr>
        <w:t xml:space="preserve">poželjno je </w:t>
      </w:r>
      <w:r w:rsidRPr="00654E3B">
        <w:rPr>
          <w:rFonts w:cs="Times New Roman"/>
        </w:rPr>
        <w:t xml:space="preserve"> uspostaviti čvršću suradnju između otoka radi razmjene iskustava na započetim projektima te u politiku razvoja </w:t>
      </w:r>
      <w:r w:rsidR="009B266E" w:rsidRPr="00654E3B">
        <w:rPr>
          <w:rFonts w:cs="Times New Roman"/>
        </w:rPr>
        <w:t xml:space="preserve">hrvatskih </w:t>
      </w:r>
      <w:r w:rsidRPr="00654E3B">
        <w:rPr>
          <w:rFonts w:cs="Times New Roman"/>
        </w:rPr>
        <w:t>otoka od strane nadležnog ministarstva ugraditi ciljeve niskougljičnog razvoja.</w:t>
      </w:r>
    </w:p>
    <w:p w:rsidR="007D4A93" w:rsidRPr="00654E3B" w:rsidRDefault="00EF0BEB" w:rsidP="00CF5E00">
      <w:pPr>
        <w:rPr>
          <w:rFonts w:cs="Times New Roman"/>
        </w:rPr>
      </w:pPr>
      <w:r w:rsidRPr="00654E3B">
        <w:rPr>
          <w:rFonts w:cs="Times New Roman"/>
        </w:rPr>
        <w:t xml:space="preserve">Jedan od mogućih izvora financiranja uspostave integriranih rješenja je mehanizam integralnog teritorijalnog ulaganja ITU (eng. </w:t>
      </w:r>
      <w:r w:rsidRPr="00654E3B">
        <w:rPr>
          <w:rFonts w:cs="Times New Roman"/>
          <w:i/>
        </w:rPr>
        <w:t>integrated territory investments</w:t>
      </w:r>
      <w:r w:rsidRPr="00654E3B">
        <w:rPr>
          <w:rFonts w:cs="Times New Roman"/>
        </w:rPr>
        <w:t>) strukturnih fondova</w:t>
      </w:r>
      <w:r w:rsidR="00142A10" w:rsidRPr="00654E3B">
        <w:rPr>
          <w:rFonts w:cs="Times New Roman"/>
        </w:rPr>
        <w:t>,</w:t>
      </w:r>
      <w:r w:rsidRPr="00654E3B">
        <w:rPr>
          <w:rFonts w:cs="Times New Roman"/>
        </w:rPr>
        <w:t xml:space="preserve"> koji državama članicama omogućuje provedbu međusektorske integrirane strategije razvoja na određenom teritoriju i kombinaciju ulaganja iz više prioritetnih područja, i to iz jednog ili više operativnih programa. </w:t>
      </w:r>
    </w:p>
    <w:p w:rsidR="007D4A93" w:rsidRPr="00654E3B" w:rsidRDefault="00EF0BEB" w:rsidP="00CF5E00">
      <w:pPr>
        <w:rPr>
          <w:rFonts w:cs="Times New Roman"/>
        </w:rPr>
      </w:pPr>
      <w:r w:rsidRPr="00654E3B">
        <w:rPr>
          <w:rFonts w:cs="Times New Roman"/>
        </w:rPr>
        <w:t>Nadležno tijelo</w:t>
      </w:r>
      <w:r w:rsidR="004010A3" w:rsidRPr="00654E3B">
        <w:rPr>
          <w:rFonts w:cs="Times New Roman"/>
        </w:rPr>
        <w:t xml:space="preserve"> za klimatsku politiku,</w:t>
      </w:r>
      <w:r w:rsidRPr="00654E3B">
        <w:rPr>
          <w:rFonts w:cs="Times New Roman"/>
        </w:rPr>
        <w:t xml:space="preserve"> Ministarstvo </w:t>
      </w:r>
      <w:r w:rsidR="005941DA" w:rsidRPr="00654E3B">
        <w:rPr>
          <w:rFonts w:cs="Times New Roman"/>
        </w:rPr>
        <w:t>gospodarstva i održivog razvoja</w:t>
      </w:r>
      <w:r w:rsidR="00142A10" w:rsidRPr="00654E3B">
        <w:rPr>
          <w:rFonts w:cs="Times New Roman"/>
        </w:rPr>
        <w:t>,</w:t>
      </w:r>
      <w:r w:rsidRPr="00654E3B">
        <w:rPr>
          <w:rFonts w:cs="Times New Roman"/>
        </w:rPr>
        <w:t xml:space="preserve"> </w:t>
      </w:r>
      <w:r w:rsidR="004010A3" w:rsidRPr="00654E3B">
        <w:rPr>
          <w:rFonts w:cs="Times New Roman"/>
        </w:rPr>
        <w:t xml:space="preserve">će u svojoj koordinativnoj ulozi </w:t>
      </w:r>
      <w:r w:rsidRPr="00654E3B">
        <w:rPr>
          <w:rFonts w:cs="Times New Roman"/>
        </w:rPr>
        <w:t xml:space="preserve">uspostaviti bolju povezanost i sinergijske učinke politika. Djelovanje se sve više pomiče na samostalne aktivnosti </w:t>
      </w:r>
      <w:r w:rsidR="005941DA" w:rsidRPr="00654E3B">
        <w:rPr>
          <w:rFonts w:cs="Times New Roman"/>
        </w:rPr>
        <w:t xml:space="preserve">jedinica </w:t>
      </w:r>
      <w:r w:rsidRPr="00654E3B">
        <w:rPr>
          <w:rFonts w:cs="Times New Roman"/>
        </w:rPr>
        <w:t xml:space="preserve">lokalnih </w:t>
      </w:r>
      <w:r w:rsidR="005941DA" w:rsidRPr="00654E3B">
        <w:rPr>
          <w:rFonts w:cs="Times New Roman"/>
        </w:rPr>
        <w:t>samo</w:t>
      </w:r>
      <w:r w:rsidRPr="00654E3B">
        <w:rPr>
          <w:rFonts w:cs="Times New Roman"/>
        </w:rPr>
        <w:t xml:space="preserve">uprava i gradova. Ambicioznije inicijative kao što su ugljično neutralni otoci, gradovi i slično treba podržati. </w:t>
      </w:r>
    </w:p>
    <w:p w:rsidR="007D4A93" w:rsidRPr="00654E3B" w:rsidRDefault="00EF0BEB" w:rsidP="00CF5E00">
      <w:pPr>
        <w:rPr>
          <w:rFonts w:cs="Times New Roman"/>
        </w:rPr>
      </w:pPr>
      <w:r w:rsidRPr="00654E3B">
        <w:rPr>
          <w:rFonts w:cs="Times New Roman"/>
        </w:rPr>
        <w:t>U gradskim središtima i zaštićenim prostorima kulturne baštine</w:t>
      </w:r>
      <w:r w:rsidR="00142A10" w:rsidRPr="00654E3B">
        <w:rPr>
          <w:rFonts w:cs="Times New Roman"/>
        </w:rPr>
        <w:t>,</w:t>
      </w:r>
      <w:r w:rsidRPr="00654E3B">
        <w:rPr>
          <w:rFonts w:cs="Times New Roman"/>
        </w:rPr>
        <w:t xml:space="preserve"> treba promicati centralizirane sustave grijanja i hlađenja. Fasadni plinski bojleri, </w:t>
      </w:r>
      <w:r w:rsidRPr="00654E3B">
        <w:rPr>
          <w:rFonts w:cs="Times New Roman"/>
          <w:i/>
        </w:rPr>
        <w:t>split</w:t>
      </w:r>
      <w:r w:rsidRPr="00654E3B">
        <w:rPr>
          <w:rFonts w:cs="Times New Roman"/>
        </w:rPr>
        <w:t xml:space="preserve"> klimatske jedinice, plinska brojila na pročeljima zgrada, električna brojila na pročeljima zgrada, nagrđuju urbani krajobraz, </w:t>
      </w:r>
      <w:r w:rsidR="00142A10" w:rsidRPr="00654E3B">
        <w:rPr>
          <w:rFonts w:cs="Times New Roman"/>
        </w:rPr>
        <w:t xml:space="preserve">te bi </w:t>
      </w:r>
      <w:r w:rsidRPr="00654E3B">
        <w:rPr>
          <w:rFonts w:cs="Times New Roman"/>
        </w:rPr>
        <w:t xml:space="preserve">urbanističkim planovima i zakonom o krajobrazu trebalo napraviti napredak u ovom pogledu. </w:t>
      </w:r>
    </w:p>
    <w:p w:rsidR="007D4A93" w:rsidRPr="00654E3B" w:rsidRDefault="00EF0BEB" w:rsidP="004D5D43">
      <w:pPr>
        <w:pStyle w:val="Heading1"/>
        <w:ind w:left="705" w:hanging="705"/>
        <w:rPr>
          <w:rFonts w:ascii="Times New Roman" w:hAnsi="Times New Roman" w:cs="Times New Roman"/>
        </w:rPr>
      </w:pPr>
      <w:bookmarkStart w:id="324" w:name="_Toc484159034"/>
      <w:bookmarkStart w:id="325" w:name="_Toc69297788"/>
      <w:r w:rsidRPr="00654E3B">
        <w:rPr>
          <w:rFonts w:ascii="Times New Roman" w:hAnsi="Times New Roman" w:cs="Times New Roman"/>
        </w:rPr>
        <w:t>12.</w:t>
      </w:r>
      <w:r w:rsidRPr="00654E3B">
        <w:rPr>
          <w:rFonts w:ascii="Times New Roman" w:hAnsi="Times New Roman" w:cs="Times New Roman"/>
        </w:rPr>
        <w:tab/>
        <w:t>NISKOUGLJIČNO GOSPODARSTVO I OBRASCI POSLOVANJA</w:t>
      </w:r>
      <w:bookmarkEnd w:id="324"/>
      <w:bookmarkEnd w:id="325"/>
      <w:r w:rsidRPr="00654E3B">
        <w:rPr>
          <w:rFonts w:ascii="Times New Roman" w:hAnsi="Times New Roman" w:cs="Times New Roman"/>
        </w:rPr>
        <w:t xml:space="preserve"> </w:t>
      </w:r>
    </w:p>
    <w:p w:rsidR="007D4A93" w:rsidRPr="00654E3B" w:rsidRDefault="00EF0BEB">
      <w:pPr>
        <w:keepNext/>
        <w:rPr>
          <w:rFonts w:cs="Times New Roman"/>
          <w:u w:val="single"/>
        </w:rPr>
      </w:pPr>
      <w:r w:rsidRPr="00654E3B">
        <w:rPr>
          <w:rFonts w:cs="Times New Roman"/>
          <w:u w:val="single"/>
        </w:rPr>
        <w:t>Razvoj kružnog gospodarstva</w:t>
      </w:r>
    </w:p>
    <w:p w:rsidR="007D4A93" w:rsidRPr="00654E3B" w:rsidRDefault="00EF0BEB">
      <w:pPr>
        <w:keepNext/>
        <w:rPr>
          <w:rFonts w:cs="Times New Roman"/>
        </w:rPr>
      </w:pPr>
      <w:r w:rsidRPr="00654E3B">
        <w:rPr>
          <w:rFonts w:cs="Times New Roman"/>
        </w:rPr>
        <w:t>Potrebno je provoditi politiku održive potrošnje i proizvodnje pod sloganom „s manje napraviti više i bolje“, potaknuti održive obrasce ponašanja i poslovanja u svim gospodarskim sektorima. Treba povoditi koncept „životni ciklus proizvoda i usluga“ (LCA)</w:t>
      </w:r>
      <w:r w:rsidR="006249D1" w:rsidRPr="00654E3B">
        <w:rPr>
          <w:rFonts w:cs="Times New Roman"/>
        </w:rPr>
        <w:t>,</w:t>
      </w:r>
      <w:r w:rsidRPr="00654E3B">
        <w:rPr>
          <w:rFonts w:cs="Times New Roman"/>
        </w:rPr>
        <w:t xml:space="preserve"> koji prati okolišni otisak proizvoda i usluga, a utemeljen je na znanstvenim pokazateljima. Cilj je smanjiti potrošnju prirodnih dobara, smanjiti nastanak opasnih i toksičnih tvari, smanjiti emisije u zrak, vodu i tlo te smanjiti ili spriječiti nastajanje otpada na mjestu nastanka. </w:t>
      </w:r>
    </w:p>
    <w:p w:rsidR="007D4A93" w:rsidRPr="00654E3B" w:rsidRDefault="00EF0BEB">
      <w:pPr>
        <w:rPr>
          <w:rFonts w:cs="Times New Roman"/>
        </w:rPr>
      </w:pPr>
      <w:r w:rsidRPr="00654E3B">
        <w:rPr>
          <w:rFonts w:cs="Times New Roman"/>
        </w:rPr>
        <w:t>Na Konferenciji</w:t>
      </w:r>
      <w:r w:rsidR="006249D1" w:rsidRPr="00654E3B">
        <w:rPr>
          <w:rFonts w:cs="Times New Roman"/>
        </w:rPr>
        <w:t xml:space="preserve"> </w:t>
      </w:r>
      <w:r w:rsidRPr="00654E3B">
        <w:rPr>
          <w:rFonts w:cs="Times New Roman"/>
        </w:rPr>
        <w:t>Ujedinjenih naroda</w:t>
      </w:r>
      <w:r w:rsidR="006249D1" w:rsidRPr="00654E3B">
        <w:rPr>
          <w:rFonts w:cs="Times New Roman"/>
        </w:rPr>
        <w:t xml:space="preserve"> </w:t>
      </w:r>
      <w:r w:rsidRPr="00654E3B">
        <w:rPr>
          <w:rFonts w:cs="Times New Roman"/>
        </w:rPr>
        <w:t>o održivom razvoju Rio+20</w:t>
      </w:r>
      <w:r w:rsidR="006249D1" w:rsidRPr="00654E3B">
        <w:rPr>
          <w:rFonts w:cs="Times New Roman"/>
        </w:rPr>
        <w:t>,</w:t>
      </w:r>
      <w:r w:rsidRPr="00654E3B">
        <w:rPr>
          <w:rFonts w:cs="Times New Roman"/>
        </w:rPr>
        <w:t xml:space="preserve"> dan je novi zamah politici održive potrošnje i proizvodnje te je predviđeno da se razvijaju dobrovoljni programi, projekti i inicijative 10- godišnji okvir za programe održive potrošnje i proizvodnje (10YFP on SCP). Identificirano je šest područja za razvoj programa koje će provoditi Republika Hrvatska, a </w:t>
      </w:r>
      <w:r w:rsidR="004010A3" w:rsidRPr="00654E3B">
        <w:rPr>
          <w:rFonts w:cs="Times New Roman"/>
        </w:rPr>
        <w:t>doprinose provedbi</w:t>
      </w:r>
      <w:r w:rsidRPr="00654E3B">
        <w:rPr>
          <w:rFonts w:cs="Times New Roman"/>
        </w:rPr>
        <w:t xml:space="preserve"> Niskougljičn</w:t>
      </w:r>
      <w:r w:rsidR="004010A3" w:rsidRPr="00654E3B">
        <w:rPr>
          <w:rFonts w:cs="Times New Roman"/>
        </w:rPr>
        <w:t>e</w:t>
      </w:r>
      <w:r w:rsidRPr="00654E3B">
        <w:rPr>
          <w:rFonts w:cs="Times New Roman"/>
        </w:rPr>
        <w:t xml:space="preserve"> strategij</w:t>
      </w:r>
      <w:r w:rsidR="004010A3" w:rsidRPr="00654E3B">
        <w:rPr>
          <w:rFonts w:cs="Times New Roman"/>
        </w:rPr>
        <w:t>e</w:t>
      </w:r>
      <w:r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informacije za potrošače</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održivi životni stilovi i obrazovanje</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lastRenderedPageBreak/>
        <w:t>održiva javna nabava</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održive zgrade i izgradnja</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održivi turizam, uključujući ekoturizam</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održiva hrana.</w:t>
      </w:r>
    </w:p>
    <w:p w:rsidR="007D4A93" w:rsidRPr="00654E3B" w:rsidRDefault="00EF0BEB">
      <w:pPr>
        <w:rPr>
          <w:rFonts w:cs="Times New Roman"/>
        </w:rPr>
      </w:pPr>
      <w:r w:rsidRPr="00654E3B">
        <w:rPr>
          <w:rFonts w:cs="Times New Roman"/>
        </w:rPr>
        <w:t xml:space="preserve">Potrebno je nastaviti s aktivnostima koje su </w:t>
      </w:r>
      <w:r w:rsidR="006249D1" w:rsidRPr="00654E3B">
        <w:rPr>
          <w:rFonts w:cs="Times New Roman"/>
        </w:rPr>
        <w:t>započete</w:t>
      </w:r>
      <w:r w:rsidRPr="00654E3B">
        <w:rPr>
          <w:rFonts w:cs="Times New Roman"/>
        </w:rPr>
        <w:t xml:space="preserve">, </w:t>
      </w:r>
      <w:r w:rsidR="006249D1" w:rsidRPr="00654E3B">
        <w:rPr>
          <w:rFonts w:cs="Times New Roman"/>
        </w:rPr>
        <w:t xml:space="preserve">a </w:t>
      </w:r>
      <w:r w:rsidRPr="00654E3B">
        <w:rPr>
          <w:rFonts w:cs="Times New Roman"/>
        </w:rPr>
        <w:t>one sve mogu biti i specifično usmjerene na snažnije uvažavanje, promidžbu i upotrebu ugljičnog otiska:</w:t>
      </w:r>
    </w:p>
    <w:p w:rsidR="007D4A93" w:rsidRPr="00654E3B" w:rsidRDefault="00EF0BEB" w:rsidP="000C6795">
      <w:pPr>
        <w:pStyle w:val="ListParagraph"/>
        <w:numPr>
          <w:ilvl w:val="0"/>
          <w:numId w:val="22"/>
        </w:numPr>
        <w:rPr>
          <w:rFonts w:cs="Times New Roman"/>
        </w:rPr>
      </w:pPr>
      <w:r w:rsidRPr="00654E3B">
        <w:rPr>
          <w:rFonts w:cs="Times New Roman"/>
        </w:rPr>
        <w:t>poticanje ekološkog označavanja</w:t>
      </w:r>
      <w:r w:rsidR="006249D1" w:rsidRPr="00654E3B">
        <w:rPr>
          <w:rFonts w:cs="Times New Roman"/>
        </w:rPr>
        <w:t>;</w:t>
      </w:r>
    </w:p>
    <w:p w:rsidR="007D4A93" w:rsidRPr="00654E3B" w:rsidRDefault="00EF0BEB" w:rsidP="000C6795">
      <w:pPr>
        <w:pStyle w:val="ListParagraph"/>
        <w:numPr>
          <w:ilvl w:val="0"/>
          <w:numId w:val="22"/>
        </w:numPr>
        <w:rPr>
          <w:rFonts w:cs="Times New Roman"/>
        </w:rPr>
      </w:pPr>
      <w:r w:rsidRPr="00654E3B">
        <w:rPr>
          <w:rFonts w:cs="Times New Roman"/>
        </w:rPr>
        <w:t>zelena javna nabava</w:t>
      </w:r>
      <w:r w:rsidR="006249D1" w:rsidRPr="00654E3B">
        <w:rPr>
          <w:rFonts w:cs="Times New Roman"/>
        </w:rPr>
        <w:t>;</w:t>
      </w:r>
    </w:p>
    <w:p w:rsidR="007D4A93" w:rsidRPr="00654E3B" w:rsidRDefault="00EF0BEB" w:rsidP="000C6795">
      <w:pPr>
        <w:pStyle w:val="ListParagraph"/>
        <w:numPr>
          <w:ilvl w:val="0"/>
          <w:numId w:val="22"/>
        </w:numPr>
        <w:rPr>
          <w:rFonts w:cs="Times New Roman"/>
        </w:rPr>
      </w:pPr>
      <w:r w:rsidRPr="00654E3B">
        <w:rPr>
          <w:rFonts w:cs="Times New Roman"/>
        </w:rPr>
        <w:t>poticanje ekološkog označavanja i kontrole u poljoprivredi</w:t>
      </w:r>
      <w:r w:rsidR="006249D1" w:rsidRPr="00654E3B">
        <w:rPr>
          <w:rFonts w:cs="Times New Roman"/>
        </w:rPr>
        <w:t>;</w:t>
      </w:r>
    </w:p>
    <w:p w:rsidR="007D4A93" w:rsidRPr="00654E3B" w:rsidRDefault="00EF0BEB" w:rsidP="000C6795">
      <w:pPr>
        <w:pStyle w:val="ListParagraph"/>
        <w:numPr>
          <w:ilvl w:val="0"/>
          <w:numId w:val="22"/>
        </w:numPr>
        <w:rPr>
          <w:rFonts w:cs="Times New Roman"/>
        </w:rPr>
      </w:pPr>
      <w:r w:rsidRPr="00654E3B">
        <w:rPr>
          <w:rFonts w:cs="Times New Roman"/>
        </w:rPr>
        <w:t>energetska certifikacija zgrada</w:t>
      </w:r>
      <w:r w:rsidR="006249D1" w:rsidRPr="00654E3B">
        <w:rPr>
          <w:rFonts w:cs="Times New Roman"/>
        </w:rPr>
        <w:t>;</w:t>
      </w:r>
    </w:p>
    <w:p w:rsidR="007D4A93" w:rsidRPr="00654E3B" w:rsidRDefault="00EF0BEB" w:rsidP="000C6795">
      <w:pPr>
        <w:pStyle w:val="ListParagraph"/>
        <w:numPr>
          <w:ilvl w:val="0"/>
          <w:numId w:val="22"/>
        </w:numPr>
        <w:rPr>
          <w:rFonts w:cs="Times New Roman"/>
        </w:rPr>
      </w:pPr>
      <w:r w:rsidRPr="00654E3B">
        <w:rPr>
          <w:rFonts w:cs="Times New Roman"/>
        </w:rPr>
        <w:t xml:space="preserve">održivi turizam i destinacije. </w:t>
      </w:r>
    </w:p>
    <w:p w:rsidR="007D4A93" w:rsidRPr="00654E3B" w:rsidRDefault="00EF0BEB">
      <w:pPr>
        <w:rPr>
          <w:rFonts w:cs="Times New Roman"/>
          <w:u w:val="single"/>
        </w:rPr>
      </w:pPr>
      <w:r w:rsidRPr="00654E3B">
        <w:rPr>
          <w:rFonts w:cs="Times New Roman"/>
          <w:u w:val="single"/>
        </w:rPr>
        <w:t xml:space="preserve">Poslovno upravljanje načelima niskougljičnog razvoja </w:t>
      </w:r>
    </w:p>
    <w:p w:rsidR="007D4A93" w:rsidRPr="00654E3B" w:rsidRDefault="00EF0BEB">
      <w:pPr>
        <w:rPr>
          <w:rFonts w:cs="Times New Roman"/>
        </w:rPr>
      </w:pPr>
      <w:r w:rsidRPr="00654E3B">
        <w:rPr>
          <w:rFonts w:cs="Times New Roman"/>
        </w:rPr>
        <w:t>Primjena načela niskougljičnog razvoja u poslovnim organizacijama je uglavnom dobrovoljna, što znači da vodstva organizacija primjenjuju ova načela</w:t>
      </w:r>
      <w:r w:rsidR="006249D1" w:rsidRPr="00654E3B">
        <w:rPr>
          <w:rFonts w:cs="Times New Roman"/>
        </w:rPr>
        <w:t>,</w:t>
      </w:r>
      <w:r w:rsidRPr="00654E3B">
        <w:rPr>
          <w:rFonts w:cs="Times New Roman"/>
        </w:rPr>
        <w:t xml:space="preserve"> očekujući da će dugoročno ostvariti određenu korist. Izravnu korist mogu ostvariti primjerice primjenom međunarodne norme za upravljanje energijom</w:t>
      </w:r>
      <w:r w:rsidR="006249D1" w:rsidRPr="00654E3B">
        <w:rPr>
          <w:rFonts w:cs="Times New Roman"/>
        </w:rPr>
        <w:t>,</w:t>
      </w:r>
      <w:r w:rsidRPr="00654E3B">
        <w:rPr>
          <w:rFonts w:cs="Times New Roman"/>
        </w:rPr>
        <w:t xml:space="preserve"> čime smanjuju troškove energenata ili pak certifikacijom proizvoda radi stjecanja prednosti u postupcima javne nabave</w:t>
      </w:r>
      <w:r w:rsidR="006249D1" w:rsidRPr="00654E3B">
        <w:rPr>
          <w:rFonts w:cs="Times New Roman"/>
        </w:rPr>
        <w:t>,</w:t>
      </w:r>
      <w:r w:rsidRPr="00654E3B">
        <w:rPr>
          <w:rFonts w:cs="Times New Roman"/>
        </w:rPr>
        <w:t xml:space="preserve"> u kojima se svojstvo zelenih usluga i proizvoda sve češće postavlja kao kriterij pri vrednovanju ponude. S druge strane, društveno odgovorno poslovanje, temeljeno također na odgovarajućim međunarodnim normama i smjernicama, ne donosi izravnu materijalnu korist, nego stvara u javnosti pozitivnu sliku o organizaciji</w:t>
      </w:r>
      <w:r w:rsidR="006249D1" w:rsidRPr="00654E3B">
        <w:rPr>
          <w:rFonts w:cs="Times New Roman"/>
        </w:rPr>
        <w:t>,</w:t>
      </w:r>
      <w:r w:rsidRPr="00654E3B">
        <w:rPr>
          <w:rFonts w:cs="Times New Roman"/>
        </w:rPr>
        <w:t xml:space="preserve"> čime se onda koristi mogu ostvariti posredno.</w:t>
      </w:r>
    </w:p>
    <w:p w:rsidR="007D4A93" w:rsidRPr="00654E3B" w:rsidRDefault="00EF0BEB">
      <w:pPr>
        <w:rPr>
          <w:rFonts w:cs="Times New Roman"/>
        </w:rPr>
      </w:pPr>
      <w:r w:rsidRPr="00654E3B">
        <w:rPr>
          <w:rFonts w:cs="Times New Roman"/>
        </w:rPr>
        <w:t>Zbog toga uspjeh ove mjere ovisi o dva elementa: prvenstveno o jačanju svijesti i edukaciji osoba odgovornih za upravljanje organizacijama i donošenje ključnih poslovnih odluka te o stvaranju poticajnog poslovnog okruženja</w:t>
      </w:r>
      <w:r w:rsidR="006249D1" w:rsidRPr="00654E3B">
        <w:rPr>
          <w:rFonts w:cs="Times New Roman"/>
        </w:rPr>
        <w:t>,</w:t>
      </w:r>
      <w:r w:rsidRPr="00654E3B">
        <w:rPr>
          <w:rFonts w:cs="Times New Roman"/>
        </w:rPr>
        <w:t xml:space="preserve"> u kojem će organizacije prepoznati korist od primjene načela niskougljičnog razvoja, s time da ta korist nije nužno materijalna ili se barem tek dugoročno može materijalizirati.</w:t>
      </w:r>
    </w:p>
    <w:p w:rsidR="007D4A93" w:rsidRPr="00654E3B" w:rsidRDefault="00EF0BEB">
      <w:pPr>
        <w:rPr>
          <w:rFonts w:cs="Times New Roman"/>
        </w:rPr>
      </w:pPr>
      <w:r w:rsidRPr="00654E3B">
        <w:rPr>
          <w:rFonts w:cs="Times New Roman"/>
        </w:rPr>
        <w:t>Inicijalno se može analizirati mogućnost sufinanciranja troškova prilagodbe poslovanja</w:t>
      </w:r>
      <w:r w:rsidR="006249D1" w:rsidRPr="00654E3B">
        <w:rPr>
          <w:rFonts w:cs="Times New Roman"/>
        </w:rPr>
        <w:t>,</w:t>
      </w:r>
      <w:r w:rsidRPr="00654E3B">
        <w:rPr>
          <w:rFonts w:cs="Times New Roman"/>
        </w:rPr>
        <w:t xml:space="preserve"> onim međunarodnim smjernicama i normama koje rezultiraju učincima u skladu s načelima niskougljičnog razvoja. To može biti usklađivanje organizacije sa zahtjevima za gospodarenje energijom i zaštitom okoliša ili sa zahtjevima za stjecanje znakova integrirane proizvodnje i ekološke proizvodnje. Podupiranje se odnosi na uvođenje sustava upravljanja poslovanjem, održavanjem, imovinom, sve što može povećati resursnu učinkovitost. </w:t>
      </w:r>
    </w:p>
    <w:p w:rsidR="007D4A93" w:rsidRPr="00654E3B" w:rsidRDefault="00EF0BEB">
      <w:pPr>
        <w:rPr>
          <w:rFonts w:cs="Times New Roman"/>
          <w:u w:val="single"/>
        </w:rPr>
      </w:pPr>
      <w:r w:rsidRPr="00654E3B">
        <w:rPr>
          <w:rFonts w:cs="Times New Roman"/>
          <w:u w:val="single"/>
        </w:rPr>
        <w:t xml:space="preserve">Promicanje proizvoda i usluga ugljičnog otiska   </w:t>
      </w:r>
    </w:p>
    <w:p w:rsidR="007D4A93" w:rsidRPr="00654E3B" w:rsidRDefault="00EF0BEB">
      <w:pPr>
        <w:rPr>
          <w:rFonts w:cs="Times New Roman"/>
        </w:rPr>
      </w:pPr>
      <w:r w:rsidRPr="00654E3B">
        <w:rPr>
          <w:rFonts w:cs="Times New Roman"/>
        </w:rPr>
        <w:t>Ova mjera povodi se u snažnoj sinergiji sa mjerom zelene javne nabave:</w:t>
      </w:r>
    </w:p>
    <w:p w:rsidR="007D4A93" w:rsidRPr="00654E3B" w:rsidRDefault="00EF0BEB" w:rsidP="000C6795">
      <w:pPr>
        <w:pStyle w:val="ListParagraph"/>
        <w:numPr>
          <w:ilvl w:val="0"/>
          <w:numId w:val="23"/>
        </w:numPr>
        <w:rPr>
          <w:rFonts w:cs="Times New Roman"/>
        </w:rPr>
      </w:pPr>
      <w:r w:rsidRPr="00654E3B">
        <w:rPr>
          <w:rFonts w:cs="Times New Roman"/>
        </w:rPr>
        <w:t>studijska istraživanja, izrada baza podataka, modela, metoda za izračun i uspostavu shema za ugljični otisak</w:t>
      </w:r>
      <w:r w:rsidR="006249D1" w:rsidRPr="00654E3B">
        <w:rPr>
          <w:rFonts w:cs="Times New Roman"/>
        </w:rPr>
        <w:t>;</w:t>
      </w:r>
    </w:p>
    <w:p w:rsidR="007D4A93" w:rsidRPr="00654E3B" w:rsidRDefault="00EF0BEB" w:rsidP="000C6795">
      <w:pPr>
        <w:pStyle w:val="ListParagraph"/>
        <w:numPr>
          <w:ilvl w:val="0"/>
          <w:numId w:val="23"/>
        </w:numPr>
        <w:rPr>
          <w:rFonts w:cs="Times New Roman"/>
        </w:rPr>
      </w:pPr>
      <w:r w:rsidRPr="00654E3B">
        <w:rPr>
          <w:rFonts w:cs="Times New Roman"/>
        </w:rPr>
        <w:t>izračunavanje ugljičnog otiska proizvoda i usluga na hrvatskom tržištu</w:t>
      </w:r>
      <w:r w:rsidR="006249D1" w:rsidRPr="00654E3B">
        <w:rPr>
          <w:rFonts w:cs="Times New Roman"/>
        </w:rPr>
        <w:t>;</w:t>
      </w:r>
    </w:p>
    <w:p w:rsidR="007D4A93" w:rsidRPr="00654E3B" w:rsidRDefault="00EF0BEB" w:rsidP="000C6795">
      <w:pPr>
        <w:pStyle w:val="ListParagraph"/>
        <w:numPr>
          <w:ilvl w:val="0"/>
          <w:numId w:val="23"/>
        </w:numPr>
        <w:rPr>
          <w:rFonts w:cs="Times New Roman"/>
        </w:rPr>
      </w:pPr>
      <w:r w:rsidRPr="00654E3B">
        <w:rPr>
          <w:rFonts w:cs="Times New Roman"/>
        </w:rPr>
        <w:t>poticanje projekata uspostave neobveznih shema označavanja proizvoda i usluga ugljičnog i okolišnog otiska</w:t>
      </w:r>
      <w:r w:rsidR="006249D1" w:rsidRPr="00654E3B">
        <w:rPr>
          <w:rFonts w:cs="Times New Roman"/>
        </w:rPr>
        <w:t>;</w:t>
      </w:r>
    </w:p>
    <w:p w:rsidR="007D4A93" w:rsidRPr="00654E3B" w:rsidRDefault="00EF0BEB" w:rsidP="000C6795">
      <w:pPr>
        <w:pStyle w:val="ListParagraph"/>
        <w:numPr>
          <w:ilvl w:val="0"/>
          <w:numId w:val="23"/>
        </w:numPr>
        <w:rPr>
          <w:rFonts w:cs="Times New Roman"/>
        </w:rPr>
      </w:pPr>
      <w:r w:rsidRPr="00654E3B">
        <w:rPr>
          <w:rFonts w:cs="Times New Roman"/>
        </w:rPr>
        <w:t>poticanje provedbe sheme označavanja i ugljičnog otiska i njezinih korisnika</w:t>
      </w:r>
      <w:r w:rsidR="006249D1" w:rsidRPr="00654E3B">
        <w:rPr>
          <w:rFonts w:cs="Times New Roman"/>
        </w:rPr>
        <w:t>;</w:t>
      </w:r>
    </w:p>
    <w:p w:rsidR="007D4A93" w:rsidRPr="00654E3B" w:rsidRDefault="00EF0BEB" w:rsidP="000C6795">
      <w:pPr>
        <w:pStyle w:val="ListParagraph"/>
        <w:numPr>
          <w:ilvl w:val="0"/>
          <w:numId w:val="23"/>
        </w:numPr>
        <w:rPr>
          <w:rFonts w:cs="Times New Roman"/>
        </w:rPr>
      </w:pPr>
      <w:r w:rsidRPr="00654E3B">
        <w:rPr>
          <w:rFonts w:cs="Times New Roman"/>
        </w:rPr>
        <w:t>raspoznavanje hrvatskih izvoznih proizvoda s mogućim brendom ugljičnog otiska.</w:t>
      </w:r>
    </w:p>
    <w:p w:rsidR="007D4A93" w:rsidRPr="00654E3B" w:rsidRDefault="00EF0BEB">
      <w:pPr>
        <w:rPr>
          <w:rFonts w:cs="Times New Roman"/>
          <w:u w:val="single"/>
        </w:rPr>
      </w:pPr>
      <w:r w:rsidRPr="00654E3B">
        <w:rPr>
          <w:rFonts w:cs="Times New Roman"/>
          <w:u w:val="single"/>
        </w:rPr>
        <w:t xml:space="preserve">Zelena i niskougljična nabava </w:t>
      </w:r>
    </w:p>
    <w:p w:rsidR="00AB40C9" w:rsidRPr="00654E3B" w:rsidRDefault="00EF0BEB">
      <w:pPr>
        <w:rPr>
          <w:rFonts w:cs="Times New Roman"/>
        </w:rPr>
      </w:pPr>
      <w:r w:rsidRPr="00654E3B">
        <w:rPr>
          <w:rFonts w:cs="Times New Roman"/>
        </w:rPr>
        <w:t>Drugi Nacionalni akcijski plan za zelenu javnu nabavu</w:t>
      </w:r>
      <w:r w:rsidR="006249D1" w:rsidRPr="00654E3B">
        <w:rPr>
          <w:rFonts w:cs="Times New Roman"/>
        </w:rPr>
        <w:t>,</w:t>
      </w:r>
      <w:r w:rsidRPr="00654E3B">
        <w:rPr>
          <w:rFonts w:cs="Times New Roman"/>
        </w:rPr>
        <w:t xml:space="preserve"> potrebno je proširiti ciljevima s obzirom na specifične zahtjeve niskougljičnog razvoja. U njemu je potrebno definirati skupine proizvoda i usluga</w:t>
      </w:r>
      <w:r w:rsidR="006249D1" w:rsidRPr="00654E3B">
        <w:rPr>
          <w:rFonts w:cs="Times New Roman"/>
        </w:rPr>
        <w:t>,</w:t>
      </w:r>
      <w:r w:rsidRPr="00654E3B">
        <w:rPr>
          <w:rFonts w:cs="Times New Roman"/>
        </w:rPr>
        <w:t xml:space="preserve"> za koje se propisuje cilj niskougljične javne nabave i kvantificirati ciljeve. Prije donošenja Drugog </w:t>
      </w:r>
      <w:r w:rsidRPr="00654E3B">
        <w:rPr>
          <w:rFonts w:cs="Times New Roman"/>
        </w:rPr>
        <w:lastRenderedPageBreak/>
        <w:t>Nacionalnog akcijskog plana</w:t>
      </w:r>
      <w:r w:rsidR="006249D1" w:rsidRPr="00654E3B">
        <w:rPr>
          <w:rFonts w:cs="Times New Roman"/>
        </w:rPr>
        <w:t>,</w:t>
      </w:r>
      <w:r w:rsidRPr="00654E3B">
        <w:rPr>
          <w:rFonts w:cs="Times New Roman"/>
        </w:rPr>
        <w:t xml:space="preserve"> potrebno je potica</w:t>
      </w:r>
      <w:r w:rsidR="00A62CB2" w:rsidRPr="00654E3B">
        <w:rPr>
          <w:rFonts w:cs="Times New Roman"/>
        </w:rPr>
        <w:t>ti</w:t>
      </w:r>
      <w:r w:rsidRPr="00654E3B">
        <w:rPr>
          <w:rFonts w:cs="Times New Roman"/>
        </w:rPr>
        <w:t xml:space="preserve"> zelene i niskougljične nabave u privatnom sektoru te u javnom sektoru za postupke jednostavne nabave.</w:t>
      </w:r>
    </w:p>
    <w:p w:rsidR="007D4A93" w:rsidRPr="00654E3B" w:rsidRDefault="00EF0BEB">
      <w:pPr>
        <w:pStyle w:val="Heading1"/>
        <w:rPr>
          <w:rFonts w:ascii="Times New Roman" w:hAnsi="Times New Roman" w:cs="Times New Roman"/>
        </w:rPr>
      </w:pPr>
      <w:bookmarkStart w:id="326" w:name="_Toc484159035"/>
      <w:bookmarkStart w:id="327" w:name="_Toc69297789"/>
      <w:r w:rsidRPr="00654E3B">
        <w:rPr>
          <w:rFonts w:ascii="Times New Roman" w:hAnsi="Times New Roman" w:cs="Times New Roman"/>
        </w:rPr>
        <w:t>13.</w:t>
      </w:r>
      <w:r w:rsidRPr="00654E3B">
        <w:rPr>
          <w:rFonts w:ascii="Times New Roman" w:hAnsi="Times New Roman" w:cs="Times New Roman"/>
        </w:rPr>
        <w:tab/>
        <w:t>MEĐUNARODNA SURADNJA</w:t>
      </w:r>
      <w:bookmarkEnd w:id="326"/>
      <w:bookmarkEnd w:id="327"/>
    </w:p>
    <w:p w:rsidR="007D4A93" w:rsidRPr="00654E3B" w:rsidRDefault="007D4A93">
      <w:pPr>
        <w:rPr>
          <w:rFonts w:cs="Times New Roman"/>
        </w:rPr>
      </w:pPr>
    </w:p>
    <w:p w:rsidR="007D4A93" w:rsidRPr="00654E3B" w:rsidRDefault="00EF0BEB">
      <w:pPr>
        <w:pStyle w:val="NormalWeb"/>
        <w:rPr>
          <w:rFonts w:cs="Times New Roman"/>
        </w:rPr>
      </w:pPr>
      <w:r w:rsidRPr="00654E3B">
        <w:rPr>
          <w:rFonts w:cs="Times New Roman"/>
        </w:rPr>
        <w:t>Temeljni princip UNFCCC-a je solidarnost država i preuzimanje zajedničke, ali različite obveze, sukladno mogućnostima. Globalno tržište proizvoda postaje sve više tržišno povezano, u EU tržište električne energije i plina postaje sve više zajedničko</w:t>
      </w:r>
      <w:r w:rsidR="006249D1" w:rsidRPr="00654E3B">
        <w:rPr>
          <w:rFonts w:cs="Times New Roman"/>
        </w:rPr>
        <w:t>,</w:t>
      </w:r>
      <w:r w:rsidRPr="00654E3B">
        <w:rPr>
          <w:rFonts w:cs="Times New Roman"/>
        </w:rPr>
        <w:t xml:space="preserve"> što kupcima daje veće mogućnosti, niže cijene i sigurniju opskrbu. Mnoge aktivnosti i projekti koji pomažu smanjenju emisije</w:t>
      </w:r>
      <w:r w:rsidR="006249D1" w:rsidRPr="00654E3B">
        <w:rPr>
          <w:rFonts w:cs="Times New Roman"/>
        </w:rPr>
        <w:t>,</w:t>
      </w:r>
      <w:r w:rsidRPr="00654E3B">
        <w:rPr>
          <w:rFonts w:cs="Times New Roman"/>
        </w:rPr>
        <w:t xml:space="preserve"> mogu se provesti efikasnije uz međunarodnu suradnju. Europska politika potiče udruživanje, prijenos zelenih certifikata i prioritetno financira projekte koji ostvaruju suradnju i udružuju kapital u investicijama. </w:t>
      </w:r>
    </w:p>
    <w:p w:rsidR="007D4A93" w:rsidRPr="00654E3B" w:rsidRDefault="00EF0BEB">
      <w:pPr>
        <w:pStyle w:val="NormalWeb"/>
        <w:rPr>
          <w:rFonts w:cs="Times New Roman"/>
        </w:rPr>
      </w:pPr>
      <w:r w:rsidRPr="00654E3B">
        <w:rPr>
          <w:rFonts w:cs="Times New Roman"/>
        </w:rPr>
        <w:t xml:space="preserve">UNFCCC i Pariški sporazum navode obvezu suradnje te se navodi da će </w:t>
      </w:r>
      <w:r w:rsidR="00F776E4" w:rsidRPr="00654E3B">
        <w:rPr>
          <w:rFonts w:cs="Times New Roman"/>
        </w:rPr>
        <w:t>s</w:t>
      </w:r>
      <w:r w:rsidRPr="00654E3B">
        <w:rPr>
          <w:rFonts w:cs="Times New Roman"/>
        </w:rPr>
        <w:t>tranke</w:t>
      </w:r>
      <w:r w:rsidR="002B1B53" w:rsidRPr="00654E3B">
        <w:rPr>
          <w:rFonts w:cs="Times New Roman"/>
        </w:rPr>
        <w:t>,</w:t>
      </w:r>
      <w:r w:rsidRPr="00654E3B">
        <w:rPr>
          <w:rFonts w:cs="Times New Roman"/>
        </w:rPr>
        <w:t xml:space="preserve"> koje su razvijene zemlje svijeta</w:t>
      </w:r>
      <w:r w:rsidR="002B1B53" w:rsidRPr="00654E3B">
        <w:rPr>
          <w:rFonts w:cs="Times New Roman"/>
        </w:rPr>
        <w:t>,</w:t>
      </w:r>
      <w:r w:rsidRPr="00654E3B">
        <w:rPr>
          <w:rFonts w:cs="Times New Roman"/>
        </w:rPr>
        <w:t xml:space="preserve"> pomagati </w:t>
      </w:r>
      <w:r w:rsidR="00F776E4" w:rsidRPr="00654E3B">
        <w:rPr>
          <w:rFonts w:cs="Times New Roman"/>
        </w:rPr>
        <w:t>s</w:t>
      </w:r>
      <w:r w:rsidRPr="00654E3B">
        <w:rPr>
          <w:rFonts w:cs="Times New Roman"/>
        </w:rPr>
        <w:t>trankama, koje su zemlje u razvoju u potpori za mjere izgradnj</w:t>
      </w:r>
      <w:r w:rsidR="00F776E4" w:rsidRPr="00654E3B">
        <w:rPr>
          <w:rFonts w:cs="Times New Roman"/>
        </w:rPr>
        <w:t>e</w:t>
      </w:r>
      <w:r w:rsidRPr="00654E3B">
        <w:rPr>
          <w:rFonts w:cs="Times New Roman"/>
        </w:rPr>
        <w:t xml:space="preserve"> kapaciteta za ublažavanje klimatskih promjena i prilagodb</w:t>
      </w:r>
      <w:r w:rsidR="00F776E4" w:rsidRPr="00654E3B">
        <w:rPr>
          <w:rFonts w:cs="Times New Roman"/>
        </w:rPr>
        <w:t>u</w:t>
      </w:r>
      <w:r w:rsidRPr="00654E3B">
        <w:rPr>
          <w:rFonts w:cs="Times New Roman"/>
        </w:rPr>
        <w:t xml:space="preserve"> klimatsk</w:t>
      </w:r>
      <w:r w:rsidR="00F776E4" w:rsidRPr="00654E3B">
        <w:rPr>
          <w:rFonts w:cs="Times New Roman"/>
        </w:rPr>
        <w:t>im</w:t>
      </w:r>
      <w:r w:rsidRPr="00654E3B">
        <w:rPr>
          <w:rFonts w:cs="Times New Roman"/>
        </w:rPr>
        <w:t xml:space="preserve"> promjen</w:t>
      </w:r>
      <w:r w:rsidR="00F776E4" w:rsidRPr="00654E3B">
        <w:rPr>
          <w:rFonts w:cs="Times New Roman"/>
        </w:rPr>
        <w:t>ama</w:t>
      </w:r>
      <w:r w:rsidRPr="00654E3B">
        <w:rPr>
          <w:rFonts w:cs="Times New Roman"/>
        </w:rPr>
        <w:t>. Republika Hrvatska članstvom u EU ulazi u kategoriju razvijenih zemalja svijeta te kroz nacionalnu politiku međunarodne razvojne pomoći</w:t>
      </w:r>
      <w:r w:rsidR="002B1B53" w:rsidRPr="00654E3B">
        <w:rPr>
          <w:rFonts w:cs="Times New Roman"/>
        </w:rPr>
        <w:t>,</w:t>
      </w:r>
      <w:r w:rsidRPr="00654E3B">
        <w:rPr>
          <w:rFonts w:cs="Times New Roman"/>
        </w:rPr>
        <w:t xml:space="preserve"> treba razvijati programe pomoći odabranim </w:t>
      </w:r>
      <w:r w:rsidR="00F776E4" w:rsidRPr="00654E3B">
        <w:rPr>
          <w:rFonts w:cs="Times New Roman"/>
        </w:rPr>
        <w:t>s</w:t>
      </w:r>
      <w:r w:rsidRPr="00654E3B">
        <w:rPr>
          <w:rFonts w:cs="Times New Roman"/>
        </w:rPr>
        <w:t>trankama, koje su zemlje u razvoju</w:t>
      </w:r>
      <w:r w:rsidR="00F776E4" w:rsidRPr="00654E3B">
        <w:rPr>
          <w:rFonts w:cs="Times New Roman"/>
        </w:rPr>
        <w:t>, u području</w:t>
      </w:r>
      <w:r w:rsidRPr="00654E3B">
        <w:rPr>
          <w:rFonts w:cs="Times New Roman"/>
        </w:rPr>
        <w:t xml:space="preserve"> klimatskih promjena. Pored toga, Republika Hrvatska sudjeluje u kreiranju međunarodne razvojne pomoći EU-a, koja je kao </w:t>
      </w:r>
      <w:r w:rsidR="00F776E4" w:rsidRPr="00654E3B">
        <w:rPr>
          <w:rFonts w:cs="Times New Roman"/>
        </w:rPr>
        <w:t>s</w:t>
      </w:r>
      <w:r w:rsidRPr="00654E3B">
        <w:rPr>
          <w:rFonts w:cs="Times New Roman"/>
        </w:rPr>
        <w:t>tranka UNFCCC i Pariškog sporazuma najveći pojedinačni donator u svijetu za klimatsku politiku.</w:t>
      </w:r>
    </w:p>
    <w:p w:rsidR="007D4A93" w:rsidRPr="00654E3B" w:rsidRDefault="00EF0BEB">
      <w:pPr>
        <w:pStyle w:val="NormalWeb"/>
        <w:rPr>
          <w:rFonts w:cs="Times New Roman"/>
        </w:rPr>
      </w:pPr>
      <w:r w:rsidRPr="00654E3B">
        <w:rPr>
          <w:rFonts w:cs="Times New Roman"/>
        </w:rPr>
        <w:t xml:space="preserve">Generalno, tri su vida moguće pomoći: financiranje, transfer tehnologija i izgradnja kapaciteta. </w:t>
      </w:r>
    </w:p>
    <w:p w:rsidR="007D4A93" w:rsidRPr="00654E3B" w:rsidRDefault="00EF0BEB">
      <w:pPr>
        <w:pStyle w:val="NormalWeb"/>
        <w:rPr>
          <w:rFonts w:cs="Times New Roman"/>
        </w:rPr>
      </w:pPr>
      <w:r w:rsidRPr="00654E3B">
        <w:rPr>
          <w:rFonts w:cs="Times New Roman"/>
        </w:rPr>
        <w:t>Pomoć putem prijenosa znanja i iskustava susjednim zemljama, posebno državama koje kandidiraju za članstvo u EU, potrebno je ostvariti kroz postojeće programe suradnje i buduće projekte i programe</w:t>
      </w:r>
      <w:r w:rsidR="002B1B53" w:rsidRPr="00654E3B">
        <w:rPr>
          <w:rFonts w:cs="Times New Roman"/>
        </w:rPr>
        <w:t>,</w:t>
      </w:r>
      <w:r w:rsidRPr="00654E3B">
        <w:rPr>
          <w:rFonts w:cs="Times New Roman"/>
        </w:rPr>
        <w:t xml:space="preserve"> kojima je cilj transfer znanja i iskustava u području ublažavanja i prilagodbe klimatsk</w:t>
      </w:r>
      <w:r w:rsidR="00F776E4" w:rsidRPr="00654E3B">
        <w:rPr>
          <w:rFonts w:cs="Times New Roman"/>
        </w:rPr>
        <w:t>im</w:t>
      </w:r>
      <w:r w:rsidRPr="00654E3B">
        <w:rPr>
          <w:rFonts w:cs="Times New Roman"/>
        </w:rPr>
        <w:t xml:space="preserve"> promjen</w:t>
      </w:r>
      <w:r w:rsidR="00F776E4" w:rsidRPr="00654E3B">
        <w:rPr>
          <w:rFonts w:cs="Times New Roman"/>
        </w:rPr>
        <w:t>ama</w:t>
      </w:r>
      <w:r w:rsidRPr="00654E3B">
        <w:rPr>
          <w:rFonts w:cs="Times New Roman"/>
        </w:rPr>
        <w:t>.</w:t>
      </w:r>
    </w:p>
    <w:p w:rsidR="007D4A93" w:rsidRPr="00654E3B" w:rsidRDefault="00EF0BEB">
      <w:pPr>
        <w:pStyle w:val="NormalWeb"/>
        <w:rPr>
          <w:rFonts w:cs="Times New Roman"/>
        </w:rPr>
      </w:pPr>
      <w:r w:rsidRPr="00654E3B">
        <w:rPr>
          <w:rFonts w:cs="Times New Roman"/>
        </w:rPr>
        <w:t xml:space="preserve">Međunarodna suradnja podrazumijeva i aktivno sudjelovanje u pregovorima o postizanju i provedbi globalnog sporazuma o ublažavanju klimatskih promjena i prilagodbi </w:t>
      </w:r>
      <w:r w:rsidR="002B1B53" w:rsidRPr="00654E3B">
        <w:rPr>
          <w:rFonts w:cs="Times New Roman"/>
        </w:rPr>
        <w:t xml:space="preserve">klimatskim </w:t>
      </w:r>
      <w:r w:rsidRPr="00654E3B">
        <w:rPr>
          <w:rFonts w:cs="Times New Roman"/>
        </w:rPr>
        <w:t>promjena</w:t>
      </w:r>
      <w:r w:rsidR="002B1B53" w:rsidRPr="00654E3B">
        <w:rPr>
          <w:rFonts w:cs="Times New Roman"/>
        </w:rPr>
        <w:t>ma</w:t>
      </w:r>
      <w:r w:rsidRPr="00654E3B">
        <w:rPr>
          <w:rFonts w:cs="Times New Roman"/>
        </w:rPr>
        <w:t>, u prvom redu putem sudjelovanja u oblikovanju zajedničkog stajališta EU-a za međunarodne pregovore o klimi.</w:t>
      </w:r>
    </w:p>
    <w:p w:rsidR="007D4A93" w:rsidRPr="00654E3B" w:rsidRDefault="00EF0BEB">
      <w:pPr>
        <w:pStyle w:val="NormalWeb"/>
        <w:rPr>
          <w:rFonts w:cs="Times New Roman"/>
        </w:rPr>
      </w:pPr>
      <w:r w:rsidRPr="00654E3B">
        <w:rPr>
          <w:rFonts w:cs="Times New Roman"/>
        </w:rPr>
        <w:t>Suradnja s državama članicama EU-a uz sufinanciranje putem razn</w:t>
      </w:r>
      <w:r w:rsidR="00430F83" w:rsidRPr="00654E3B">
        <w:rPr>
          <w:rFonts w:cs="Times New Roman"/>
        </w:rPr>
        <w:t>ih programa EU-a (Interreg, LIFE</w:t>
      </w:r>
      <w:r w:rsidRPr="00654E3B">
        <w:rPr>
          <w:rFonts w:cs="Times New Roman"/>
        </w:rPr>
        <w:t>)</w:t>
      </w:r>
      <w:r w:rsidR="002B1B53" w:rsidRPr="00654E3B">
        <w:rPr>
          <w:rFonts w:cs="Times New Roman"/>
        </w:rPr>
        <w:t>,</w:t>
      </w:r>
      <w:r w:rsidRPr="00654E3B">
        <w:rPr>
          <w:rFonts w:cs="Times New Roman"/>
        </w:rPr>
        <w:t xml:space="preserve"> također je korisna u svrhu razmjene iskustva i jačanja kapaciteta u provedbi klimatskih ciljeva i propisa EU-a. </w:t>
      </w:r>
    </w:p>
    <w:p w:rsidR="00AB40C9" w:rsidRPr="00654E3B" w:rsidRDefault="00AB40C9">
      <w:pPr>
        <w:pStyle w:val="NormalWeb"/>
        <w:rPr>
          <w:rFonts w:cs="Times New Roman"/>
        </w:rPr>
      </w:pPr>
    </w:p>
    <w:p w:rsidR="007D4A93" w:rsidRPr="00D27803" w:rsidRDefault="00EF0BEB" w:rsidP="00AB40C9">
      <w:pPr>
        <w:pStyle w:val="Heading1"/>
        <w:rPr>
          <w:rFonts w:ascii="Times New Roman" w:hAnsi="Times New Roman" w:cs="Times New Roman"/>
        </w:rPr>
      </w:pPr>
      <w:bookmarkStart w:id="328" w:name="_Toc69297790"/>
      <w:bookmarkStart w:id="329" w:name="_Toc20841321"/>
      <w:bookmarkStart w:id="330" w:name="_Toc20841427"/>
      <w:r w:rsidRPr="00654E3B">
        <w:rPr>
          <w:rFonts w:ascii="Times New Roman" w:hAnsi="Times New Roman" w:cs="Times New Roman"/>
        </w:rPr>
        <w:t>14.</w:t>
      </w:r>
      <w:r w:rsidRPr="00654E3B">
        <w:rPr>
          <w:rFonts w:ascii="Times New Roman" w:hAnsi="Times New Roman" w:cs="Times New Roman"/>
        </w:rPr>
        <w:tab/>
        <w:t>PROVEDBA NISKOUGLJIČNE STRATEGIJE</w:t>
      </w:r>
      <w:bookmarkEnd w:id="328"/>
    </w:p>
    <w:p w:rsidR="007D4A93" w:rsidRPr="00654E3B" w:rsidRDefault="00EF0BEB">
      <w:pPr>
        <w:pStyle w:val="Heading2"/>
        <w:rPr>
          <w:rFonts w:ascii="Times New Roman" w:hAnsi="Times New Roman" w:cs="Times New Roman"/>
        </w:rPr>
      </w:pPr>
      <w:bookmarkStart w:id="331" w:name="_Toc69297791"/>
      <w:r w:rsidRPr="00F01191">
        <w:rPr>
          <w:rFonts w:ascii="Times New Roman" w:hAnsi="Times New Roman" w:cs="Times New Roman"/>
        </w:rPr>
        <w:t>14.1. INSTITUCIONALNI OKVIR ZA PROVOĐENJE NISKOUGLJIČNE STRATEGIJE</w:t>
      </w:r>
      <w:bookmarkEnd w:id="331"/>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Nadležnost za energetiku i politike klime je u Ministarstvu gospodarstva </w:t>
      </w:r>
      <w:r w:rsidR="009A36D5" w:rsidRPr="00654E3B">
        <w:rPr>
          <w:rFonts w:cs="Times New Roman"/>
        </w:rPr>
        <w:t>i</w:t>
      </w:r>
      <w:r w:rsidRPr="00654E3B">
        <w:rPr>
          <w:rFonts w:cs="Times New Roman"/>
        </w:rPr>
        <w:t xml:space="preserve"> održivog razvoja (MINGOR). U MINGOR-u za područje klime zadužena je Uprava za klimatske aktivnosti, a za energetiku Uprava za energetiku. </w:t>
      </w:r>
    </w:p>
    <w:p w:rsidR="007D4A93" w:rsidRPr="00654E3B" w:rsidRDefault="00EF0BEB">
      <w:pPr>
        <w:rPr>
          <w:rFonts w:cs="Times New Roman"/>
        </w:rPr>
      </w:pPr>
      <w:r w:rsidRPr="00654E3B">
        <w:rPr>
          <w:rFonts w:cs="Times New Roman"/>
        </w:rPr>
        <w:t>Za područje energetske učinkovitosti u zgradarstvu te aktivnosti vezane na dekarbonizaciju nacionalnog fonda zgrada nadležno je Ministarstvo prostornoga uređenja, graditeljstva i državne imovine (MGIPU).</w:t>
      </w:r>
    </w:p>
    <w:p w:rsidR="00351624" w:rsidRPr="00654E3B" w:rsidRDefault="00351624">
      <w:pPr>
        <w:rPr>
          <w:rFonts w:cs="Times New Roman"/>
        </w:rPr>
      </w:pPr>
      <w:r w:rsidRPr="00654E3B">
        <w:rPr>
          <w:rFonts w:cs="Times New Roman"/>
        </w:rPr>
        <w:t xml:space="preserve">MINGOR uspostavlja pravni, strateški i institucionalni okvir za provedbu klimatske politike, zadužen je za financijske mehanizme te provodi poslove organizacije izrade nacionalnog inventara stakleničkih plinova; nacionalnog izvješća o provedbi politike i mjera za smanjenje emisija i povećanje ponora stakleničkih plinova i izvješća o projekcijama emisija stakleničkih plinova po izvorima i njihovo </w:t>
      </w:r>
      <w:r w:rsidRPr="00654E3B">
        <w:rPr>
          <w:rFonts w:cs="Times New Roman"/>
        </w:rPr>
        <w:lastRenderedPageBreak/>
        <w:t>uklanjanje ponorima; vodi sustav trgovanja emisijskim jedinicama; provodi kontrolne preglede dosljednosti podataka o djelatnostima i emisijama stakleničkih i indirektnih stakleničkih plinova usporedbom s verificiranim emisijama; izvješćuje o izdavanju, držanju na računu, prijenosu, primanju, poništavanju i povlačenju jedinica smanjenja emisija, jedinica dodijeljene kvote i jedinica uklanjanja i prijenosa u iduće obvezujuće razdoblje u Registru Unije; provodi evidenciju i izvješćivanje o ovlaštenim pravnim osobama koje sudjeluju u trgovanju emisijama; koordinira politiku niskougljičnog razvoja među sektorima te radi na horizontalnom i vertikalnom integriranju klimatskih ciljeva; usmjerava ulaganja u niskougljični razvoj iz sredstava prikupljenih od dražbi emisijskih jedinica; ulaže u  istraživanje i razvoj i na informativno-komunikacijske projekte; sudjeluje u kreiranju zajedničke klimatske politike i zakonodavstva EU-a te sudjeluje u međunarodnim pregovorima o provedbi UNFCCC i Pariškog sporazuma.</w:t>
      </w:r>
    </w:p>
    <w:p w:rsidR="007D4A93" w:rsidRPr="00654E3B" w:rsidRDefault="00EF0BEB">
      <w:pPr>
        <w:rPr>
          <w:rFonts w:cs="Times New Roman"/>
        </w:rPr>
      </w:pPr>
      <w:r w:rsidRPr="00654E3B">
        <w:rPr>
          <w:rFonts w:cs="Times New Roman"/>
        </w:rPr>
        <w:t xml:space="preserve">Djelatnost FZOEU obuhvaća poslove u svezi s financiranjem pripreme, provedbe i razvoja programa, projekata i aktivnosti u području očuvanja, održivog korištenja, zaštite i unaprjeđivanja okoliša te u području energetske učinkovitosti i korištenja obnovljivih izvora energije; posredovanje u svezi s financiranjem zaštite okoliša i energetske učinkovitosti iz sredstava stranih država, međunarodnih organizacija, financijskih institucija i tijela te domaćih i stranih pravnih i fizičkih osoba; vodi bazu podataka o programima i projektima u području zaštite okoliša i energetske učinkovitosti te potrebnim i raspoloživim financijskim sredstvima za njihovo ostvarivanje; potiče, uspostavlja i ostvaruje suradnju s međunarodnim i domaćim financijskim institucijama i drugim pravnim i fizičkim osobama radi financiranja zaštite okoliša i energetske učinkovitosti u skladu s Strategijom energetskog razvoja, NECP-om i drugim programima u području zaštite okoliša i energetske učinkovitosti te međunarodnim ugovorima čija je stranka Republika Hrvatska. </w:t>
      </w:r>
    </w:p>
    <w:p w:rsidR="007D4A93" w:rsidRPr="00654E3B" w:rsidRDefault="00EF0BEB">
      <w:pPr>
        <w:rPr>
          <w:rFonts w:cs="Times New Roman"/>
        </w:rPr>
      </w:pPr>
      <w:r w:rsidRPr="00654E3B">
        <w:rPr>
          <w:rFonts w:cs="Times New Roman"/>
        </w:rPr>
        <w:t>Državni hidrometeorološki zavod (DHMZ) provodi sustavno, stručno i znanstveno utemeljeno praćenje klime i klimatskih promjena kako bi se ocijenio utjecaj promjena koncentracije stakleničkih plinova u atmosferi. DHMZ ujedno unapređuje metode i modele temeljem kojih se izrađuju projekcije klimatskih promjena uvažavajući predložene scenarije promjene emisija stakleničkih plinova.</w:t>
      </w:r>
    </w:p>
    <w:p w:rsidR="007D4A93" w:rsidRPr="00654E3B" w:rsidRDefault="00EF0BEB">
      <w:pPr>
        <w:rPr>
          <w:rFonts w:cs="Times New Roman"/>
        </w:rPr>
      </w:pPr>
      <w:r w:rsidRPr="00654E3B">
        <w:rPr>
          <w:rFonts w:cs="Times New Roman"/>
        </w:rPr>
        <w:t xml:space="preserve">Kako bi se unaprijedila međusektorska suradnja, osnovana su dva povjerenstva: </w:t>
      </w:r>
    </w:p>
    <w:p w:rsidR="007D4A93" w:rsidRPr="00654E3B" w:rsidRDefault="00EF0BEB" w:rsidP="000C6795">
      <w:pPr>
        <w:pStyle w:val="ListParagraph"/>
        <w:numPr>
          <w:ilvl w:val="0"/>
          <w:numId w:val="23"/>
        </w:numPr>
        <w:rPr>
          <w:rFonts w:cs="Times New Roman"/>
        </w:rPr>
      </w:pPr>
      <w:r w:rsidRPr="00654E3B">
        <w:rPr>
          <w:rFonts w:cs="Times New Roman"/>
        </w:rPr>
        <w:t xml:space="preserve">Povjerenstvo za međusektorsku koordinaciju za nacionalni sustav za praćenje emisija stakleničkih plinova i </w:t>
      </w:r>
    </w:p>
    <w:p w:rsidR="007D4A93" w:rsidRPr="00654E3B" w:rsidRDefault="00EF0BEB" w:rsidP="000C6795">
      <w:pPr>
        <w:pStyle w:val="ListParagraph"/>
        <w:numPr>
          <w:ilvl w:val="0"/>
          <w:numId w:val="23"/>
        </w:numPr>
        <w:rPr>
          <w:rFonts w:cs="Times New Roman"/>
        </w:rPr>
      </w:pPr>
      <w:r w:rsidRPr="00654E3B">
        <w:rPr>
          <w:rFonts w:cs="Times New Roman"/>
        </w:rPr>
        <w:t>Povjerenstvo za međusektorsku koordinaciju za politiku i mjere za ublažavanje i prilagodbu klimatskim promjenama.</w:t>
      </w:r>
    </w:p>
    <w:p w:rsidR="007D4A93" w:rsidRPr="00654E3B" w:rsidRDefault="00EF0BEB">
      <w:pPr>
        <w:rPr>
          <w:rFonts w:cs="Times New Roman"/>
        </w:rPr>
      </w:pPr>
      <w:r w:rsidRPr="00654E3B">
        <w:rPr>
          <w:rFonts w:cs="Times New Roman"/>
        </w:rPr>
        <w:t>Povjerenstvo za međusektorsku koordinaciju za politiku i mjere za ublažavanje i prilagodbu klimatskim daje preporuke o sveukupnoj politici i mjerama za ublažavanje i prilagodbu klimatskim promjenama; osigurava podršku u provođenju politike i mjera za ublažavanje i prilagodbu klimatskim promjenama te ocjenjuje stratešk</w:t>
      </w:r>
      <w:r w:rsidR="00F260DE" w:rsidRPr="00654E3B">
        <w:rPr>
          <w:rFonts w:cs="Times New Roman"/>
        </w:rPr>
        <w:t>e</w:t>
      </w:r>
      <w:r w:rsidRPr="00654E3B">
        <w:rPr>
          <w:rFonts w:cs="Times New Roman"/>
        </w:rPr>
        <w:t xml:space="preserve"> </w:t>
      </w:r>
      <w:r w:rsidR="00F260DE" w:rsidRPr="00654E3B">
        <w:rPr>
          <w:rFonts w:cs="Times New Roman"/>
        </w:rPr>
        <w:t>dokumente</w:t>
      </w:r>
      <w:r w:rsidRPr="00654E3B">
        <w:rPr>
          <w:rFonts w:cs="Times New Roman"/>
        </w:rPr>
        <w:t xml:space="preserve"> koji se odnose na politiku i mjere za ublažavanje i prilagodbu klimatskim promjenama. </w:t>
      </w:r>
    </w:p>
    <w:p w:rsidR="007D4A93" w:rsidRPr="00654E3B" w:rsidRDefault="00EF0BEB">
      <w:pPr>
        <w:rPr>
          <w:rFonts w:cs="Times New Roman"/>
        </w:rPr>
      </w:pPr>
      <w:r w:rsidRPr="00654E3B">
        <w:rPr>
          <w:rFonts w:cs="Times New Roman"/>
        </w:rPr>
        <w:t xml:space="preserve">Osnivanje oba povjerenstva doprinijelo je velikom napretku, poboljšan je protok informacija i sektorska uključenost u odlučivanje te je podignuta razina znanja. </w:t>
      </w:r>
      <w:r w:rsidR="00BF3A2A" w:rsidRPr="00654E3B">
        <w:rPr>
          <w:rFonts w:cs="Times New Roman"/>
        </w:rPr>
        <w:t xml:space="preserve">Potrebno je uložiti dodatne napore da se osigura </w:t>
      </w:r>
      <w:r w:rsidRPr="00654E3B">
        <w:rPr>
          <w:rFonts w:cs="Times New Roman"/>
        </w:rPr>
        <w:t xml:space="preserve">povratno djelovanje, </w:t>
      </w:r>
      <w:r w:rsidR="00BF3A2A" w:rsidRPr="00654E3B">
        <w:rPr>
          <w:rFonts w:cs="Times New Roman"/>
        </w:rPr>
        <w:t>te da se</w:t>
      </w:r>
      <w:r w:rsidRPr="00654E3B">
        <w:rPr>
          <w:rFonts w:cs="Times New Roman"/>
        </w:rPr>
        <w:t xml:space="preserve"> u pojedinim sektorima pitanja klime uključuju u planiranje i </w:t>
      </w:r>
      <w:r w:rsidR="00BF3A2A" w:rsidRPr="00654E3B">
        <w:rPr>
          <w:rFonts w:cs="Times New Roman"/>
        </w:rPr>
        <w:t xml:space="preserve">provedbu </w:t>
      </w:r>
      <w:r w:rsidRPr="00654E3B">
        <w:rPr>
          <w:rFonts w:cs="Times New Roman"/>
        </w:rPr>
        <w:t>politike</w:t>
      </w:r>
      <w:r w:rsidR="00FB5416" w:rsidRPr="00654E3B">
        <w:rPr>
          <w:rFonts w:cs="Times New Roman"/>
        </w:rPr>
        <w:t xml:space="preserve"> uključujući i lokalnu razinu</w:t>
      </w:r>
      <w:r w:rsidRPr="00654E3B">
        <w:rPr>
          <w:rFonts w:cs="Times New Roman"/>
        </w:rPr>
        <w:t xml:space="preserve">. </w:t>
      </w:r>
    </w:p>
    <w:p w:rsidR="007D4A93" w:rsidRPr="00654E3B" w:rsidRDefault="00EF0BEB">
      <w:pPr>
        <w:rPr>
          <w:rFonts w:cs="Times New Roman"/>
        </w:rPr>
      </w:pPr>
      <w:r w:rsidRPr="00654E3B">
        <w:rPr>
          <w:rFonts w:cs="Times New Roman"/>
        </w:rPr>
        <w:t>Za provođenje Niskougljične strategije potrebno je osigurati snažnije mehanizme za horizontalno djelovanje. Potrebno je u više sektora osnažiti kapacitete za rad na aktivnostima vezanima uz klimatske promjene, čime bi se pridonijelo boljem raspoznavanju sinergijskih učinaka politika i mjera za ublažavanje i prilagodbu klimatskim promjenama. S obzirom da razvojni dokumenti pojedinih područja i djelatnosti moraju biti usklađeni s načelima, osnovnim ciljevima, prioritetima i smjernicama niskougljičnog razvoja utvrđenima u Niskougljičnoj strategiji, za očekivati je da će zbog međusektorskog usklađivanja doći do prilagodbe postojećeg pravnog okvira i razvojnih dokumenata pojedinih područja.</w:t>
      </w:r>
    </w:p>
    <w:p w:rsidR="007D4A93" w:rsidRPr="00654E3B" w:rsidRDefault="00EF0BEB">
      <w:pPr>
        <w:rPr>
          <w:rFonts w:cs="Times New Roman"/>
        </w:rPr>
      </w:pPr>
      <w:r w:rsidRPr="00654E3B">
        <w:rPr>
          <w:rFonts w:cs="Times New Roman"/>
        </w:rPr>
        <w:lastRenderedPageBreak/>
        <w:t>Jedan od najvažnijih instrumenata za provođenje klimatskih politika je prostorno i urbanističko planiranje s obzirom da prostorni planovi imaju snagu i pravnu prirodu podzakonskog propisa i s obzirom da je prostorno planiranje multidisciplinarna djelatnost koja objedinjuje sve sektore. Odrednice prostornih i urbanističkih planova usmjerene prema dekarbonizaciji i niskougljičnom razvoju direktno utječu na pripremu projekata i aktivnosti u prostoru, a time i na postizanje klimatskih ciljeva za smanjenjem emisija.</w:t>
      </w:r>
    </w:p>
    <w:p w:rsidR="007D4A93" w:rsidRPr="00654E3B" w:rsidRDefault="00EF0BEB">
      <w:pPr>
        <w:rPr>
          <w:rFonts w:cs="Times New Roman"/>
        </w:rPr>
      </w:pPr>
      <w:r w:rsidRPr="00654E3B">
        <w:rPr>
          <w:rFonts w:cs="Times New Roman"/>
        </w:rPr>
        <w:t xml:space="preserve">Dio zaduženja i ovlasti, treba locirati u institucije koje već imaju razvijene kapacitete, koje će lako prihvatiti nove funkcije i koje stvaraju sinergiju sa svojim postojećim poslovima. Pravne osobe s javnim ovlastima na državnoj razini trebaju raspoznati priliku za razvoj, konkurirati za vođenje pojedinih segmenata Niskougljične strategije i akcijske planove njene provedbe. Radna mjesta koja su postala nepotrebna treba usmjeriti na nove poslove koji u administrativnom smislu nudi Niskougljična strategija. </w:t>
      </w:r>
    </w:p>
    <w:p w:rsidR="007D4A93" w:rsidRPr="00654E3B" w:rsidRDefault="00EF0BEB">
      <w:pPr>
        <w:rPr>
          <w:rFonts w:cs="Times New Roman"/>
          <w:szCs w:val="24"/>
        </w:rPr>
      </w:pPr>
      <w:r w:rsidRPr="00654E3B">
        <w:rPr>
          <w:rFonts w:cs="Times New Roman"/>
          <w:szCs w:val="24"/>
        </w:rPr>
        <w:t xml:space="preserve">Kako je već istaknuto u uvodnom dijelu, za uspješnu provedbu Niskougljične strategije osim horizontalne suradnje nužna je vertikalna suradnja od državne razine do djelovanja na lokalnoj razini. Jedinice </w:t>
      </w:r>
      <w:r w:rsidR="00E0306C" w:rsidRPr="00654E3B">
        <w:rPr>
          <w:rFonts w:cs="Times New Roman"/>
          <w:szCs w:val="24"/>
        </w:rPr>
        <w:t xml:space="preserve">lokalne i područne </w:t>
      </w:r>
      <w:r w:rsidRPr="00654E3B">
        <w:rPr>
          <w:rFonts w:cs="Times New Roman"/>
          <w:szCs w:val="24"/>
        </w:rPr>
        <w:t xml:space="preserve">(regionalne) samouprave i </w:t>
      </w:r>
      <w:r w:rsidRPr="00654E3B">
        <w:rPr>
          <w:rFonts w:eastAsia="Times New Roman" w:cs="Times New Roman"/>
          <w:color w:val="000000" w:themeColor="text1"/>
          <w:szCs w:val="24"/>
          <w:lang w:eastAsia="hr-HR"/>
        </w:rPr>
        <w:t xml:space="preserve">pravne osobe s javnim ovlastima osnovanima od strane </w:t>
      </w:r>
      <w:r w:rsidRPr="00654E3B">
        <w:rPr>
          <w:rFonts w:cs="Times New Roman"/>
          <w:szCs w:val="24"/>
        </w:rPr>
        <w:t xml:space="preserve">jedinica područne (regionalne) i lokalne samouprave moraju prepoznati nužnost niskougljičnog razvoja te ga shvatiti kao izazov i potrebu za gospodarski prosperitet i za opću dobrobit,. </w:t>
      </w:r>
    </w:p>
    <w:p w:rsidR="00AB40C9" w:rsidRPr="00654E3B" w:rsidRDefault="00AB40C9">
      <w:pPr>
        <w:rPr>
          <w:rFonts w:cs="Times New Roman"/>
          <w:szCs w:val="24"/>
        </w:rPr>
      </w:pPr>
    </w:p>
    <w:p w:rsidR="007D4A93" w:rsidRPr="00654E3B" w:rsidRDefault="00EF0BEB">
      <w:pPr>
        <w:pStyle w:val="Heading2"/>
        <w:rPr>
          <w:rFonts w:ascii="Times New Roman" w:hAnsi="Times New Roman" w:cs="Times New Roman"/>
        </w:rPr>
      </w:pPr>
      <w:bookmarkStart w:id="332" w:name="_Toc69297792"/>
      <w:r w:rsidRPr="00654E3B">
        <w:rPr>
          <w:rFonts w:ascii="Times New Roman" w:hAnsi="Times New Roman" w:cs="Times New Roman"/>
        </w:rPr>
        <w:t>14.2. POKAZATELJI PROVEDBE NISKOUGLJIČNE STRATEGIJE</w:t>
      </w:r>
      <w:bookmarkEnd w:id="332"/>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Pokazatelji za praćenje provedbe Niskougljične strategije su navedeni u tablici 14-1.</w:t>
      </w:r>
    </w:p>
    <w:p w:rsidR="007D4A93" w:rsidRPr="00654E3B" w:rsidRDefault="00EF0BEB" w:rsidP="008467D5">
      <w:pPr>
        <w:keepNext/>
        <w:rPr>
          <w:rFonts w:cs="Times New Roman"/>
          <w:i/>
        </w:rPr>
      </w:pPr>
      <w:r w:rsidRPr="00654E3B">
        <w:rPr>
          <w:rFonts w:cs="Times New Roman"/>
          <w:i/>
        </w:rPr>
        <w:lastRenderedPageBreak/>
        <w:t>Tablica 14-1: Pokazatelji provedbe Niskougljične strategije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379"/>
      </w:tblGrid>
      <w:tr w:rsidR="007D4A93" w:rsidRPr="00654E3B" w:rsidTr="007D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right w:val="none" w:sz="0" w:space="0" w:color="auto"/>
            </w:tcBorders>
            <w:shd w:val="clear" w:color="auto" w:fill="auto"/>
          </w:tcPr>
          <w:p w:rsidR="007D4A93" w:rsidRPr="00654E3B" w:rsidRDefault="00EF0BEB" w:rsidP="008467D5">
            <w:pPr>
              <w:keepNext/>
              <w:rPr>
                <w:rFonts w:cs="Times New Roman"/>
                <w:sz w:val="22"/>
              </w:rPr>
            </w:pPr>
            <w:r w:rsidRPr="00654E3B">
              <w:rPr>
                <w:rFonts w:cs="Times New Roman"/>
              </w:rPr>
              <w:t>Cilj</w:t>
            </w:r>
          </w:p>
        </w:tc>
        <w:tc>
          <w:tcPr>
            <w:tcW w:w="6379" w:type="dxa"/>
            <w:tcBorders>
              <w:left w:val="none" w:sz="0" w:space="0" w:color="auto"/>
            </w:tcBorders>
            <w:shd w:val="clear" w:color="auto" w:fill="auto"/>
          </w:tcPr>
          <w:p w:rsidR="007D4A93" w:rsidRPr="00654E3B" w:rsidRDefault="00EF0BEB" w:rsidP="008467D5">
            <w:pPr>
              <w:keepNext/>
              <w:cnfStyle w:val="100000000000" w:firstRow="1"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Glavni pokazatelj učinaka (podebljano) i ishoda</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rsidR="007D4A93" w:rsidRPr="00654E3B" w:rsidRDefault="00EF0BEB" w:rsidP="008467D5">
            <w:pPr>
              <w:keepNext/>
              <w:jc w:val="left"/>
              <w:rPr>
                <w:rFonts w:cs="Times New Roman"/>
                <w:sz w:val="22"/>
              </w:rPr>
            </w:pPr>
            <w:r w:rsidRPr="00654E3B">
              <w:rPr>
                <w:rFonts w:cs="Times New Roman"/>
              </w:rPr>
              <w:t xml:space="preserve">Postizanje održivog razvoja temeljenog na znanju i konkurentnom niskougljičnom gospodarstvu i učinkovitim korištenjem resursa </w:t>
            </w:r>
          </w:p>
        </w:tc>
        <w:tc>
          <w:tcPr>
            <w:tcW w:w="6379" w:type="dxa"/>
            <w:shd w:val="clear" w:color="auto" w:fill="auto"/>
          </w:tcPr>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54E3B">
              <w:rPr>
                <w:rFonts w:cs="Times New Roman"/>
                <w:b/>
                <w:bCs/>
              </w:rPr>
              <w:t>Smanjenje ukupne emisije stakleničkih plinova u odnosu na 1990 godinu</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emisija stakleničkih plinova po stanovniku, u odnosu na 1990.</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54E3B">
              <w:rPr>
                <w:rFonts w:cs="Times New Roman"/>
                <w:b/>
                <w:bCs/>
              </w:rPr>
              <w:t xml:space="preserve">Smanjenje emisija stakleničkih plinova u odnosu na 1990. godinu po jedinici BDP-a </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emisija stakleničkih plinova po jedinici utrošene ukupne energije</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Broj novih zelenih radnih mjesta (potrebno razraditi metodologiju praćenja)</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Indeks globalne konkurentnosti, komponenta „infrastruktura“</w:t>
            </w:r>
          </w:p>
        </w:tc>
      </w:tr>
      <w:tr w:rsidR="007D4A93" w:rsidRPr="00654E3B" w:rsidTr="007D4A93">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rsidR="007D4A93" w:rsidRPr="00654E3B" w:rsidRDefault="00EF0BEB" w:rsidP="008467D5">
            <w:pPr>
              <w:keepNext/>
              <w:jc w:val="left"/>
              <w:rPr>
                <w:rFonts w:cs="Times New Roman"/>
                <w:sz w:val="22"/>
              </w:rPr>
            </w:pPr>
            <w:r w:rsidRPr="00654E3B">
              <w:rPr>
                <w:rFonts w:cs="Times New Roman"/>
              </w:rPr>
              <w:t>Povećanje sigurnosti opskrbe energijom, održivost energetske opskrbe, povećanje dostupnosti energije i smanjenje energetske ovisnosti</w:t>
            </w:r>
          </w:p>
        </w:tc>
        <w:tc>
          <w:tcPr>
            <w:tcW w:w="6379" w:type="dxa"/>
            <w:shd w:val="clear" w:color="auto" w:fill="auto"/>
          </w:tcPr>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Ukupna potrošnja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Neposredna potrošnja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Udio obnovljivih izvora energije u bruto neposrednoj potrošnji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Potrošnja električne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Proizvodnja električne energije iz obnovljivih izvora energije (</w:t>
            </w:r>
            <w:r w:rsidR="00060992" w:rsidRPr="00654E3B">
              <w:rPr>
                <w:rFonts w:cs="Times New Roman"/>
              </w:rPr>
              <w:t xml:space="preserve"> %</w:t>
            </w:r>
            <w:r w:rsidRPr="00654E3B">
              <w:rPr>
                <w:rFonts w:cs="Times New Roman"/>
              </w:rPr>
              <w:t xml:space="preserve"> ukupne proizvodnje električne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654E3B">
              <w:rPr>
                <w:rFonts w:cs="Times New Roman"/>
                <w:b/>
                <w:bCs/>
              </w:rPr>
              <w:t>Smanjenje uvoza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Smanjenje uvoza električne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Udio obnovljivih izvora energije u bruto ukupnoj potrošnji energije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2344"/>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rsidR="007D4A93" w:rsidRPr="00654E3B" w:rsidRDefault="00EF0BEB" w:rsidP="008467D5">
            <w:pPr>
              <w:keepNext/>
              <w:jc w:val="left"/>
              <w:rPr>
                <w:rFonts w:cs="Times New Roman"/>
                <w:sz w:val="22"/>
              </w:rPr>
            </w:pPr>
            <w:r w:rsidRPr="00654E3B">
              <w:rPr>
                <w:rFonts w:cs="Times New Roman"/>
              </w:rPr>
              <w:t xml:space="preserve">Solidarnost izvršavanjem obveza Republike Hrvatske prema međunarodnim sporazumima, u okviru politike Europske unije, kao dio naše povijesne odgovornosti i doprinos globalnim ciljevima </w:t>
            </w:r>
          </w:p>
          <w:p w:rsidR="007D4A93" w:rsidRPr="00654E3B" w:rsidRDefault="007D4A93" w:rsidP="008467D5">
            <w:pPr>
              <w:keepNext/>
              <w:jc w:val="left"/>
              <w:rPr>
                <w:rFonts w:cs="Times New Roman"/>
                <w:sz w:val="22"/>
              </w:rPr>
            </w:pPr>
          </w:p>
        </w:tc>
        <w:tc>
          <w:tcPr>
            <w:tcW w:w="6379" w:type="dxa"/>
            <w:shd w:val="clear" w:color="auto" w:fill="auto"/>
          </w:tcPr>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54E3B">
              <w:rPr>
                <w:rFonts w:cs="Times New Roman"/>
                <w:b/>
                <w:bCs/>
              </w:rPr>
              <w:t>Ukupna emisija stakleničkih plinova</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 xml:space="preserve">Emisija i </w:t>
            </w:r>
            <w:r w:rsidR="00BF4CA8" w:rsidRPr="00654E3B">
              <w:rPr>
                <w:rFonts w:cs="Times New Roman"/>
              </w:rPr>
              <w:t>ponori</w:t>
            </w:r>
            <w:r w:rsidRPr="00654E3B">
              <w:rPr>
                <w:rFonts w:cs="Times New Roman"/>
              </w:rPr>
              <w:t xml:space="preserve"> po sektorima (energetski sustav, industrija, promet, LULUCF (korištenje zemljišta, prenamjena korištenja zemljišta i šumarstvo), poljoprivreda, otpad</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 xml:space="preserve">Emisija stakleničkih plinova ETS sektora </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54E3B">
              <w:rPr>
                <w:rFonts w:cs="Times New Roman"/>
                <w:b/>
                <w:bCs/>
              </w:rPr>
              <w:t xml:space="preserve">Emisija stakleničkih plinova sektora izvan ETS-a </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Razlika emisije stakleničkih plinova u odnosu na utvrđenu kvotu u sektorima izvan ETS-a</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Stopa recikliranja komunalnog otpada</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Uložena sredstva u mjere provođenja tranzicije</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Uložena sredstva za istraživanje, razvoj i inovacije</w:t>
            </w:r>
          </w:p>
        </w:tc>
      </w:tr>
      <w:tr w:rsidR="007D4A93" w:rsidRPr="00654E3B" w:rsidTr="007D4A93">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tcBorders>
            <w:shd w:val="clear" w:color="auto" w:fill="auto"/>
          </w:tcPr>
          <w:p w:rsidR="007D4A93" w:rsidRPr="00654E3B" w:rsidRDefault="00EF0BEB" w:rsidP="008467D5">
            <w:pPr>
              <w:keepNext/>
              <w:jc w:val="left"/>
              <w:rPr>
                <w:rFonts w:cs="Times New Roman"/>
                <w:sz w:val="22"/>
              </w:rPr>
            </w:pPr>
            <w:r w:rsidRPr="00654E3B">
              <w:rPr>
                <w:rFonts w:cs="Times New Roman"/>
              </w:rPr>
              <w:t>Smanjenje onečišćenja zraka i utjecaja na zdravlje.</w:t>
            </w:r>
          </w:p>
        </w:tc>
        <w:tc>
          <w:tcPr>
            <w:tcW w:w="6379" w:type="dxa"/>
            <w:shd w:val="clear" w:color="auto" w:fill="auto"/>
          </w:tcPr>
          <w:p w:rsidR="007D4A93" w:rsidRPr="00654E3B" w:rsidRDefault="00EF0BEB" w:rsidP="008467D5">
            <w:pPr>
              <w:pStyle w:val="ListParagraph"/>
              <w:keepNext/>
              <w:numPr>
                <w:ilvl w:val="0"/>
                <w:numId w:val="78"/>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Broj gradova koje imaju prekoračenja propisane kvalitete zraka i provode Akcijske planove za poboljšanje kvalitete zraka, po onečišćujućim tvarima</w:t>
            </w:r>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t>Navedeni pokazatelji usklađeni su s relevantnom listom nacionalnih pokazatelja iz Biblioteke pokazatelja za sustav strateškog planiranja i upravljanja razvojem Republike Hrvatske</w:t>
      </w:r>
      <w:r w:rsidRPr="00F01191">
        <w:rPr>
          <w:rStyle w:val="FootnoteReference"/>
          <w:rFonts w:ascii="Times New Roman" w:hAnsi="Times New Roman" w:cs="Times New Roman"/>
        </w:rPr>
        <w:footnoteReference w:id="4"/>
      </w:r>
      <w:r w:rsidRPr="00F01191">
        <w:rPr>
          <w:rFonts w:cs="Times New Roman"/>
        </w:rPr>
        <w:t>.</w:t>
      </w:r>
    </w:p>
    <w:p w:rsidR="00AB40C9" w:rsidRPr="00654E3B" w:rsidRDefault="00AB40C9">
      <w:pPr>
        <w:rPr>
          <w:rFonts w:cs="Times New Roman"/>
        </w:rPr>
      </w:pPr>
    </w:p>
    <w:p w:rsidR="007D4A93" w:rsidRPr="00654E3B" w:rsidRDefault="00EF0BEB">
      <w:pPr>
        <w:pStyle w:val="Heading2"/>
        <w:rPr>
          <w:rFonts w:ascii="Times New Roman" w:hAnsi="Times New Roman" w:cs="Times New Roman"/>
        </w:rPr>
      </w:pPr>
      <w:bookmarkStart w:id="333" w:name="_Toc69297793"/>
      <w:r w:rsidRPr="00654E3B">
        <w:rPr>
          <w:rFonts w:ascii="Times New Roman" w:hAnsi="Times New Roman" w:cs="Times New Roman"/>
        </w:rPr>
        <w:t>14.3. PRAĆENJE, IZVJEŠTAVANJE I VERIFIKACIJA</w:t>
      </w:r>
      <w:bookmarkEnd w:id="333"/>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Republika Hrvatska ima obvezu izvještavanja prema UNFCCC-u i prema Europskoj komisiji te prema nizu ostalih europskih i međunarodnih institucija. Nadležno ministarstvo će unaprijediti sustav praćenja, izvještavanja i verifikacije tako što će uspostaviti protokole razmjene podataka, raditi na uspostavi zajedničkih baza podataka i informacijskih sustava, definirati formate i sadržaje izvješća i kalendare izvještavanja. Svi podaci i izvješća koja se odnose na područje politike klimatskih promjena potvrđivat će se kroz sustav kako je prikazano na slici 14-1. Sustav uključuje: resore koji dostavljaju podatke za nadležni djelokrug odnosno sektore, jedinice lokalne i </w:t>
      </w:r>
      <w:r w:rsidR="00E0306C" w:rsidRPr="00654E3B">
        <w:rPr>
          <w:rFonts w:cs="Times New Roman"/>
        </w:rPr>
        <w:t>područne (</w:t>
      </w:r>
      <w:r w:rsidRPr="00654E3B">
        <w:rPr>
          <w:rFonts w:cs="Times New Roman"/>
        </w:rPr>
        <w:t>regionalne</w:t>
      </w:r>
      <w:r w:rsidR="00E0306C" w:rsidRPr="00654E3B">
        <w:rPr>
          <w:rFonts w:cs="Times New Roman"/>
        </w:rPr>
        <w:t>)</w:t>
      </w:r>
      <w:r w:rsidRPr="00654E3B">
        <w:rPr>
          <w:rFonts w:cs="Times New Roman"/>
        </w:rPr>
        <w:t xml:space="preserve"> samouprave (JL</w:t>
      </w:r>
      <w:r w:rsidR="00E0306C" w:rsidRPr="00654E3B">
        <w:rPr>
          <w:rFonts w:cs="Times New Roman"/>
        </w:rPr>
        <w:t>P(R)</w:t>
      </w:r>
      <w:r w:rsidRPr="00654E3B">
        <w:rPr>
          <w:rFonts w:cs="Times New Roman"/>
        </w:rPr>
        <w:t xml:space="preserve">S), </w:t>
      </w:r>
      <w:r w:rsidRPr="00654E3B">
        <w:rPr>
          <w:rFonts w:cs="Times New Roman"/>
        </w:rPr>
        <w:lastRenderedPageBreak/>
        <w:t>Državni zavod za statistiku (DZS), Europsku okolišnu agenciju (EEA), UNFCCC, EK, EUROSTAT, Organizacija za prehranu i poljoprivredu (FAO), Svjetska meteorološka organizacija (WMO) i dr.</w:t>
      </w:r>
    </w:p>
    <w:p w:rsidR="007D4A93" w:rsidRPr="00654E3B" w:rsidRDefault="007D4A93">
      <w:pPr>
        <w:jc w:val="center"/>
        <w:rPr>
          <w:rFonts w:cs="Times New Roman"/>
        </w:rPr>
      </w:pPr>
    </w:p>
    <w:p w:rsidR="00701038" w:rsidRPr="00F01191" w:rsidRDefault="00701038">
      <w:pPr>
        <w:jc w:val="center"/>
        <w:rPr>
          <w:rFonts w:cs="Times New Roman"/>
        </w:rPr>
      </w:pPr>
      <w:r w:rsidRPr="00F01191">
        <w:rPr>
          <w:rFonts w:cs="Times New Roman"/>
          <w:noProof/>
          <w:lang w:eastAsia="hr-HR"/>
        </w:rPr>
        <w:drawing>
          <wp:inline distT="0" distB="0" distL="0" distR="0" wp14:anchorId="601E1762" wp14:editId="7D73EEED">
            <wp:extent cx="5610218" cy="3721913"/>
            <wp:effectExtent l="0" t="0" r="0" b="0"/>
            <wp:docPr id="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1953" cy="3723064"/>
                    </a:xfrm>
                    <a:prstGeom prst="rect">
                      <a:avLst/>
                    </a:prstGeom>
                    <a:noFill/>
                    <a:ln>
                      <a:noFill/>
                    </a:ln>
                  </pic:spPr>
                </pic:pic>
              </a:graphicData>
            </a:graphic>
          </wp:inline>
        </w:drawing>
      </w:r>
    </w:p>
    <w:p w:rsidR="007D4A93" w:rsidRPr="00654E3B" w:rsidRDefault="00EF0BEB">
      <w:pPr>
        <w:pStyle w:val="Slika"/>
        <w:spacing w:before="120"/>
        <w:jc w:val="center"/>
        <w:rPr>
          <w:rFonts w:ascii="Times New Roman" w:hAnsi="Times New Roman"/>
          <w:i/>
        </w:rPr>
      </w:pPr>
      <w:bookmarkStart w:id="334" w:name="_Toc484158379"/>
      <w:bookmarkStart w:id="335" w:name="_Toc33417104"/>
      <w:r w:rsidRPr="00654E3B">
        <w:rPr>
          <w:rFonts w:ascii="Times New Roman" w:hAnsi="Times New Roman"/>
          <w:i/>
        </w:rPr>
        <w:t>Slika 14-1: Shema protoka podataka i izvješća</w:t>
      </w:r>
      <w:bookmarkEnd w:id="334"/>
      <w:bookmarkEnd w:id="335"/>
    </w:p>
    <w:p w:rsidR="007D4A93" w:rsidRPr="00654E3B" w:rsidRDefault="00EF0BEB">
      <w:pPr>
        <w:rPr>
          <w:rFonts w:cs="Times New Roman"/>
        </w:rPr>
      </w:pPr>
      <w:r w:rsidRPr="00654E3B">
        <w:rPr>
          <w:rFonts w:cs="Times New Roman"/>
        </w:rPr>
        <w:t>Niskougljična strategija predlaže uvođenje računovodstvenog praćenja troškova za provedbu Niskougljične strategije, što znači, po svim horizontalnim sektorima. Praksu posebno iskazivanja troškova za klimatske aktivnosti ima EU, u okviru ESI fondova.</w:t>
      </w:r>
    </w:p>
    <w:p w:rsidR="007D4A93" w:rsidRPr="00654E3B" w:rsidRDefault="00EF0BEB">
      <w:pPr>
        <w:rPr>
          <w:rFonts w:cs="Times New Roman"/>
        </w:rPr>
      </w:pPr>
      <w:r w:rsidRPr="00654E3B">
        <w:rPr>
          <w:rFonts w:cs="Times New Roman"/>
        </w:rPr>
        <w:t>Pored izvješća koji su dio klimatske energetske politike, Sustav strateškog planiranja i upravljanja razvojem Republike Hrvatske</w:t>
      </w:r>
      <w:r w:rsidRPr="00F01191">
        <w:rPr>
          <w:rStyle w:val="FootnoteReference"/>
          <w:rFonts w:ascii="Times New Roman" w:hAnsi="Times New Roman" w:cs="Times New Roman"/>
        </w:rPr>
        <w:footnoteReference w:id="5"/>
      </w:r>
      <w:r w:rsidRPr="00F01191">
        <w:rPr>
          <w:rFonts w:cs="Times New Roman"/>
        </w:rPr>
        <w:t xml:space="preserve"> će se također koristiti za praćenje i izvještavanje o provedbi Niskougljične strategije.</w:t>
      </w:r>
    </w:p>
    <w:p w:rsidR="004D5D43" w:rsidRPr="00654E3B" w:rsidRDefault="004D5D43">
      <w:pPr>
        <w:rPr>
          <w:rFonts w:cs="Times New Roman"/>
        </w:rPr>
      </w:pPr>
    </w:p>
    <w:p w:rsidR="007D4A93" w:rsidRPr="00654E3B" w:rsidRDefault="00EF0BEB">
      <w:pPr>
        <w:pStyle w:val="Heading2"/>
        <w:rPr>
          <w:rFonts w:ascii="Times New Roman" w:hAnsi="Times New Roman" w:cs="Times New Roman"/>
        </w:rPr>
      </w:pPr>
      <w:bookmarkStart w:id="336" w:name="_Toc69297794"/>
      <w:r w:rsidRPr="00654E3B">
        <w:rPr>
          <w:rFonts w:ascii="Times New Roman" w:hAnsi="Times New Roman" w:cs="Times New Roman"/>
        </w:rPr>
        <w:t>14.4. STRATEŠKA PROCJENA UTJECAJA NISKOUGLJIČNE STRATEGIJE NA OKOLIŠ</w:t>
      </w:r>
      <w:bookmarkEnd w:id="329"/>
      <w:bookmarkEnd w:id="330"/>
      <w:bookmarkEnd w:id="336"/>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Sukladno propisima koji uređuju zaštitu okoliša, za Niskougljičnu strategiju provodi se postupak strateške procjene utjecaja na okoliš. Podloga za postupak strateške procjene utjecaja na okoliš je Strateška studija utjecaja na okoliš Strategije niskougljičnog razvoja Republike Hrvatske za razdoblje do 2030. s pogledom na 2050. godinu. S obzirom da postupak strateške procjene utjecaja na okoliš </w:t>
      </w:r>
      <w:r w:rsidRPr="00654E3B">
        <w:rPr>
          <w:rFonts w:cs="Times New Roman"/>
        </w:rPr>
        <w:lastRenderedPageBreak/>
        <w:t xml:space="preserve">obuhvaća i glavnu ocjenu prihvatljivosti za ekološku mrežu, sastavni dio Strateške studije je i poglavlje Glavna ocjena prihvatljivosti Strategije za ekološku mrežu. </w:t>
      </w:r>
    </w:p>
    <w:p w:rsidR="007D4A93" w:rsidRPr="00654E3B" w:rsidRDefault="00EF0BEB">
      <w:pPr>
        <w:rPr>
          <w:rFonts w:cs="Times New Roman"/>
        </w:rPr>
      </w:pPr>
      <w:r w:rsidRPr="00654E3B">
        <w:rPr>
          <w:rFonts w:cs="Times New Roman"/>
        </w:rPr>
        <w:t xml:space="preserve">U Strateškoj studiji sagledan je mogući utjecaj Niskougljične strategije na okoliš i ekološku mrežu te su određene mjere zaštite okoliša i mjere ublažavanja utjecaja na ciljeve očuvanja i cjelovitost područja ekološke mreže. Mjere zaštite okoliša navedene su u tablici 14-2, a mjere ublažavanja negativnih utjecaja na ciljeve očuvanja i cjelovitost područja ekološke mreže navedene su u tablici 14-3. </w:t>
      </w:r>
    </w:p>
    <w:p w:rsidR="007D4A93" w:rsidRPr="00654E3B" w:rsidRDefault="00EF0BEB">
      <w:pPr>
        <w:keepNext/>
        <w:rPr>
          <w:rFonts w:cs="Times New Roman"/>
          <w:i/>
        </w:rPr>
      </w:pPr>
      <w:bookmarkStart w:id="337" w:name="_Hlk36541396"/>
      <w:r w:rsidRPr="00654E3B">
        <w:rPr>
          <w:rFonts w:cs="Times New Roman"/>
          <w:i/>
        </w:rPr>
        <w:t xml:space="preserve">Tablica 14-2: </w:t>
      </w:r>
      <w:r w:rsidRPr="00654E3B">
        <w:rPr>
          <w:rFonts w:cs="Times New Roman"/>
          <w:i/>
        </w:rPr>
        <w:tab/>
        <w:t>Mjere zaštite okoliša</w:t>
      </w:r>
    </w:p>
    <w:tbl>
      <w:tblPr>
        <w:tblStyle w:val="Izvjescetablica6"/>
        <w:tblW w:w="9776" w:type="dxa"/>
        <w:tblLook w:val="04A0" w:firstRow="1" w:lastRow="0" w:firstColumn="1" w:lastColumn="0" w:noHBand="0" w:noVBand="1"/>
      </w:tblPr>
      <w:tblGrid>
        <w:gridCol w:w="7933"/>
        <w:gridCol w:w="1843"/>
      </w:tblGrid>
      <w:tr w:rsidR="007D4A93" w:rsidRPr="00654E3B">
        <w:trPr>
          <w:tblHeader/>
        </w:trPr>
        <w:tc>
          <w:tcPr>
            <w:tcW w:w="7933" w:type="dxa"/>
            <w:shd w:val="clear" w:color="auto" w:fill="EAF1DD"/>
          </w:tcPr>
          <w:p w:rsidR="007D4A93" w:rsidRPr="00654E3B" w:rsidRDefault="00EF0BEB">
            <w:pPr>
              <w:jc w:val="center"/>
              <w:rPr>
                <w:rFonts w:cs="Times New Roman"/>
              </w:rPr>
            </w:pPr>
            <w:r w:rsidRPr="00654E3B">
              <w:rPr>
                <w:rFonts w:cs="Times New Roman"/>
              </w:rPr>
              <w:t>Mjera</w:t>
            </w:r>
          </w:p>
        </w:tc>
        <w:tc>
          <w:tcPr>
            <w:tcW w:w="1843" w:type="dxa"/>
            <w:shd w:val="clear" w:color="auto" w:fill="EAF1DD"/>
          </w:tcPr>
          <w:p w:rsidR="007D4A93" w:rsidRPr="00654E3B" w:rsidRDefault="00EF0BEB">
            <w:pPr>
              <w:jc w:val="center"/>
              <w:rPr>
                <w:rFonts w:cs="Times New Roman"/>
              </w:rPr>
            </w:pPr>
            <w:r w:rsidRPr="00654E3B">
              <w:rPr>
                <w:rFonts w:cs="Times New Roman"/>
              </w:rPr>
              <w:t>Nositelj provedbe</w:t>
            </w:r>
          </w:p>
        </w:tc>
      </w:tr>
      <w:tr w:rsidR="007D4A93" w:rsidRPr="00654E3B">
        <w:tc>
          <w:tcPr>
            <w:tcW w:w="7933" w:type="dxa"/>
            <w:vAlign w:val="center"/>
          </w:tcPr>
          <w:p w:rsidR="007D4A93" w:rsidRPr="00654E3B" w:rsidRDefault="00EF0BEB" w:rsidP="00FD4068">
            <w:pPr>
              <w:rPr>
                <w:rFonts w:cs="Times New Roman"/>
              </w:rPr>
            </w:pPr>
            <w:r w:rsidRPr="00654E3B">
              <w:rPr>
                <w:rFonts w:cs="Times New Roman"/>
              </w:rPr>
              <w:t>Sadnju „energetskih“ kultura na poljoprivrednim površinama planirati na način da i dalje bude raspoloživa potrebna količina površina za proizvodnju hrane.</w:t>
            </w:r>
          </w:p>
        </w:tc>
        <w:tc>
          <w:tcPr>
            <w:tcW w:w="1843" w:type="dxa"/>
            <w:vAlign w:val="center"/>
          </w:tcPr>
          <w:p w:rsidR="007D4A93" w:rsidRPr="00654E3B" w:rsidRDefault="00EF0BEB">
            <w:pPr>
              <w:rPr>
                <w:rFonts w:cs="Times New Roman"/>
              </w:rPr>
            </w:pPr>
            <w:r w:rsidRPr="00654E3B">
              <w:rPr>
                <w:rFonts w:cs="Times New Roman"/>
              </w:rPr>
              <w:t>Ministarstvo nadležno za poljoprivredu</w:t>
            </w:r>
          </w:p>
        </w:tc>
      </w:tr>
      <w:tr w:rsidR="007D4A93" w:rsidRPr="00654E3B">
        <w:trPr>
          <w:trHeight w:val="686"/>
        </w:trPr>
        <w:tc>
          <w:tcPr>
            <w:tcW w:w="7933" w:type="dxa"/>
            <w:vAlign w:val="center"/>
          </w:tcPr>
          <w:p w:rsidR="007D4A93" w:rsidRPr="00654E3B" w:rsidRDefault="00EF0BEB" w:rsidP="009A69B5">
            <w:pPr>
              <w:rPr>
                <w:rFonts w:cs="Times New Roman"/>
              </w:rPr>
            </w:pPr>
            <w:r w:rsidRPr="00654E3B">
              <w:rPr>
                <w:rFonts w:cs="Times New Roman"/>
              </w:rPr>
              <w:t xml:space="preserve">Prilikom odabira novih </w:t>
            </w:r>
            <w:r w:rsidR="009A69B5" w:rsidRPr="00654E3B">
              <w:rPr>
                <w:rFonts w:cs="Times New Roman"/>
              </w:rPr>
              <w:t xml:space="preserve">sorti </w:t>
            </w:r>
            <w:r w:rsidRPr="00654E3B">
              <w:rPr>
                <w:rFonts w:cs="Times New Roman"/>
              </w:rPr>
              <w:t xml:space="preserve">treba poticati oplemenjivačke programe autohtonih vrsta koji će odgovoriti na zahtjeve klimatskih promjena kao što je otpornost </w:t>
            </w:r>
            <w:r w:rsidR="009A69B5" w:rsidRPr="00654E3B">
              <w:rPr>
                <w:rFonts w:cs="Times New Roman"/>
              </w:rPr>
              <w:t xml:space="preserve">sorti </w:t>
            </w:r>
            <w:r w:rsidRPr="00654E3B">
              <w:rPr>
                <w:rFonts w:cs="Times New Roman"/>
              </w:rPr>
              <w:t>na sušu i otpornost na bolesti.</w:t>
            </w:r>
          </w:p>
        </w:tc>
        <w:tc>
          <w:tcPr>
            <w:tcW w:w="1843" w:type="dxa"/>
            <w:vAlign w:val="center"/>
          </w:tcPr>
          <w:p w:rsidR="007D4A93" w:rsidRPr="00654E3B" w:rsidRDefault="00EF0BEB">
            <w:pPr>
              <w:rPr>
                <w:rFonts w:cs="Times New Roman"/>
              </w:rPr>
            </w:pPr>
            <w:r w:rsidRPr="00654E3B">
              <w:rPr>
                <w:rFonts w:cs="Times New Roman"/>
              </w:rPr>
              <w:t>Ministarstvo nadležno za poljoprivredu</w:t>
            </w:r>
          </w:p>
        </w:tc>
      </w:tr>
      <w:tr w:rsidR="007D4A93" w:rsidRPr="00654E3B">
        <w:tc>
          <w:tcPr>
            <w:tcW w:w="7933" w:type="dxa"/>
            <w:vAlign w:val="center"/>
          </w:tcPr>
          <w:p w:rsidR="007D4A93" w:rsidRPr="00654E3B" w:rsidRDefault="00EF0BEB">
            <w:pPr>
              <w:rPr>
                <w:rFonts w:cs="Times New Roman"/>
              </w:rPr>
            </w:pPr>
            <w:r w:rsidRPr="00654E3B">
              <w:rPr>
                <w:rFonts w:cs="Times New Roman"/>
              </w:rPr>
              <w:t>Prilikom realizacije mjere unutar sektora Poljoprivreda, koja glasi: „Poboljšanje uzgojno-selekcijskog programa, zdravlja i dobrobiti životinja“, paziti na očuvanje genetske raznolikosti kako ne bi došlo do inbreeding-a (križanja u srodstvu).</w:t>
            </w:r>
          </w:p>
        </w:tc>
        <w:tc>
          <w:tcPr>
            <w:tcW w:w="1843" w:type="dxa"/>
            <w:vAlign w:val="center"/>
          </w:tcPr>
          <w:p w:rsidR="007D4A93" w:rsidRPr="00654E3B" w:rsidRDefault="00EF0BEB">
            <w:pPr>
              <w:rPr>
                <w:rFonts w:cs="Times New Roman"/>
              </w:rPr>
            </w:pPr>
            <w:r w:rsidRPr="00654E3B">
              <w:rPr>
                <w:rFonts w:cs="Times New Roman"/>
              </w:rPr>
              <w:t>Ministarstvo nadležno za poljoprivredu</w:t>
            </w:r>
          </w:p>
        </w:tc>
      </w:tr>
      <w:tr w:rsidR="007D4A93" w:rsidRPr="00654E3B">
        <w:tc>
          <w:tcPr>
            <w:tcW w:w="7933" w:type="dxa"/>
            <w:vAlign w:val="center"/>
          </w:tcPr>
          <w:p w:rsidR="007D4A93" w:rsidRPr="00654E3B" w:rsidRDefault="00EF0BEB">
            <w:pPr>
              <w:rPr>
                <w:rFonts w:cs="Times New Roman"/>
              </w:rPr>
            </w:pPr>
            <w:r w:rsidRPr="00654E3B">
              <w:rPr>
                <w:rFonts w:cs="Times New Roman"/>
              </w:rPr>
              <w:t>Izraditi smjernice o zonama osjetljivosti za vjetroelektrane i izraditi karte osjetljivosti prostora Republike Hrvatske, obzirom na ptice, šišmiše, i morske sisavce te unutar zona visoke osjetljivosti izbjegavati planiranje objekata vjetroelektrana. Smjernice ugraditi u prostorne planove.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prirodu</w:t>
            </w:r>
          </w:p>
          <w:p w:rsidR="007D4A93" w:rsidRPr="00654E3B" w:rsidRDefault="00B64939">
            <w:pPr>
              <w:rPr>
                <w:rFonts w:cs="Times New Roman"/>
              </w:rPr>
            </w:pPr>
            <w:r w:rsidRPr="00654E3B">
              <w:rPr>
                <w:rFonts w:cs="Times New Roman"/>
              </w:rPr>
              <w:t xml:space="preserve">Ministarstvo nadležno za poslove graditeljstva </w:t>
            </w:r>
          </w:p>
        </w:tc>
      </w:tr>
      <w:tr w:rsidR="007D4A93" w:rsidRPr="00654E3B">
        <w:tc>
          <w:tcPr>
            <w:tcW w:w="7933" w:type="dxa"/>
            <w:vAlign w:val="center"/>
          </w:tcPr>
          <w:p w:rsidR="007D4A93" w:rsidRPr="00654E3B" w:rsidRDefault="00EF0BEB">
            <w:pPr>
              <w:rPr>
                <w:rFonts w:cs="Times New Roman"/>
              </w:rPr>
            </w:pPr>
            <w:r w:rsidRPr="00654E3B">
              <w:rPr>
                <w:rFonts w:cs="Times New Roman"/>
              </w:rPr>
              <w:t>Izraditi karte zona osjetljivosti vrsta/stanišnih tipova vezanih uz vodene i močvarne ekosustave u odnosu na iskorištavanje hidroenergije i izgradnju hidroelektrana te unutar zona visoke osjetljivosti izbjegavati planiranje hidroenergetskih objekata. Smjernice ugraditi u prostorne planove.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prirodu</w:t>
            </w:r>
          </w:p>
          <w:p w:rsidR="007D4A93" w:rsidRPr="00654E3B" w:rsidRDefault="00B64939">
            <w:pPr>
              <w:rPr>
                <w:rFonts w:cs="Times New Roman"/>
              </w:rPr>
            </w:pPr>
            <w:r w:rsidRPr="00654E3B">
              <w:rPr>
                <w:rFonts w:cs="Times New Roman"/>
              </w:rPr>
              <w:t xml:space="preserve">Ministarstvo nadležno za poslove graditeljstva  </w:t>
            </w:r>
          </w:p>
        </w:tc>
      </w:tr>
      <w:tr w:rsidR="007D4A93" w:rsidRPr="00654E3B">
        <w:tc>
          <w:tcPr>
            <w:tcW w:w="7933" w:type="dxa"/>
            <w:vAlign w:val="center"/>
          </w:tcPr>
          <w:p w:rsidR="007D4A93" w:rsidRPr="00654E3B" w:rsidRDefault="00EF0BEB">
            <w:pPr>
              <w:rPr>
                <w:rFonts w:cs="Times New Roman"/>
              </w:rPr>
            </w:pPr>
            <w:r w:rsidRPr="00654E3B">
              <w:rPr>
                <w:rFonts w:cs="Times New Roman"/>
              </w:rPr>
              <w:t>Dugoročno planirati uspostavu sustava monitoringa stradalih vrsta te definirati način razmjene prikupljenih podataka za postojeće i planirane vjetroelektrane.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prirodu</w:t>
            </w:r>
          </w:p>
        </w:tc>
      </w:tr>
      <w:tr w:rsidR="007D4A93" w:rsidRPr="00654E3B">
        <w:trPr>
          <w:trHeight w:val="1230"/>
        </w:trPr>
        <w:tc>
          <w:tcPr>
            <w:tcW w:w="7933" w:type="dxa"/>
            <w:vAlign w:val="center"/>
          </w:tcPr>
          <w:p w:rsidR="007D4A93" w:rsidRPr="00654E3B" w:rsidRDefault="00EF0BEB">
            <w:pPr>
              <w:rPr>
                <w:rFonts w:cs="Times New Roman"/>
              </w:rPr>
            </w:pPr>
            <w:r w:rsidRPr="00654E3B">
              <w:rPr>
                <w:rFonts w:cs="Times New Roman"/>
              </w:rPr>
              <w:t>Izraditi smjernice za procjenu kumulativnih utjecaja izgradnje hidroelektrana prilagođenu vrstama i stanišnim tipovima Republike Hrvatske. Smjernice ugraditi u prostorne planove.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okoliš</w:t>
            </w:r>
          </w:p>
          <w:p w:rsidR="007D4A93" w:rsidRPr="00654E3B" w:rsidRDefault="00B64939">
            <w:pPr>
              <w:rPr>
                <w:rFonts w:cs="Times New Roman"/>
              </w:rPr>
            </w:pPr>
            <w:r w:rsidRPr="00654E3B">
              <w:rPr>
                <w:rFonts w:eastAsia="Times New Roman" w:cs="Times New Roman"/>
                <w:color w:val="212121"/>
              </w:rPr>
              <w:t xml:space="preserve">Ministarstvo nadležno za </w:t>
            </w:r>
            <w:r w:rsidRPr="00654E3B">
              <w:rPr>
                <w:rFonts w:eastAsia="Times New Roman" w:cs="Times New Roman"/>
                <w:color w:val="212121"/>
              </w:rPr>
              <w:lastRenderedPageBreak/>
              <w:t xml:space="preserve">poslove graditeljstva </w:t>
            </w:r>
            <w:r w:rsidRPr="00654E3B">
              <w:rPr>
                <w:rFonts w:cs="Times New Roman"/>
              </w:rPr>
              <w:t xml:space="preserve"> </w:t>
            </w:r>
            <w:r w:rsidR="00EF0BEB" w:rsidRPr="00654E3B">
              <w:rPr>
                <w:rFonts w:cs="Times New Roman"/>
              </w:rPr>
              <w:t xml:space="preserve"> </w:t>
            </w:r>
          </w:p>
        </w:tc>
      </w:tr>
      <w:tr w:rsidR="007D4A93" w:rsidRPr="00654E3B">
        <w:tc>
          <w:tcPr>
            <w:tcW w:w="7933" w:type="dxa"/>
          </w:tcPr>
          <w:p w:rsidR="007D4A93" w:rsidRPr="00654E3B" w:rsidRDefault="00EF0BEB">
            <w:pPr>
              <w:rPr>
                <w:rFonts w:cs="Times New Roman"/>
              </w:rPr>
            </w:pPr>
            <w:r w:rsidRPr="00654E3B">
              <w:rPr>
                <w:rFonts w:cs="Times New Roman"/>
              </w:rPr>
              <w:lastRenderedPageBreak/>
              <w:t xml:space="preserve">Prilikom planiranja hidromelioracijskih zahvata i sustava zaštite od nepogoda (obrana od poplava) te hidroelektrana pri izradi studije isplativosti ili izvedivosti (eng. </w:t>
            </w:r>
            <w:r w:rsidRPr="00654E3B">
              <w:rPr>
                <w:rFonts w:cs="Times New Roman"/>
                <w:i/>
              </w:rPr>
              <w:t>Feasibility study</w:t>
            </w:r>
            <w:r w:rsidRPr="00654E3B">
              <w:rPr>
                <w:rFonts w:cs="Times New Roman"/>
              </w:rPr>
              <w:t xml:space="preserve">) uzeti u obzir i vrednovanje usluga ekosustava (eng. </w:t>
            </w:r>
            <w:r w:rsidRPr="00654E3B">
              <w:rPr>
                <w:rFonts w:cs="Times New Roman"/>
                <w:i/>
              </w:rPr>
              <w:t>Ecosystem services</w:t>
            </w:r>
            <w:r w:rsidRPr="00654E3B">
              <w:rPr>
                <w:rFonts w:cs="Times New Roman"/>
              </w:rPr>
              <w:t>), osobito u smislu analize vrijednosti očuvanih poplavnih područja koja ublažavaju klimatske promjene (prirodne retencije za prihvat poplavnih valova) i vežu stakleničke plinove (močvare i šumski ekosustavi). Ova mjera provodit će se nakon projekta kartiranja i procjene vrijednosti ekosustava te izrade priručnika za vrednovanje usluge ekosustava, koji će provesti Ministarstvo nadležno za prirodu (do 2023. g.).</w:t>
            </w:r>
          </w:p>
        </w:tc>
        <w:tc>
          <w:tcPr>
            <w:tcW w:w="1843" w:type="dxa"/>
            <w:vAlign w:val="center"/>
          </w:tcPr>
          <w:p w:rsidR="007D4A93" w:rsidRPr="00654E3B" w:rsidRDefault="00EF0BEB">
            <w:pPr>
              <w:rPr>
                <w:rFonts w:cs="Times New Roman"/>
              </w:rPr>
            </w:pPr>
            <w:r w:rsidRPr="00654E3B">
              <w:rPr>
                <w:rFonts w:cs="Times New Roman"/>
              </w:rPr>
              <w:t>Investitor</w:t>
            </w:r>
          </w:p>
        </w:tc>
      </w:tr>
      <w:tr w:rsidR="007D4A93" w:rsidRPr="00654E3B">
        <w:tc>
          <w:tcPr>
            <w:tcW w:w="7933" w:type="dxa"/>
            <w:vAlign w:val="center"/>
          </w:tcPr>
          <w:p w:rsidR="007D4A93" w:rsidRPr="00654E3B" w:rsidRDefault="00EF0BEB">
            <w:pPr>
              <w:rPr>
                <w:rFonts w:cs="Times New Roman"/>
              </w:rPr>
            </w:pPr>
            <w:r w:rsidRPr="00654E3B">
              <w:rPr>
                <w:rFonts w:cs="Times New Roman"/>
              </w:rPr>
              <w:t>Izraditi smjernice o zonama osjetljivosti za FN sustave i izraditi karte osjetljivosti prostora Republike Hrvatske, obzirom na ciljne stanišne tipove te unutar zona visoke osjetljivosti izbjegavati planiranje FN sustava. Smjernice ugraditi u prostorne planove.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prirodu</w:t>
            </w:r>
          </w:p>
          <w:p w:rsidR="007D4A93" w:rsidRPr="00654E3B" w:rsidRDefault="00B64939">
            <w:pPr>
              <w:rPr>
                <w:rFonts w:cs="Times New Roman"/>
              </w:rPr>
            </w:pPr>
            <w:r w:rsidRPr="00654E3B">
              <w:rPr>
                <w:rFonts w:cs="Times New Roman"/>
              </w:rPr>
              <w:t>Ministarstvo nadležno za poslove graditeljstva</w:t>
            </w:r>
            <w:r w:rsidRPr="00654E3B">
              <w:rPr>
                <w:rFonts w:eastAsia="Times New Roman" w:cs="Times New Roman"/>
                <w:color w:val="212121"/>
              </w:rPr>
              <w:t xml:space="preserve"> </w:t>
            </w:r>
            <w:r w:rsidRPr="00654E3B">
              <w:rPr>
                <w:rFonts w:cs="Times New Roman"/>
              </w:rPr>
              <w:t xml:space="preserve"> </w:t>
            </w:r>
          </w:p>
        </w:tc>
      </w:tr>
      <w:tr w:rsidR="007D4A93" w:rsidRPr="00654E3B">
        <w:tc>
          <w:tcPr>
            <w:tcW w:w="7933" w:type="dxa"/>
          </w:tcPr>
          <w:p w:rsidR="007D4A93" w:rsidRPr="00654E3B" w:rsidRDefault="00EF0BEB">
            <w:pPr>
              <w:rPr>
                <w:rFonts w:cs="Times New Roman"/>
              </w:rPr>
            </w:pPr>
            <w:r w:rsidRPr="00654E3B">
              <w:rPr>
                <w:rFonts w:cs="Times New Roman"/>
              </w:rPr>
              <w:t>Izraditi smjernice za procjene utjecaja vjetroelektrana, fotonaponskog sustava i hidroelektrana na kulturnu baštinu i kulturni krajobraz, pri čemu treba uzeti u obzir i možebitne indirektne utjecaje.</w:t>
            </w:r>
          </w:p>
        </w:tc>
        <w:tc>
          <w:tcPr>
            <w:tcW w:w="1843" w:type="dxa"/>
            <w:vAlign w:val="center"/>
          </w:tcPr>
          <w:p w:rsidR="007D4A93" w:rsidRPr="00654E3B" w:rsidRDefault="00EF0BEB">
            <w:pPr>
              <w:rPr>
                <w:rFonts w:cs="Times New Roman"/>
              </w:rPr>
            </w:pPr>
            <w:r w:rsidRPr="00654E3B">
              <w:rPr>
                <w:rFonts w:cs="Times New Roman"/>
              </w:rPr>
              <w:t>Ministarstvo nadležno za zaštitu kulture</w:t>
            </w:r>
          </w:p>
        </w:tc>
      </w:tr>
      <w:tr w:rsidR="007D4A93" w:rsidRPr="00654E3B">
        <w:tc>
          <w:tcPr>
            <w:tcW w:w="7933" w:type="dxa"/>
            <w:vAlign w:val="center"/>
          </w:tcPr>
          <w:p w:rsidR="007D4A93" w:rsidRPr="00654E3B" w:rsidRDefault="00EF0BEB">
            <w:pPr>
              <w:spacing w:before="200" w:after="120"/>
              <w:rPr>
                <w:rFonts w:cs="Times New Roman"/>
              </w:rPr>
            </w:pPr>
            <w:r w:rsidRPr="00654E3B">
              <w:rPr>
                <w:rFonts w:cs="Times New Roman"/>
              </w:rPr>
              <w:t>Izraditi Krajobraznu osnovu Hrvatske i utvrditi standarde i kriterije za provođenje tipološke klasifikacije i ocjene karaktera krajobraza na svim razinama (nacionalna, regionalna, lokalna).</w:t>
            </w:r>
          </w:p>
        </w:tc>
        <w:tc>
          <w:tcPr>
            <w:tcW w:w="1843" w:type="dxa"/>
            <w:vAlign w:val="center"/>
          </w:tcPr>
          <w:p w:rsidR="007D4A93" w:rsidRPr="00654E3B" w:rsidRDefault="00EF0BEB">
            <w:pPr>
              <w:rPr>
                <w:rFonts w:cs="Times New Roman"/>
              </w:rPr>
            </w:pPr>
            <w:r w:rsidRPr="00654E3B">
              <w:rPr>
                <w:rFonts w:cs="Times New Roman"/>
              </w:rPr>
              <w:t>Ministarstvo nadležno za zaštitu okoliša,</w:t>
            </w:r>
          </w:p>
          <w:p w:rsidR="007D4A93" w:rsidRPr="00654E3B" w:rsidRDefault="00B64939">
            <w:pPr>
              <w:rPr>
                <w:rFonts w:cs="Times New Roman"/>
              </w:rPr>
            </w:pPr>
            <w:r w:rsidRPr="00654E3B">
              <w:rPr>
                <w:rFonts w:cs="Times New Roman"/>
              </w:rPr>
              <w:t>Ministarstvo nadležno za poslove graditeljstva</w:t>
            </w:r>
            <w:r w:rsidRPr="00654E3B" w:rsidDel="00B64939">
              <w:rPr>
                <w:rFonts w:cs="Times New Roman"/>
              </w:rPr>
              <w:t xml:space="preserve"> </w:t>
            </w:r>
            <w:r w:rsidR="00EF0BEB" w:rsidRPr="00654E3B">
              <w:rPr>
                <w:rFonts w:cs="Times New Roman"/>
              </w:rPr>
              <w:t>Ministarstvo nadležno za zaštitu kulture</w:t>
            </w:r>
          </w:p>
        </w:tc>
      </w:tr>
      <w:tr w:rsidR="007D4A93" w:rsidRPr="00654E3B">
        <w:tc>
          <w:tcPr>
            <w:tcW w:w="7933" w:type="dxa"/>
          </w:tcPr>
          <w:p w:rsidR="007D4A93" w:rsidRPr="00654E3B" w:rsidRDefault="00EF0BEB">
            <w:pPr>
              <w:rPr>
                <w:rFonts w:cs="Times New Roman"/>
              </w:rPr>
            </w:pPr>
            <w:r w:rsidRPr="00654E3B">
              <w:rPr>
                <w:rFonts w:cs="Times New Roman"/>
              </w:rPr>
              <w:t>Kod projektiranja sustava hlađenja kogeneracijskih postrojenja, u obzir uzeti negativne učinke termičkog onečišćenja na okoliš i mogućnosti za smanjenje topline raspršene u površinsku vodu.</w:t>
            </w:r>
          </w:p>
        </w:tc>
        <w:tc>
          <w:tcPr>
            <w:tcW w:w="1843" w:type="dxa"/>
            <w:vAlign w:val="center"/>
          </w:tcPr>
          <w:p w:rsidR="007D4A93" w:rsidRPr="00654E3B" w:rsidRDefault="00EF0BEB">
            <w:pPr>
              <w:rPr>
                <w:rFonts w:cs="Times New Roman"/>
              </w:rPr>
            </w:pPr>
            <w:r w:rsidRPr="00654E3B">
              <w:rPr>
                <w:rFonts w:cs="Times New Roman"/>
              </w:rPr>
              <w:t>Investitor</w:t>
            </w:r>
          </w:p>
        </w:tc>
      </w:tr>
    </w:tbl>
    <w:p w:rsidR="007D4A93" w:rsidRPr="00654E3B" w:rsidRDefault="007D4A93">
      <w:pPr>
        <w:ind w:left="1418" w:hanging="1418"/>
        <w:rPr>
          <w:rFonts w:cs="Times New Roman"/>
          <w:szCs w:val="24"/>
        </w:rPr>
      </w:pPr>
    </w:p>
    <w:p w:rsidR="007D4A93" w:rsidRPr="00654E3B" w:rsidRDefault="00EF0BEB" w:rsidP="00863CF6">
      <w:pPr>
        <w:keepNext/>
        <w:ind w:left="1134" w:hanging="1134"/>
        <w:rPr>
          <w:rFonts w:eastAsia="Times New Roman" w:cs="Times New Roman"/>
          <w:i/>
          <w:iCs/>
          <w:szCs w:val="24"/>
          <w:lang w:eastAsia="ar-SA"/>
        </w:rPr>
      </w:pPr>
      <w:r w:rsidRPr="00654E3B">
        <w:rPr>
          <w:rFonts w:cs="Times New Roman"/>
          <w:i/>
          <w:szCs w:val="24"/>
        </w:rPr>
        <w:lastRenderedPageBreak/>
        <w:t xml:space="preserve">Tablica 14-3: </w:t>
      </w:r>
      <w:r w:rsidRPr="00654E3B">
        <w:rPr>
          <w:rFonts w:eastAsia="Times New Roman" w:cs="Times New Roman"/>
          <w:i/>
          <w:iCs/>
          <w:szCs w:val="24"/>
          <w:lang w:eastAsia="ar-SA"/>
        </w:rPr>
        <w:t>Mjere ublažavanja negativnih utjecaja na ciljeve očuvanja i cjelovitost područja ekološke mreže</w:t>
      </w: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3"/>
        <w:gridCol w:w="2043"/>
      </w:tblGrid>
      <w:tr w:rsidR="007D4A93" w:rsidRPr="00654E3B" w:rsidTr="007D4A93">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7733" w:type="dxa"/>
            <w:tcBorders>
              <w:bottom w:val="none" w:sz="0" w:space="0" w:color="auto"/>
              <w:right w:val="none" w:sz="0" w:space="0" w:color="auto"/>
            </w:tcBorders>
            <w:shd w:val="clear" w:color="auto" w:fill="EAF1DD"/>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MJERA</w:t>
            </w:r>
          </w:p>
        </w:tc>
        <w:tc>
          <w:tcPr>
            <w:tcW w:w="2043" w:type="dxa"/>
            <w:tcBorders>
              <w:left w:val="none" w:sz="0" w:space="0" w:color="auto"/>
            </w:tcBorders>
            <w:shd w:val="clear" w:color="auto" w:fill="EAF1DD"/>
          </w:tcPr>
          <w:p w:rsidR="007D4A93" w:rsidRPr="00654E3B" w:rsidRDefault="00EF0BEB" w:rsidP="00863CF6">
            <w:pPr>
              <w:pStyle w:val="tekstutablicama"/>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NOSITELJ PROVEDBE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Izraditi smjernice o zonama osjetljivosti za vjetroelektrane i izraditi karte osjetljivosti prostora Republike Hrvatske, obzirom na ptice, šišmiše, i morske sisavce te unutar zona visoke osjetljivosti izbjegavati planiranje objekata vjetroelektrana. Smjernice ugraditi u prostorne planove.</w:t>
            </w:r>
          </w:p>
        </w:tc>
        <w:tc>
          <w:tcPr>
            <w:tcW w:w="2043" w:type="dxa"/>
            <w:shd w:val="clear" w:color="auto" w:fill="auto"/>
            <w:vAlign w:val="center"/>
          </w:tcPr>
          <w:p w:rsidR="007D4A93" w:rsidRPr="00654E3B" w:rsidRDefault="00EF0BEB" w:rsidP="00863CF6">
            <w:pPr>
              <w:pStyle w:val="tekstutablicama"/>
              <w:keepNex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energetiku, </w:t>
            </w:r>
          </w:p>
          <w:p w:rsidR="007D4A93" w:rsidRPr="00654E3B" w:rsidRDefault="00EF0BEB" w:rsidP="00863CF6">
            <w:pPr>
              <w:pStyle w:val="tekstutablicama"/>
              <w:keepNex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Ministarstvo nadležno za prirodu</w:t>
            </w:r>
          </w:p>
          <w:p w:rsidR="007D4A93" w:rsidRPr="00654E3B" w:rsidRDefault="00B64939" w:rsidP="00863CF6">
            <w:pPr>
              <w:pStyle w:val="tekstutablicama"/>
              <w:keepNex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poslove graditeljstva </w:t>
            </w:r>
          </w:p>
        </w:tc>
      </w:tr>
      <w:tr w:rsidR="007D4A93" w:rsidRPr="00654E3B" w:rsidTr="007D4A93">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Izraditi karte zona osjetljivosti vrsta/stanišnih tipova vezanih uz vodene i močvarne ekosustave u odnosu na iskorištavanje hidroenergije i izgradnju hidroelektrana te unutar zona visoke osjetljivosti izbjegavati planiranje hidroenergetskih objekata. Smjernice ugraditi u prostorne planove.</w:t>
            </w:r>
          </w:p>
        </w:tc>
        <w:tc>
          <w:tcPr>
            <w:tcW w:w="2043" w:type="dxa"/>
            <w:shd w:val="clear" w:color="auto" w:fill="auto"/>
            <w:vAlign w:val="center"/>
          </w:tcPr>
          <w:p w:rsidR="007D4A93" w:rsidRPr="00654E3B" w:rsidRDefault="00EF0BEB" w:rsidP="00863CF6">
            <w:pPr>
              <w:pStyle w:val="tekstutablicama"/>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energetiku, Ministarstvo nadležno za prirodu, </w:t>
            </w:r>
            <w:r w:rsidR="00B64939" w:rsidRPr="00654E3B">
              <w:rPr>
                <w:rFonts w:ascii="Times New Roman" w:hAnsi="Times New Roman" w:cs="Times New Roman"/>
                <w:sz w:val="22"/>
                <w:szCs w:val="22"/>
              </w:rPr>
              <w:t xml:space="preserve">Ministarstvo nadležno za poslove graditeljstva </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Dugoročno planirati uspostavu sustava monitoringa stradalih vrsta te definirati način razmjene prikupljenih podataka za postojeće i planirane vjetroelektrane.</w:t>
            </w:r>
          </w:p>
        </w:tc>
        <w:tc>
          <w:tcPr>
            <w:tcW w:w="2043" w:type="dxa"/>
            <w:shd w:val="clear" w:color="auto" w:fill="auto"/>
            <w:vAlign w:val="center"/>
          </w:tcPr>
          <w:p w:rsidR="007D4A93" w:rsidRPr="00654E3B" w:rsidRDefault="00EF0BEB" w:rsidP="00863CF6">
            <w:pPr>
              <w:pStyle w:val="tekstutablicama"/>
              <w:keepNex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Ministarstvo nadležno za energetiku, Ministarstvo nadležno za prirodu</w:t>
            </w:r>
          </w:p>
        </w:tc>
      </w:tr>
      <w:tr w:rsidR="007D4A93" w:rsidRPr="00654E3B" w:rsidTr="007D4A93">
        <w:trPr>
          <w:trHeight w:val="1230"/>
        </w:trPr>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Izraditi smjernice za procjenu kumulativnih utjecaja izgradnje hidroelektrana prilagođenu vrstama i stanišnim tipovima Republike Hrvatske. Smjernice ugraditi u prostorne planove.</w:t>
            </w:r>
          </w:p>
        </w:tc>
        <w:tc>
          <w:tcPr>
            <w:tcW w:w="2043" w:type="dxa"/>
            <w:shd w:val="clear" w:color="auto" w:fill="auto"/>
            <w:vAlign w:val="center"/>
          </w:tcPr>
          <w:p w:rsidR="007D4A93" w:rsidRPr="00654E3B" w:rsidRDefault="00EF0BEB" w:rsidP="00863CF6">
            <w:pPr>
              <w:pStyle w:val="tekstutablicama"/>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energetiku, Ministarstvo nadležno za prirodu, </w:t>
            </w:r>
            <w:r w:rsidR="00B64939" w:rsidRPr="00654E3B">
              <w:rPr>
                <w:rFonts w:ascii="Times New Roman" w:hAnsi="Times New Roman" w:cs="Times New Roman"/>
                <w:sz w:val="22"/>
                <w:szCs w:val="22"/>
              </w:rPr>
              <w:t xml:space="preserve">Ministarstvo nadležno za poslove graditeljstva </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 xml:space="preserve">Prilikom planiranja hidromelioracijskih zahvata i sustava zaštite od nepogoda (obrana od poplava) te hidroelektrana pri izradi studije isplativosti ili izvedivosti (eng. </w:t>
            </w:r>
            <w:r w:rsidRPr="00654E3B">
              <w:rPr>
                <w:rFonts w:ascii="Times New Roman" w:hAnsi="Times New Roman" w:cs="Times New Roman"/>
                <w:i/>
                <w:sz w:val="22"/>
                <w:szCs w:val="22"/>
              </w:rPr>
              <w:t>Feasibility study</w:t>
            </w:r>
            <w:r w:rsidRPr="00654E3B">
              <w:rPr>
                <w:rFonts w:ascii="Times New Roman" w:hAnsi="Times New Roman" w:cs="Times New Roman"/>
                <w:sz w:val="22"/>
                <w:szCs w:val="22"/>
              </w:rPr>
              <w:t xml:space="preserve">) uzeti u obzir i vrednovanje usluga ekosustava (eng. </w:t>
            </w:r>
            <w:r w:rsidRPr="00654E3B">
              <w:rPr>
                <w:rFonts w:ascii="Times New Roman" w:hAnsi="Times New Roman" w:cs="Times New Roman"/>
                <w:i/>
                <w:sz w:val="22"/>
                <w:szCs w:val="22"/>
              </w:rPr>
              <w:t>Ecosystem services</w:t>
            </w:r>
            <w:r w:rsidRPr="00654E3B">
              <w:rPr>
                <w:rFonts w:ascii="Times New Roman" w:hAnsi="Times New Roman" w:cs="Times New Roman"/>
                <w:sz w:val="22"/>
                <w:szCs w:val="22"/>
              </w:rPr>
              <w:t>), osobito u smislu analize vrijednosti očuvanih poplavnih područja koja ublažavaju klimatske promjene (prirodne retencije za prihvat poplavnih valova) i vežu stakleničke plinove (močvare i šumski ekosustavi). Ova mjera provodit će se nakon projekta kartiranja i procjene vrijednosti ekosustava te izrade priručnika za vrednovanje usluge ekosustava, koji će provesti Ministarstvo nadležno za prirodu (do 2023. g.).</w:t>
            </w:r>
          </w:p>
        </w:tc>
        <w:tc>
          <w:tcPr>
            <w:tcW w:w="2043" w:type="dxa"/>
            <w:shd w:val="clear" w:color="auto" w:fill="auto"/>
            <w:vAlign w:val="center"/>
          </w:tcPr>
          <w:p w:rsidR="007D4A93" w:rsidRPr="00654E3B" w:rsidRDefault="00EF0BEB" w:rsidP="00863CF6">
            <w:pPr>
              <w:pStyle w:val="tekstutablicama"/>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Investitor</w:t>
            </w:r>
          </w:p>
        </w:tc>
      </w:tr>
      <w:tr w:rsidR="007D4A93" w:rsidRPr="00654E3B" w:rsidTr="007D4A93">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Izraditi smjernice o zonama osjetljivosti za FN sustave i izraditi karte osjetljivosti prostora Republike Hrvatske, obzirom na ciljne stanišne tipove te unutar zona visoke osjetljivosti izbjegavati planiranje FN sustava. Smjernice ugraditi u prostorne planove.</w:t>
            </w:r>
          </w:p>
        </w:tc>
        <w:tc>
          <w:tcPr>
            <w:tcW w:w="2043" w:type="dxa"/>
            <w:shd w:val="clear" w:color="auto" w:fill="auto"/>
            <w:vAlign w:val="center"/>
          </w:tcPr>
          <w:p w:rsidR="00B64939" w:rsidRPr="00654E3B" w:rsidRDefault="00EF0BEB" w:rsidP="00863CF6">
            <w:pPr>
              <w:pStyle w:val="tekstutablicama"/>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energetiku, Ministarstvo nadležno za prirodu, </w:t>
            </w:r>
          </w:p>
          <w:p w:rsidR="007D4A93" w:rsidRPr="00654E3B" w:rsidRDefault="00B64939" w:rsidP="00863CF6">
            <w:pPr>
              <w:pStyle w:val="tekstutablicama"/>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poslove graditeljstva </w:t>
            </w:r>
            <w:bookmarkEnd w:id="337"/>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lastRenderedPageBreak/>
        <w:t>Uz primjenu mjera zaštite okoliša i mjera ublažavanja negativnih utjecaja na ciljeve očuvanja i cjelovitost područja ekološke mreže, Strategija niskougljičnog razvoja Republike Hrvatske do 2030. s pogledom na 2050. godinu prihvatljiva je za okoliš i ekološku mrežu.</w:t>
      </w:r>
    </w:p>
    <w:p w:rsidR="007D4A93" w:rsidRPr="00654E3B" w:rsidRDefault="00EF0BEB">
      <w:pPr>
        <w:rPr>
          <w:rFonts w:cs="Times New Roman"/>
        </w:rPr>
      </w:pPr>
      <w:r w:rsidRPr="00654E3B">
        <w:rPr>
          <w:rFonts w:cs="Times New Roman"/>
        </w:rPr>
        <w:br w:type="page"/>
      </w:r>
    </w:p>
    <w:p w:rsidR="007D4A93" w:rsidRPr="00654E3B" w:rsidRDefault="00EF0BEB">
      <w:pPr>
        <w:pStyle w:val="Heading1"/>
        <w:rPr>
          <w:rFonts w:ascii="Times New Roman" w:hAnsi="Times New Roman" w:cs="Times New Roman"/>
        </w:rPr>
      </w:pPr>
      <w:bookmarkStart w:id="338" w:name="_Ref59110413"/>
      <w:bookmarkStart w:id="339" w:name="_Ref59110465"/>
      <w:bookmarkStart w:id="340" w:name="_Ref59111247"/>
      <w:bookmarkStart w:id="341" w:name="_Toc69297795"/>
      <w:r w:rsidRPr="00654E3B">
        <w:rPr>
          <w:rFonts w:ascii="Times New Roman" w:hAnsi="Times New Roman" w:cs="Times New Roman"/>
        </w:rPr>
        <w:lastRenderedPageBreak/>
        <w:t>15.</w:t>
      </w:r>
      <w:r w:rsidRPr="00654E3B">
        <w:rPr>
          <w:rFonts w:ascii="Times New Roman" w:hAnsi="Times New Roman" w:cs="Times New Roman"/>
        </w:rPr>
        <w:tab/>
        <w:t>INFORMACIJA O SCENARIJU KLIMATSKE NEUTRALNOSTI</w:t>
      </w:r>
      <w:bookmarkEnd w:id="338"/>
      <w:bookmarkEnd w:id="339"/>
      <w:bookmarkEnd w:id="340"/>
      <w:bookmarkEnd w:id="341"/>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sz w:val="24"/>
          <w:szCs w:val="24"/>
        </w:rPr>
      </w:pPr>
      <w:r w:rsidRPr="00654E3B">
        <w:rPr>
          <w:rFonts w:cs="Times New Roman"/>
          <w:sz w:val="24"/>
          <w:szCs w:val="24"/>
        </w:rPr>
        <w:t xml:space="preserve">Europska komisija je krajem 2019. godine predstavila Europski zeleni plan </w:t>
      </w:r>
      <w:r w:rsidR="00225860" w:rsidRPr="00654E3B">
        <w:rPr>
          <w:rFonts w:cs="Times New Roman"/>
          <w:sz w:val="24"/>
          <w:szCs w:val="24"/>
        </w:rPr>
        <w:t>kojim je predstavljena</w:t>
      </w:r>
      <w:r w:rsidR="00BE6D78" w:rsidRPr="00654E3B">
        <w:rPr>
          <w:rFonts w:cs="Times New Roman"/>
          <w:sz w:val="24"/>
          <w:szCs w:val="24"/>
        </w:rPr>
        <w:t xml:space="preserve">  klimatsk</w:t>
      </w:r>
      <w:r w:rsidR="00225860" w:rsidRPr="00654E3B">
        <w:rPr>
          <w:rFonts w:cs="Times New Roman"/>
          <w:sz w:val="24"/>
          <w:szCs w:val="24"/>
        </w:rPr>
        <w:t>a</w:t>
      </w:r>
      <w:r w:rsidR="00BE6D78" w:rsidRPr="00654E3B">
        <w:rPr>
          <w:rFonts w:cs="Times New Roman"/>
          <w:sz w:val="24"/>
          <w:szCs w:val="24"/>
        </w:rPr>
        <w:t xml:space="preserve"> ambicij</w:t>
      </w:r>
      <w:r w:rsidR="00225860" w:rsidRPr="00654E3B">
        <w:rPr>
          <w:rFonts w:cs="Times New Roman"/>
          <w:sz w:val="24"/>
          <w:szCs w:val="24"/>
        </w:rPr>
        <w:t>a</w:t>
      </w:r>
      <w:r w:rsidR="00BE6D78" w:rsidRPr="00654E3B">
        <w:rPr>
          <w:rFonts w:cs="Times New Roman"/>
          <w:sz w:val="24"/>
          <w:szCs w:val="24"/>
        </w:rPr>
        <w:t xml:space="preserve"> o postizanju klimatske neutralnosti EU-a do 2050. godine. U prosincu 2020. godine Europsko vijeće usvojilo je </w:t>
      </w:r>
      <w:r w:rsidRPr="00654E3B">
        <w:rPr>
          <w:rFonts w:cs="Times New Roman"/>
          <w:sz w:val="24"/>
          <w:szCs w:val="24"/>
        </w:rPr>
        <w:t>povećanje cilja smanjenja emisija stakleničkih plinova na razini EU-a do 2030. godine na -55</w:t>
      </w:r>
      <w:r w:rsidR="00060992" w:rsidRPr="00654E3B">
        <w:rPr>
          <w:rFonts w:cs="Times New Roman"/>
          <w:sz w:val="24"/>
          <w:szCs w:val="24"/>
        </w:rPr>
        <w:t xml:space="preserve"> %</w:t>
      </w:r>
      <w:r w:rsidRPr="00654E3B">
        <w:rPr>
          <w:rFonts w:cs="Times New Roman"/>
          <w:sz w:val="24"/>
          <w:szCs w:val="24"/>
        </w:rPr>
        <w:t xml:space="preserve"> u odnosu na razine iz 1990. godine. Ovime </w:t>
      </w:r>
      <w:r w:rsidR="00BE6D78" w:rsidRPr="00654E3B">
        <w:rPr>
          <w:rFonts w:cs="Times New Roman"/>
          <w:sz w:val="24"/>
          <w:szCs w:val="24"/>
        </w:rPr>
        <w:t xml:space="preserve">EU </w:t>
      </w:r>
      <w:r w:rsidR="00225860" w:rsidRPr="00654E3B">
        <w:rPr>
          <w:rFonts w:cs="Times New Roman"/>
          <w:sz w:val="24"/>
          <w:szCs w:val="24"/>
        </w:rPr>
        <w:t xml:space="preserve">želi </w:t>
      </w:r>
      <w:r w:rsidR="00BE6D78" w:rsidRPr="00654E3B">
        <w:rPr>
          <w:rFonts w:cs="Times New Roman"/>
          <w:sz w:val="24"/>
          <w:szCs w:val="24"/>
        </w:rPr>
        <w:t>zadrža</w:t>
      </w:r>
      <w:r w:rsidR="00225860" w:rsidRPr="00654E3B">
        <w:rPr>
          <w:rFonts w:cs="Times New Roman"/>
          <w:sz w:val="24"/>
          <w:szCs w:val="24"/>
        </w:rPr>
        <w:t>ti</w:t>
      </w:r>
      <w:r w:rsidR="00BE6D78" w:rsidRPr="00654E3B">
        <w:rPr>
          <w:rFonts w:cs="Times New Roman"/>
          <w:sz w:val="24"/>
          <w:szCs w:val="24"/>
        </w:rPr>
        <w:t xml:space="preserve"> vodeću ulogu u</w:t>
      </w:r>
      <w:r w:rsidRPr="00654E3B">
        <w:rPr>
          <w:rFonts w:cs="Times New Roman"/>
          <w:sz w:val="24"/>
          <w:szCs w:val="24"/>
        </w:rPr>
        <w:t xml:space="preserve"> provedbi međunarodnih klimatskih sporazuma, Pariškog sporazuma i UNFCCC-a.</w:t>
      </w:r>
    </w:p>
    <w:p w:rsidR="007D4A93" w:rsidRPr="00654E3B" w:rsidRDefault="00EF0BEB">
      <w:pPr>
        <w:rPr>
          <w:rFonts w:cs="Times New Roman"/>
          <w:sz w:val="24"/>
          <w:szCs w:val="24"/>
        </w:rPr>
      </w:pPr>
      <w:r w:rsidRPr="00654E3B">
        <w:rPr>
          <w:rFonts w:cs="Times New Roman"/>
          <w:sz w:val="24"/>
          <w:szCs w:val="24"/>
        </w:rPr>
        <w:t xml:space="preserve">U 2020. godini započet je rad na tzv. Zakonu o klimi </w:t>
      </w:r>
      <w:r w:rsidR="00225860" w:rsidRPr="00654E3B">
        <w:rPr>
          <w:rFonts w:cs="Times New Roman"/>
          <w:sz w:val="24"/>
          <w:szCs w:val="24"/>
        </w:rPr>
        <w:t xml:space="preserve">EU-a, </w:t>
      </w:r>
      <w:r w:rsidRPr="00654E3B">
        <w:rPr>
          <w:rFonts w:cs="Times New Roman"/>
          <w:sz w:val="24"/>
          <w:szCs w:val="24"/>
        </w:rPr>
        <w:t>koji će naveden</w:t>
      </w:r>
      <w:r w:rsidR="00225860" w:rsidRPr="00654E3B">
        <w:rPr>
          <w:rFonts w:cs="Times New Roman"/>
          <w:sz w:val="24"/>
          <w:szCs w:val="24"/>
        </w:rPr>
        <w:t>i</w:t>
      </w:r>
      <w:r w:rsidRPr="00654E3B">
        <w:rPr>
          <w:rFonts w:cs="Times New Roman"/>
          <w:sz w:val="24"/>
          <w:szCs w:val="24"/>
        </w:rPr>
        <w:t xml:space="preserve"> cilj integrirati. </w:t>
      </w:r>
      <w:r w:rsidR="00225860" w:rsidRPr="00654E3B">
        <w:rPr>
          <w:rFonts w:cs="Times New Roman"/>
          <w:sz w:val="24"/>
          <w:szCs w:val="24"/>
        </w:rPr>
        <w:t xml:space="preserve">U svrhu </w:t>
      </w:r>
      <w:r w:rsidRPr="00654E3B">
        <w:rPr>
          <w:rFonts w:cs="Times New Roman"/>
          <w:sz w:val="24"/>
          <w:szCs w:val="24"/>
        </w:rPr>
        <w:t>provedb</w:t>
      </w:r>
      <w:r w:rsidR="00225860" w:rsidRPr="00654E3B">
        <w:rPr>
          <w:rFonts w:cs="Times New Roman"/>
          <w:sz w:val="24"/>
          <w:szCs w:val="24"/>
        </w:rPr>
        <w:t>e</w:t>
      </w:r>
      <w:r w:rsidRPr="00654E3B">
        <w:rPr>
          <w:rFonts w:cs="Times New Roman"/>
          <w:sz w:val="24"/>
          <w:szCs w:val="24"/>
        </w:rPr>
        <w:t xml:space="preserve"> </w:t>
      </w:r>
      <w:r w:rsidR="00225860" w:rsidRPr="00654E3B">
        <w:rPr>
          <w:rFonts w:cs="Times New Roman"/>
          <w:sz w:val="24"/>
          <w:szCs w:val="24"/>
        </w:rPr>
        <w:t>tog</w:t>
      </w:r>
      <w:r w:rsidRPr="00654E3B">
        <w:rPr>
          <w:rFonts w:cs="Times New Roman"/>
          <w:sz w:val="24"/>
          <w:szCs w:val="24"/>
        </w:rPr>
        <w:t xml:space="preserve"> cilja EK će </w:t>
      </w:r>
      <w:r w:rsidR="00225860" w:rsidRPr="00654E3B">
        <w:rPr>
          <w:rFonts w:cs="Times New Roman"/>
          <w:sz w:val="24"/>
          <w:szCs w:val="24"/>
        </w:rPr>
        <w:t xml:space="preserve">do lipnja 2021. godine </w:t>
      </w:r>
      <w:r w:rsidRPr="00654E3B">
        <w:rPr>
          <w:rFonts w:cs="Times New Roman"/>
          <w:sz w:val="24"/>
          <w:szCs w:val="24"/>
        </w:rPr>
        <w:t>predstaviti prijedloge izmjena zakonodavstva EU</w:t>
      </w:r>
      <w:r w:rsidR="00225860" w:rsidRPr="00654E3B">
        <w:rPr>
          <w:rFonts w:cs="Times New Roman"/>
          <w:sz w:val="24"/>
          <w:szCs w:val="24"/>
        </w:rPr>
        <w:t>-a</w:t>
      </w:r>
      <w:r w:rsidRPr="00654E3B">
        <w:rPr>
          <w:rFonts w:cs="Times New Roman"/>
          <w:sz w:val="24"/>
          <w:szCs w:val="24"/>
        </w:rPr>
        <w:t xml:space="preserve"> iz područja klimatskih promjena te propisa koji </w:t>
      </w:r>
      <w:r w:rsidR="00225860" w:rsidRPr="00654E3B">
        <w:rPr>
          <w:rFonts w:cs="Times New Roman"/>
          <w:sz w:val="24"/>
          <w:szCs w:val="24"/>
        </w:rPr>
        <w:t xml:space="preserve">će </w:t>
      </w:r>
      <w:r w:rsidRPr="00654E3B">
        <w:rPr>
          <w:rFonts w:cs="Times New Roman"/>
          <w:sz w:val="24"/>
          <w:szCs w:val="24"/>
        </w:rPr>
        <w:t>regulira</w:t>
      </w:r>
      <w:r w:rsidR="00225860" w:rsidRPr="00654E3B">
        <w:rPr>
          <w:rFonts w:cs="Times New Roman"/>
          <w:sz w:val="24"/>
          <w:szCs w:val="24"/>
        </w:rPr>
        <w:t>ti</w:t>
      </w:r>
      <w:r w:rsidRPr="00654E3B">
        <w:rPr>
          <w:rFonts w:cs="Times New Roman"/>
          <w:sz w:val="24"/>
          <w:szCs w:val="24"/>
        </w:rPr>
        <w:t xml:space="preserve"> ciljeve smanjenja </w:t>
      </w:r>
      <w:r w:rsidR="00225860" w:rsidRPr="00654E3B">
        <w:rPr>
          <w:rFonts w:cs="Times New Roman"/>
          <w:sz w:val="24"/>
          <w:szCs w:val="24"/>
        </w:rPr>
        <w:t>za</w:t>
      </w:r>
      <w:r w:rsidRPr="00654E3B">
        <w:rPr>
          <w:rFonts w:cs="Times New Roman"/>
          <w:sz w:val="24"/>
          <w:szCs w:val="24"/>
        </w:rPr>
        <w:t xml:space="preserve"> pojedin</w:t>
      </w:r>
      <w:r w:rsidR="00225860" w:rsidRPr="00654E3B">
        <w:rPr>
          <w:rFonts w:cs="Times New Roman"/>
          <w:sz w:val="24"/>
          <w:szCs w:val="24"/>
        </w:rPr>
        <w:t>e</w:t>
      </w:r>
      <w:r w:rsidRPr="00654E3B">
        <w:rPr>
          <w:rFonts w:cs="Times New Roman"/>
          <w:sz w:val="24"/>
          <w:szCs w:val="24"/>
        </w:rPr>
        <w:t xml:space="preserve"> sektor</w:t>
      </w:r>
      <w:r w:rsidR="00225860" w:rsidRPr="00654E3B">
        <w:rPr>
          <w:rFonts w:cs="Times New Roman"/>
          <w:sz w:val="24"/>
          <w:szCs w:val="24"/>
        </w:rPr>
        <w:t>e</w:t>
      </w:r>
      <w:r w:rsidRPr="00654E3B">
        <w:rPr>
          <w:rFonts w:cs="Times New Roman"/>
          <w:sz w:val="24"/>
          <w:szCs w:val="24"/>
        </w:rPr>
        <w:t xml:space="preserve"> </w:t>
      </w:r>
      <w:r w:rsidR="00225860" w:rsidRPr="00654E3B">
        <w:rPr>
          <w:rFonts w:cs="Times New Roman"/>
          <w:sz w:val="24"/>
          <w:szCs w:val="24"/>
        </w:rPr>
        <w:t>država članica.</w:t>
      </w:r>
    </w:p>
    <w:p w:rsidR="007D4A93" w:rsidRPr="00654E3B" w:rsidRDefault="00EF0BEB">
      <w:pPr>
        <w:rPr>
          <w:rFonts w:cs="Times New Roman"/>
          <w:sz w:val="24"/>
          <w:szCs w:val="24"/>
        </w:rPr>
      </w:pPr>
      <w:r w:rsidRPr="00654E3B">
        <w:rPr>
          <w:rFonts w:cs="Times New Roman"/>
          <w:sz w:val="24"/>
          <w:szCs w:val="24"/>
        </w:rPr>
        <w:t xml:space="preserve">Obveze za Republiku Hrvatsku do 2030. godine znat će se tek nakon definiranja svih sektorskih ciljeva kojima će se osigurati dostizanje </w:t>
      </w:r>
      <w:r w:rsidR="00225860" w:rsidRPr="00654E3B">
        <w:rPr>
          <w:rFonts w:cs="Times New Roman"/>
          <w:sz w:val="24"/>
          <w:szCs w:val="24"/>
        </w:rPr>
        <w:t xml:space="preserve">zajedničkog </w:t>
      </w:r>
      <w:r w:rsidRPr="00654E3B">
        <w:rPr>
          <w:rFonts w:cs="Times New Roman"/>
          <w:sz w:val="24"/>
          <w:szCs w:val="24"/>
        </w:rPr>
        <w:t>cilja smanjenja emisija EU</w:t>
      </w:r>
      <w:r w:rsidR="00225860" w:rsidRPr="00654E3B">
        <w:rPr>
          <w:rFonts w:cs="Times New Roman"/>
          <w:sz w:val="24"/>
          <w:szCs w:val="24"/>
        </w:rPr>
        <w:t>-a</w:t>
      </w:r>
      <w:r w:rsidRPr="00654E3B">
        <w:rPr>
          <w:rFonts w:cs="Times New Roman"/>
          <w:sz w:val="24"/>
          <w:szCs w:val="24"/>
        </w:rPr>
        <w:t xml:space="preserve"> </w:t>
      </w:r>
      <w:r w:rsidR="00225860" w:rsidRPr="00654E3B">
        <w:rPr>
          <w:rFonts w:cs="Times New Roman"/>
          <w:sz w:val="24"/>
          <w:szCs w:val="24"/>
        </w:rPr>
        <w:t xml:space="preserve">a </w:t>
      </w:r>
      <w:r w:rsidR="00010D43" w:rsidRPr="00654E3B">
        <w:rPr>
          <w:rFonts w:cs="Times New Roman"/>
          <w:sz w:val="24"/>
          <w:szCs w:val="24"/>
        </w:rPr>
        <w:t xml:space="preserve">što </w:t>
      </w:r>
      <w:r w:rsidRPr="00654E3B">
        <w:rPr>
          <w:rFonts w:cs="Times New Roman"/>
          <w:sz w:val="24"/>
          <w:szCs w:val="24"/>
        </w:rPr>
        <w:t xml:space="preserve"> će biti usklađen</w:t>
      </w:r>
      <w:r w:rsidR="00010D43" w:rsidRPr="00654E3B">
        <w:rPr>
          <w:rFonts w:cs="Times New Roman"/>
          <w:sz w:val="24"/>
          <w:szCs w:val="24"/>
        </w:rPr>
        <w:t>o</w:t>
      </w:r>
      <w:r w:rsidRPr="00654E3B">
        <w:rPr>
          <w:rFonts w:cs="Times New Roman"/>
          <w:sz w:val="24"/>
          <w:szCs w:val="24"/>
        </w:rPr>
        <w:t xml:space="preserve"> i praćen</w:t>
      </w:r>
      <w:r w:rsidR="00010D43" w:rsidRPr="00654E3B">
        <w:rPr>
          <w:rFonts w:cs="Times New Roman"/>
          <w:sz w:val="24"/>
          <w:szCs w:val="24"/>
        </w:rPr>
        <w:t>o</w:t>
      </w:r>
      <w:r w:rsidRPr="00654E3B">
        <w:rPr>
          <w:rFonts w:cs="Times New Roman"/>
          <w:sz w:val="24"/>
          <w:szCs w:val="24"/>
        </w:rPr>
        <w:t xml:space="preserve"> izmjenama cjelokupnog sektorskog zakonodavstva EU-a. Također se 2023. godine očekuje obveza revizije Integralnih energetskih i klimatskih planova, sukladno novoj raspodjeli napora smanjenja emisija na države članice i novih sektorskih ciljeva. </w:t>
      </w:r>
    </w:p>
    <w:p w:rsidR="00C05AE6" w:rsidRPr="00654E3B" w:rsidRDefault="00C05AE6" w:rsidP="00C05AE6">
      <w:pPr>
        <w:rPr>
          <w:rFonts w:cs="Times New Roman"/>
          <w:sz w:val="24"/>
          <w:szCs w:val="24"/>
        </w:rPr>
      </w:pPr>
      <w:r w:rsidRPr="00654E3B">
        <w:rPr>
          <w:rFonts w:cs="Times New Roman"/>
          <w:sz w:val="24"/>
          <w:szCs w:val="24"/>
        </w:rPr>
        <w:t>Republika Hrvatska podržava smjer klimatske politike EU</w:t>
      </w:r>
      <w:r w:rsidR="003B4BD7" w:rsidRPr="00654E3B">
        <w:rPr>
          <w:rFonts w:cs="Times New Roman"/>
          <w:sz w:val="24"/>
          <w:szCs w:val="24"/>
        </w:rPr>
        <w:t>-a</w:t>
      </w:r>
      <w:r w:rsidRPr="00654E3B">
        <w:rPr>
          <w:rFonts w:cs="Times New Roman"/>
          <w:sz w:val="24"/>
          <w:szCs w:val="24"/>
        </w:rPr>
        <w:t xml:space="preserve"> te je pokrenula postupak izrade scenarij</w:t>
      </w:r>
      <w:r w:rsidR="003B4BD7" w:rsidRPr="00654E3B">
        <w:rPr>
          <w:rFonts w:cs="Times New Roman"/>
          <w:sz w:val="24"/>
          <w:szCs w:val="24"/>
        </w:rPr>
        <w:t>a</w:t>
      </w:r>
      <w:r w:rsidRPr="00654E3B">
        <w:rPr>
          <w:rFonts w:cs="Times New Roman"/>
          <w:sz w:val="24"/>
          <w:szCs w:val="24"/>
        </w:rPr>
        <w:t xml:space="preserve"> za postizanje većih smanjenja emisija do 2030. godine (udio Hrvatske u zajedničkom EU cilju od -55</w:t>
      </w:r>
      <w:r w:rsidR="00060992" w:rsidRPr="00654E3B">
        <w:rPr>
          <w:rFonts w:cs="Times New Roman"/>
          <w:sz w:val="24"/>
          <w:szCs w:val="24"/>
        </w:rPr>
        <w:t xml:space="preserve"> %</w:t>
      </w:r>
      <w:r w:rsidRPr="00654E3B">
        <w:rPr>
          <w:rFonts w:cs="Times New Roman"/>
          <w:sz w:val="24"/>
          <w:szCs w:val="24"/>
        </w:rPr>
        <w:t>) i klimatske neutralnosti u Hrvatskoj do 2050. Obzirom na kompleksnost problematike potrebne su široke konzultacije u društvu sa svim sektorima i dionicima o postizanju ovog zajedničkog EU cilja.</w:t>
      </w:r>
    </w:p>
    <w:p w:rsidR="007D4A93" w:rsidRPr="00654E3B" w:rsidRDefault="00EF0BEB">
      <w:pPr>
        <w:rPr>
          <w:rFonts w:cs="Times New Roman"/>
          <w:sz w:val="24"/>
          <w:szCs w:val="24"/>
        </w:rPr>
      </w:pPr>
      <w:r w:rsidRPr="00654E3B">
        <w:rPr>
          <w:rFonts w:cs="Times New Roman"/>
          <w:sz w:val="24"/>
          <w:szCs w:val="24"/>
        </w:rPr>
        <w:t>Scenariji postizanja većih smanjenja emisija do 2030. godine za Republiku Hrvatsku izrađeni su uzimajući u obzir dosadašnji način raspodjele napora na države članice, na način da države s manjim BDP-</w:t>
      </w:r>
      <w:r w:rsidR="003B4BD7" w:rsidRPr="00654E3B">
        <w:rPr>
          <w:rFonts w:cs="Times New Roman"/>
          <w:sz w:val="24"/>
          <w:szCs w:val="24"/>
        </w:rPr>
        <w:t>o</w:t>
      </w:r>
      <w:r w:rsidRPr="00654E3B">
        <w:rPr>
          <w:rFonts w:cs="Times New Roman"/>
          <w:sz w:val="24"/>
          <w:szCs w:val="24"/>
        </w:rPr>
        <w:t>m imaju niže ciljeve od država koje imaju veći BDP. To znači da EU ima zajednički cilj -55</w:t>
      </w:r>
      <w:r w:rsidR="00060992" w:rsidRPr="00654E3B">
        <w:rPr>
          <w:rFonts w:cs="Times New Roman"/>
          <w:sz w:val="24"/>
          <w:szCs w:val="24"/>
        </w:rPr>
        <w:t xml:space="preserve"> %</w:t>
      </w:r>
      <w:r w:rsidRPr="00654E3B">
        <w:rPr>
          <w:rFonts w:cs="Times New Roman"/>
          <w:sz w:val="24"/>
          <w:szCs w:val="24"/>
        </w:rPr>
        <w:t>, dok će zbog solidarnosti države s manjim BDP-em imati i niže ciljeve.</w:t>
      </w:r>
    </w:p>
    <w:p w:rsidR="007D4A93" w:rsidRPr="00654E3B" w:rsidRDefault="00C05AE6">
      <w:pPr>
        <w:rPr>
          <w:rFonts w:cs="Times New Roman"/>
          <w:sz w:val="24"/>
          <w:szCs w:val="24"/>
        </w:rPr>
      </w:pPr>
      <w:r w:rsidRPr="00654E3B">
        <w:rPr>
          <w:rFonts w:cs="Times New Roman"/>
          <w:sz w:val="24"/>
          <w:szCs w:val="24"/>
        </w:rPr>
        <w:t xml:space="preserve">Preliminarne analize izrađenih </w:t>
      </w:r>
      <w:r w:rsidR="00EF0BEB" w:rsidRPr="00654E3B">
        <w:rPr>
          <w:rFonts w:cs="Times New Roman"/>
          <w:sz w:val="24"/>
          <w:szCs w:val="24"/>
        </w:rPr>
        <w:t>scenarija pokazuju da Republika Hrvatska do 2030. godine može smanjiti emisije za 44,8</w:t>
      </w:r>
      <w:r w:rsidR="00060992" w:rsidRPr="00654E3B">
        <w:rPr>
          <w:rFonts w:cs="Times New Roman"/>
          <w:sz w:val="24"/>
          <w:szCs w:val="24"/>
        </w:rPr>
        <w:t xml:space="preserve"> %</w:t>
      </w:r>
      <w:r w:rsidR="00EF0BEB" w:rsidRPr="00654E3B">
        <w:rPr>
          <w:rFonts w:cs="Times New Roman"/>
          <w:sz w:val="24"/>
          <w:szCs w:val="24"/>
        </w:rPr>
        <w:t xml:space="preserve"> dok do 2050. godine mjerama smanjenja emisija u svim sektorima može postići smanjenje od 89,4</w:t>
      </w:r>
      <w:r w:rsidR="00060992" w:rsidRPr="00654E3B">
        <w:rPr>
          <w:rFonts w:cs="Times New Roman"/>
          <w:sz w:val="24"/>
          <w:szCs w:val="24"/>
        </w:rPr>
        <w:t xml:space="preserve"> %</w:t>
      </w:r>
      <w:r w:rsidR="00EF0BEB" w:rsidRPr="00654E3B">
        <w:rPr>
          <w:rFonts w:cs="Times New Roman"/>
          <w:sz w:val="24"/>
          <w:szCs w:val="24"/>
        </w:rPr>
        <w:t>. Preostali dio emisija od 10,6</w:t>
      </w:r>
      <w:r w:rsidR="00060992" w:rsidRPr="00654E3B">
        <w:rPr>
          <w:rFonts w:cs="Times New Roman"/>
          <w:sz w:val="24"/>
          <w:szCs w:val="24"/>
        </w:rPr>
        <w:t xml:space="preserve"> %</w:t>
      </w:r>
      <w:r w:rsidR="00EF0BEB" w:rsidRPr="00654E3B">
        <w:rPr>
          <w:rFonts w:cs="Times New Roman"/>
          <w:sz w:val="24"/>
          <w:szCs w:val="24"/>
        </w:rPr>
        <w:t xml:space="preserve"> do postizanja klimatske neutralnosti koji se neće moći smanjiti u pojedinim sektorima, ostvarit će se mjerama povećanja ponora (pošumljavanje, smanjenje izvoza drvne mase, smanjenje korištenje biomase za energetske svrhe, povećanjem proizvodnje namještaja i drugih drvnih proizvoda, agrošumarstvo) te tehnološkim mjerama hvatanja, korištenja odnosno skladištenja ugljika.</w:t>
      </w:r>
    </w:p>
    <w:p w:rsidR="00C05AE6" w:rsidRPr="00654E3B" w:rsidRDefault="00C05AE6" w:rsidP="00C05AE6">
      <w:pPr>
        <w:rPr>
          <w:rFonts w:cs="Times New Roman"/>
          <w:sz w:val="24"/>
          <w:szCs w:val="24"/>
        </w:rPr>
      </w:pPr>
      <w:r w:rsidRPr="00654E3B">
        <w:rPr>
          <w:rFonts w:cs="Times New Roman"/>
          <w:sz w:val="24"/>
          <w:szCs w:val="24"/>
        </w:rPr>
        <w:t>Te analize pokazuju da su pored velike reforme društva, potrebna značajna javna i privatna financijska sredstava. Primjerice samo za energetski sektor će do 2030. godine u scenariju postojećih mjera biti potrebno 103,5 mlrd. kuna dok će za scenarij klimatske neutralnosti biti potrebna ukupna ulaganja od 252,9 mlrd. kuna, odnosno dodatna ulaganja od 149,4 mlrd. kuna. Dodatna ulaganja u sektorima izvan energetike procijenjena su na 4,74 mlrd. kuna. Ukupna dodatna ulaganja u svim sektorima za postizanje ciljeva do 2030. godine, a s ciljem postizanja klimatske neutralnosti u 2050. godini procjenjuju se na 154,14 mlrd. kuna.</w:t>
      </w:r>
    </w:p>
    <w:p w:rsidR="007D4A93" w:rsidRPr="00654E3B" w:rsidRDefault="00EF0BEB">
      <w:pPr>
        <w:rPr>
          <w:rFonts w:cs="Times New Roman"/>
          <w:sz w:val="24"/>
          <w:szCs w:val="24"/>
        </w:rPr>
      </w:pPr>
      <w:r w:rsidRPr="00654E3B">
        <w:rPr>
          <w:rFonts w:cs="Times New Roman"/>
          <w:sz w:val="24"/>
          <w:szCs w:val="24"/>
        </w:rPr>
        <w:t xml:space="preserve">Republika Hrvatska će imati na raspolaganju značajna financijska sredstva međutim, potrebe za ulaganjem znatno nadilaze raspoloživa sredstva. Stoga će biti nužna međuresorna koordinacija te korištenje inovativnih financijskih instrumenata kako bi se s ograničenim </w:t>
      </w:r>
      <w:r w:rsidRPr="00654E3B">
        <w:rPr>
          <w:rFonts w:cs="Times New Roman"/>
          <w:sz w:val="24"/>
          <w:szCs w:val="24"/>
        </w:rPr>
        <w:lastRenderedPageBreak/>
        <w:t>financijskim sredstvima, koja su nam na raspolaganju</w:t>
      </w:r>
      <w:r w:rsidR="00CD0745" w:rsidRPr="00654E3B">
        <w:rPr>
          <w:rFonts w:cs="Times New Roman"/>
          <w:sz w:val="24"/>
          <w:szCs w:val="24"/>
        </w:rPr>
        <w:t>, privukla i privatna ulaganja te</w:t>
      </w:r>
      <w:r w:rsidRPr="00654E3B">
        <w:rPr>
          <w:rFonts w:cs="Times New Roman"/>
          <w:sz w:val="24"/>
          <w:szCs w:val="24"/>
        </w:rPr>
        <w:t xml:space="preserve"> postigao što veći, multiplikativni učinak u pogledu smanjenja emisija, obzirom da će svi sektori morati pridonijeti smanjivanju emisija kako bi Republika Hrvatska ispunila svoj udio smanjenja u EU cilju od -55</w:t>
      </w:r>
      <w:r w:rsidR="00060992" w:rsidRPr="00654E3B">
        <w:rPr>
          <w:rFonts w:cs="Times New Roman"/>
          <w:sz w:val="24"/>
          <w:szCs w:val="24"/>
        </w:rPr>
        <w:t xml:space="preserve"> %</w:t>
      </w:r>
      <w:r w:rsidRPr="00654E3B">
        <w:rPr>
          <w:rFonts w:cs="Times New Roman"/>
          <w:sz w:val="24"/>
          <w:szCs w:val="24"/>
        </w:rPr>
        <w:t xml:space="preserve"> do 2030. godine. </w:t>
      </w:r>
    </w:p>
    <w:p w:rsidR="007D4A93" w:rsidRPr="00654E3B" w:rsidRDefault="00EF0BEB">
      <w:pPr>
        <w:rPr>
          <w:rFonts w:cs="Times New Roman"/>
          <w:sz w:val="24"/>
          <w:szCs w:val="24"/>
        </w:rPr>
      </w:pPr>
      <w:r w:rsidRPr="00654E3B">
        <w:rPr>
          <w:rFonts w:cs="Times New Roman"/>
          <w:sz w:val="24"/>
          <w:szCs w:val="24"/>
        </w:rPr>
        <w:t xml:space="preserve">Podržavajući smjer klimatske politike EU, pri izradi petogodišnjeg Akcijskog plana za provedbu Niskougljične strategije uzet će se u obzir mjere za postizanje većih smanjenja emisija do 2030. godine. </w:t>
      </w:r>
    </w:p>
    <w:p w:rsidR="007D4A93" w:rsidRPr="00654E3B" w:rsidRDefault="00EF0BEB">
      <w:pPr>
        <w:rPr>
          <w:rFonts w:cs="Times New Roman"/>
        </w:rPr>
      </w:pPr>
      <w:r w:rsidRPr="00654E3B">
        <w:rPr>
          <w:rFonts w:cs="Times New Roman"/>
        </w:rPr>
        <w:br w:type="page"/>
      </w:r>
    </w:p>
    <w:p w:rsidR="007D4A93" w:rsidRPr="00654E3B" w:rsidRDefault="00EF0BEB">
      <w:pPr>
        <w:pStyle w:val="Heading1"/>
        <w:rPr>
          <w:rFonts w:ascii="Times New Roman" w:hAnsi="Times New Roman" w:cs="Times New Roman"/>
        </w:rPr>
      </w:pPr>
      <w:bookmarkStart w:id="342" w:name="_Toc69297796"/>
      <w:r w:rsidRPr="00654E3B">
        <w:rPr>
          <w:rFonts w:ascii="Times New Roman" w:hAnsi="Times New Roman" w:cs="Times New Roman"/>
        </w:rPr>
        <w:lastRenderedPageBreak/>
        <w:t>PRILOG I. - OPIS REFERENTNOG SCENARIJA (NUR)</w:t>
      </w:r>
      <w:bookmarkEnd w:id="342"/>
    </w:p>
    <w:p w:rsidR="007D4A93" w:rsidRPr="00654E3B" w:rsidRDefault="007D4A93">
      <w:pPr>
        <w:rPr>
          <w:rFonts w:cs="Times New Roman"/>
        </w:rPr>
      </w:pPr>
    </w:p>
    <w:p w:rsidR="007D4A93" w:rsidRPr="00654E3B" w:rsidRDefault="00EF0BEB">
      <w:pPr>
        <w:pStyle w:val="Heading2"/>
        <w:rPr>
          <w:rFonts w:ascii="Times New Roman" w:hAnsi="Times New Roman" w:cs="Times New Roman"/>
        </w:rPr>
      </w:pPr>
      <w:bookmarkStart w:id="343" w:name="_Toc436823716"/>
      <w:bookmarkStart w:id="344" w:name="_Toc434968018"/>
      <w:bookmarkStart w:id="345" w:name="_Toc69297797"/>
      <w:bookmarkStart w:id="346" w:name="_Toc20841328"/>
      <w:bookmarkStart w:id="347" w:name="_Toc20841434"/>
      <w:r w:rsidRPr="00654E3B">
        <w:rPr>
          <w:rFonts w:ascii="Times New Roman" w:hAnsi="Times New Roman" w:cs="Times New Roman"/>
        </w:rPr>
        <w:t xml:space="preserve">I.1. </w:t>
      </w:r>
      <w:r w:rsidRPr="00654E3B">
        <w:rPr>
          <w:rFonts w:ascii="Times New Roman" w:hAnsi="Times New Roman" w:cs="Times New Roman"/>
        </w:rPr>
        <w:tab/>
      </w:r>
      <w:bookmarkStart w:id="348" w:name="_Hlk43970318"/>
      <w:r w:rsidRPr="00654E3B">
        <w:rPr>
          <w:rFonts w:ascii="Times New Roman" w:hAnsi="Times New Roman" w:cs="Times New Roman"/>
        </w:rPr>
        <w:t>PROIZVODNJA, POTROŠNJA, UVOZ I IZVOZ ENERGIJE</w:t>
      </w:r>
      <w:bookmarkEnd w:id="343"/>
      <w:bookmarkEnd w:id="344"/>
      <w:bookmarkEnd w:id="345"/>
      <w:bookmarkEnd w:id="348"/>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Neposredna potrošnja energije</w:t>
      </w:r>
    </w:p>
    <w:p w:rsidR="007D4A93" w:rsidRPr="00654E3B" w:rsidRDefault="00EF0BEB">
      <w:pPr>
        <w:rPr>
          <w:rFonts w:cs="Times New Roman"/>
        </w:rPr>
      </w:pPr>
      <w:r w:rsidRPr="00654E3B">
        <w:rPr>
          <w:rFonts w:cs="Times New Roman"/>
        </w:rPr>
        <w:t>U Referentnom scenariju (NUR), neposredna potrošnja energije do 2030. godine raste za ukupno 5</w:t>
      </w:r>
      <w:r w:rsidR="00060992" w:rsidRPr="00654E3B">
        <w:rPr>
          <w:rFonts w:cs="Times New Roman"/>
        </w:rPr>
        <w:t xml:space="preserve"> %</w:t>
      </w:r>
      <w:r w:rsidRPr="00654E3B">
        <w:rPr>
          <w:rFonts w:cs="Times New Roman"/>
        </w:rPr>
        <w:t>, a zatim se smanjuje za 10</w:t>
      </w:r>
      <w:r w:rsidR="00060992" w:rsidRPr="00654E3B">
        <w:rPr>
          <w:rFonts w:cs="Times New Roman"/>
        </w:rPr>
        <w:t xml:space="preserve"> %</w:t>
      </w:r>
      <w:r w:rsidRPr="00654E3B">
        <w:rPr>
          <w:rFonts w:cs="Times New Roman"/>
        </w:rPr>
        <w:t xml:space="preserve"> do 2050. godine, promatrano u odnosu na razinu neposredne potrošnje energije u 2018. godini.</w:t>
      </w:r>
    </w:p>
    <w:p w:rsidR="007D4A93" w:rsidRPr="00654E3B" w:rsidRDefault="00EF0BEB">
      <w:pPr>
        <w:rPr>
          <w:rFonts w:cs="Times New Roman"/>
        </w:rPr>
      </w:pPr>
      <w:r w:rsidRPr="00654E3B">
        <w:rPr>
          <w:rFonts w:cs="Times New Roman"/>
        </w:rPr>
        <w:t>Mijenja se struktura utrošenih oblika energije. Očekuje se porast udjela električne energije, prirodnog plina i vodika, a smanjuje se udio krutih i tekućih fosilnih goriva. Ukupni udio fosilnih goriva opada na 54,0</w:t>
      </w:r>
      <w:r w:rsidR="00060992" w:rsidRPr="00654E3B">
        <w:rPr>
          <w:rFonts w:cs="Times New Roman"/>
        </w:rPr>
        <w:t xml:space="preserve"> %</w:t>
      </w:r>
      <w:r w:rsidRPr="00654E3B">
        <w:rPr>
          <w:rFonts w:cs="Times New Roman"/>
        </w:rPr>
        <w:t xml:space="preserve"> u 2030. godini i na 49,2</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Udio neposredne potrošnje energije u industriji zadržat će se na oko 17</w:t>
      </w:r>
      <w:r w:rsidR="00060992" w:rsidRPr="00654E3B">
        <w:rPr>
          <w:rFonts w:cs="Times New Roman"/>
        </w:rPr>
        <w:t xml:space="preserve"> %</w:t>
      </w:r>
      <w:r w:rsidRPr="00654E3B">
        <w:rPr>
          <w:rFonts w:cs="Times New Roman"/>
        </w:rPr>
        <w:t xml:space="preserve"> tijekom cijelog promatranog razdoblja. Očekuje se smanjenje udjela prometa te sektora opće potrošnje (kućanstva, usluge i poljoprivreda). </w:t>
      </w:r>
    </w:p>
    <w:p w:rsidR="007D4A93" w:rsidRPr="00654E3B" w:rsidRDefault="00EF0BEB">
      <w:pPr>
        <w:rPr>
          <w:rFonts w:cs="Times New Roman"/>
        </w:rPr>
      </w:pPr>
      <w:r w:rsidRPr="00654E3B">
        <w:rPr>
          <w:rFonts w:cs="Times New Roman"/>
        </w:rPr>
        <w:t>U tablici I.1-1 i tablici I.1-2 prikazane su projekcije neposredne potrošnje energije u NUR scenariju.</w:t>
      </w:r>
    </w:p>
    <w:p w:rsidR="007D4A93" w:rsidRPr="00654E3B" w:rsidRDefault="00EF0BEB">
      <w:pPr>
        <w:rPr>
          <w:rFonts w:cs="Times New Roman"/>
        </w:rPr>
      </w:pPr>
      <w:r w:rsidRPr="00654E3B">
        <w:rPr>
          <w:rFonts w:cs="Times New Roman"/>
          <w:i/>
        </w:rPr>
        <w:t>Tablica I.1-1: Neposredna potrošnja energije po gorivima, NUR</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57,3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45,0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32,4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1505,2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1363,9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1110,2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2596,2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2253,1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1653,1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1189,7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1269,8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1316,9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1507,5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1612,0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1717,1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Toplinska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243,0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250,3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245,4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0,004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0,2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15,9</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7109,7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6804,3</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6098,9</w:t>
            </w:r>
          </w:p>
        </w:tc>
      </w:tr>
    </w:tbl>
    <w:p w:rsidR="007D4A93" w:rsidRPr="00654E3B" w:rsidRDefault="00EF0BEB">
      <w:pPr>
        <w:rPr>
          <w:rFonts w:cs="Times New Roman"/>
          <w:i/>
        </w:rPr>
      </w:pPr>
      <w:r w:rsidRPr="00654E3B">
        <w:rPr>
          <w:rFonts w:cs="Times New Roman"/>
          <w:i/>
        </w:rPr>
        <w:t>Tablica I.1-2: Neposredna potrošnja energije po granama potrošnje, NUR</w:t>
      </w:r>
    </w:p>
    <w:tbl>
      <w:tblPr>
        <w:tblW w:w="0" w:type="auto"/>
        <w:tblLayout w:type="fixed"/>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Industrija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1186,7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1152,4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1077,8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Promet</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2319,7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2189,6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1870,2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Opća potrošnja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3603,2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3462,2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3151,0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Kućanstva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2447,6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2267,6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1978,0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Uslužni sektor</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950,0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1000,0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995,7</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Poljoprivreda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205,6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194,6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177,3</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7109,7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6804,3</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6098,9</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lastRenderedPageBreak/>
        <w:t>Ukupna potrošnja energije</w:t>
      </w:r>
    </w:p>
    <w:p w:rsidR="007D4A93" w:rsidRPr="00654E3B" w:rsidRDefault="00EF0BEB">
      <w:pPr>
        <w:rPr>
          <w:rFonts w:cs="Times New Roman"/>
        </w:rPr>
      </w:pPr>
      <w:r w:rsidRPr="00654E3B">
        <w:rPr>
          <w:rFonts w:cs="Times New Roman"/>
        </w:rPr>
        <w:t>U NUR scenariju ukupne potrebe za energijom rastu do 2030. godine, a zatim opadaju do 2050. godine. Ukupna potrošnja u 2030. godini je za oko 4</w:t>
      </w:r>
      <w:r w:rsidR="00060992" w:rsidRPr="00654E3B">
        <w:rPr>
          <w:rFonts w:cs="Times New Roman"/>
        </w:rPr>
        <w:t xml:space="preserve"> %</w:t>
      </w:r>
      <w:r w:rsidRPr="00654E3B">
        <w:rPr>
          <w:rFonts w:cs="Times New Roman"/>
        </w:rPr>
        <w:t xml:space="preserve"> veća u odnosu na današnju razinu, dok su u 2050. ukupne potrebe za energijom manje za 8</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U strukturi oblika energije udio krutih i tekućih fosilnih goriva  te električne energije opada, a raste udio prirodnog plina i vodika. Najveća promjena se očekuje na strani OIE čiji udio raste s 21,4</w:t>
      </w:r>
      <w:r w:rsidR="00060992" w:rsidRPr="00654E3B">
        <w:rPr>
          <w:rFonts w:cs="Times New Roman"/>
        </w:rPr>
        <w:t xml:space="preserve"> %</w:t>
      </w:r>
      <w:r w:rsidRPr="00654E3B">
        <w:rPr>
          <w:rFonts w:cs="Times New Roman"/>
        </w:rPr>
        <w:t xml:space="preserve"> na početku razdoblja na 35,7</w:t>
      </w:r>
      <w:r w:rsidR="00060992" w:rsidRPr="00654E3B">
        <w:rPr>
          <w:rFonts w:cs="Times New Roman"/>
        </w:rPr>
        <w:t xml:space="preserve"> %</w:t>
      </w:r>
      <w:r w:rsidRPr="00654E3B">
        <w:rPr>
          <w:rFonts w:cs="Times New Roman"/>
        </w:rPr>
        <w:t xml:space="preserve"> u 2030. godini i na 40,9</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U tablici I.1-3 prikazane su projekcije ukupne potrošnje energije u NUR scenariju.</w:t>
      </w:r>
    </w:p>
    <w:p w:rsidR="007D4A93" w:rsidRPr="00654E3B" w:rsidRDefault="00EF0BEB">
      <w:pPr>
        <w:rPr>
          <w:rFonts w:cs="Times New Roman"/>
          <w:i/>
        </w:rPr>
      </w:pPr>
      <w:r w:rsidRPr="00654E3B">
        <w:rPr>
          <w:rFonts w:cs="Times New Roman"/>
          <w:i/>
        </w:rPr>
        <w:t>Tablica I.1-3: Ukupna potrošnja energije po gorivima, NUR</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253,3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46,5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3203,1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2797,5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2192,4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2446,8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2696,4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2621,2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2936,3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3269,5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3351,9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334,6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130,6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27,1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15,9</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9184,7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8950,7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8250,5</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Obnovljivi izvori energije</w:t>
      </w:r>
    </w:p>
    <w:p w:rsidR="007D4A93" w:rsidRPr="00654E3B" w:rsidRDefault="00EF0BEB">
      <w:pPr>
        <w:rPr>
          <w:rFonts w:cs="Times New Roman"/>
        </w:rPr>
      </w:pPr>
      <w:r w:rsidRPr="00654E3B">
        <w:rPr>
          <w:rFonts w:cs="Times New Roman"/>
        </w:rPr>
        <w:t>U NUR scenariju raste korištenje energije iz obnovljivih izvora kao i njihova diversifikacija. Do 2030. godine korištenje obnovljivih izvora energije se povećava za 55</w:t>
      </w:r>
      <w:r w:rsidR="00060992" w:rsidRPr="00654E3B">
        <w:rPr>
          <w:rFonts w:cs="Times New Roman"/>
        </w:rPr>
        <w:t xml:space="preserve"> %</w:t>
      </w:r>
      <w:r w:rsidRPr="00654E3B">
        <w:rPr>
          <w:rFonts w:cs="Times New Roman"/>
        </w:rPr>
        <w:t>, a do 2050. godine za 77</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U tablici I.1-4 prikazane su projekcije potrošnje obnovljivih izvora energije u NUR scenariju.</w:t>
      </w:r>
    </w:p>
    <w:p w:rsidR="007D4A93" w:rsidRPr="00654E3B" w:rsidRDefault="00EF0BEB">
      <w:pPr>
        <w:rPr>
          <w:rFonts w:cs="Times New Roman"/>
          <w:i/>
        </w:rPr>
      </w:pPr>
      <w:r w:rsidRPr="00654E3B">
        <w:rPr>
          <w:rFonts w:cs="Times New Roman"/>
          <w:i/>
        </w:rPr>
        <w:t xml:space="preserve">Tablica I.1-4: Projekcije potrošnje obnovljivih izvora energije u NUR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Geotermalna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208,5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374,1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446,3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Biogoriva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257,9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304,5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305,9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Bioplin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78,1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78,4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24,5</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Kruta biomasa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1417,9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1284,6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1066,1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Energija Sunca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84,4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184,2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285,7</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Energija vjetra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382,8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521,1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Hidroenergija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619,3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650,8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702,3</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2916,4</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3259,4</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3351,9</w:t>
            </w:r>
          </w:p>
        </w:tc>
      </w:tr>
    </w:tbl>
    <w:p w:rsidR="007D4A93" w:rsidRPr="00654E3B" w:rsidRDefault="007D4A93">
      <w:pPr>
        <w:rPr>
          <w:rFonts w:cs="Times New Roman"/>
          <w:u w:val="single"/>
        </w:rPr>
      </w:pPr>
    </w:p>
    <w:p w:rsidR="007D4A93" w:rsidRPr="00654E3B" w:rsidRDefault="00EF0BEB">
      <w:pPr>
        <w:keepNext/>
        <w:rPr>
          <w:rFonts w:cs="Times New Roman"/>
          <w:u w:val="single"/>
        </w:rPr>
      </w:pPr>
      <w:r w:rsidRPr="00654E3B">
        <w:rPr>
          <w:rFonts w:cs="Times New Roman"/>
          <w:u w:val="single"/>
        </w:rPr>
        <w:lastRenderedPageBreak/>
        <w:t>Proizvodnja električne energije i topline</w:t>
      </w:r>
    </w:p>
    <w:p w:rsidR="007D4A93" w:rsidRPr="00654E3B" w:rsidRDefault="00EF0BEB">
      <w:pPr>
        <w:keepNext/>
        <w:rPr>
          <w:rFonts w:cs="Times New Roman"/>
        </w:rPr>
      </w:pPr>
      <w:r w:rsidRPr="00654E3B">
        <w:rPr>
          <w:rFonts w:cs="Times New Roman"/>
        </w:rPr>
        <w:t>U NUR scenariju očekuje se povećanje domaće proizvodnje i značajna promjena u strukturi proizvodnje električne energije. Povećava se udio obnovljivih izvora energije, a smanjuje udio proizvodnje termoelektrana (općenito – termoelektrane, javne toplane i industrijske kogeneracije). Do kraja promatranog razdoblja sve potrebne količine električne energije mogle bi se proizvesti iz domaćih elektrana, ali je moguća razmjena sa susjednim sustavima (tj. neto uvoz je jednak nuli).</w:t>
      </w:r>
    </w:p>
    <w:p w:rsidR="007D4A93" w:rsidRPr="00654E3B" w:rsidRDefault="00EF0BEB">
      <w:pPr>
        <w:rPr>
          <w:rFonts w:cs="Times New Roman"/>
        </w:rPr>
      </w:pPr>
      <w:r w:rsidRPr="00654E3B">
        <w:rPr>
          <w:rFonts w:cs="Times New Roman"/>
        </w:rPr>
        <w:t>U NUR scenariju ukupna snaga elektrana raste na 6,0 GW u 2030. godini, odnosno na 8,3 GW u 2050. godini. Izgradnja novih elektrana u ovom scenariju je najmanja među razmatranim scenarijima s obzirom da ovaj scenarij ima najsporiji porast potrošnje električne energije i pretpostavljena brzina razvoja obnovljivih izvora energije je sporija. Prosječno je godišnje potrebno izgraditi oko 200 MW novih elektrana.</w:t>
      </w:r>
    </w:p>
    <w:p w:rsidR="007D4A93" w:rsidRPr="00654E3B" w:rsidRDefault="00EF0BEB">
      <w:pPr>
        <w:rPr>
          <w:rFonts w:cs="Times New Roman"/>
        </w:rPr>
      </w:pPr>
      <w:r w:rsidRPr="00654E3B">
        <w:rPr>
          <w:rFonts w:cs="Times New Roman"/>
        </w:rPr>
        <w:t>U tablici I.1-5 prikazane su projekcije proizvodnje električne energije u NUR scenariju.</w:t>
      </w:r>
    </w:p>
    <w:p w:rsidR="007D4A93" w:rsidRPr="00654E3B" w:rsidRDefault="00EF0BEB">
      <w:pPr>
        <w:rPr>
          <w:rFonts w:cs="Times New Roman"/>
          <w:i/>
        </w:rPr>
      </w:pPr>
      <w:r w:rsidRPr="00654E3B">
        <w:rPr>
          <w:rFonts w:cs="Times New Roman"/>
          <w:i/>
        </w:rPr>
        <w:t xml:space="preserve">Tablica I.1-5: Projekcije proizvodnje električne energije u NUR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Industrijske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332,7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262,1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Javne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3523,4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3577,1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3164,1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Termoelektrane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1426,8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2084,9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2639,0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Geotermalne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196,9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365,8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427,8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Sunčane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670,8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1643,4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2564,6</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Vjetroelektrane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3026,8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4452,4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6060,0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Hidroelektrane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7201,9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7684,9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8167,8</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16379,5</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20119,1</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23285,4</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Proizvodnja i uvoz energije</w:t>
      </w:r>
    </w:p>
    <w:p w:rsidR="007D4A93" w:rsidRPr="00654E3B" w:rsidRDefault="00EF0BEB">
      <w:pPr>
        <w:rPr>
          <w:rFonts w:cs="Times New Roman"/>
        </w:rPr>
      </w:pPr>
      <w:r w:rsidRPr="00654E3B">
        <w:rPr>
          <w:rFonts w:cs="Times New Roman"/>
        </w:rPr>
        <w:t>U NUR scenariju udio domaće proizvodnje energije u ukupnoj potrošnji energije opada prema kraju razdoblja zbog snažnog opadanja proizvodnje iz domaćih naftnih i plinskih ležišta, kao i sporijeg povećanja proizvodnje iz obnovljivih izvora energije.</w:t>
      </w:r>
    </w:p>
    <w:p w:rsidR="007D4A93" w:rsidRPr="00654E3B" w:rsidRDefault="00EF0BEB">
      <w:pPr>
        <w:rPr>
          <w:rFonts w:cs="Times New Roman"/>
        </w:rPr>
      </w:pPr>
      <w:r w:rsidRPr="00654E3B">
        <w:rPr>
          <w:rFonts w:cs="Times New Roman"/>
        </w:rPr>
        <w:t>U tablici I.1-6 prikazane su projekcije proizvodnje i uvoza energije u NUR scenariju.</w:t>
      </w:r>
    </w:p>
    <w:p w:rsidR="007D4A93" w:rsidRPr="00654E3B" w:rsidRDefault="00EF0BEB">
      <w:pPr>
        <w:rPr>
          <w:rFonts w:cs="Times New Roman"/>
          <w:i/>
        </w:rPr>
      </w:pPr>
      <w:r w:rsidRPr="00654E3B">
        <w:rPr>
          <w:rFonts w:cs="Times New Roman"/>
          <w:i/>
        </w:rPr>
        <w:t xml:space="preserve">Tablica I.1-6: Projekcije proizvodnje i uvoza energije u NUR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Domaća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5020,6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4692,2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3750,6</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Uvozna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4164,2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4258,5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4445,6</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9184,9</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8950,7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8196,3</w:t>
            </w:r>
          </w:p>
        </w:tc>
      </w:tr>
    </w:tbl>
    <w:p w:rsidR="007D4A93" w:rsidRPr="00654E3B" w:rsidRDefault="00EF0BEB">
      <w:pPr>
        <w:pStyle w:val="Heading2"/>
        <w:rPr>
          <w:rFonts w:ascii="Times New Roman" w:hAnsi="Times New Roman" w:cs="Times New Roman"/>
        </w:rPr>
      </w:pPr>
      <w:bookmarkStart w:id="349" w:name="_Toc436823717"/>
      <w:bookmarkStart w:id="350" w:name="_Toc434968019"/>
      <w:bookmarkStart w:id="351" w:name="_Toc69297798"/>
      <w:r w:rsidRPr="00654E3B">
        <w:rPr>
          <w:rFonts w:ascii="Times New Roman" w:hAnsi="Times New Roman" w:cs="Times New Roman"/>
        </w:rPr>
        <w:lastRenderedPageBreak/>
        <w:t xml:space="preserve">I.2. </w:t>
      </w:r>
      <w:r w:rsidRPr="00654E3B">
        <w:rPr>
          <w:rFonts w:ascii="Times New Roman" w:hAnsi="Times New Roman" w:cs="Times New Roman"/>
        </w:rPr>
        <w:tab/>
        <w:t>INDUSTRIJA</w:t>
      </w:r>
      <w:bookmarkEnd w:id="349"/>
      <w:bookmarkEnd w:id="350"/>
      <w:bookmarkEnd w:id="351"/>
    </w:p>
    <w:p w:rsidR="007D4A93" w:rsidRPr="00654E3B" w:rsidRDefault="007D4A93">
      <w:pPr>
        <w:keepNext/>
        <w:rPr>
          <w:rFonts w:cs="Times New Roman"/>
        </w:rPr>
      </w:pPr>
    </w:p>
    <w:p w:rsidR="007D4A93" w:rsidRPr="00654E3B" w:rsidRDefault="00EF0BEB">
      <w:pPr>
        <w:keepNext/>
        <w:rPr>
          <w:rFonts w:eastAsia="MS Mincho" w:cs="Times New Roman"/>
          <w:szCs w:val="24"/>
          <w:lang w:eastAsia="ja-JP"/>
        </w:rPr>
      </w:pPr>
      <w:r w:rsidRPr="00654E3B">
        <w:rPr>
          <w:rFonts w:eastAsia="MS Mincho" w:cs="Times New Roman"/>
          <w:szCs w:val="24"/>
          <w:lang w:eastAsia="ja-JP"/>
        </w:rPr>
        <w:t xml:space="preserve">Sektor industrije uključuje emisije stakleničkih plinova od izgaranja goriva i procesne emisije u prerađivačkoj industriji te emisije uslijed uporabe fluoriranih stakleničkih plinova. </w:t>
      </w:r>
    </w:p>
    <w:p w:rsidR="007D4A93" w:rsidRPr="00654E3B" w:rsidRDefault="00EF0BEB">
      <w:pPr>
        <w:keepNext/>
        <w:rPr>
          <w:rFonts w:cs="Times New Roman"/>
          <w:u w:val="single"/>
        </w:rPr>
      </w:pPr>
      <w:r w:rsidRPr="00654E3B">
        <w:rPr>
          <w:rFonts w:cs="Times New Roman"/>
          <w:u w:val="single"/>
        </w:rPr>
        <w:t>Prerađivačka industrija</w:t>
      </w:r>
    </w:p>
    <w:p w:rsidR="007D4A93" w:rsidRPr="00654E3B" w:rsidRDefault="00EF0BEB">
      <w:pPr>
        <w:keepNext/>
        <w:rPr>
          <w:rFonts w:eastAsia="MS Mincho" w:cs="Times New Roman"/>
          <w:szCs w:val="24"/>
          <w:lang w:eastAsia="ja-JP"/>
        </w:rPr>
      </w:pPr>
      <w:r w:rsidRPr="00654E3B">
        <w:rPr>
          <w:rFonts w:eastAsia="MS Mincho" w:cs="Times New Roman"/>
          <w:szCs w:val="24"/>
          <w:lang w:eastAsia="ja-JP"/>
        </w:rPr>
        <w:t>Projekcije su provedene na temelju očekivanog razvoja pojedinih industrijskih grana koji uključuje ciljeve do 2050. godine. Uključene su sljedeće ključne pretpostavke:</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 xml:space="preserve">Projekcije polaze od stanja i projekcija makroekonomskih parametara i rezultata sektorskih analiza. </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Industrijska ekonomska aktivnost prema industrijskim granama procijenjena je temeljem sektorskih analiza o planiranoj proizvodnji pojedinih industrijskih grana te projiciranih makroekonomskih pokazatelja o bruto dodanoj vrijednosti po industrijskim granama.</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Projekcije emisija iz potrošnje energije u prerađivačkoj industriji i graditeljstvu podijeljene su prema sektorima, sukladno IPCC metodologiji. Procesne emisije iz gospodarskih djelatnosti koje su, sukladno IPCC metodologiji, uključene u sektor industrijskih procesa i upotrebe proizvoda procijenjene su temeljem detaljnih sektorskih projekcija proizvodnje cementa, amonijaka i dušične kiseline te projiciranih makroekonomskih pokazatelja o bruto dodanoj vrijednosti po ostalim industrijskim granama, godišnjoj stopi porasta bruto društvenog proizvoda i smanjenju broja stanovnika.</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Primjenu mjera definiranih strateškim i planskim sektorskim dokumentima uključenima u poslovnu politiku većih proizvođača, što je uvjetovano zahtjevima tržišta, zakonskim i podzakonskim propisima te zahtjevima primjene najboljih raspoloživih tehnika u proizvodnim procesima.</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 xml:space="preserve">U projekcije su uključene pretpostavke da neće biti instalirani novi kapaciteti u industriji te da će proizvodnja do 2050. dosegnuti maksimalne vrijednosti. </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Procesne emisije CO</w:t>
      </w:r>
      <w:r w:rsidRPr="00654E3B">
        <w:rPr>
          <w:rFonts w:eastAsia="MS Mincho" w:cs="Times New Roman"/>
          <w:szCs w:val="24"/>
          <w:vertAlign w:val="subscript"/>
          <w:lang w:eastAsia="ja-JP"/>
        </w:rPr>
        <w:t>2</w:t>
      </w:r>
      <w:r w:rsidRPr="00654E3B">
        <w:rPr>
          <w:rFonts w:eastAsia="MS Mincho" w:cs="Times New Roman"/>
          <w:szCs w:val="24"/>
          <w:lang w:eastAsia="ja-JP"/>
        </w:rPr>
        <w:t xml:space="preserve"> potječu i od emisija NMHOS koji doprinosi emisiji CO</w:t>
      </w:r>
      <w:r w:rsidRPr="00654E3B">
        <w:rPr>
          <w:rFonts w:eastAsia="MS Mincho" w:cs="Times New Roman"/>
          <w:szCs w:val="24"/>
          <w:vertAlign w:val="subscript"/>
          <w:lang w:eastAsia="ja-JP"/>
        </w:rPr>
        <w:t>2</w:t>
      </w:r>
      <w:r w:rsidRPr="00654E3B">
        <w:rPr>
          <w:rFonts w:eastAsia="MS Mincho" w:cs="Times New Roman"/>
          <w:szCs w:val="24"/>
          <w:lang w:eastAsia="ja-JP"/>
        </w:rPr>
        <w:t>eq. Projekcije emisija NMHOS za razdoblje do 2050. godine izračunavaju se na temelju emisija iz zadnje povijesne godine i pretpostavljajući povezanost s kretanjem stanovništva ili ekonomskim rastom odnosno nastavkom trenda, ovisno o kategorijama.</w:t>
      </w:r>
    </w:p>
    <w:p w:rsidR="007D4A93" w:rsidRPr="00654E3B" w:rsidRDefault="00EF0BEB">
      <w:pPr>
        <w:rPr>
          <w:rFonts w:cs="Times New Roman"/>
          <w:u w:val="single"/>
        </w:rPr>
      </w:pPr>
      <w:r w:rsidRPr="00654E3B">
        <w:rPr>
          <w:rFonts w:cs="Times New Roman"/>
          <w:u w:val="single"/>
        </w:rPr>
        <w:t>Uporaba zamjenskih tvari za tvari koje oštećuju ozonski sloj</w:t>
      </w:r>
    </w:p>
    <w:p w:rsidR="007D4A93" w:rsidRPr="00654E3B" w:rsidRDefault="00EF0BEB">
      <w:pPr>
        <w:rPr>
          <w:rFonts w:cs="Times New Roman"/>
        </w:rPr>
      </w:pPr>
      <w:r w:rsidRPr="00654E3B">
        <w:rPr>
          <w:rFonts w:cs="Times New Roman"/>
        </w:rPr>
        <w:t>NUR scenarij uključuje postojeći pravni okvir Republike Hrvatske i usvojeni pravni okvir EU iz područja uporabe fluoriranih stakleničkih plinova za razdoblje do 2030. godine. Za razdoblje nakon 2030. godine korištene su pretpostavke za primjenu mjera koje bi se ostvarile bez politika ublažavanja klimatskih promjena, temeljem projekcija broja stanovnika, broja vozila te stručnih procjena temeljenih na analizi grupe zemalja sličnih nacionalnih karakteristika.</w:t>
      </w:r>
    </w:p>
    <w:p w:rsidR="007D4A93" w:rsidRPr="00654E3B" w:rsidRDefault="00EF0BEB">
      <w:pPr>
        <w:spacing w:line="240" w:lineRule="auto"/>
        <w:rPr>
          <w:rFonts w:cs="Times New Roman"/>
        </w:rPr>
      </w:pPr>
      <w:r w:rsidRPr="00654E3B">
        <w:rPr>
          <w:rFonts w:cs="Times New Roman"/>
        </w:rPr>
        <w:t>U izradi projekcija uključene su pretpostavke o ograničavanju i smanjenju uporabe fluoriranih stakleničkih plinova, sukladno odredbama Uredbe (EU) br. 517/2014 i Direktive 2006/40/EZ:</w:t>
      </w:r>
    </w:p>
    <w:p w:rsidR="007D4A93" w:rsidRPr="00654E3B" w:rsidRDefault="00EF0BEB" w:rsidP="000C6795">
      <w:pPr>
        <w:pStyle w:val="ListParagraph"/>
        <w:numPr>
          <w:ilvl w:val="0"/>
          <w:numId w:val="59"/>
        </w:numPr>
        <w:spacing w:line="240" w:lineRule="auto"/>
        <w:rPr>
          <w:rFonts w:cs="Times New Roman"/>
        </w:rPr>
      </w:pPr>
      <w:r w:rsidRPr="00654E3B">
        <w:rPr>
          <w:rFonts w:cs="Times New Roman"/>
        </w:rPr>
        <w:t>Ograničavanje količine fluorougljikovodika dostupnih na tržištu do 2030. godine na 21</w:t>
      </w:r>
      <w:r w:rsidR="00060992" w:rsidRPr="00654E3B">
        <w:rPr>
          <w:rFonts w:cs="Times New Roman"/>
        </w:rPr>
        <w:t xml:space="preserve"> %</w:t>
      </w:r>
      <w:r w:rsidRPr="00654E3B">
        <w:rPr>
          <w:rFonts w:cs="Times New Roman"/>
        </w:rPr>
        <w:t xml:space="preserve"> od ukupne količine fluorougljikovodika koji su stavljeni na tržište tijekom referentnog razdoblja od 2009. do 2012. godine.</w:t>
      </w:r>
    </w:p>
    <w:p w:rsidR="007D4A93" w:rsidRPr="00654E3B" w:rsidRDefault="00EF0BEB" w:rsidP="000C6795">
      <w:pPr>
        <w:pStyle w:val="ListParagraph"/>
        <w:numPr>
          <w:ilvl w:val="0"/>
          <w:numId w:val="59"/>
        </w:numPr>
        <w:spacing w:line="240" w:lineRule="auto"/>
        <w:rPr>
          <w:rFonts w:cs="Times New Roman"/>
        </w:rPr>
      </w:pPr>
      <w:r w:rsidRPr="00654E3B">
        <w:rPr>
          <w:rFonts w:cs="Times New Roman"/>
        </w:rPr>
        <w:t>Ograničavanje mogućnosti naknadne ugradnje klimatizacijske opreme oblikovane da sadrži fluorirane stakleničke plinove s potencijalom globalnog zagrijavanja iznad 150 u motorna vozila i zabrana punjenja klimatizacijske opreme tim plinovima.</w:t>
      </w:r>
    </w:p>
    <w:p w:rsidR="007D4A93" w:rsidRPr="00654E3B" w:rsidRDefault="007D4A93">
      <w:pPr>
        <w:rPr>
          <w:rFonts w:eastAsia="Calibri Light" w:cs="Times New Roman"/>
          <w:b/>
          <w:bCs/>
          <w:sz w:val="28"/>
          <w:szCs w:val="28"/>
        </w:rPr>
      </w:pPr>
      <w:bookmarkStart w:id="352" w:name="_Toc436823718"/>
      <w:bookmarkStart w:id="353" w:name="_Toc434968020"/>
    </w:p>
    <w:p w:rsidR="007D4A93" w:rsidRPr="00654E3B" w:rsidRDefault="00EF0BEB">
      <w:pPr>
        <w:pStyle w:val="Heading2"/>
        <w:rPr>
          <w:rFonts w:ascii="Times New Roman" w:hAnsi="Times New Roman" w:cs="Times New Roman"/>
        </w:rPr>
      </w:pPr>
      <w:bookmarkStart w:id="354" w:name="_Toc69297799"/>
      <w:r w:rsidRPr="00654E3B">
        <w:rPr>
          <w:rFonts w:ascii="Times New Roman" w:hAnsi="Times New Roman" w:cs="Times New Roman"/>
        </w:rPr>
        <w:lastRenderedPageBreak/>
        <w:t xml:space="preserve">I.3. </w:t>
      </w:r>
      <w:r w:rsidRPr="00654E3B">
        <w:rPr>
          <w:rFonts w:ascii="Times New Roman" w:hAnsi="Times New Roman" w:cs="Times New Roman"/>
        </w:rPr>
        <w:tab/>
        <w:t>PROMET</w:t>
      </w:r>
      <w:bookmarkEnd w:id="352"/>
      <w:bookmarkEnd w:id="353"/>
      <w:bookmarkEnd w:id="354"/>
    </w:p>
    <w:p w:rsidR="007D4A93" w:rsidRPr="00654E3B" w:rsidRDefault="007D4A93">
      <w:pPr>
        <w:keepNext/>
        <w:rPr>
          <w:rFonts w:cs="Times New Roman"/>
        </w:rPr>
      </w:pPr>
    </w:p>
    <w:p w:rsidR="007D4A93" w:rsidRPr="00654E3B" w:rsidRDefault="00EF0BEB">
      <w:pPr>
        <w:keepNext/>
        <w:rPr>
          <w:rFonts w:cs="Times New Roman"/>
        </w:rPr>
      </w:pPr>
      <w:r w:rsidRPr="00654E3B">
        <w:rPr>
          <w:rFonts w:cs="Times New Roman"/>
        </w:rPr>
        <w:t>NUR scenarij podrazumijeva strukturalne promjene koje su rezultat isključivo postojećih mjera energetske učinkovitosti i dekarbonizacije u sektoru prometa. Osim postojećih mjera, predmetni scenarij u obzir uzima i napredak u kontekstu energetske intenzivnosti svake pojedine tehnologije.</w:t>
      </w:r>
    </w:p>
    <w:p w:rsidR="007D4A93" w:rsidRPr="00654E3B" w:rsidRDefault="00EF0BEB">
      <w:pPr>
        <w:keepNext/>
        <w:rPr>
          <w:rFonts w:cs="Times New Roman"/>
        </w:rPr>
      </w:pPr>
      <w:r w:rsidRPr="00654E3B">
        <w:rPr>
          <w:rFonts w:cs="Times New Roman"/>
        </w:rPr>
        <w:t>Uključene su sljedeće pretpostavke:</w:t>
      </w:r>
    </w:p>
    <w:p w:rsidR="007D4A93" w:rsidRPr="00654E3B" w:rsidRDefault="00EF0BEB" w:rsidP="000C6795">
      <w:pPr>
        <w:pStyle w:val="ListParagraph"/>
        <w:numPr>
          <w:ilvl w:val="0"/>
          <w:numId w:val="60"/>
        </w:numPr>
        <w:rPr>
          <w:rFonts w:cs="Times New Roman"/>
        </w:rPr>
      </w:pPr>
      <w:r w:rsidRPr="00654E3B">
        <w:rPr>
          <w:rFonts w:cs="Times New Roman"/>
        </w:rPr>
        <w:t>porast udjela električnih vozila na 11</w:t>
      </w:r>
      <w:r w:rsidR="00060992" w:rsidRPr="00654E3B">
        <w:rPr>
          <w:rFonts w:cs="Times New Roman"/>
        </w:rPr>
        <w:t xml:space="preserve"> %</w:t>
      </w:r>
      <w:r w:rsidRPr="00654E3B">
        <w:rPr>
          <w:rFonts w:cs="Times New Roman"/>
        </w:rPr>
        <w:t xml:space="preserve"> od ukupnog broja osobnih vozila u 2050. godini, odnosno 243.600 električnih vozila u 2050. godini</w:t>
      </w:r>
    </w:p>
    <w:p w:rsidR="007D4A93" w:rsidRPr="00654E3B" w:rsidRDefault="00EF0BEB" w:rsidP="000C6795">
      <w:pPr>
        <w:pStyle w:val="ListParagraph"/>
        <w:numPr>
          <w:ilvl w:val="0"/>
          <w:numId w:val="60"/>
        </w:numPr>
        <w:rPr>
          <w:rFonts w:cs="Times New Roman"/>
        </w:rPr>
      </w:pPr>
      <w:r w:rsidRPr="00654E3B">
        <w:rPr>
          <w:rFonts w:cs="Times New Roman"/>
        </w:rPr>
        <w:t>porast broja hibridnih i plug-in hibridnih vozila na 14,6</w:t>
      </w:r>
      <w:r w:rsidR="00060992" w:rsidRPr="00654E3B">
        <w:rPr>
          <w:rFonts w:cs="Times New Roman"/>
        </w:rPr>
        <w:t xml:space="preserve"> %</w:t>
      </w:r>
      <w:r w:rsidRPr="00654E3B">
        <w:rPr>
          <w:rFonts w:cs="Times New Roman"/>
        </w:rPr>
        <w:t xml:space="preserve"> od ukupnog broja osobnih vozila do 2050. godine, čime bi broj hibridnih i plug-in hibridnih vozila u 2050. godini iznosio ukupno 320.000 </w:t>
      </w:r>
    </w:p>
    <w:p w:rsidR="007D4A93" w:rsidRPr="00654E3B" w:rsidRDefault="00EF0BEB" w:rsidP="000C6795">
      <w:pPr>
        <w:pStyle w:val="ListParagraph"/>
        <w:numPr>
          <w:ilvl w:val="0"/>
          <w:numId w:val="60"/>
        </w:numPr>
        <w:rPr>
          <w:rFonts w:cs="Times New Roman"/>
        </w:rPr>
      </w:pPr>
      <w:r w:rsidRPr="00654E3B">
        <w:rPr>
          <w:rFonts w:cs="Times New Roman"/>
        </w:rPr>
        <w:t>porast broja vozila koja koriste vodik nakon 2030. godine na 1,4</w:t>
      </w:r>
      <w:r w:rsidR="00060992" w:rsidRPr="00654E3B">
        <w:rPr>
          <w:rFonts w:cs="Times New Roman"/>
        </w:rPr>
        <w:t xml:space="preserve"> %</w:t>
      </w:r>
      <w:r w:rsidRPr="00654E3B">
        <w:rPr>
          <w:rFonts w:cs="Times New Roman"/>
        </w:rPr>
        <w:t xml:space="preserve"> od ukupnog broja osobnih vozila, odnosno na oko 31.000 vozila u 2050. godini</w:t>
      </w:r>
    </w:p>
    <w:p w:rsidR="007D4A93" w:rsidRPr="00654E3B" w:rsidRDefault="00EF0BEB" w:rsidP="000C6795">
      <w:pPr>
        <w:pStyle w:val="ListParagraph"/>
        <w:numPr>
          <w:ilvl w:val="0"/>
          <w:numId w:val="60"/>
        </w:numPr>
        <w:rPr>
          <w:rFonts w:cs="Times New Roman"/>
        </w:rPr>
      </w:pPr>
      <w:r w:rsidRPr="00654E3B">
        <w:rPr>
          <w:rFonts w:cs="Times New Roman"/>
        </w:rPr>
        <w:t>porast udjela biogoriva u benzinskim i dizelskim gorivima na prosječnih 8</w:t>
      </w:r>
      <w:r w:rsidR="00060992" w:rsidRPr="00654E3B">
        <w:rPr>
          <w:rFonts w:cs="Times New Roman"/>
        </w:rPr>
        <w:t xml:space="preserve"> %</w:t>
      </w:r>
      <w:r w:rsidRPr="00654E3B">
        <w:rPr>
          <w:rFonts w:cs="Times New Roman"/>
        </w:rPr>
        <w:t xml:space="preserve"> do 2050. godine</w:t>
      </w:r>
    </w:p>
    <w:p w:rsidR="007D4A93" w:rsidRPr="00654E3B" w:rsidRDefault="00EF0BEB" w:rsidP="000C6795">
      <w:pPr>
        <w:pStyle w:val="ListParagraph"/>
        <w:numPr>
          <w:ilvl w:val="0"/>
          <w:numId w:val="60"/>
        </w:numPr>
        <w:rPr>
          <w:rFonts w:cs="Times New Roman"/>
        </w:rPr>
      </w:pPr>
      <w:r w:rsidRPr="00654E3B">
        <w:rPr>
          <w:rFonts w:cs="Times New Roman"/>
        </w:rPr>
        <w:t>razvoj uspješno promicanje integriranog gradskog prometa</w:t>
      </w:r>
    </w:p>
    <w:p w:rsidR="007D4A93" w:rsidRPr="00654E3B" w:rsidRDefault="00EF0BEB" w:rsidP="000C6795">
      <w:pPr>
        <w:pStyle w:val="ListParagraph"/>
        <w:numPr>
          <w:ilvl w:val="0"/>
          <w:numId w:val="60"/>
        </w:numPr>
        <w:rPr>
          <w:rFonts w:cs="Times New Roman"/>
        </w:rPr>
      </w:pPr>
      <w:r w:rsidRPr="00654E3B">
        <w:rPr>
          <w:rFonts w:cs="Times New Roman"/>
        </w:rPr>
        <w:t xml:space="preserve">razvoj međugradskog prometa s naglaskom na željeznički promet putnika i tereta. </w:t>
      </w:r>
    </w:p>
    <w:p w:rsidR="007D4A93" w:rsidRPr="00654E3B" w:rsidRDefault="007D4A93">
      <w:pPr>
        <w:ind w:left="360"/>
        <w:rPr>
          <w:rFonts w:cs="Times New Roman"/>
        </w:rPr>
      </w:pPr>
    </w:p>
    <w:p w:rsidR="007D4A93" w:rsidRPr="00654E3B" w:rsidRDefault="00EF0BEB">
      <w:pPr>
        <w:pStyle w:val="Heading2"/>
        <w:rPr>
          <w:rFonts w:ascii="Times New Roman" w:hAnsi="Times New Roman" w:cs="Times New Roman"/>
        </w:rPr>
      </w:pPr>
      <w:bookmarkStart w:id="355" w:name="_Toc436823719"/>
      <w:bookmarkStart w:id="356" w:name="_Toc434968021"/>
      <w:bookmarkStart w:id="357" w:name="_Toc69297800"/>
      <w:r w:rsidRPr="00654E3B">
        <w:rPr>
          <w:rFonts w:ascii="Times New Roman" w:hAnsi="Times New Roman" w:cs="Times New Roman"/>
        </w:rPr>
        <w:t xml:space="preserve">I.4. </w:t>
      </w:r>
      <w:r w:rsidRPr="00654E3B">
        <w:rPr>
          <w:rFonts w:ascii="Times New Roman" w:hAnsi="Times New Roman" w:cs="Times New Roman"/>
        </w:rPr>
        <w:tab/>
        <w:t>SEKTOR OPĆE POTROŠNJE</w:t>
      </w:r>
      <w:bookmarkEnd w:id="355"/>
      <w:bookmarkEnd w:id="356"/>
      <w:bookmarkEnd w:id="357"/>
    </w:p>
    <w:p w:rsidR="007D4A93" w:rsidRPr="00654E3B" w:rsidRDefault="007D4A93">
      <w:pPr>
        <w:rPr>
          <w:rFonts w:cs="Times New Roman"/>
        </w:rPr>
      </w:pPr>
    </w:p>
    <w:p w:rsidR="007D4A93" w:rsidRPr="00654E3B" w:rsidRDefault="00EF0BEB">
      <w:pPr>
        <w:rPr>
          <w:rFonts w:cs="Times New Roman"/>
        </w:rPr>
      </w:pPr>
      <w:r w:rsidRPr="00654E3B">
        <w:rPr>
          <w:rFonts w:cs="Times New Roman"/>
        </w:rPr>
        <w:t>Prilikom izrade projekcija u sektoru opće potrošnje uključene su sljedeće ključne pretpostavke:</w:t>
      </w:r>
    </w:p>
    <w:p w:rsidR="007D4A93" w:rsidRPr="00654E3B" w:rsidRDefault="00EF0BEB" w:rsidP="000C6795">
      <w:pPr>
        <w:pStyle w:val="ListParagraph"/>
        <w:numPr>
          <w:ilvl w:val="0"/>
          <w:numId w:val="61"/>
        </w:numPr>
        <w:spacing w:line="240" w:lineRule="auto"/>
        <w:ind w:hanging="357"/>
        <w:jc w:val="left"/>
        <w:rPr>
          <w:rFonts w:cs="Times New Roman"/>
          <w:color w:val="000000"/>
          <w:szCs w:val="24"/>
        </w:rPr>
      </w:pPr>
      <w:r w:rsidRPr="00654E3B">
        <w:rPr>
          <w:rFonts w:cs="Times New Roman"/>
        </w:rPr>
        <w:t>energetska obnova fonda zgrada samo u opsegu koji se događa bez dodatnih mjera i politika</w:t>
      </w:r>
    </w:p>
    <w:p w:rsidR="007D4A93" w:rsidRPr="00654E3B" w:rsidRDefault="00EF0BEB" w:rsidP="000C6795">
      <w:pPr>
        <w:pStyle w:val="ListParagraph"/>
        <w:numPr>
          <w:ilvl w:val="0"/>
          <w:numId w:val="61"/>
        </w:numPr>
        <w:spacing w:line="240" w:lineRule="auto"/>
        <w:rPr>
          <w:rFonts w:cs="Times New Roman"/>
          <w:color w:val="000000"/>
          <w:szCs w:val="24"/>
        </w:rPr>
      </w:pPr>
      <w:r w:rsidRPr="00654E3B">
        <w:rPr>
          <w:rFonts w:cs="Times New Roman"/>
          <w:color w:val="000000"/>
          <w:szCs w:val="24"/>
        </w:rPr>
        <w:t>nema značajnij</w:t>
      </w:r>
      <w:r w:rsidR="00982D90" w:rsidRPr="00654E3B">
        <w:rPr>
          <w:rFonts w:cs="Times New Roman"/>
          <w:color w:val="000000"/>
          <w:szCs w:val="24"/>
        </w:rPr>
        <w:t>eg povećanja udjela</w:t>
      </w:r>
      <w:r w:rsidRPr="00654E3B">
        <w:rPr>
          <w:rFonts w:cs="Times New Roman"/>
          <w:color w:val="000000"/>
          <w:szCs w:val="24"/>
        </w:rPr>
        <w:t xml:space="preserve"> električne energije u potrošnji energije za toplinske potrebe, a dominantan energent za zadovoljavanje toplinskih potreba je prirodni plin </w:t>
      </w:r>
    </w:p>
    <w:p w:rsidR="007D4A93" w:rsidRPr="00654E3B" w:rsidRDefault="00EF0BEB" w:rsidP="000C6795">
      <w:pPr>
        <w:pStyle w:val="ListParagraph"/>
        <w:numPr>
          <w:ilvl w:val="0"/>
          <w:numId w:val="61"/>
        </w:numPr>
        <w:spacing w:line="240" w:lineRule="auto"/>
        <w:rPr>
          <w:rFonts w:cs="Times New Roman"/>
          <w:color w:val="000000"/>
          <w:szCs w:val="24"/>
        </w:rPr>
      </w:pPr>
      <w:r w:rsidRPr="00654E3B">
        <w:rPr>
          <w:rFonts w:cs="Times New Roman"/>
          <w:color w:val="000000"/>
          <w:szCs w:val="24"/>
        </w:rPr>
        <w:t>specifične toplinske potrebe ukupnog stambenog fonda u 2050. godini bile bi 93 kWh/m</w:t>
      </w:r>
      <w:r w:rsidRPr="00654E3B">
        <w:rPr>
          <w:rFonts w:cs="Times New Roman"/>
          <w:color w:val="000000"/>
          <w:szCs w:val="24"/>
          <w:vertAlign w:val="superscript"/>
        </w:rPr>
        <w:t>2</w:t>
      </w:r>
      <w:r w:rsidRPr="00654E3B">
        <w:rPr>
          <w:rFonts w:cs="Times New Roman"/>
          <w:color w:val="000000"/>
          <w:szCs w:val="24"/>
        </w:rPr>
        <w:t xml:space="preserve"> grijane površine što je posljedica 25</w:t>
      </w:r>
      <w:r w:rsidR="00060992" w:rsidRPr="00654E3B">
        <w:rPr>
          <w:rFonts w:cs="Times New Roman"/>
          <w:color w:val="000000"/>
          <w:szCs w:val="24"/>
        </w:rPr>
        <w:t xml:space="preserve"> %</w:t>
      </w:r>
      <w:r w:rsidRPr="00654E3B">
        <w:rPr>
          <w:rFonts w:cs="Times New Roman"/>
          <w:color w:val="000000"/>
          <w:szCs w:val="24"/>
        </w:rPr>
        <w:t xml:space="preserve"> novoizgrađenih stambenih jedinica te 4</w:t>
      </w:r>
      <w:r w:rsidR="00060992" w:rsidRPr="00654E3B">
        <w:rPr>
          <w:rFonts w:cs="Times New Roman"/>
          <w:color w:val="000000"/>
          <w:szCs w:val="24"/>
        </w:rPr>
        <w:t xml:space="preserve"> %</w:t>
      </w:r>
      <w:r w:rsidRPr="00654E3B">
        <w:rPr>
          <w:rFonts w:cs="Times New Roman"/>
          <w:color w:val="000000"/>
          <w:szCs w:val="24"/>
        </w:rPr>
        <w:t xml:space="preserve"> obnovljenih na kraju promatranog razdoblja </w:t>
      </w:r>
    </w:p>
    <w:p w:rsidR="007D4A93" w:rsidRPr="00654E3B" w:rsidRDefault="00EF0BEB" w:rsidP="000C6795">
      <w:pPr>
        <w:pStyle w:val="ListParagraph"/>
        <w:numPr>
          <w:ilvl w:val="0"/>
          <w:numId w:val="61"/>
        </w:numPr>
        <w:spacing w:line="240" w:lineRule="auto"/>
        <w:rPr>
          <w:rFonts w:cs="Times New Roman"/>
          <w:color w:val="000000"/>
          <w:szCs w:val="24"/>
        </w:rPr>
      </w:pPr>
      <w:r w:rsidRPr="00654E3B">
        <w:rPr>
          <w:rFonts w:cs="Times New Roman"/>
          <w:color w:val="000000"/>
          <w:szCs w:val="24"/>
        </w:rPr>
        <w:t>u 2050. godini u kućanstva će se grijati 35</w:t>
      </w:r>
      <w:r w:rsidR="00060992" w:rsidRPr="00654E3B">
        <w:rPr>
          <w:rFonts w:cs="Times New Roman"/>
          <w:color w:val="000000"/>
          <w:szCs w:val="24"/>
        </w:rPr>
        <w:t xml:space="preserve"> %</w:t>
      </w:r>
      <w:r w:rsidRPr="00654E3B">
        <w:rPr>
          <w:rFonts w:cs="Times New Roman"/>
          <w:color w:val="000000"/>
          <w:szCs w:val="24"/>
        </w:rPr>
        <w:t xml:space="preserve"> biomasom (ogrjevno drvo i moderna biomasa), 14</w:t>
      </w:r>
      <w:r w:rsidR="00060992" w:rsidRPr="00654E3B">
        <w:rPr>
          <w:rFonts w:cs="Times New Roman"/>
          <w:color w:val="000000"/>
          <w:szCs w:val="24"/>
        </w:rPr>
        <w:t xml:space="preserve"> %</w:t>
      </w:r>
      <w:r w:rsidRPr="00654E3B">
        <w:rPr>
          <w:rFonts w:cs="Times New Roman"/>
          <w:color w:val="000000"/>
          <w:szCs w:val="24"/>
        </w:rPr>
        <w:t xml:space="preserve"> dizalicama topline (električna energija), 10</w:t>
      </w:r>
      <w:r w:rsidR="00060992" w:rsidRPr="00654E3B">
        <w:rPr>
          <w:rFonts w:cs="Times New Roman"/>
          <w:color w:val="000000"/>
          <w:szCs w:val="24"/>
        </w:rPr>
        <w:t xml:space="preserve"> %</w:t>
      </w:r>
      <w:r w:rsidRPr="00654E3B">
        <w:rPr>
          <w:rFonts w:cs="Times New Roman"/>
          <w:color w:val="000000"/>
          <w:szCs w:val="24"/>
        </w:rPr>
        <w:t xml:space="preserve"> daljinskim grijanjem i 41</w:t>
      </w:r>
      <w:r w:rsidR="00060992" w:rsidRPr="00654E3B">
        <w:rPr>
          <w:rFonts w:cs="Times New Roman"/>
          <w:color w:val="000000"/>
          <w:szCs w:val="24"/>
        </w:rPr>
        <w:t xml:space="preserve"> %</w:t>
      </w:r>
      <w:r w:rsidRPr="00654E3B">
        <w:rPr>
          <w:rFonts w:cs="Times New Roman"/>
          <w:color w:val="000000"/>
          <w:szCs w:val="24"/>
        </w:rPr>
        <w:t xml:space="preserve"> prirodnim plinom</w:t>
      </w:r>
    </w:p>
    <w:p w:rsidR="007D4A93" w:rsidRPr="00654E3B" w:rsidRDefault="00EF0BEB" w:rsidP="000C6795">
      <w:pPr>
        <w:pStyle w:val="ListParagraph"/>
        <w:numPr>
          <w:ilvl w:val="0"/>
          <w:numId w:val="61"/>
        </w:numPr>
        <w:spacing w:line="240" w:lineRule="auto"/>
        <w:rPr>
          <w:rFonts w:cs="Times New Roman"/>
          <w:color w:val="000000"/>
          <w:szCs w:val="24"/>
        </w:rPr>
      </w:pPr>
      <w:r w:rsidRPr="00654E3B">
        <w:rPr>
          <w:rFonts w:cs="Times New Roman"/>
          <w:color w:val="000000"/>
          <w:szCs w:val="24"/>
        </w:rPr>
        <w:t>površina uslužnog sektora raste, a struktura grijanja po energentima je slična strukturi energenata u sektoru kućanstava dok specifična energija potrebna za grijanje u 2050. godini iznosi 80 kWh/m</w:t>
      </w:r>
      <w:r w:rsidRPr="00654E3B">
        <w:rPr>
          <w:rFonts w:cs="Times New Roman"/>
          <w:color w:val="000000"/>
          <w:szCs w:val="24"/>
          <w:vertAlign w:val="superscript"/>
        </w:rPr>
        <w:t>2</w:t>
      </w:r>
      <w:r w:rsidRPr="00654E3B">
        <w:rPr>
          <w:rFonts w:cs="Times New Roman"/>
          <w:color w:val="000000"/>
          <w:szCs w:val="24"/>
        </w:rPr>
        <w:t xml:space="preserve"> grijane površine. </w:t>
      </w:r>
      <w:bookmarkStart w:id="358" w:name="_Toc436823720"/>
      <w:bookmarkStart w:id="359" w:name="_Toc434968022"/>
    </w:p>
    <w:p w:rsidR="007D4A93" w:rsidRPr="00654E3B" w:rsidRDefault="007D4A93">
      <w:pPr>
        <w:pStyle w:val="ListParagraph"/>
        <w:spacing w:line="240" w:lineRule="auto"/>
        <w:rPr>
          <w:rFonts w:cs="Times New Roman"/>
          <w:color w:val="000000"/>
          <w:szCs w:val="24"/>
        </w:rPr>
      </w:pPr>
    </w:p>
    <w:p w:rsidR="007D4A93" w:rsidRPr="00654E3B" w:rsidRDefault="00EF0BEB">
      <w:pPr>
        <w:pStyle w:val="Heading2"/>
        <w:rPr>
          <w:rFonts w:ascii="Times New Roman" w:hAnsi="Times New Roman" w:cs="Times New Roman"/>
        </w:rPr>
      </w:pPr>
      <w:bookmarkStart w:id="360" w:name="_Toc69297801"/>
      <w:r w:rsidRPr="00654E3B">
        <w:rPr>
          <w:rFonts w:ascii="Times New Roman" w:hAnsi="Times New Roman" w:cs="Times New Roman"/>
        </w:rPr>
        <w:t xml:space="preserve">I.5. </w:t>
      </w:r>
      <w:r w:rsidRPr="00654E3B">
        <w:rPr>
          <w:rFonts w:ascii="Times New Roman" w:hAnsi="Times New Roman" w:cs="Times New Roman"/>
        </w:rPr>
        <w:tab/>
        <w:t>POLJOPRIVREDA</w:t>
      </w:r>
      <w:bookmarkEnd w:id="358"/>
      <w:bookmarkEnd w:id="359"/>
      <w:bookmarkEnd w:id="360"/>
    </w:p>
    <w:p w:rsidR="007D4A93" w:rsidRPr="00654E3B" w:rsidRDefault="007D4A93">
      <w:pPr>
        <w:rPr>
          <w:rFonts w:cs="Times New Roman"/>
        </w:rPr>
      </w:pPr>
    </w:p>
    <w:p w:rsidR="007D4A93" w:rsidRPr="00654E3B" w:rsidRDefault="00EF0BEB">
      <w:pPr>
        <w:rPr>
          <w:rFonts w:cs="Times New Roman"/>
        </w:rPr>
      </w:pPr>
      <w:r w:rsidRPr="00654E3B">
        <w:rPr>
          <w:rFonts w:cs="Times New Roman"/>
        </w:rPr>
        <w:t>Postavljeni model projekcija emisija postavljen je uz korištenje slijedećih pretpostavki:</w:t>
      </w:r>
    </w:p>
    <w:p w:rsidR="007D4A93" w:rsidRPr="00654E3B" w:rsidRDefault="00EF0BEB" w:rsidP="000C6795">
      <w:pPr>
        <w:pStyle w:val="ListParagraph"/>
        <w:numPr>
          <w:ilvl w:val="0"/>
          <w:numId w:val="62"/>
        </w:numPr>
        <w:rPr>
          <w:rFonts w:cs="Times New Roman"/>
        </w:rPr>
      </w:pPr>
      <w:r w:rsidRPr="00654E3B">
        <w:rPr>
          <w:rFonts w:cs="Times New Roman"/>
        </w:rPr>
        <w:t>Projekcije trenda kretanja ulaznih podataka o aktivnosti za stočarsku i biljnu proizvodnju preuzete su iz globalnog FAO izvješća</w:t>
      </w:r>
      <w:r w:rsidRPr="00F01191">
        <w:rPr>
          <w:rStyle w:val="FootnoteReference"/>
          <w:rFonts w:ascii="Times New Roman" w:hAnsi="Times New Roman" w:cs="Times New Roman"/>
        </w:rPr>
        <w:footnoteReference w:id="6"/>
      </w:r>
      <w:r w:rsidRPr="00F01191">
        <w:rPr>
          <w:rFonts w:cs="Times New Roman"/>
        </w:rPr>
        <w:t xml:space="preserve"> „</w:t>
      </w:r>
      <w:r w:rsidRPr="00654E3B">
        <w:rPr>
          <w:rFonts w:cs="Times New Roman"/>
          <w:i/>
        </w:rPr>
        <w:t>Budućnost hrane i poljoprivrede – alternativni putevi do 2050. godine</w:t>
      </w:r>
      <w:r w:rsidRPr="00654E3B">
        <w:rPr>
          <w:rFonts w:cs="Times New Roman"/>
        </w:rPr>
        <w:t xml:space="preserve">“, pri čemu je korišten BAU (eng. </w:t>
      </w:r>
      <w:r w:rsidRPr="00654E3B">
        <w:rPr>
          <w:rFonts w:cs="Times New Roman"/>
          <w:i/>
        </w:rPr>
        <w:t>bussiness as usual</w:t>
      </w:r>
      <w:r w:rsidRPr="00654E3B">
        <w:rPr>
          <w:rFonts w:cs="Times New Roman"/>
        </w:rPr>
        <w:t xml:space="preserve">) scenarij spomenutog izvješća. </w:t>
      </w:r>
    </w:p>
    <w:p w:rsidR="007D4A93" w:rsidRPr="00654E3B" w:rsidRDefault="00EF0BEB" w:rsidP="000C6795">
      <w:pPr>
        <w:pStyle w:val="ListParagraph"/>
        <w:numPr>
          <w:ilvl w:val="0"/>
          <w:numId w:val="62"/>
        </w:numPr>
        <w:rPr>
          <w:rFonts w:cs="Times New Roman"/>
        </w:rPr>
      </w:pPr>
      <w:r w:rsidRPr="00654E3B">
        <w:rPr>
          <w:rFonts w:cs="Times New Roman"/>
        </w:rPr>
        <w:lastRenderedPageBreak/>
        <w:t>Korištenje mineralnih gnojiva dobivenom ekstrapolacijom postojećeg trenda za razdoblje od 2000.do 2016. godine.</w:t>
      </w:r>
    </w:p>
    <w:p w:rsidR="007D4A93" w:rsidRPr="00654E3B" w:rsidRDefault="00EF0BEB" w:rsidP="000C6795">
      <w:pPr>
        <w:pStyle w:val="ListParagraph"/>
        <w:numPr>
          <w:ilvl w:val="0"/>
          <w:numId w:val="62"/>
        </w:numPr>
        <w:rPr>
          <w:rFonts w:cs="Times New Roman"/>
        </w:rPr>
      </w:pPr>
      <w:r w:rsidRPr="00654E3B">
        <w:rPr>
          <w:rFonts w:cs="Times New Roman"/>
        </w:rPr>
        <w:t>Provedba Programa ruralnog razvoja  Republike Hrvatske za razdoblje 2014. – 2020.</w:t>
      </w:r>
    </w:p>
    <w:p w:rsidR="007D4A93" w:rsidRPr="00654E3B" w:rsidRDefault="00EF0BEB" w:rsidP="000C6795">
      <w:pPr>
        <w:pStyle w:val="ListParagraph"/>
        <w:numPr>
          <w:ilvl w:val="0"/>
          <w:numId w:val="62"/>
        </w:numPr>
        <w:rPr>
          <w:rFonts w:cs="Times New Roman"/>
        </w:rPr>
      </w:pPr>
      <w:r w:rsidRPr="00654E3B">
        <w:rPr>
          <w:rFonts w:cs="Times New Roman"/>
        </w:rPr>
        <w:t xml:space="preserve">Manje promjene u sustavu uzgoja stoke i režimu </w:t>
      </w:r>
      <w:r w:rsidR="00DE41D8" w:rsidRPr="00654E3B">
        <w:rPr>
          <w:rFonts w:cs="Times New Roman"/>
        </w:rPr>
        <w:t xml:space="preserve">ishrane </w:t>
      </w:r>
      <w:r w:rsidRPr="00654E3B">
        <w:rPr>
          <w:rFonts w:cs="Times New Roman"/>
        </w:rPr>
        <w:t>(promjene sustava izgnojavanja i genetski napredak, povećanje probavljivosti i kvalitete krmiva).</w:t>
      </w:r>
    </w:p>
    <w:p w:rsidR="007D4A93" w:rsidRPr="00654E3B" w:rsidRDefault="00EF0BEB">
      <w:pPr>
        <w:rPr>
          <w:rFonts w:cs="Times New Roman"/>
        </w:rPr>
      </w:pPr>
      <w:r w:rsidRPr="00654E3B">
        <w:rPr>
          <w:rFonts w:cs="Times New Roman"/>
        </w:rPr>
        <w:t xml:space="preserve">NUR scenarij temeljem gore navedenih politika i mjera zadržava primjenu mineralnih gnojiva (dušika) u tlo na razini koja proizlazi iz trenda utroška mineralnih gnojiva u razdoblju od 2000. do 2017. godine, odnosno postavlja pretpostavku da neće doći do povećanja utroška mineralnih gnojiva </w:t>
      </w:r>
      <w:r w:rsidR="00B90083" w:rsidRPr="00654E3B">
        <w:rPr>
          <w:rFonts w:cs="Times New Roman"/>
        </w:rPr>
        <w:t xml:space="preserve">u skladu s </w:t>
      </w:r>
      <w:r w:rsidRPr="00654E3B">
        <w:rPr>
          <w:rFonts w:cs="Times New Roman"/>
        </w:rPr>
        <w:t>procijenjenim promjenama u biljnoj proizvodnji i stočnoj proizvodnji. Za potrebe detaljnog modeliranja primijenjenog dušika potrebno je uspostaviti sustav realnog praćenja potrošnje mineralnih gnojiva na gospodarstvima, kao i procjene udjela poljoprivrednih površina pod pojedinim usjevom na državnoj razini u sklopu izrade karata tla i studije mogućnosti primjene mjera za smanjenje emisija stakleničkih plinova u sektoru poljoprivreda.</w:t>
      </w:r>
    </w:p>
    <w:p w:rsidR="007D4A93" w:rsidRPr="00654E3B" w:rsidRDefault="007D4A93">
      <w:pPr>
        <w:rPr>
          <w:rFonts w:cs="Times New Roman"/>
        </w:rPr>
      </w:pPr>
    </w:p>
    <w:p w:rsidR="007D4A93" w:rsidRPr="00654E3B" w:rsidRDefault="00EF0BEB">
      <w:pPr>
        <w:pStyle w:val="Heading2"/>
        <w:rPr>
          <w:rFonts w:ascii="Times New Roman" w:hAnsi="Times New Roman" w:cs="Times New Roman"/>
        </w:rPr>
      </w:pPr>
      <w:bookmarkStart w:id="361" w:name="_Toc436823721"/>
      <w:bookmarkStart w:id="362" w:name="_Toc434968023"/>
      <w:bookmarkStart w:id="363" w:name="_Toc69297802"/>
      <w:r w:rsidRPr="00654E3B">
        <w:rPr>
          <w:rFonts w:ascii="Times New Roman" w:hAnsi="Times New Roman" w:cs="Times New Roman"/>
        </w:rPr>
        <w:t xml:space="preserve">I.6. </w:t>
      </w:r>
      <w:r w:rsidRPr="00654E3B">
        <w:rPr>
          <w:rFonts w:ascii="Times New Roman" w:hAnsi="Times New Roman" w:cs="Times New Roman"/>
        </w:rPr>
        <w:tab/>
      </w:r>
      <w:bookmarkEnd w:id="361"/>
      <w:bookmarkEnd w:id="362"/>
      <w:r w:rsidRPr="00654E3B">
        <w:rPr>
          <w:rFonts w:ascii="Times New Roman" w:hAnsi="Times New Roman" w:cs="Times New Roman"/>
        </w:rPr>
        <w:t>OTPAD</w:t>
      </w:r>
      <w:bookmarkEnd w:id="363"/>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NUR scenarij uključuje postojeći pravni okvir Republike Hrvatske i usvojeni pravni okvir EU iz sektora otpad za razdoblje do 2035. godine. Odgoda od </w:t>
      </w:r>
      <w:r w:rsidR="00EE7A3B" w:rsidRPr="00654E3B">
        <w:rPr>
          <w:rFonts w:cs="Times New Roman"/>
        </w:rPr>
        <w:t>pet</w:t>
      </w:r>
      <w:r w:rsidRPr="00654E3B">
        <w:rPr>
          <w:rFonts w:cs="Times New Roman"/>
        </w:rPr>
        <w:t xml:space="preserve"> godina za Republiku Hrvatsku uključena je u projekcije. Za razdoblje nakon 2040. godine korištene su pretpostavke za primjenu mjera temeljene na stručnoj procjeni, sukladno pretpostavkama definiranima usvojenim planskim dokumentima.</w:t>
      </w:r>
    </w:p>
    <w:p w:rsidR="007D4A93" w:rsidRPr="00654E3B" w:rsidRDefault="00EF0BEB">
      <w:pPr>
        <w:rPr>
          <w:rFonts w:cs="Times New Roman"/>
        </w:rPr>
      </w:pPr>
      <w:r w:rsidRPr="00654E3B">
        <w:rPr>
          <w:rFonts w:cs="Times New Roman"/>
        </w:rPr>
        <w:t>NUR scenarij uključuje projekcije emisija iz aktivnosti odlaganja, biološke obrade i spaljivanja krutog otpada te upravljanja otpadnim vodama. Projekcije su provedene na temelju očekivanog razvoja te budućeg stanja parametara za izradu projekcija - količine proizvedenog i odloženog krutog otpada (komunalnog, proizvodnog, mulja od obrade otpadnih voda), udjela organskog dijela krutog otpada, udjela regeneriranog/spaljenog metana te količine kompostiranog organskog otpada. Projekcije emisija temelje se na projekcijama makroekonomskih parametara iz 2018. godine - godišnje stope porasta bruto društvenog proizvoda i smanjenja broja stanovnika.</w:t>
      </w:r>
    </w:p>
    <w:p w:rsidR="007D4A93" w:rsidRPr="00654E3B" w:rsidRDefault="00EF0BEB">
      <w:pPr>
        <w:rPr>
          <w:rFonts w:cs="Times New Roman"/>
        </w:rPr>
      </w:pPr>
      <w:r w:rsidRPr="00654E3B">
        <w:rPr>
          <w:rFonts w:cs="Times New Roman"/>
        </w:rPr>
        <w:t>U izradi projekcija uključene su sljedeće pretpostavke:</w:t>
      </w:r>
    </w:p>
    <w:p w:rsidR="007D4A93" w:rsidRPr="00654E3B" w:rsidRDefault="00EF0BEB" w:rsidP="000C6795">
      <w:pPr>
        <w:pStyle w:val="ListParagraph"/>
        <w:numPr>
          <w:ilvl w:val="0"/>
          <w:numId w:val="63"/>
        </w:numPr>
        <w:spacing w:line="240" w:lineRule="auto"/>
        <w:rPr>
          <w:rFonts w:cs="Times New Roman"/>
        </w:rPr>
      </w:pPr>
      <w:r w:rsidRPr="00654E3B">
        <w:rPr>
          <w:rFonts w:cs="Times New Roman"/>
        </w:rPr>
        <w:t>Odlaganje krutog otpada - smanjenje količine proizvedenog i odloženog krutog otpada zbog primjene mjera definiranih sektorskim zakonodavstvom usklađenim s EU zakonodavstvom. 4. srpnja 2018. godine na snagu su stupila nova EU pravila s pravno obvezujućim ciljevima za recikliranje otpada i smanjenje odlaganja otpada. Republika Hrvatska je dobila mogućnost odgode od pet godina za ispunjavanje navedenih ciljeva, jer je među državama članicama koje su 2013. godine reciklirale manje od 20</w:t>
      </w:r>
      <w:r w:rsidR="00060992" w:rsidRPr="00654E3B">
        <w:rPr>
          <w:rFonts w:cs="Times New Roman"/>
        </w:rPr>
        <w:t xml:space="preserve"> %</w:t>
      </w:r>
      <w:r w:rsidRPr="00654E3B">
        <w:rPr>
          <w:rFonts w:cs="Times New Roman"/>
        </w:rPr>
        <w:t xml:space="preserve"> komunalnog otpada ili odlagale više od 60</w:t>
      </w:r>
      <w:r w:rsidR="00060992" w:rsidRPr="00654E3B">
        <w:rPr>
          <w:rFonts w:cs="Times New Roman"/>
        </w:rPr>
        <w:t xml:space="preserve"> %</w:t>
      </w:r>
      <w:r w:rsidRPr="00654E3B">
        <w:rPr>
          <w:rFonts w:cs="Times New Roman"/>
        </w:rPr>
        <w:t xml:space="preserve"> na odlagalištima. Odgoda od </w:t>
      </w:r>
      <w:r w:rsidR="00EE7A3B" w:rsidRPr="00654E3B">
        <w:rPr>
          <w:rFonts w:cs="Times New Roman"/>
        </w:rPr>
        <w:t>pet</w:t>
      </w:r>
      <w:r w:rsidRPr="00654E3B">
        <w:rPr>
          <w:rFonts w:cs="Times New Roman"/>
        </w:rPr>
        <w:t xml:space="preserve"> godina uključena je u projekcije. </w:t>
      </w:r>
    </w:p>
    <w:p w:rsidR="007D4A93" w:rsidRPr="00654E3B" w:rsidRDefault="00EF0BEB" w:rsidP="000C6795">
      <w:pPr>
        <w:pStyle w:val="ListParagraph"/>
        <w:numPr>
          <w:ilvl w:val="0"/>
          <w:numId w:val="63"/>
        </w:numPr>
        <w:spacing w:line="240" w:lineRule="auto"/>
        <w:rPr>
          <w:rFonts w:cs="Times New Roman"/>
        </w:rPr>
      </w:pPr>
      <w:r w:rsidRPr="00654E3B">
        <w:rPr>
          <w:rFonts w:cs="Times New Roman"/>
        </w:rPr>
        <w:t>Kompostiranje - kontinuirani porast količine otpada koji se obrađuje kompostiranjem zbog primjene mjera definiranih sektorskim zakonodavstvom usklađenim s EU zakonodavstvom. Porast količine otpada koji će se kompostirati ovisi o smanjenju količine odloženog biorazgradivog otpada i udjelu biorazgradivog otpada koji će se obrađivati kompostiranjem i digestijom.</w:t>
      </w:r>
    </w:p>
    <w:p w:rsidR="007D4A93" w:rsidRPr="00654E3B" w:rsidRDefault="00EF0BEB" w:rsidP="000C6795">
      <w:pPr>
        <w:pStyle w:val="ListParagraph"/>
        <w:numPr>
          <w:ilvl w:val="0"/>
          <w:numId w:val="63"/>
        </w:numPr>
        <w:spacing w:line="240" w:lineRule="auto"/>
        <w:rPr>
          <w:rFonts w:cs="Times New Roman"/>
        </w:rPr>
      </w:pPr>
      <w:r w:rsidRPr="00654E3B">
        <w:rPr>
          <w:rFonts w:cs="Times New Roman"/>
        </w:rPr>
        <w:t>Spaljivanje otpada - ne provodi se više spaljivanje bolničkog otpada bez oporabe energije.</w:t>
      </w:r>
    </w:p>
    <w:p w:rsidR="007D4A93" w:rsidRPr="00654E3B" w:rsidRDefault="00EF0BEB" w:rsidP="000C6795">
      <w:pPr>
        <w:pStyle w:val="ListParagraph"/>
        <w:numPr>
          <w:ilvl w:val="0"/>
          <w:numId w:val="63"/>
        </w:numPr>
        <w:spacing w:line="240" w:lineRule="auto"/>
        <w:rPr>
          <w:rFonts w:cs="Times New Roman"/>
        </w:rPr>
      </w:pPr>
      <w:r w:rsidRPr="00654E3B">
        <w:rPr>
          <w:rFonts w:cs="Times New Roman"/>
        </w:rPr>
        <w:t>Upravljanje otpadnim vodama - kontinuirano povećanje količine obrađenih otpadnih voda industrije te smanjenje količine obrađenih otpadnih voda kućanstava i broja stanovnika s individualnim sistemom odvodnje otpadnih voda (septičke jame).</w:t>
      </w:r>
    </w:p>
    <w:p w:rsidR="001C6A8F" w:rsidRPr="00654E3B" w:rsidRDefault="001C6A8F" w:rsidP="00AB40C9">
      <w:pPr>
        <w:pStyle w:val="Heading1"/>
        <w:rPr>
          <w:rFonts w:ascii="Times New Roman" w:hAnsi="Times New Roman" w:cs="Times New Roman"/>
        </w:rPr>
      </w:pPr>
      <w:bookmarkStart w:id="364" w:name="_Toc69297803"/>
      <w:bookmarkStart w:id="365" w:name="_Toc20841329"/>
      <w:bookmarkStart w:id="366" w:name="_Toc20841435"/>
      <w:bookmarkStart w:id="367" w:name="_Toc33417212"/>
      <w:bookmarkEnd w:id="346"/>
      <w:bookmarkEnd w:id="347"/>
      <w:r w:rsidRPr="00654E3B">
        <w:rPr>
          <w:rFonts w:ascii="Times New Roman" w:hAnsi="Times New Roman" w:cs="Times New Roman"/>
        </w:rPr>
        <w:lastRenderedPageBreak/>
        <w:t>PRILOG II.  -  OPIS NISKOUGLJIČNOG SCENARIJA POSTUPNE TRANZICIJE (NU1)</w:t>
      </w:r>
      <w:bookmarkEnd w:id="364"/>
    </w:p>
    <w:p w:rsidR="001C6A8F" w:rsidRPr="00654E3B" w:rsidRDefault="001C6A8F" w:rsidP="00AB40C9">
      <w:pPr>
        <w:keepNext/>
        <w:rPr>
          <w:rFonts w:cs="Times New Roman"/>
        </w:rPr>
      </w:pPr>
    </w:p>
    <w:p w:rsidR="001C6A8F" w:rsidRPr="00654E3B" w:rsidRDefault="001C6A8F" w:rsidP="00AB40C9">
      <w:pPr>
        <w:pStyle w:val="Heading2"/>
        <w:rPr>
          <w:rFonts w:ascii="Times New Roman" w:hAnsi="Times New Roman" w:cs="Times New Roman"/>
        </w:rPr>
      </w:pPr>
      <w:bookmarkStart w:id="368" w:name="_Toc69297804"/>
      <w:r w:rsidRPr="00654E3B">
        <w:rPr>
          <w:rFonts w:ascii="Times New Roman" w:hAnsi="Times New Roman" w:cs="Times New Roman"/>
        </w:rPr>
        <w:t xml:space="preserve">II.1. </w:t>
      </w:r>
      <w:r w:rsidRPr="00654E3B">
        <w:rPr>
          <w:rFonts w:ascii="Times New Roman" w:hAnsi="Times New Roman" w:cs="Times New Roman"/>
        </w:rPr>
        <w:tab/>
        <w:t>PROIZVODNJA, POTROŠNJA, UVOZ I IZVOZ ENERGIJE</w:t>
      </w:r>
      <w:bookmarkEnd w:id="368"/>
    </w:p>
    <w:p w:rsidR="001C6A8F" w:rsidRPr="00654E3B" w:rsidRDefault="001C6A8F" w:rsidP="00AB40C9">
      <w:pPr>
        <w:keepNext/>
        <w:rPr>
          <w:rFonts w:cs="Times New Roman"/>
        </w:rPr>
      </w:pPr>
    </w:p>
    <w:p w:rsidR="001C6A8F" w:rsidRPr="00654E3B" w:rsidRDefault="001C6A8F" w:rsidP="001C6A8F">
      <w:pPr>
        <w:rPr>
          <w:rFonts w:cs="Times New Roman"/>
          <w:u w:val="single"/>
        </w:rPr>
      </w:pPr>
      <w:r w:rsidRPr="00654E3B">
        <w:rPr>
          <w:rFonts w:cs="Times New Roman"/>
          <w:u w:val="single"/>
        </w:rPr>
        <w:t>Neposredna potrošnja energije</w:t>
      </w:r>
    </w:p>
    <w:p w:rsidR="001C6A8F" w:rsidRPr="00654E3B" w:rsidRDefault="001C6A8F" w:rsidP="001C6A8F">
      <w:pPr>
        <w:rPr>
          <w:rFonts w:cs="Times New Roman"/>
        </w:rPr>
      </w:pPr>
      <w:r w:rsidRPr="00654E3B">
        <w:rPr>
          <w:rFonts w:cs="Times New Roman"/>
        </w:rPr>
        <w:t>U Scenariju postupne tranzicije (NU1), neposredna potrošnja energije do 2030. godine stagnira, a zatim se smanjuje za 20</w:t>
      </w:r>
      <w:r w:rsidR="00060992" w:rsidRPr="00654E3B">
        <w:rPr>
          <w:rFonts w:cs="Times New Roman"/>
        </w:rPr>
        <w:t xml:space="preserve"> %</w:t>
      </w:r>
      <w:r w:rsidRPr="00654E3B">
        <w:rPr>
          <w:rFonts w:cs="Times New Roman"/>
        </w:rPr>
        <w:t xml:space="preserve"> do 2050. godine, promatrano u odnosu na sadašnju razinu (2018. godina) neposredne potrošnje energije.</w:t>
      </w:r>
    </w:p>
    <w:p w:rsidR="001C6A8F" w:rsidRPr="00654E3B" w:rsidRDefault="001C6A8F" w:rsidP="001C6A8F">
      <w:pPr>
        <w:rPr>
          <w:rFonts w:cs="Times New Roman"/>
        </w:rPr>
      </w:pPr>
      <w:r w:rsidRPr="00654E3B">
        <w:rPr>
          <w:rFonts w:cs="Times New Roman"/>
        </w:rPr>
        <w:t>Mijenja se struktura utrošenih oblika energije. Očekuje se porast udjela električne energije i vodika, a smanjuje se udio krutih i tekućih fosilnih goriva. Potrošnja prirodnog plina ostaje približno jednaka do 2030. godine i zatim opada za 15</w:t>
      </w:r>
      <w:r w:rsidR="00060992" w:rsidRPr="00654E3B">
        <w:rPr>
          <w:rFonts w:cs="Times New Roman"/>
        </w:rPr>
        <w:t xml:space="preserve"> %</w:t>
      </w:r>
      <w:r w:rsidRPr="00654E3B">
        <w:rPr>
          <w:rFonts w:cs="Times New Roman"/>
        </w:rPr>
        <w:t xml:space="preserve"> do 2050. godine. Ukupni udio fosilnih goriva opada na 53,2</w:t>
      </w:r>
      <w:r w:rsidR="00060992" w:rsidRPr="00654E3B">
        <w:rPr>
          <w:rFonts w:cs="Times New Roman"/>
        </w:rPr>
        <w:t xml:space="preserve"> %</w:t>
      </w:r>
      <w:r w:rsidRPr="00654E3B">
        <w:rPr>
          <w:rFonts w:cs="Times New Roman"/>
        </w:rPr>
        <w:t xml:space="preserve"> u 2030. godini i na 41,0</w:t>
      </w:r>
      <w:r w:rsidR="00060992" w:rsidRPr="00654E3B">
        <w:rPr>
          <w:rFonts w:cs="Times New Roman"/>
        </w:rPr>
        <w:t xml:space="preserve"> %</w:t>
      </w:r>
      <w:r w:rsidRPr="00654E3B">
        <w:rPr>
          <w:rFonts w:cs="Times New Roman"/>
        </w:rPr>
        <w:t xml:space="preserve"> u 2050. godini.</w:t>
      </w:r>
    </w:p>
    <w:p w:rsidR="001C6A8F" w:rsidRPr="00654E3B" w:rsidRDefault="001C6A8F" w:rsidP="001C6A8F">
      <w:pPr>
        <w:rPr>
          <w:rFonts w:cs="Times New Roman"/>
        </w:rPr>
      </w:pPr>
      <w:r w:rsidRPr="00654E3B">
        <w:rPr>
          <w:rFonts w:cs="Times New Roman"/>
        </w:rPr>
        <w:t>Udio neposredne potrošnje energije u industriji zadržat će se na oko 17</w:t>
      </w:r>
      <w:r w:rsidR="00060992" w:rsidRPr="00654E3B">
        <w:rPr>
          <w:rFonts w:cs="Times New Roman"/>
        </w:rPr>
        <w:t xml:space="preserve"> %</w:t>
      </w:r>
      <w:r w:rsidRPr="00654E3B">
        <w:rPr>
          <w:rFonts w:cs="Times New Roman"/>
        </w:rPr>
        <w:t xml:space="preserve"> do 2030. godine, a zatim raste na 19,8</w:t>
      </w:r>
      <w:r w:rsidR="00060992" w:rsidRPr="00654E3B">
        <w:rPr>
          <w:rFonts w:cs="Times New Roman"/>
        </w:rPr>
        <w:t xml:space="preserve"> %</w:t>
      </w:r>
      <w:r w:rsidRPr="00654E3B">
        <w:rPr>
          <w:rFonts w:cs="Times New Roman"/>
        </w:rPr>
        <w:t xml:space="preserve"> u 2050. godini. Očekuje se smanjenje udjela prometa, dok udio ukupne potrošnje sektora opće potrošnje (kućanstva, usluge i poljoprivreda) ostaje približno konstantan.</w:t>
      </w:r>
    </w:p>
    <w:p w:rsidR="001C6A8F" w:rsidRPr="00654E3B" w:rsidRDefault="001C6A8F" w:rsidP="001C6A8F">
      <w:pPr>
        <w:rPr>
          <w:rFonts w:cs="Times New Roman"/>
        </w:rPr>
      </w:pPr>
      <w:r w:rsidRPr="00654E3B">
        <w:rPr>
          <w:rFonts w:cs="Times New Roman"/>
        </w:rPr>
        <w:t>U tablici II.1-1 i tablici II 1-2 prikazane su projekcije neposredne potrošnje energije u NU1 scenariju.</w:t>
      </w:r>
    </w:p>
    <w:p w:rsidR="001C6A8F" w:rsidRPr="00654E3B" w:rsidRDefault="001C6A8F" w:rsidP="001C6A8F">
      <w:pPr>
        <w:rPr>
          <w:rFonts w:cs="Times New Roman"/>
          <w:i/>
        </w:rPr>
      </w:pPr>
      <w:r w:rsidRPr="00654E3B">
        <w:rPr>
          <w:rFonts w:cs="Times New Roman"/>
          <w:i/>
        </w:rPr>
        <w:t>Tablica II.1-1: Neposredna potrošnja energije po gorivima, NU1</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55,4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40,7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26,1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1448,0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1297,0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1030,9</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2493,0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2082,4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1266,8</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1097,4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1020,1</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917,5</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1515,6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1660,0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1926,3</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Toplinska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232,7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223,0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197,1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0,004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0,2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15,9</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6852,8</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6333,3</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5388,7</w:t>
            </w:r>
          </w:p>
        </w:tc>
      </w:tr>
    </w:tbl>
    <w:p w:rsidR="001C6A8F" w:rsidRPr="00654E3B" w:rsidRDefault="001C6A8F" w:rsidP="001C6A8F">
      <w:pPr>
        <w:rPr>
          <w:rFonts w:cs="Times New Roman"/>
          <w:i/>
        </w:rPr>
      </w:pPr>
    </w:p>
    <w:p w:rsidR="001C6A8F" w:rsidRPr="00654E3B" w:rsidRDefault="001C6A8F" w:rsidP="001C6A8F">
      <w:pPr>
        <w:keepNext/>
        <w:rPr>
          <w:rFonts w:cs="Times New Roman"/>
          <w:i/>
        </w:rPr>
      </w:pPr>
      <w:r w:rsidRPr="00654E3B">
        <w:rPr>
          <w:rFonts w:cs="Times New Roman"/>
          <w:i/>
        </w:rPr>
        <w:lastRenderedPageBreak/>
        <w:t>Tablica II.1-2: Neposredna potrošnja energije po granama, NU1</w:t>
      </w:r>
    </w:p>
    <w:tbl>
      <w:tblPr>
        <w:tblW w:w="0" w:type="auto"/>
        <w:tblLayout w:type="fixed"/>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Industrija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1183,9</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1144,3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1065,5</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Promet</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2212,8</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2054,7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1634,7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Opća potrošnja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cs="Times New Roman"/>
                <w:sz w:val="20"/>
              </w:rPr>
              <w:t>3456,1</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cs="Times New Roman"/>
                <w:sz w:val="20"/>
              </w:rPr>
              <w:t>3134,3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cs="Times New Roman"/>
                <w:sz w:val="20"/>
              </w:rPr>
              <w:t>2688,5</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i/>
                <w:iCs/>
                <w:color w:val="000000"/>
                <w:sz w:val="20"/>
                <w:lang w:eastAsia="hr-HR"/>
              </w:rPr>
            </w:pPr>
            <w:r w:rsidRPr="00654E3B">
              <w:rPr>
                <w:rFonts w:eastAsia="Times New Roman" w:cs="Times New Roman"/>
                <w:i/>
                <w:color w:val="000000"/>
                <w:sz w:val="20"/>
                <w:lang w:eastAsia="hr-HR"/>
              </w:rPr>
              <w:t>Kućanstva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2314,9</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1995,6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1632,6</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i/>
                <w:iCs/>
                <w:color w:val="000000"/>
                <w:sz w:val="20"/>
                <w:lang w:eastAsia="hr-HR"/>
              </w:rPr>
            </w:pPr>
            <w:r w:rsidRPr="00654E3B">
              <w:rPr>
                <w:rFonts w:eastAsia="Times New Roman" w:cs="Times New Roman"/>
                <w:i/>
                <w:color w:val="000000"/>
                <w:sz w:val="20"/>
                <w:lang w:eastAsia="hr-HR"/>
              </w:rPr>
              <w:t>Uslužni</w:t>
            </w:r>
            <w:r w:rsidRPr="00654E3B">
              <w:rPr>
                <w:rFonts w:eastAsia="Times New Roman" w:cs="Times New Roman"/>
                <w:i/>
                <w:iCs/>
                <w:color w:val="000000"/>
                <w:sz w:val="20"/>
                <w:lang w:eastAsia="hr-HR"/>
              </w:rPr>
              <w:t xml:space="preserve"> </w:t>
            </w:r>
            <w:r w:rsidRPr="00654E3B">
              <w:rPr>
                <w:rFonts w:eastAsia="Times New Roman" w:cs="Times New Roman"/>
                <w:color w:val="000000"/>
                <w:sz w:val="20"/>
                <w:lang w:eastAsia="hr-HR"/>
              </w:rPr>
              <w:t>sektor</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935,7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944,2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878,7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i/>
                <w:iCs/>
                <w:color w:val="000000"/>
                <w:sz w:val="20"/>
                <w:lang w:eastAsia="hr-HR"/>
              </w:rPr>
            </w:pPr>
            <w:r w:rsidRPr="00654E3B">
              <w:rPr>
                <w:rFonts w:eastAsia="Times New Roman" w:cs="Times New Roman"/>
                <w:i/>
                <w:color w:val="000000"/>
                <w:sz w:val="20"/>
                <w:lang w:eastAsia="hr-HR"/>
              </w:rPr>
              <w:t>Poljoprivreda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205,5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194,5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177,2</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6852,8</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6333,3</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5388,7</w:t>
            </w:r>
          </w:p>
        </w:tc>
      </w:tr>
    </w:tbl>
    <w:p w:rsidR="001C6A8F" w:rsidRPr="00654E3B" w:rsidRDefault="001C6A8F" w:rsidP="001C6A8F">
      <w:pPr>
        <w:rPr>
          <w:rFonts w:cs="Times New Roman"/>
          <w:u w:val="single"/>
        </w:rPr>
      </w:pPr>
    </w:p>
    <w:p w:rsidR="001C6A8F" w:rsidRPr="00654E3B" w:rsidRDefault="001C6A8F" w:rsidP="001C6A8F">
      <w:pPr>
        <w:rPr>
          <w:rFonts w:cs="Times New Roman"/>
        </w:rPr>
      </w:pPr>
      <w:r w:rsidRPr="00654E3B">
        <w:rPr>
          <w:rFonts w:cs="Times New Roman"/>
          <w:u w:val="single"/>
        </w:rPr>
        <w:t>Ukupna potrošnja energije</w:t>
      </w:r>
    </w:p>
    <w:p w:rsidR="001C6A8F" w:rsidRPr="00654E3B" w:rsidRDefault="001C6A8F" w:rsidP="001C6A8F">
      <w:pPr>
        <w:rPr>
          <w:rFonts w:cs="Times New Roman"/>
        </w:rPr>
      </w:pPr>
      <w:r w:rsidRPr="00654E3B">
        <w:rPr>
          <w:rFonts w:cs="Times New Roman"/>
        </w:rPr>
        <w:t>U NU1 scenariju  ukupne potrebe za energijom smanjuju se tijekom cijelog razdoblja. Ukupna potrošnja u 2030. godini je za 1</w:t>
      </w:r>
      <w:r w:rsidR="00060992" w:rsidRPr="00654E3B">
        <w:rPr>
          <w:rFonts w:cs="Times New Roman"/>
        </w:rPr>
        <w:t xml:space="preserve"> %</w:t>
      </w:r>
      <w:r w:rsidRPr="00654E3B">
        <w:rPr>
          <w:rFonts w:cs="Times New Roman"/>
        </w:rPr>
        <w:t xml:space="preserve"> manja u odnosu na današnju razinu, a u 2050. godini je manja za 17</w:t>
      </w:r>
      <w:r w:rsidR="00060992" w:rsidRPr="00654E3B">
        <w:rPr>
          <w:rFonts w:cs="Times New Roman"/>
        </w:rPr>
        <w:t xml:space="preserve"> %</w:t>
      </w:r>
      <w:r w:rsidRPr="00654E3B">
        <w:rPr>
          <w:rFonts w:cs="Times New Roman"/>
        </w:rPr>
        <w:t>.</w:t>
      </w:r>
    </w:p>
    <w:p w:rsidR="001C6A8F" w:rsidRPr="00654E3B" w:rsidRDefault="001C6A8F" w:rsidP="001C6A8F">
      <w:pPr>
        <w:rPr>
          <w:rFonts w:cs="Times New Roman"/>
        </w:rPr>
      </w:pPr>
      <w:r w:rsidRPr="00654E3B">
        <w:rPr>
          <w:rFonts w:cs="Times New Roman"/>
        </w:rPr>
        <w:t>U strukturi oblika energije udio prirodnog plina, krutih i tekućih goriva te električne energije opada. Najveća promjena se očekuje na strani OIE čiji udio raste na 32,0</w:t>
      </w:r>
      <w:r w:rsidR="00060992" w:rsidRPr="00654E3B">
        <w:rPr>
          <w:rFonts w:cs="Times New Roman"/>
        </w:rPr>
        <w:t xml:space="preserve"> %</w:t>
      </w:r>
      <w:r w:rsidRPr="00654E3B">
        <w:rPr>
          <w:rFonts w:cs="Times New Roman"/>
        </w:rPr>
        <w:t xml:space="preserve"> u 2030. godini te na 46,3</w:t>
      </w:r>
      <w:r w:rsidR="00060992" w:rsidRPr="00654E3B">
        <w:rPr>
          <w:rFonts w:cs="Times New Roman"/>
        </w:rPr>
        <w:t xml:space="preserve"> %</w:t>
      </w:r>
      <w:r w:rsidRPr="00654E3B">
        <w:rPr>
          <w:rFonts w:cs="Times New Roman"/>
        </w:rPr>
        <w:t xml:space="preserve"> u 2050. godini.</w:t>
      </w:r>
    </w:p>
    <w:p w:rsidR="001C6A8F" w:rsidRPr="00654E3B" w:rsidRDefault="001C6A8F" w:rsidP="001C6A8F">
      <w:pPr>
        <w:rPr>
          <w:rFonts w:cs="Times New Roman"/>
        </w:rPr>
      </w:pPr>
      <w:r w:rsidRPr="00654E3B">
        <w:rPr>
          <w:rFonts w:cs="Times New Roman"/>
        </w:rPr>
        <w:t>U tablici II.1-3 prikazane su projekcije ukupne potrošnje energije u NU1 scenariju.</w:t>
      </w:r>
    </w:p>
    <w:p w:rsidR="001C6A8F" w:rsidRPr="00654E3B" w:rsidRDefault="001C6A8F" w:rsidP="001C6A8F">
      <w:pPr>
        <w:rPr>
          <w:rFonts w:cs="Times New Roman"/>
          <w:i/>
        </w:rPr>
      </w:pPr>
      <w:r w:rsidRPr="00654E3B">
        <w:rPr>
          <w:rFonts w:cs="Times New Roman"/>
          <w:i/>
        </w:rPr>
        <w:t>Tablica II.1-3: Ukupna potrošnja energije po gorivima, NU1</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214,5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27,7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3092,2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2609,1</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1788,0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2313,3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2229,2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2124,0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2817,6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3272,2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3426,0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335,4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160,2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15,9</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8783,7</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8323,2</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7391,7</w:t>
            </w:r>
          </w:p>
        </w:tc>
      </w:tr>
    </w:tbl>
    <w:p w:rsidR="001C6A8F" w:rsidRPr="00654E3B" w:rsidRDefault="001C6A8F" w:rsidP="001C6A8F">
      <w:pPr>
        <w:rPr>
          <w:rFonts w:cs="Times New Roman"/>
          <w:u w:val="single"/>
        </w:rPr>
      </w:pPr>
      <w:r w:rsidRPr="00654E3B">
        <w:rPr>
          <w:rFonts w:cs="Times New Roman"/>
          <w:u w:val="single"/>
        </w:rPr>
        <w:t>Obnovljivi izvori energije</w:t>
      </w:r>
    </w:p>
    <w:p w:rsidR="001C6A8F" w:rsidRPr="00654E3B" w:rsidRDefault="001C6A8F" w:rsidP="001C6A8F">
      <w:pPr>
        <w:rPr>
          <w:rFonts w:cs="Times New Roman"/>
        </w:rPr>
      </w:pPr>
      <w:r w:rsidRPr="00654E3B">
        <w:rPr>
          <w:rFonts w:cs="Times New Roman"/>
        </w:rPr>
        <w:t>U NU1 scenariju očekuje se snažan porast korištenja energije iz obnovljivih izvora i diversifikacija korištenih izvora energije. Do 2030. korištenje OIE se povećava za 49</w:t>
      </w:r>
      <w:r w:rsidR="00060992" w:rsidRPr="00654E3B">
        <w:rPr>
          <w:rFonts w:cs="Times New Roman"/>
        </w:rPr>
        <w:t xml:space="preserve"> %</w:t>
      </w:r>
      <w:r w:rsidRPr="00654E3B">
        <w:rPr>
          <w:rFonts w:cs="Times New Roman"/>
        </w:rPr>
        <w:t>, a do 2050. godine za 81</w:t>
      </w:r>
      <w:r w:rsidR="00060992" w:rsidRPr="00654E3B">
        <w:rPr>
          <w:rFonts w:cs="Times New Roman"/>
        </w:rPr>
        <w:t xml:space="preserve"> %</w:t>
      </w:r>
      <w:r w:rsidRPr="00654E3B">
        <w:rPr>
          <w:rFonts w:cs="Times New Roman"/>
        </w:rPr>
        <w:t>.</w:t>
      </w:r>
    </w:p>
    <w:p w:rsidR="001C6A8F" w:rsidRPr="00654E3B" w:rsidRDefault="001C6A8F" w:rsidP="001C6A8F">
      <w:pPr>
        <w:keepNext/>
        <w:rPr>
          <w:rFonts w:cs="Times New Roman"/>
        </w:rPr>
      </w:pPr>
      <w:r w:rsidRPr="00654E3B">
        <w:rPr>
          <w:rFonts w:cs="Times New Roman"/>
        </w:rPr>
        <w:lastRenderedPageBreak/>
        <w:t>U tablici II.1-4 prikazane su projekcije potrošnje obnovljivih izvora energije u NU1 scenariju.</w:t>
      </w:r>
    </w:p>
    <w:p w:rsidR="001C6A8F" w:rsidRPr="00654E3B" w:rsidRDefault="001C6A8F" w:rsidP="001C6A8F">
      <w:pPr>
        <w:keepNext/>
        <w:rPr>
          <w:rFonts w:cs="Times New Roman"/>
          <w:i/>
        </w:rPr>
      </w:pPr>
      <w:r w:rsidRPr="00654E3B">
        <w:rPr>
          <w:rFonts w:cs="Times New Roman"/>
          <w:i/>
        </w:rPr>
        <w:t xml:space="preserve">Tablica II.1-4: Projekcije potrošnje obnovljivih izvora energije u NU1 scenariju </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Geotermalna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153,0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374,4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442,6</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Biogoriva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248,3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277,3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193,7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Bioplin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69,5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77,6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34,5</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Kruta biomasa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1292,6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1136,3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957,4</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Energija Sunca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119,7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265,5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413,2</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Energija vjetra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305,1</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476,7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675,7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Hidroenergija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629,3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662,3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708,9</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2817,6</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3270,2</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3426,0</w:t>
            </w:r>
          </w:p>
        </w:tc>
      </w:tr>
    </w:tbl>
    <w:p w:rsidR="001C6A8F" w:rsidRPr="00654E3B" w:rsidRDefault="001C6A8F" w:rsidP="001C6A8F">
      <w:pPr>
        <w:rPr>
          <w:rFonts w:cs="Times New Roman"/>
          <w:u w:val="single"/>
        </w:rPr>
      </w:pPr>
    </w:p>
    <w:p w:rsidR="001C6A8F" w:rsidRPr="00654E3B" w:rsidRDefault="001C6A8F" w:rsidP="001C6A8F">
      <w:pPr>
        <w:rPr>
          <w:rFonts w:cs="Times New Roman"/>
          <w:u w:val="single"/>
        </w:rPr>
      </w:pPr>
      <w:r w:rsidRPr="00654E3B">
        <w:rPr>
          <w:rFonts w:cs="Times New Roman"/>
          <w:u w:val="single"/>
        </w:rPr>
        <w:t>Proizvodnja električne energije i topline</w:t>
      </w:r>
    </w:p>
    <w:p w:rsidR="001C6A8F" w:rsidRPr="00654E3B" w:rsidRDefault="001C6A8F" w:rsidP="001C6A8F">
      <w:pPr>
        <w:rPr>
          <w:rFonts w:cs="Times New Roman"/>
        </w:rPr>
      </w:pPr>
      <w:r w:rsidRPr="00654E3B">
        <w:rPr>
          <w:rFonts w:cs="Times New Roman"/>
        </w:rPr>
        <w:t>U NU1 scenariju očekuje se povećanje domaće proizvodnje i značajna promjena u strukturi proizvodnje električne energije. Povećava se udio obnovljivih izvora energije, a smanjuje udio proizvodnje termoelektrana (općenito – termoelektrane, javne toplane i industrijske kogeneracije). Do kraja promatranog razdoblja sve potrebne količine električne energije mogle bi se proizvesti iz domaćih elektrana, ali je moguća razmjena sa susjednim sustavima (tj. neto uvoz je jednak nuli).</w:t>
      </w:r>
    </w:p>
    <w:p w:rsidR="001C6A8F" w:rsidRPr="00654E3B" w:rsidRDefault="001C6A8F" w:rsidP="001C6A8F">
      <w:pPr>
        <w:rPr>
          <w:rFonts w:cs="Times New Roman"/>
        </w:rPr>
      </w:pPr>
      <w:r w:rsidRPr="00654E3B">
        <w:rPr>
          <w:rFonts w:cs="Times New Roman"/>
        </w:rPr>
        <w:t xml:space="preserve">U NU1 scenariju ukupna snaga elektrana raste na 6,57 GW u 2030. godini, odnosno na 10,3 GW u 2050. godini. Prosječno je godišnje potrebno izgraditi oko 260 MW novih elektrana. </w:t>
      </w:r>
    </w:p>
    <w:p w:rsidR="001C6A8F" w:rsidRPr="00654E3B" w:rsidRDefault="001C6A8F" w:rsidP="001C6A8F">
      <w:pPr>
        <w:rPr>
          <w:rFonts w:cs="Times New Roman"/>
        </w:rPr>
      </w:pPr>
      <w:r w:rsidRPr="00654E3B">
        <w:rPr>
          <w:rFonts w:cs="Times New Roman"/>
        </w:rPr>
        <w:t>U NU1 do kraja razdoblja pretpostavljen je izlazak iz pogona NE Krško te postojećih jedinica na lokaciji Plomin. Nema izgradnje novih TE na ugljen.</w:t>
      </w:r>
    </w:p>
    <w:p w:rsidR="001C6A8F" w:rsidRPr="00654E3B" w:rsidRDefault="001C6A8F" w:rsidP="001C6A8F">
      <w:pPr>
        <w:rPr>
          <w:rFonts w:cs="Times New Roman"/>
        </w:rPr>
      </w:pPr>
      <w:r w:rsidRPr="00654E3B">
        <w:rPr>
          <w:rFonts w:cs="Times New Roman"/>
        </w:rPr>
        <w:t>U tablici II.1-5 prikazane su projekcije proizvodnje električne energije u NU1 scenariju.</w:t>
      </w:r>
    </w:p>
    <w:p w:rsidR="001C6A8F" w:rsidRPr="00654E3B" w:rsidRDefault="001C6A8F" w:rsidP="001C6A8F">
      <w:pPr>
        <w:rPr>
          <w:rFonts w:cs="Times New Roman"/>
          <w:i/>
        </w:rPr>
      </w:pPr>
      <w:r w:rsidRPr="00654E3B">
        <w:rPr>
          <w:rFonts w:cs="Times New Roman"/>
          <w:i/>
        </w:rPr>
        <w:t xml:space="preserve">Tablica II.1-5: Projekcije proizvodnje električne energije u NU1 scenariju </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Industrijske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320,3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280,4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239,8</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Javne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3508,0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3971,5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3199,7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Termoelektrane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799,5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160,3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1951,9</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Geotermalne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128,8</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365,8</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427,8</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Sunčane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1013,3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2374,6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3624,4</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Vjetroelektrane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3548,8</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5544,6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7858,9</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Hidroelektrane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7319,2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7702,5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8244,3</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16637,9</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20399,6</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25546,7</w:t>
            </w:r>
          </w:p>
        </w:tc>
      </w:tr>
    </w:tbl>
    <w:p w:rsidR="001C6A8F" w:rsidRPr="00654E3B" w:rsidRDefault="001C6A8F" w:rsidP="001C6A8F">
      <w:pPr>
        <w:rPr>
          <w:rFonts w:cs="Times New Roman"/>
          <w:u w:val="single"/>
        </w:rPr>
      </w:pPr>
    </w:p>
    <w:p w:rsidR="001C6A8F" w:rsidRPr="00654E3B" w:rsidRDefault="001C6A8F" w:rsidP="001C6A8F">
      <w:pPr>
        <w:keepNext/>
        <w:rPr>
          <w:rFonts w:cs="Times New Roman"/>
          <w:u w:val="single"/>
        </w:rPr>
      </w:pPr>
      <w:r w:rsidRPr="00654E3B">
        <w:rPr>
          <w:rFonts w:cs="Times New Roman"/>
          <w:u w:val="single"/>
        </w:rPr>
        <w:lastRenderedPageBreak/>
        <w:t>Proizvodnja i uvoz energije</w:t>
      </w:r>
    </w:p>
    <w:p w:rsidR="001C6A8F" w:rsidRPr="00654E3B" w:rsidRDefault="001C6A8F" w:rsidP="001C6A8F">
      <w:pPr>
        <w:keepNext/>
        <w:rPr>
          <w:rFonts w:cs="Times New Roman"/>
        </w:rPr>
      </w:pPr>
      <w:r w:rsidRPr="00654E3B">
        <w:rPr>
          <w:rFonts w:cs="Times New Roman"/>
        </w:rPr>
        <w:t>U NU1 scenariju udio domaće proizvodnje energije u ukupnoj potrošnji energije kontinuirano raste prema kraju razdoblja što se objašnjava smanjenjem ukupnih potreba za energijom: zbog mjera energetske učinkovitosti – obnova fonda zgrada i prelaska na druge oblike energije (npr. električna energija u prometu). Istovremeno se povećava proizvodnja iz OIE, i unatoč opadanju proizvodnje fosilnih goriva, vlastita opskrbljenost raste na 55,8</w:t>
      </w:r>
      <w:r w:rsidR="00060992" w:rsidRPr="00654E3B">
        <w:rPr>
          <w:rFonts w:cs="Times New Roman"/>
        </w:rPr>
        <w:t xml:space="preserve"> %</w:t>
      </w:r>
      <w:r w:rsidRPr="00654E3B">
        <w:rPr>
          <w:rFonts w:cs="Times New Roman"/>
        </w:rPr>
        <w:t xml:space="preserve"> u 2030. godini, da bi se nakon toga spustila na 51,7 </w:t>
      </w:r>
      <w:r w:rsidR="00060992" w:rsidRPr="00654E3B">
        <w:rPr>
          <w:rFonts w:cs="Times New Roman"/>
        </w:rPr>
        <w:t xml:space="preserve"> %</w:t>
      </w:r>
      <w:r w:rsidRPr="00654E3B">
        <w:rPr>
          <w:rFonts w:cs="Times New Roman"/>
        </w:rPr>
        <w:t xml:space="preserve"> u 2050. godini.</w:t>
      </w:r>
    </w:p>
    <w:p w:rsidR="001C6A8F" w:rsidRPr="00654E3B" w:rsidRDefault="001C6A8F" w:rsidP="001C6A8F">
      <w:pPr>
        <w:rPr>
          <w:rFonts w:cs="Times New Roman"/>
        </w:rPr>
      </w:pPr>
      <w:r w:rsidRPr="00654E3B">
        <w:rPr>
          <w:rFonts w:cs="Times New Roman"/>
        </w:rPr>
        <w:t>U tablici II.1-6 prikazane su projekcije proizvodnje i uvoza energije u NU1 scenariju.</w:t>
      </w:r>
    </w:p>
    <w:p w:rsidR="001C6A8F" w:rsidRPr="00654E3B" w:rsidRDefault="001C6A8F" w:rsidP="001C6A8F">
      <w:pPr>
        <w:rPr>
          <w:rFonts w:cs="Times New Roman"/>
          <w:i/>
        </w:rPr>
      </w:pPr>
      <w:r w:rsidRPr="00654E3B">
        <w:rPr>
          <w:rFonts w:cs="Times New Roman"/>
          <w:i/>
        </w:rPr>
        <w:t xml:space="preserve">Tablica II.1-6: Projekcije proizvodnje i uvoza energije u NU1 scenariju </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Domaća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4922,0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4700,6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3824,7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Uvozna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3861,6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3622,6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3566,9</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8783,7</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8323,2</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7391,7</w:t>
            </w:r>
          </w:p>
        </w:tc>
      </w:tr>
    </w:tbl>
    <w:p w:rsidR="001C6A8F" w:rsidRPr="00654E3B" w:rsidRDefault="001C6A8F" w:rsidP="001C6A8F">
      <w:pPr>
        <w:rPr>
          <w:rFonts w:cs="Times New Roman"/>
        </w:rPr>
      </w:pPr>
    </w:p>
    <w:p w:rsidR="001C6A8F" w:rsidRPr="00654E3B" w:rsidRDefault="001C6A8F" w:rsidP="001C6A8F">
      <w:pPr>
        <w:pStyle w:val="Heading2"/>
        <w:rPr>
          <w:rFonts w:ascii="Times New Roman" w:hAnsi="Times New Roman" w:cs="Times New Roman"/>
        </w:rPr>
      </w:pPr>
      <w:bookmarkStart w:id="369" w:name="_Toc69297805"/>
      <w:r w:rsidRPr="00654E3B">
        <w:rPr>
          <w:rFonts w:ascii="Times New Roman" w:hAnsi="Times New Roman" w:cs="Times New Roman"/>
        </w:rPr>
        <w:t xml:space="preserve">II.2. </w:t>
      </w:r>
      <w:r w:rsidRPr="00654E3B">
        <w:rPr>
          <w:rFonts w:ascii="Times New Roman" w:hAnsi="Times New Roman" w:cs="Times New Roman"/>
        </w:rPr>
        <w:tab/>
        <w:t>INDUSTRIJA</w:t>
      </w:r>
      <w:bookmarkEnd w:id="369"/>
    </w:p>
    <w:p w:rsidR="001C6A8F" w:rsidRPr="00654E3B" w:rsidRDefault="001C6A8F" w:rsidP="001C6A8F">
      <w:pPr>
        <w:pStyle w:val="NormalWeb"/>
        <w:ind w:hanging="705"/>
        <w:rPr>
          <w:rFonts w:eastAsia="Times New Roman" w:cs="Times New Roman"/>
          <w:lang w:eastAsia="hr-HR"/>
        </w:rPr>
      </w:pPr>
    </w:p>
    <w:p w:rsidR="001C6A8F" w:rsidRPr="00654E3B" w:rsidRDefault="001C6A8F" w:rsidP="001C6A8F">
      <w:pPr>
        <w:pStyle w:val="NormalWeb"/>
        <w:rPr>
          <w:rFonts w:eastAsia="MS Mincho" w:cs="Times New Roman"/>
          <w:lang w:eastAsia="hr-HR"/>
        </w:rPr>
      </w:pPr>
      <w:r w:rsidRPr="00654E3B">
        <w:rPr>
          <w:rFonts w:eastAsia="MS Mincho" w:cs="Times New Roman"/>
          <w:lang w:eastAsia="hr-HR"/>
        </w:rPr>
        <w:t>Scenarij uključuje primjenu troškovno-učinkovitih mjera za smanjenje emisija stakleničkih plinova iz potrošnje energije po industrijskim granama i procesnih emisija u proizvodnji cementa, te smanjenje emisije hlapljivih organskih spojeva, kontroliranih tvari i fluoriranih stakleničkih plinova.</w:t>
      </w:r>
    </w:p>
    <w:p w:rsidR="001C6A8F" w:rsidRPr="00654E3B" w:rsidRDefault="001C6A8F" w:rsidP="001C6A8F">
      <w:pPr>
        <w:pStyle w:val="NormalWeb"/>
        <w:rPr>
          <w:rFonts w:eastAsia="MS Mincho" w:cs="Times New Roman"/>
          <w:lang w:eastAsia="hr-HR"/>
        </w:rPr>
      </w:pPr>
      <w:r w:rsidRPr="00654E3B">
        <w:rPr>
          <w:rFonts w:eastAsia="MS Mincho" w:cs="Times New Roman"/>
          <w:lang w:eastAsia="hr-HR"/>
        </w:rPr>
        <w:t>Prerađivačka industrija</w:t>
      </w:r>
    </w:p>
    <w:p w:rsidR="001C6A8F" w:rsidRPr="00654E3B" w:rsidRDefault="001C6A8F" w:rsidP="001C6A8F">
      <w:pPr>
        <w:pStyle w:val="NormalWeb"/>
        <w:rPr>
          <w:rFonts w:eastAsia="MS Mincho" w:cs="Times New Roman"/>
          <w:lang w:eastAsia="hr-HR"/>
        </w:rPr>
      </w:pPr>
      <w:r w:rsidRPr="00654E3B">
        <w:rPr>
          <w:rFonts w:eastAsia="MS Mincho" w:cs="Times New Roman"/>
          <w:lang w:eastAsia="hr-HR"/>
        </w:rPr>
        <w:t>Mjere za smanjenje emisija stakleničkih plinova iz potrošnje energije u industriji uključuju:</w:t>
      </w:r>
    </w:p>
    <w:p w:rsidR="001C6A8F" w:rsidRPr="00654E3B" w:rsidRDefault="001C6A8F" w:rsidP="001C6A8F">
      <w:pPr>
        <w:pStyle w:val="NormalWeb"/>
        <w:numPr>
          <w:ilvl w:val="0"/>
          <w:numId w:val="64"/>
        </w:numPr>
        <w:rPr>
          <w:rFonts w:eastAsia="MS Mincho" w:cs="Times New Roman"/>
          <w:lang w:eastAsia="hr-HR"/>
        </w:rPr>
      </w:pPr>
      <w:r w:rsidRPr="00654E3B">
        <w:rPr>
          <w:rFonts w:eastAsia="MS Mincho" w:cs="Times New Roman"/>
          <w:lang w:eastAsia="hr-HR"/>
        </w:rPr>
        <w:t>povećanje energetske učinkovitosti</w:t>
      </w:r>
    </w:p>
    <w:p w:rsidR="001C6A8F" w:rsidRPr="00654E3B" w:rsidRDefault="001C6A8F" w:rsidP="001C6A8F">
      <w:pPr>
        <w:pStyle w:val="NormalWeb"/>
        <w:numPr>
          <w:ilvl w:val="0"/>
          <w:numId w:val="64"/>
        </w:numPr>
        <w:rPr>
          <w:rFonts w:eastAsia="MS Mincho" w:cs="Times New Roman"/>
          <w:lang w:eastAsia="hr-HR"/>
        </w:rPr>
      </w:pPr>
      <w:r w:rsidRPr="00654E3B">
        <w:rPr>
          <w:rFonts w:eastAsia="MS Mincho" w:cs="Times New Roman"/>
          <w:lang w:eastAsia="hr-HR"/>
        </w:rPr>
        <w:t>zamjenu energenata u industrijskim kogeneracijama/toplanama</w:t>
      </w:r>
    </w:p>
    <w:p w:rsidR="001C6A8F" w:rsidRPr="00654E3B" w:rsidRDefault="001C6A8F" w:rsidP="001C6A8F">
      <w:pPr>
        <w:pStyle w:val="NormalWeb"/>
        <w:numPr>
          <w:ilvl w:val="0"/>
          <w:numId w:val="64"/>
        </w:numPr>
        <w:rPr>
          <w:rFonts w:eastAsia="MS Mincho" w:cs="Times New Roman"/>
          <w:lang w:eastAsia="hr-HR"/>
        </w:rPr>
      </w:pPr>
      <w:r w:rsidRPr="00654E3B">
        <w:rPr>
          <w:rFonts w:eastAsia="MS Mincho" w:cs="Times New Roman"/>
          <w:lang w:eastAsia="hr-HR"/>
        </w:rPr>
        <w:t>upotrebu biogoriva u vancestovnim vozilima.</w:t>
      </w:r>
    </w:p>
    <w:p w:rsidR="001C6A8F" w:rsidRPr="00654E3B" w:rsidRDefault="001C6A8F" w:rsidP="001C6A8F">
      <w:pPr>
        <w:pStyle w:val="NormalWeb"/>
        <w:rPr>
          <w:rFonts w:eastAsia="MS Mincho" w:cs="Times New Roman"/>
          <w:lang w:eastAsia="hr-HR"/>
        </w:rPr>
      </w:pPr>
      <w:r w:rsidRPr="00654E3B">
        <w:rPr>
          <w:rFonts w:eastAsia="MS Mincho" w:cs="Times New Roman"/>
          <w:lang w:eastAsia="hr-HR"/>
        </w:rPr>
        <w:t>Procesne mjere za smanjenje emisija stakleničkih plinova iz industrijskih procesa:</w:t>
      </w:r>
    </w:p>
    <w:p w:rsidR="001C6A8F" w:rsidRPr="00654E3B" w:rsidRDefault="001C6A8F" w:rsidP="001C6A8F">
      <w:pPr>
        <w:pStyle w:val="NormalWeb"/>
        <w:numPr>
          <w:ilvl w:val="0"/>
          <w:numId w:val="65"/>
        </w:numPr>
        <w:rPr>
          <w:rFonts w:eastAsia="MS Mincho" w:cs="Times New Roman"/>
          <w:lang w:eastAsia="hr-HR"/>
        </w:rPr>
      </w:pPr>
      <w:r w:rsidRPr="00654E3B">
        <w:rPr>
          <w:rFonts w:eastAsia="MS Mincho" w:cs="Times New Roman"/>
          <w:lang w:eastAsia="hr-HR"/>
        </w:rPr>
        <w:t>postupno smanjenje udjela klinkera u proizvodnji cementa (u 2030. udio iznosi 65</w:t>
      </w:r>
      <w:r w:rsidR="00060992" w:rsidRPr="00654E3B">
        <w:rPr>
          <w:rFonts w:eastAsia="MS Mincho" w:cs="Times New Roman"/>
          <w:lang w:eastAsia="hr-HR"/>
        </w:rPr>
        <w:t xml:space="preserve"> %</w:t>
      </w:r>
      <w:r w:rsidRPr="00654E3B">
        <w:rPr>
          <w:rFonts w:eastAsia="MS Mincho" w:cs="Times New Roman"/>
          <w:lang w:eastAsia="hr-HR"/>
        </w:rPr>
        <w:t>, a u 2050. 50</w:t>
      </w:r>
      <w:r w:rsidR="00060992" w:rsidRPr="00654E3B">
        <w:rPr>
          <w:rFonts w:eastAsia="MS Mincho" w:cs="Times New Roman"/>
          <w:lang w:eastAsia="hr-HR"/>
        </w:rPr>
        <w:t xml:space="preserve"> %</w:t>
      </w:r>
      <w:r w:rsidRPr="00654E3B">
        <w:rPr>
          <w:rFonts w:eastAsia="MS Mincho" w:cs="Times New Roman"/>
          <w:lang w:eastAsia="hr-HR"/>
        </w:rPr>
        <w:t>).</w:t>
      </w:r>
    </w:p>
    <w:p w:rsidR="001C6A8F" w:rsidRPr="00654E3B" w:rsidRDefault="001C6A8F" w:rsidP="001C6A8F">
      <w:pPr>
        <w:rPr>
          <w:rFonts w:cs="Times New Roman"/>
          <w:u w:val="single"/>
        </w:rPr>
      </w:pPr>
      <w:r w:rsidRPr="00654E3B">
        <w:rPr>
          <w:rFonts w:cs="Times New Roman"/>
          <w:u w:val="single"/>
        </w:rPr>
        <w:t>Uporaba zamjenskih tvari za tvari koje oštećuju ozonski sloj</w:t>
      </w:r>
    </w:p>
    <w:p w:rsidR="001C6A8F" w:rsidRPr="00654E3B" w:rsidRDefault="001C6A8F" w:rsidP="001C6A8F">
      <w:pPr>
        <w:rPr>
          <w:rFonts w:cs="Times New Roman"/>
        </w:rPr>
      </w:pPr>
      <w:r w:rsidRPr="00654E3B">
        <w:rPr>
          <w:rFonts w:cs="Times New Roman"/>
        </w:rPr>
        <w:t>Scenarij NU1 uključuje intenzivnije smanjenje fluoriranih stakleničkih plinova dostupnih na tržištu nakon 2030. godine, u odnosu na NUR scenarij, sukladno stručnoj procjeni temeljenoj na nastavku trenda smanjenja fluoriranih stakleničkih plinova. U scenarij NU1 uključene su pretpostavke o broju vozila, što je povezano sa smanjenjem emisija fluoriranih stakleničkih plinova iz mobilnih sustava za klimatiziranje.</w:t>
      </w:r>
      <w:r w:rsidRPr="00654E3B">
        <w:rPr>
          <w:rFonts w:eastAsia="MS Mincho" w:cs="Times New Roman"/>
          <w:szCs w:val="24"/>
          <w:lang w:eastAsia="ja-JP"/>
        </w:rPr>
        <w:t xml:space="preserve"> O</w:t>
      </w:r>
      <w:r w:rsidRPr="00654E3B">
        <w:rPr>
          <w:rFonts w:cs="Times New Roman"/>
        </w:rPr>
        <w:t>graničavanje mogućnosti naknadne ugradnje klimatizacijske opreme oblikovane da sadrži fluorirane stakleničke plinove s potencijalom globalnog zagrijavanja iznad 150 u motorna vozila temeljena je na stručnoj procjeni, sukladno analizi grupe zemalja sličnih nacionalnih karakteristika.</w:t>
      </w:r>
    </w:p>
    <w:p w:rsidR="001C6A8F" w:rsidRPr="00654E3B" w:rsidRDefault="001C6A8F" w:rsidP="001C6A8F">
      <w:pPr>
        <w:pStyle w:val="Heading2"/>
        <w:rPr>
          <w:rFonts w:ascii="Times New Roman" w:hAnsi="Times New Roman" w:cs="Times New Roman"/>
        </w:rPr>
      </w:pPr>
      <w:bookmarkStart w:id="370" w:name="_Toc69297806"/>
      <w:r w:rsidRPr="00654E3B">
        <w:rPr>
          <w:rFonts w:ascii="Times New Roman" w:hAnsi="Times New Roman" w:cs="Times New Roman"/>
        </w:rPr>
        <w:lastRenderedPageBreak/>
        <w:t xml:space="preserve">II.3. </w:t>
      </w:r>
      <w:r w:rsidRPr="00654E3B">
        <w:rPr>
          <w:rFonts w:ascii="Times New Roman" w:hAnsi="Times New Roman" w:cs="Times New Roman"/>
        </w:rPr>
        <w:tab/>
        <w:t>PROMET</w:t>
      </w:r>
      <w:bookmarkEnd w:id="370"/>
    </w:p>
    <w:p w:rsidR="001C6A8F" w:rsidRPr="00654E3B" w:rsidRDefault="001C6A8F" w:rsidP="001C6A8F">
      <w:pPr>
        <w:keepNext/>
        <w:rPr>
          <w:rFonts w:cs="Times New Roman"/>
        </w:rPr>
      </w:pPr>
    </w:p>
    <w:p w:rsidR="001C6A8F" w:rsidRPr="00654E3B" w:rsidRDefault="001C6A8F" w:rsidP="001C6A8F">
      <w:pPr>
        <w:keepNext/>
        <w:rPr>
          <w:rFonts w:cs="Times New Roman"/>
        </w:rPr>
      </w:pPr>
      <w:r w:rsidRPr="00654E3B">
        <w:rPr>
          <w:rFonts w:cs="Times New Roman"/>
        </w:rPr>
        <w:t xml:space="preserve">U sektoru prometa uključene su sljedeće pretpostavke i mjere u NU1 scenariju: </w:t>
      </w:r>
    </w:p>
    <w:p w:rsidR="001C6A8F" w:rsidRPr="00654E3B" w:rsidRDefault="001C6A8F" w:rsidP="001C6A8F">
      <w:pPr>
        <w:pStyle w:val="ListParagraph"/>
        <w:keepNext/>
        <w:numPr>
          <w:ilvl w:val="0"/>
          <w:numId w:val="66"/>
        </w:numPr>
        <w:spacing w:line="240" w:lineRule="auto"/>
        <w:rPr>
          <w:rFonts w:cs="Times New Roman"/>
        </w:rPr>
      </w:pPr>
      <w:r w:rsidRPr="00654E3B">
        <w:rPr>
          <w:rFonts w:cs="Times New Roman"/>
        </w:rPr>
        <w:t>porast udjela električnih vozila na 35</w:t>
      </w:r>
      <w:r w:rsidR="00060992" w:rsidRPr="00654E3B">
        <w:rPr>
          <w:rFonts w:cs="Times New Roman"/>
        </w:rPr>
        <w:t xml:space="preserve"> %</w:t>
      </w:r>
      <w:r w:rsidRPr="00654E3B">
        <w:rPr>
          <w:rFonts w:cs="Times New Roman"/>
        </w:rPr>
        <w:t xml:space="preserve"> od ukupnog broja automobila u 2050. godini, odnosno 762.700 električnih vozila u 2050. godini</w:t>
      </w:r>
    </w:p>
    <w:p w:rsidR="001C6A8F" w:rsidRPr="00654E3B" w:rsidRDefault="001C6A8F" w:rsidP="001C6A8F">
      <w:pPr>
        <w:pStyle w:val="ListParagraph"/>
        <w:keepNext/>
        <w:numPr>
          <w:ilvl w:val="0"/>
          <w:numId w:val="66"/>
        </w:numPr>
        <w:spacing w:line="240" w:lineRule="auto"/>
        <w:rPr>
          <w:rFonts w:cs="Times New Roman"/>
        </w:rPr>
      </w:pPr>
      <w:r w:rsidRPr="00654E3B">
        <w:rPr>
          <w:rFonts w:cs="Times New Roman"/>
        </w:rPr>
        <w:t>porast broja hibridnih i plug-in hibridnih vozila na 20</w:t>
      </w:r>
      <w:r w:rsidR="00060992" w:rsidRPr="00654E3B">
        <w:rPr>
          <w:rFonts w:cs="Times New Roman"/>
        </w:rPr>
        <w:t xml:space="preserve"> %</w:t>
      </w:r>
      <w:r w:rsidRPr="00654E3B">
        <w:rPr>
          <w:rFonts w:cs="Times New Roman"/>
        </w:rPr>
        <w:t xml:space="preserve"> (6</w:t>
      </w:r>
      <w:r w:rsidR="00060992" w:rsidRPr="00654E3B">
        <w:rPr>
          <w:rFonts w:cs="Times New Roman"/>
        </w:rPr>
        <w:t xml:space="preserve"> %</w:t>
      </w:r>
      <w:r w:rsidRPr="00654E3B">
        <w:rPr>
          <w:rFonts w:cs="Times New Roman"/>
        </w:rPr>
        <w:t xml:space="preserve"> hibridnih i 14</w:t>
      </w:r>
      <w:r w:rsidR="00060992" w:rsidRPr="00654E3B">
        <w:rPr>
          <w:rFonts w:cs="Times New Roman"/>
        </w:rPr>
        <w:t xml:space="preserve"> %</w:t>
      </w:r>
      <w:r w:rsidRPr="00654E3B">
        <w:rPr>
          <w:rFonts w:cs="Times New Roman"/>
        </w:rPr>
        <w:t xml:space="preserve"> plug-in hibridnih) od ukupnog broja osobnih vozila do 2050. godine, čime bi broj hibridnih i plug-in hibridnih vozila u 2030. godini iznosio oko 70.000, a u 2050. godini broj vozila za obadvije kategorije bi iznosio ukupno 449.000 vozila.</w:t>
      </w:r>
    </w:p>
    <w:p w:rsidR="001C6A8F" w:rsidRPr="00654E3B" w:rsidRDefault="001C6A8F" w:rsidP="001C6A8F">
      <w:pPr>
        <w:pStyle w:val="ListParagraph"/>
        <w:numPr>
          <w:ilvl w:val="0"/>
          <w:numId w:val="66"/>
        </w:numPr>
        <w:spacing w:line="240" w:lineRule="auto"/>
        <w:rPr>
          <w:rFonts w:cs="Times New Roman"/>
        </w:rPr>
      </w:pPr>
      <w:r w:rsidRPr="00654E3B">
        <w:rPr>
          <w:rFonts w:cs="Times New Roman"/>
        </w:rPr>
        <w:t>porast broja vozila koja koriste vodik nakon 2030. godine na 1,4</w:t>
      </w:r>
      <w:r w:rsidR="00060992" w:rsidRPr="00654E3B">
        <w:rPr>
          <w:rFonts w:cs="Times New Roman"/>
        </w:rPr>
        <w:t xml:space="preserve"> %</w:t>
      </w:r>
      <w:r w:rsidRPr="00654E3B">
        <w:rPr>
          <w:rFonts w:cs="Times New Roman"/>
        </w:rPr>
        <w:t xml:space="preserve"> od ukupnog broja osobnih vozila, odnosno na oko 31.000 vozila u 2050. godini</w:t>
      </w:r>
    </w:p>
    <w:p w:rsidR="001C6A8F" w:rsidRPr="00654E3B" w:rsidRDefault="001C6A8F" w:rsidP="001C6A8F">
      <w:pPr>
        <w:pStyle w:val="ListParagraph"/>
        <w:numPr>
          <w:ilvl w:val="0"/>
          <w:numId w:val="66"/>
        </w:numPr>
        <w:spacing w:line="240" w:lineRule="auto"/>
        <w:rPr>
          <w:rFonts w:cs="Times New Roman"/>
        </w:rPr>
      </w:pPr>
      <w:r w:rsidRPr="00654E3B">
        <w:rPr>
          <w:rFonts w:cs="Times New Roman"/>
        </w:rPr>
        <w:t>porast udjela biogoriva u benzinskim i dizelskim gorivima na prosječnih 12</w:t>
      </w:r>
      <w:r w:rsidR="00060992" w:rsidRPr="00654E3B">
        <w:rPr>
          <w:rFonts w:cs="Times New Roman"/>
        </w:rPr>
        <w:t xml:space="preserve"> %</w:t>
      </w:r>
      <w:r w:rsidRPr="00654E3B">
        <w:rPr>
          <w:rFonts w:cs="Times New Roman"/>
        </w:rPr>
        <w:t xml:space="preserve"> do 2050. godine</w:t>
      </w:r>
    </w:p>
    <w:p w:rsidR="001C6A8F" w:rsidRPr="00654E3B" w:rsidRDefault="001C6A8F" w:rsidP="001C6A8F">
      <w:pPr>
        <w:pStyle w:val="ListParagraph"/>
        <w:numPr>
          <w:ilvl w:val="0"/>
          <w:numId w:val="66"/>
        </w:numPr>
        <w:spacing w:line="240" w:lineRule="auto"/>
        <w:rPr>
          <w:rFonts w:cs="Times New Roman"/>
        </w:rPr>
      </w:pPr>
      <w:r w:rsidRPr="00654E3B">
        <w:rPr>
          <w:rFonts w:cs="Times New Roman"/>
        </w:rPr>
        <w:t>popularizacija integriranog i intermodalnog s naglaskom na razvoj željeznice za prijevoz tereta, (rast na oko 25</w:t>
      </w:r>
      <w:r w:rsidR="00060992" w:rsidRPr="00654E3B">
        <w:rPr>
          <w:rFonts w:cs="Times New Roman"/>
        </w:rPr>
        <w:t xml:space="preserve"> %</w:t>
      </w:r>
      <w:r w:rsidRPr="00654E3B">
        <w:rPr>
          <w:rFonts w:cs="Times New Roman"/>
        </w:rPr>
        <w:t xml:space="preserve"> u 2050. godini), pri čemu se očekuje sukcesivno uvođenje električnih lokomotiva umjesto dizelskih</w:t>
      </w:r>
    </w:p>
    <w:p w:rsidR="001C6A8F" w:rsidRPr="00654E3B" w:rsidRDefault="001C6A8F" w:rsidP="001C6A8F">
      <w:pPr>
        <w:pStyle w:val="ListParagraph"/>
        <w:numPr>
          <w:ilvl w:val="0"/>
          <w:numId w:val="66"/>
        </w:numPr>
        <w:spacing w:line="240" w:lineRule="auto"/>
        <w:rPr>
          <w:rFonts w:cs="Times New Roman"/>
        </w:rPr>
      </w:pPr>
      <w:r w:rsidRPr="00654E3B">
        <w:rPr>
          <w:rFonts w:cs="Times New Roman"/>
        </w:rPr>
        <w:t>u pomorskom prometu pretpostavlja se da će u 2050. godini udio biogoriva iznositi 20</w:t>
      </w:r>
      <w:r w:rsidR="00060992" w:rsidRPr="00654E3B">
        <w:rPr>
          <w:rFonts w:cs="Times New Roman"/>
        </w:rPr>
        <w:t xml:space="preserve"> %</w:t>
      </w:r>
      <w:r w:rsidRPr="00654E3B">
        <w:rPr>
          <w:rFonts w:cs="Times New Roman"/>
        </w:rPr>
        <w:t>, UPP-a 5</w:t>
      </w:r>
      <w:r w:rsidR="00060992" w:rsidRPr="00654E3B">
        <w:rPr>
          <w:rFonts w:cs="Times New Roman"/>
        </w:rPr>
        <w:t xml:space="preserve"> %</w:t>
      </w:r>
      <w:r w:rsidRPr="00654E3B">
        <w:rPr>
          <w:rFonts w:cs="Times New Roman"/>
        </w:rPr>
        <w:t>.</w:t>
      </w:r>
    </w:p>
    <w:p w:rsidR="001C6A8F" w:rsidRPr="00654E3B" w:rsidRDefault="001C6A8F" w:rsidP="001C6A8F">
      <w:pPr>
        <w:pStyle w:val="Heading2"/>
        <w:rPr>
          <w:rFonts w:ascii="Times New Roman" w:hAnsi="Times New Roman" w:cs="Times New Roman"/>
        </w:rPr>
      </w:pPr>
      <w:bookmarkStart w:id="371" w:name="_Toc69297807"/>
      <w:r w:rsidRPr="00654E3B">
        <w:rPr>
          <w:rFonts w:ascii="Times New Roman" w:hAnsi="Times New Roman" w:cs="Times New Roman"/>
        </w:rPr>
        <w:t xml:space="preserve">II.4. </w:t>
      </w:r>
      <w:r w:rsidRPr="00654E3B">
        <w:rPr>
          <w:rFonts w:ascii="Times New Roman" w:hAnsi="Times New Roman" w:cs="Times New Roman"/>
        </w:rPr>
        <w:tab/>
        <w:t>SEKTOR OPĆE POTROŠNJE</w:t>
      </w:r>
      <w:bookmarkEnd w:id="371"/>
    </w:p>
    <w:p w:rsidR="001C6A8F" w:rsidRPr="00654E3B" w:rsidRDefault="001C6A8F" w:rsidP="001C6A8F">
      <w:pPr>
        <w:rPr>
          <w:rFonts w:cs="Times New Roman"/>
        </w:rPr>
      </w:pPr>
    </w:p>
    <w:p w:rsidR="001C6A8F" w:rsidRPr="00654E3B" w:rsidRDefault="001C6A8F" w:rsidP="001C6A8F">
      <w:pPr>
        <w:rPr>
          <w:rFonts w:cs="Times New Roman"/>
        </w:rPr>
      </w:pPr>
      <w:r w:rsidRPr="00654E3B">
        <w:rPr>
          <w:rFonts w:cs="Times New Roman"/>
        </w:rPr>
        <w:t>U NU1 scenariju za dostizanje ciljeva uključene su sljedeće mjere:</w:t>
      </w:r>
    </w:p>
    <w:p w:rsidR="001C6A8F" w:rsidRPr="00654E3B" w:rsidRDefault="001C6A8F" w:rsidP="001C6A8F">
      <w:pPr>
        <w:pStyle w:val="ListParagraph"/>
        <w:numPr>
          <w:ilvl w:val="0"/>
          <w:numId w:val="67"/>
        </w:numPr>
        <w:spacing w:line="240" w:lineRule="auto"/>
        <w:rPr>
          <w:rFonts w:cs="Times New Roman"/>
        </w:rPr>
      </w:pPr>
      <w:r w:rsidRPr="00654E3B">
        <w:rPr>
          <w:rFonts w:cs="Times New Roman"/>
        </w:rPr>
        <w:t>najznačajniji doprinos smanjenju potrošnji energije daje energetska obnova zgrada – obnova postojećeg fonda zgrada, prikladnog za obnovu, po godišnjoj stopi od 1,6</w:t>
      </w:r>
      <w:r w:rsidR="00060992" w:rsidRPr="00654E3B">
        <w:rPr>
          <w:rFonts w:cs="Times New Roman"/>
        </w:rPr>
        <w:t xml:space="preserve"> %</w:t>
      </w:r>
      <w:r w:rsidR="00827D0A" w:rsidRPr="00654E3B">
        <w:rPr>
          <w:rFonts w:cs="Times New Roman"/>
        </w:rPr>
        <w:t xml:space="preserve">. </w:t>
      </w:r>
    </w:p>
    <w:p w:rsidR="001C6A8F" w:rsidRPr="00654E3B" w:rsidRDefault="001C6A8F" w:rsidP="006347C0">
      <w:pPr>
        <w:pStyle w:val="ListParagraph"/>
        <w:numPr>
          <w:ilvl w:val="0"/>
          <w:numId w:val="67"/>
        </w:numPr>
        <w:spacing w:line="240" w:lineRule="auto"/>
        <w:rPr>
          <w:rFonts w:cs="Times New Roman"/>
        </w:rPr>
      </w:pPr>
      <w:r w:rsidRPr="00654E3B">
        <w:rPr>
          <w:rFonts w:cs="Times New Roman"/>
        </w:rPr>
        <w:t>u sektoru kućanstava previđa se obnova oko 10.000 stambenih jedinica godišnje.</w:t>
      </w:r>
    </w:p>
    <w:p w:rsidR="001C6A8F" w:rsidRPr="00654E3B" w:rsidRDefault="00982D90" w:rsidP="001C6A8F">
      <w:pPr>
        <w:pStyle w:val="ListParagraph"/>
        <w:numPr>
          <w:ilvl w:val="0"/>
          <w:numId w:val="67"/>
        </w:numPr>
        <w:spacing w:line="240" w:lineRule="auto"/>
        <w:rPr>
          <w:rFonts w:cs="Times New Roman"/>
        </w:rPr>
      </w:pPr>
      <w:r w:rsidRPr="00654E3B">
        <w:rPr>
          <w:rFonts w:cs="Times New Roman"/>
        </w:rPr>
        <w:t xml:space="preserve">povećanje udjela </w:t>
      </w:r>
      <w:r w:rsidR="001C6A8F" w:rsidRPr="00654E3B">
        <w:rPr>
          <w:rFonts w:cs="Times New Roman"/>
        </w:rPr>
        <w:t>električne energije za toplinske namjene je snažno prisutna</w:t>
      </w:r>
    </w:p>
    <w:p w:rsidR="001C6A8F" w:rsidRPr="00654E3B" w:rsidRDefault="001C6A8F" w:rsidP="001C6A8F">
      <w:pPr>
        <w:pStyle w:val="ListParagraph"/>
        <w:numPr>
          <w:ilvl w:val="0"/>
          <w:numId w:val="67"/>
        </w:numPr>
        <w:spacing w:line="240" w:lineRule="auto"/>
        <w:rPr>
          <w:rFonts w:cs="Times New Roman"/>
        </w:rPr>
      </w:pPr>
      <w:r w:rsidRPr="00654E3B">
        <w:rPr>
          <w:rFonts w:cs="Times New Roman"/>
        </w:rPr>
        <w:t>do 2050. godine 36</w:t>
      </w:r>
      <w:r w:rsidR="00060992" w:rsidRPr="00654E3B">
        <w:rPr>
          <w:rFonts w:cs="Times New Roman"/>
        </w:rPr>
        <w:t xml:space="preserve"> %</w:t>
      </w:r>
      <w:r w:rsidRPr="00654E3B">
        <w:rPr>
          <w:rFonts w:cs="Times New Roman"/>
        </w:rPr>
        <w:t xml:space="preserve"> stambenog fonda su novoizgrađene stambene jedince, a 21</w:t>
      </w:r>
      <w:r w:rsidR="00060992" w:rsidRPr="00654E3B">
        <w:rPr>
          <w:rFonts w:cs="Times New Roman"/>
        </w:rPr>
        <w:t xml:space="preserve"> %</w:t>
      </w:r>
      <w:r w:rsidRPr="00654E3B">
        <w:rPr>
          <w:rFonts w:cs="Times New Roman"/>
        </w:rPr>
        <w:t xml:space="preserve"> stambenih jedinica ima poboljšanu toplinsku izolaciju u odnosu na 2016. godinu, što rezultira specifičnom potrošnjom 67 kWh/m</w:t>
      </w:r>
      <w:r w:rsidRPr="00654E3B">
        <w:rPr>
          <w:rFonts w:cs="Times New Roman"/>
          <w:vertAlign w:val="superscript"/>
        </w:rPr>
        <w:t>2</w:t>
      </w:r>
      <w:r w:rsidRPr="00654E3B">
        <w:rPr>
          <w:rFonts w:cs="Times New Roman"/>
        </w:rPr>
        <w:t xml:space="preserve"> grijane površine</w:t>
      </w:r>
    </w:p>
    <w:p w:rsidR="001C6A8F" w:rsidRPr="00654E3B" w:rsidRDefault="001C6A8F" w:rsidP="001C6A8F">
      <w:pPr>
        <w:pStyle w:val="ListParagraph"/>
        <w:numPr>
          <w:ilvl w:val="0"/>
          <w:numId w:val="67"/>
        </w:numPr>
        <w:spacing w:line="240" w:lineRule="auto"/>
        <w:rPr>
          <w:rFonts w:cs="Times New Roman"/>
        </w:rPr>
      </w:pPr>
      <w:r w:rsidRPr="00654E3B">
        <w:rPr>
          <w:rFonts w:cs="Times New Roman"/>
        </w:rPr>
        <w:t>struktura energenata za grijanje u kućanstvima u 2050. godini je 43</w:t>
      </w:r>
      <w:r w:rsidR="00060992" w:rsidRPr="00654E3B">
        <w:rPr>
          <w:rFonts w:cs="Times New Roman"/>
        </w:rPr>
        <w:t xml:space="preserve"> %</w:t>
      </w:r>
      <w:r w:rsidRPr="00654E3B">
        <w:rPr>
          <w:rFonts w:cs="Times New Roman"/>
        </w:rPr>
        <w:t xml:space="preserve"> biomasa (pri čemu je 27</w:t>
      </w:r>
      <w:r w:rsidR="00060992" w:rsidRPr="00654E3B">
        <w:rPr>
          <w:rFonts w:cs="Times New Roman"/>
        </w:rPr>
        <w:t xml:space="preserve"> %</w:t>
      </w:r>
      <w:r w:rsidRPr="00654E3B">
        <w:rPr>
          <w:rFonts w:cs="Times New Roman"/>
        </w:rPr>
        <w:t xml:space="preserve"> moderna biomasa, a ostalo ogrjevno drvo), 19</w:t>
      </w:r>
      <w:r w:rsidR="00060992" w:rsidRPr="00654E3B">
        <w:rPr>
          <w:rFonts w:cs="Times New Roman"/>
        </w:rPr>
        <w:t xml:space="preserve"> %</w:t>
      </w:r>
      <w:r w:rsidRPr="00654E3B">
        <w:rPr>
          <w:rFonts w:cs="Times New Roman"/>
        </w:rPr>
        <w:t xml:space="preserve"> dizalice topline, 10</w:t>
      </w:r>
      <w:r w:rsidR="00060992" w:rsidRPr="00654E3B">
        <w:rPr>
          <w:rFonts w:cs="Times New Roman"/>
        </w:rPr>
        <w:t xml:space="preserve"> %</w:t>
      </w:r>
      <w:r w:rsidRPr="00654E3B">
        <w:rPr>
          <w:rFonts w:cs="Times New Roman"/>
        </w:rPr>
        <w:t xml:space="preserve"> daljinsko grijanje te prirodni plin 29</w:t>
      </w:r>
      <w:r w:rsidR="00060992" w:rsidRPr="00654E3B">
        <w:rPr>
          <w:rFonts w:cs="Times New Roman"/>
        </w:rPr>
        <w:t xml:space="preserve"> %</w:t>
      </w:r>
    </w:p>
    <w:p w:rsidR="001C6A8F" w:rsidRPr="00654E3B" w:rsidRDefault="001C6A8F" w:rsidP="001C6A8F">
      <w:pPr>
        <w:pStyle w:val="ListParagraph"/>
        <w:numPr>
          <w:ilvl w:val="0"/>
          <w:numId w:val="67"/>
        </w:numPr>
        <w:spacing w:line="240" w:lineRule="auto"/>
        <w:rPr>
          <w:rFonts w:cs="Times New Roman"/>
        </w:rPr>
      </w:pPr>
      <w:r w:rsidRPr="00654E3B">
        <w:rPr>
          <w:rFonts w:cs="Times New Roman"/>
        </w:rPr>
        <w:t>toplinske potrebe u uslužnom sektoru do 2050. godine svode se na 55 kWh/m</w:t>
      </w:r>
      <w:r w:rsidRPr="00654E3B">
        <w:rPr>
          <w:rFonts w:cs="Times New Roman"/>
          <w:vertAlign w:val="superscript"/>
        </w:rPr>
        <w:t>2</w:t>
      </w:r>
      <w:r w:rsidRPr="00654E3B">
        <w:rPr>
          <w:rFonts w:cs="Times New Roman"/>
        </w:rPr>
        <w:t xml:space="preserve"> grijane površine.</w:t>
      </w:r>
    </w:p>
    <w:p w:rsidR="001C6A8F" w:rsidRPr="00654E3B" w:rsidRDefault="001C6A8F" w:rsidP="001C6A8F">
      <w:pPr>
        <w:pStyle w:val="Heading2"/>
        <w:rPr>
          <w:rFonts w:ascii="Times New Roman" w:hAnsi="Times New Roman" w:cs="Times New Roman"/>
        </w:rPr>
      </w:pPr>
      <w:bookmarkStart w:id="372" w:name="_Toc69297808"/>
      <w:r w:rsidRPr="00654E3B">
        <w:rPr>
          <w:rFonts w:ascii="Times New Roman" w:hAnsi="Times New Roman" w:cs="Times New Roman"/>
        </w:rPr>
        <w:t xml:space="preserve">II.5. </w:t>
      </w:r>
      <w:r w:rsidRPr="00654E3B">
        <w:rPr>
          <w:rFonts w:ascii="Times New Roman" w:hAnsi="Times New Roman" w:cs="Times New Roman"/>
        </w:rPr>
        <w:tab/>
        <w:t>POLJOPRIVREDA</w:t>
      </w:r>
      <w:bookmarkEnd w:id="372"/>
    </w:p>
    <w:p w:rsidR="001C6A8F" w:rsidRPr="00654E3B" w:rsidRDefault="001C6A8F" w:rsidP="001C6A8F">
      <w:pPr>
        <w:keepNext/>
        <w:rPr>
          <w:rFonts w:cs="Times New Roman"/>
        </w:rPr>
      </w:pPr>
    </w:p>
    <w:p w:rsidR="001C6A8F" w:rsidRPr="00654E3B" w:rsidRDefault="001C6A8F" w:rsidP="001C6A8F">
      <w:pPr>
        <w:keepNext/>
        <w:rPr>
          <w:rFonts w:cs="Times New Roman"/>
        </w:rPr>
      </w:pPr>
      <w:r w:rsidRPr="00654E3B">
        <w:rPr>
          <w:rFonts w:cs="Times New Roman"/>
        </w:rPr>
        <w:t>Pozitivan utjecaj primjene mjera na ukupnu emisiju stakleničkih plinova u sektoru poljoprivrede  očituje se kroz izravno smanjenje emisija metana i dušikovih spojeva. Mjere uključene pri formiranju NU1 scenarija poljoprivrede u odnosu na NUR scenarij:</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 xml:space="preserve">promjena u ishrani goveda i svinja te sastavu hrane za životinje </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anaerobna digestija (silaže i obnovljive lignocelulozne sirovine, organskih nusproizvoda prehrambene industrije i klaonica, biorazgradive frakcije čvrstog komunalnog otpada te mikrobne biomase) i proizvodnja bioplina za proizvodnju električne i toplinske energije i goriva za motore s unutarnjim izgaranjem</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unaprijediti objekte ili nastambe kao i sustav gospodarenja</w:t>
      </w:r>
      <w:r w:rsidR="00CC70F4" w:rsidRPr="00654E3B">
        <w:rPr>
          <w:rFonts w:cs="Times New Roman"/>
        </w:rPr>
        <w:t xml:space="preserve"> stajskim gnojem</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unaprijediti aplikaciju gnojiva</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izgradnja hidromelioracijskih zahvata</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poticati razvoj precizne poljoprivrede koja se temelji na razvijenim GIS i GPS tehnologijama</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uvođenje novih</w:t>
      </w:r>
      <w:r w:rsidR="006347C0" w:rsidRPr="00654E3B">
        <w:rPr>
          <w:rFonts w:cs="Times New Roman"/>
        </w:rPr>
        <w:t xml:space="preserve"> </w:t>
      </w:r>
      <w:r w:rsidRPr="00654E3B">
        <w:rPr>
          <w:rFonts w:cs="Times New Roman"/>
        </w:rPr>
        <w:t>sorti i vrsta</w:t>
      </w:r>
      <w:r w:rsidR="003617DF" w:rsidRPr="00654E3B">
        <w:rPr>
          <w:rFonts w:cs="Times New Roman"/>
        </w:rPr>
        <w:t>.</w:t>
      </w:r>
    </w:p>
    <w:p w:rsidR="001C6A8F" w:rsidRPr="00654E3B" w:rsidRDefault="001C6A8F" w:rsidP="001C6A8F">
      <w:pPr>
        <w:rPr>
          <w:rFonts w:cs="Times New Roman"/>
        </w:rPr>
      </w:pPr>
      <w:r w:rsidRPr="00654E3B">
        <w:rPr>
          <w:rFonts w:cs="Times New Roman"/>
        </w:rPr>
        <w:lastRenderedPageBreak/>
        <w:t xml:space="preserve">Za procjenu potencijalnog </w:t>
      </w:r>
      <w:r w:rsidR="006347C0" w:rsidRPr="00654E3B">
        <w:rPr>
          <w:rFonts w:cs="Times New Roman"/>
        </w:rPr>
        <w:t>s</w:t>
      </w:r>
      <w:r w:rsidRPr="00654E3B">
        <w:rPr>
          <w:rFonts w:cs="Times New Roman"/>
        </w:rPr>
        <w:t xml:space="preserve">manjenja ukupnih emisija kroz povećanje organskog ugljika u tlu primjenom dodatnog seta mjera potrebno je provesti nacionalna istraživanja s ciljem definiranja stvarnih potencijala za povećavanje ponora ugljika u poljoprivrednim tlima u Republici Hrvatskoj, posebice </w:t>
      </w:r>
      <w:r w:rsidR="00D513E6" w:rsidRPr="00654E3B">
        <w:rPr>
          <w:rFonts w:cs="Times New Roman"/>
        </w:rPr>
        <w:t xml:space="preserve">primjenu </w:t>
      </w:r>
      <w:r w:rsidRPr="00654E3B">
        <w:rPr>
          <w:rFonts w:cs="Times New Roman"/>
        </w:rPr>
        <w:t>sustava reducirane obrade tla te nastaviti istraživanje potencijala za primjenu ovisno o</w:t>
      </w:r>
      <w:r w:rsidR="00D513E6" w:rsidRPr="00654E3B">
        <w:rPr>
          <w:rFonts w:cs="Times New Roman"/>
        </w:rPr>
        <w:t xml:space="preserve"> tipu tla</w:t>
      </w:r>
      <w:r w:rsidRPr="00654E3B">
        <w:rPr>
          <w:rFonts w:cs="Times New Roman"/>
        </w:rPr>
        <w:t>. Mjere koje imaju potencijal za povećavanje sekvestracije ugljika:</w:t>
      </w:r>
    </w:p>
    <w:p w:rsidR="001C6A8F" w:rsidRPr="00654E3B" w:rsidRDefault="001C6A8F" w:rsidP="001C6A8F">
      <w:pPr>
        <w:pStyle w:val="ListParagraph"/>
        <w:numPr>
          <w:ilvl w:val="0"/>
          <w:numId w:val="69"/>
        </w:numPr>
        <w:rPr>
          <w:rFonts w:cs="Times New Roman"/>
        </w:rPr>
      </w:pPr>
      <w:r w:rsidRPr="00654E3B">
        <w:rPr>
          <w:rFonts w:cs="Times New Roman"/>
        </w:rPr>
        <w:t>Unaprjeđivanje i promjena sustava obrade tla (reducirana obrada)</w:t>
      </w:r>
    </w:p>
    <w:p w:rsidR="001C6A8F" w:rsidRPr="00654E3B" w:rsidRDefault="001C6A8F" w:rsidP="001C6A8F">
      <w:pPr>
        <w:pStyle w:val="ListParagraph"/>
        <w:numPr>
          <w:ilvl w:val="0"/>
          <w:numId w:val="69"/>
        </w:numPr>
        <w:rPr>
          <w:rFonts w:cs="Times New Roman"/>
        </w:rPr>
      </w:pPr>
      <w:r w:rsidRPr="00654E3B">
        <w:rPr>
          <w:rFonts w:cs="Times New Roman"/>
        </w:rPr>
        <w:t>Proširenje plodoreda s većim učešćem leguminoza</w:t>
      </w:r>
    </w:p>
    <w:p w:rsidR="001C6A8F" w:rsidRPr="00654E3B" w:rsidRDefault="001C6A8F" w:rsidP="001C6A8F">
      <w:pPr>
        <w:pStyle w:val="ListParagraph"/>
        <w:numPr>
          <w:ilvl w:val="0"/>
          <w:numId w:val="69"/>
        </w:numPr>
        <w:rPr>
          <w:rFonts w:cs="Times New Roman"/>
        </w:rPr>
      </w:pPr>
      <w:r w:rsidRPr="00654E3B">
        <w:rPr>
          <w:rFonts w:cs="Times New Roman"/>
        </w:rPr>
        <w:t>Intenziviranje plodoreda korištenjem međuusjeva</w:t>
      </w:r>
    </w:p>
    <w:p w:rsidR="001C6A8F" w:rsidRPr="00654E3B" w:rsidRDefault="001C6A8F" w:rsidP="001C6A8F">
      <w:pPr>
        <w:pStyle w:val="ListParagraph"/>
        <w:numPr>
          <w:ilvl w:val="0"/>
          <w:numId w:val="69"/>
        </w:numPr>
        <w:rPr>
          <w:rFonts w:cs="Times New Roman"/>
        </w:rPr>
      </w:pPr>
      <w:r w:rsidRPr="00654E3B">
        <w:rPr>
          <w:rFonts w:cs="Times New Roman"/>
        </w:rPr>
        <w:t>Poboljšanje načina primjene organskih gnojiva</w:t>
      </w:r>
    </w:p>
    <w:p w:rsidR="001C6A8F" w:rsidRPr="00654E3B" w:rsidRDefault="001C6A8F" w:rsidP="001C6A8F">
      <w:pPr>
        <w:pStyle w:val="ListParagraph"/>
        <w:numPr>
          <w:ilvl w:val="0"/>
          <w:numId w:val="69"/>
        </w:numPr>
        <w:rPr>
          <w:rFonts w:cs="Times New Roman"/>
        </w:rPr>
      </w:pPr>
      <w:r w:rsidRPr="00654E3B">
        <w:rPr>
          <w:rFonts w:cs="Times New Roman"/>
        </w:rPr>
        <w:t>Zelena gnojidba</w:t>
      </w:r>
    </w:p>
    <w:p w:rsidR="001C6A8F" w:rsidRPr="00654E3B" w:rsidRDefault="001C6A8F" w:rsidP="001C6A8F">
      <w:pPr>
        <w:pStyle w:val="ListParagraph"/>
        <w:numPr>
          <w:ilvl w:val="0"/>
          <w:numId w:val="69"/>
        </w:numPr>
        <w:rPr>
          <w:rFonts w:cs="Times New Roman"/>
        </w:rPr>
      </w:pPr>
      <w:r w:rsidRPr="00654E3B">
        <w:rPr>
          <w:rFonts w:cs="Times New Roman"/>
        </w:rPr>
        <w:t>Agrošumarstvo.</w:t>
      </w:r>
    </w:p>
    <w:p w:rsidR="00D415E5" w:rsidRPr="00654E3B" w:rsidRDefault="00D415E5" w:rsidP="00D415E5">
      <w:pPr>
        <w:pStyle w:val="ListParagraph"/>
        <w:rPr>
          <w:rFonts w:cs="Times New Roman"/>
        </w:rPr>
      </w:pPr>
    </w:p>
    <w:p w:rsidR="001C6A8F" w:rsidRPr="00654E3B" w:rsidRDefault="001C6A8F" w:rsidP="001C6A8F">
      <w:pPr>
        <w:pStyle w:val="Heading2"/>
        <w:rPr>
          <w:rFonts w:ascii="Times New Roman" w:hAnsi="Times New Roman" w:cs="Times New Roman"/>
        </w:rPr>
      </w:pPr>
      <w:bookmarkStart w:id="373" w:name="_Toc69297809"/>
      <w:r w:rsidRPr="00654E3B">
        <w:rPr>
          <w:rFonts w:ascii="Times New Roman" w:hAnsi="Times New Roman" w:cs="Times New Roman"/>
        </w:rPr>
        <w:t xml:space="preserve">II.6. </w:t>
      </w:r>
      <w:r w:rsidRPr="00654E3B">
        <w:rPr>
          <w:rFonts w:ascii="Times New Roman" w:hAnsi="Times New Roman" w:cs="Times New Roman"/>
        </w:rPr>
        <w:tab/>
        <w:t>OTPAD</w:t>
      </w:r>
      <w:bookmarkEnd w:id="373"/>
    </w:p>
    <w:p w:rsidR="001C6A8F" w:rsidRPr="00654E3B" w:rsidRDefault="001C6A8F" w:rsidP="001C6A8F">
      <w:pPr>
        <w:rPr>
          <w:rFonts w:cs="Times New Roman"/>
        </w:rPr>
      </w:pPr>
    </w:p>
    <w:p w:rsidR="001C6A8F" w:rsidRPr="00654E3B" w:rsidRDefault="001C6A8F" w:rsidP="001C6A8F">
      <w:pPr>
        <w:rPr>
          <w:rFonts w:cs="Times New Roman"/>
        </w:rPr>
      </w:pPr>
      <w:r w:rsidRPr="00654E3B">
        <w:rPr>
          <w:rFonts w:cs="Times New Roman"/>
        </w:rPr>
        <w:t xml:space="preserve">Scenarij NU1 jednak je scenariju NUR budući </w:t>
      </w:r>
      <w:r w:rsidR="00C773FB" w:rsidRPr="00654E3B">
        <w:rPr>
          <w:rFonts w:cs="Times New Roman"/>
        </w:rPr>
        <w:t xml:space="preserve">da </w:t>
      </w:r>
      <w:r w:rsidRPr="00654E3B">
        <w:rPr>
          <w:rFonts w:cs="Times New Roman"/>
        </w:rPr>
        <w:t>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 (što odgovara NUR scenariju).</w:t>
      </w:r>
    </w:p>
    <w:p w:rsidR="001C6A8F" w:rsidRPr="00654E3B" w:rsidRDefault="001C6A8F" w:rsidP="001C6A8F">
      <w:pPr>
        <w:rPr>
          <w:rFonts w:cs="Times New Roman"/>
        </w:rPr>
      </w:pPr>
      <w:r w:rsidRPr="00654E3B">
        <w:rPr>
          <w:rFonts w:cs="Times New Roman"/>
        </w:rPr>
        <w:br w:type="page"/>
      </w:r>
    </w:p>
    <w:p w:rsidR="007D4A93" w:rsidRPr="00654E3B" w:rsidRDefault="00EF0BEB">
      <w:pPr>
        <w:pStyle w:val="Heading1"/>
        <w:rPr>
          <w:rFonts w:ascii="Times New Roman" w:hAnsi="Times New Roman" w:cs="Times New Roman"/>
        </w:rPr>
      </w:pPr>
      <w:bookmarkStart w:id="374" w:name="_Toc69297810"/>
      <w:r w:rsidRPr="00654E3B">
        <w:rPr>
          <w:rFonts w:ascii="Times New Roman" w:hAnsi="Times New Roman" w:cs="Times New Roman"/>
        </w:rPr>
        <w:lastRenderedPageBreak/>
        <w:t>PRILOG III.  -  OPIS NISKOUGLJIČNOG SCENARIJA SNAŽNE TRANZICIJE</w:t>
      </w:r>
      <w:bookmarkEnd w:id="365"/>
      <w:bookmarkEnd w:id="366"/>
      <w:r w:rsidRPr="00654E3B">
        <w:rPr>
          <w:rFonts w:ascii="Times New Roman" w:hAnsi="Times New Roman" w:cs="Times New Roman"/>
        </w:rPr>
        <w:t xml:space="preserve"> (NU2)</w:t>
      </w:r>
      <w:bookmarkEnd w:id="367"/>
      <w:bookmarkEnd w:id="374"/>
    </w:p>
    <w:p w:rsidR="007D4A93" w:rsidRPr="00654E3B" w:rsidRDefault="007D4A93">
      <w:pPr>
        <w:rPr>
          <w:rFonts w:cs="Times New Roman"/>
        </w:rPr>
      </w:pPr>
    </w:p>
    <w:p w:rsidR="007D4A93" w:rsidRPr="00654E3B" w:rsidRDefault="00EF0BEB">
      <w:pPr>
        <w:pStyle w:val="Heading2"/>
        <w:rPr>
          <w:rFonts w:ascii="Times New Roman" w:hAnsi="Times New Roman" w:cs="Times New Roman"/>
        </w:rPr>
      </w:pPr>
      <w:bookmarkStart w:id="375" w:name="_Toc69297811"/>
      <w:bookmarkStart w:id="376" w:name="_Toc20841330"/>
      <w:bookmarkStart w:id="377" w:name="_Toc20841436"/>
      <w:r w:rsidRPr="00654E3B">
        <w:rPr>
          <w:rFonts w:ascii="Times New Roman" w:hAnsi="Times New Roman" w:cs="Times New Roman"/>
        </w:rPr>
        <w:t xml:space="preserve">III.1. </w:t>
      </w:r>
      <w:r w:rsidRPr="00654E3B">
        <w:rPr>
          <w:rFonts w:ascii="Times New Roman" w:hAnsi="Times New Roman" w:cs="Times New Roman"/>
        </w:rPr>
        <w:tab/>
        <w:t>PROIZVODNJA, POTROŠNJA, UVOZ I IZVOZ ENERGIJE</w:t>
      </w:r>
      <w:bookmarkEnd w:id="375"/>
    </w:p>
    <w:p w:rsidR="00AB40C9" w:rsidRPr="00654E3B" w:rsidRDefault="00AB40C9" w:rsidP="00AB40C9">
      <w:pPr>
        <w:rPr>
          <w:rFonts w:cs="Times New Roman"/>
        </w:rPr>
      </w:pPr>
    </w:p>
    <w:p w:rsidR="007D4A93" w:rsidRPr="00654E3B" w:rsidRDefault="00EF0BEB">
      <w:pPr>
        <w:rPr>
          <w:rFonts w:cs="Times New Roman"/>
          <w:u w:val="single"/>
        </w:rPr>
      </w:pPr>
      <w:r w:rsidRPr="00654E3B">
        <w:rPr>
          <w:rFonts w:cs="Times New Roman"/>
          <w:u w:val="single"/>
        </w:rPr>
        <w:t>Neposredna potrošnja energije</w:t>
      </w:r>
    </w:p>
    <w:p w:rsidR="007D4A93" w:rsidRPr="00654E3B" w:rsidRDefault="00EF0BEB">
      <w:pPr>
        <w:rPr>
          <w:rFonts w:cs="Times New Roman"/>
        </w:rPr>
      </w:pPr>
      <w:r w:rsidRPr="00654E3B">
        <w:rPr>
          <w:rFonts w:cs="Times New Roman"/>
        </w:rPr>
        <w:t>U Scenariju snažne tranzicije (NU2), neposredna potrošnja energije do 2030. godine smanjuje se za ukupno 4</w:t>
      </w:r>
      <w:r w:rsidR="00060992" w:rsidRPr="00654E3B">
        <w:rPr>
          <w:rFonts w:cs="Times New Roman"/>
        </w:rPr>
        <w:t xml:space="preserve"> %</w:t>
      </w:r>
      <w:r w:rsidRPr="00654E3B">
        <w:rPr>
          <w:rFonts w:cs="Times New Roman"/>
        </w:rPr>
        <w:t>, a zatim za 33</w:t>
      </w:r>
      <w:r w:rsidR="00060992" w:rsidRPr="00654E3B">
        <w:rPr>
          <w:rFonts w:cs="Times New Roman"/>
        </w:rPr>
        <w:t xml:space="preserve"> %</w:t>
      </w:r>
      <w:r w:rsidRPr="00654E3B">
        <w:rPr>
          <w:rFonts w:cs="Times New Roman"/>
        </w:rPr>
        <w:t xml:space="preserve"> do 2050. godine, promatrano u odnosu na sadašnju razinu (2018. godina) neposredne potrošnje energije.</w:t>
      </w:r>
    </w:p>
    <w:p w:rsidR="007D4A93" w:rsidRPr="00654E3B" w:rsidRDefault="00EF0BEB">
      <w:pPr>
        <w:rPr>
          <w:rFonts w:cs="Times New Roman"/>
        </w:rPr>
      </w:pPr>
      <w:r w:rsidRPr="00654E3B">
        <w:rPr>
          <w:rFonts w:cs="Times New Roman"/>
        </w:rPr>
        <w:t>Mijenja se struktura utrošenih oblika energije. Očekuje se porast udjela električne energije i vodika, a smanjuje se udio prirodnog plina te krutih i tekućih fosilnih goriva. Ukupni udio fosilnih goriva opada na 53,8</w:t>
      </w:r>
      <w:r w:rsidR="00060992" w:rsidRPr="00654E3B">
        <w:rPr>
          <w:rFonts w:cs="Times New Roman"/>
        </w:rPr>
        <w:t xml:space="preserve"> %</w:t>
      </w:r>
      <w:r w:rsidRPr="00654E3B">
        <w:rPr>
          <w:rFonts w:cs="Times New Roman"/>
        </w:rPr>
        <w:t xml:space="preserve"> u 2030. godini i na 32,0</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 xml:space="preserve">Neposredna potrošnja energije u svim granama (industrija, promet, opća potrošnja) se smanjuje tijekom cijelog promatranog razdoblja. </w:t>
      </w:r>
    </w:p>
    <w:p w:rsidR="007D4A93" w:rsidRPr="00654E3B" w:rsidRDefault="00EF0BEB">
      <w:pPr>
        <w:rPr>
          <w:rFonts w:cs="Times New Roman"/>
        </w:rPr>
      </w:pPr>
      <w:r w:rsidRPr="00654E3B">
        <w:rPr>
          <w:rFonts w:cs="Times New Roman"/>
        </w:rPr>
        <w:t>U tablici III.1-1 i tablici III.1-2 prikazane su projekcije neposredne potrošnje energije u NU2 scenariju.</w:t>
      </w:r>
    </w:p>
    <w:p w:rsidR="007D4A93" w:rsidRPr="00654E3B" w:rsidRDefault="00EF0BEB">
      <w:pPr>
        <w:rPr>
          <w:rFonts w:cs="Times New Roman"/>
          <w:i/>
        </w:rPr>
      </w:pPr>
      <w:r w:rsidRPr="00654E3B">
        <w:rPr>
          <w:rFonts w:cs="Times New Roman"/>
          <w:i/>
        </w:rPr>
        <w:t>Tablica III.1-1: Neposredna potrošnja energije po gorivima, NU2</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51,8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34,2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17,8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1232,4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940,2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775,7</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2444,1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2006,2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887,5</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1007,6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793,7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542,3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1547,7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1724,7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2129,9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Toplinska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214,1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182,9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136,9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0,005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30,2</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6508,3</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5692,2</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4528,3</w:t>
            </w:r>
          </w:p>
        </w:tc>
      </w:tr>
    </w:tbl>
    <w:p w:rsidR="007D4A93" w:rsidRPr="00654E3B" w:rsidRDefault="007D4A93">
      <w:pPr>
        <w:rPr>
          <w:rFonts w:cs="Times New Roman"/>
          <w:i/>
        </w:rPr>
      </w:pPr>
    </w:p>
    <w:p w:rsidR="007D4A93" w:rsidRPr="00654E3B" w:rsidRDefault="00EF0BEB">
      <w:pPr>
        <w:rPr>
          <w:rFonts w:cs="Times New Roman"/>
          <w:i/>
        </w:rPr>
      </w:pPr>
      <w:r w:rsidRPr="00654E3B">
        <w:rPr>
          <w:rFonts w:cs="Times New Roman"/>
          <w:i/>
        </w:rPr>
        <w:t>Tablica III.1-2: Neposredna potrošnja energije po granama, NU2</w:t>
      </w:r>
    </w:p>
    <w:tbl>
      <w:tblPr>
        <w:tblW w:w="0" w:type="auto"/>
        <w:tblLayout w:type="fixed"/>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Industrija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1165,7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1017,1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Promet</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2178,9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1998,6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1416,8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Opća potrošnja</w:t>
            </w:r>
          </w:p>
        </w:tc>
        <w:tc>
          <w:tcPr>
            <w:tcW w:w="1417" w:type="dxa"/>
            <w:tcBorders>
              <w:top w:val="none" w:sz="4" w:space="0" w:color="000000"/>
              <w:left w:val="none" w:sz="4" w:space="0" w:color="000000"/>
              <w:bottom w:val="single" w:sz="4" w:space="0" w:color="auto"/>
              <w:right w:val="single" w:sz="4" w:space="0" w:color="auto"/>
            </w:tcBorders>
            <w:noWrap/>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3163,6</w:t>
            </w:r>
          </w:p>
        </w:tc>
        <w:tc>
          <w:tcPr>
            <w:tcW w:w="1417" w:type="dxa"/>
            <w:tcBorders>
              <w:top w:val="none" w:sz="4" w:space="0" w:color="000000"/>
              <w:left w:val="none" w:sz="4" w:space="0" w:color="000000"/>
              <w:bottom w:val="single" w:sz="4" w:space="0" w:color="auto"/>
              <w:right w:val="single" w:sz="4" w:space="0" w:color="auto"/>
            </w:tcBorders>
            <w:noWrap/>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2583,6</w:t>
            </w:r>
          </w:p>
        </w:tc>
        <w:tc>
          <w:tcPr>
            <w:tcW w:w="1417" w:type="dxa"/>
            <w:tcBorders>
              <w:top w:val="none" w:sz="4" w:space="0" w:color="000000"/>
              <w:left w:val="none" w:sz="4" w:space="0" w:color="000000"/>
              <w:bottom w:val="single" w:sz="4" w:space="0" w:color="auto"/>
              <w:right w:val="single" w:sz="4" w:space="0" w:color="auto"/>
            </w:tcBorders>
            <w:noWrap/>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2094,4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Kućanstva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2038,2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1504,0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1153,2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Uslužni sektor</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919,9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885,1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764,0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Poljoprivreda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205,5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194,5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177,2</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lastRenderedPageBreak/>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6508,3</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5692,2</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4528,3</w:t>
            </w:r>
          </w:p>
        </w:tc>
      </w:tr>
    </w:tbl>
    <w:p w:rsidR="007D4A93" w:rsidRPr="00654E3B" w:rsidRDefault="007D4A93">
      <w:pPr>
        <w:rPr>
          <w:rFonts w:cs="Times New Roman"/>
          <w:u w:val="single"/>
        </w:rPr>
      </w:pPr>
    </w:p>
    <w:p w:rsidR="007D4A93" w:rsidRPr="00654E3B" w:rsidRDefault="00EF0BEB">
      <w:pPr>
        <w:rPr>
          <w:rFonts w:cs="Times New Roman"/>
        </w:rPr>
      </w:pPr>
      <w:r w:rsidRPr="00654E3B">
        <w:rPr>
          <w:rFonts w:cs="Times New Roman"/>
          <w:u w:val="single"/>
        </w:rPr>
        <w:t>Ukupna potrošnja energije</w:t>
      </w:r>
    </w:p>
    <w:p w:rsidR="007D4A93" w:rsidRPr="00654E3B" w:rsidRDefault="00EF0BEB">
      <w:pPr>
        <w:rPr>
          <w:rFonts w:cs="Times New Roman"/>
        </w:rPr>
      </w:pPr>
      <w:r w:rsidRPr="00654E3B">
        <w:rPr>
          <w:rFonts w:cs="Times New Roman"/>
        </w:rPr>
        <w:t>U NU2 scenariju  ukupne potrebe za energijom opadaju tijekom cijelog razdoblja. Ukupna potrošnja u 2030. godini je za 5</w:t>
      </w:r>
      <w:r w:rsidR="00060992" w:rsidRPr="00654E3B">
        <w:rPr>
          <w:rFonts w:cs="Times New Roman"/>
        </w:rPr>
        <w:t xml:space="preserve"> %</w:t>
      </w:r>
      <w:r w:rsidRPr="00654E3B">
        <w:rPr>
          <w:rFonts w:cs="Times New Roman"/>
        </w:rPr>
        <w:t xml:space="preserve"> manja u odnosu na današnju razinu, a u 2050. godini je manja za 26</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U strukturi oblika energije udio prirodnog plina, krutih i tekućih goriva te električne energije opada. Najveća promjena se očekuje na strani OIE čiji udio raste na 32,0</w:t>
      </w:r>
      <w:r w:rsidR="00060992" w:rsidRPr="00654E3B">
        <w:rPr>
          <w:rFonts w:cs="Times New Roman"/>
        </w:rPr>
        <w:t xml:space="preserve"> %</w:t>
      </w:r>
      <w:r w:rsidRPr="00654E3B">
        <w:rPr>
          <w:rFonts w:cs="Times New Roman"/>
        </w:rPr>
        <w:t xml:space="preserve"> u 2030. godini te na 56,2</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U tablici III.1-3 prikazane su projekcije ukupne potrošnje energije u NU2 scenariju.</w:t>
      </w:r>
    </w:p>
    <w:p w:rsidR="007D4A93" w:rsidRPr="00654E3B" w:rsidRDefault="00EF0BEB">
      <w:pPr>
        <w:rPr>
          <w:rFonts w:cs="Times New Roman"/>
          <w:i/>
        </w:rPr>
      </w:pPr>
      <w:r w:rsidRPr="00654E3B">
        <w:rPr>
          <w:rFonts w:cs="Times New Roman"/>
          <w:i/>
        </w:rPr>
        <w:t>Tablica III.1-3: Ukupna potrošnja energije po gorivima, NU2</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208,2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19,3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3033,8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2499,3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1340,2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3168,9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1774,2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1455,4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2693,2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3043,0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3663,9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292,7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157,9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30,2</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8407,5</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7520,4</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6519,2</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Obnovljivi izvori energije</w:t>
      </w:r>
    </w:p>
    <w:p w:rsidR="007D4A93" w:rsidRPr="00654E3B" w:rsidRDefault="00EF0BEB">
      <w:pPr>
        <w:rPr>
          <w:rFonts w:cs="Times New Roman"/>
        </w:rPr>
      </w:pPr>
      <w:r w:rsidRPr="00654E3B">
        <w:rPr>
          <w:rFonts w:cs="Times New Roman"/>
        </w:rPr>
        <w:t>U NU2 scenariju očekuje se snažan porast korištenja energije iz obnovljivih izvora i diversifikacija korištenih izvora energije. Do 2030. korištenje OIE se povećava za 42</w:t>
      </w:r>
      <w:r w:rsidR="00060992" w:rsidRPr="00654E3B">
        <w:rPr>
          <w:rFonts w:cs="Times New Roman"/>
        </w:rPr>
        <w:t xml:space="preserve"> %</w:t>
      </w:r>
      <w:r w:rsidRPr="00654E3B">
        <w:rPr>
          <w:rFonts w:cs="Times New Roman"/>
        </w:rPr>
        <w:t>, a do 2050. godine za 93</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U tablici III.1-4 prikazane su projekcije potrošnje obnovljivih izvora energije u NU2 scenariju.</w:t>
      </w:r>
    </w:p>
    <w:p w:rsidR="007D4A93" w:rsidRPr="00654E3B" w:rsidRDefault="00EF0BEB">
      <w:pPr>
        <w:rPr>
          <w:rFonts w:cs="Times New Roman"/>
          <w:i/>
        </w:rPr>
      </w:pPr>
      <w:r w:rsidRPr="00654E3B">
        <w:rPr>
          <w:rFonts w:cs="Times New Roman"/>
          <w:i/>
        </w:rPr>
        <w:t xml:space="preserve">Tablica III.1-4: Projekcije potrošnje obnovljivih izvora energije u NU2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Geotermalna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152,3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373,5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441,2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Biogoriva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132,7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269,6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109,8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Bioplin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67,9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76,7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123,5</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Kruta biomasa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1083,1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677,0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656,0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Energija Sunca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157,4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368,0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584,8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Energija vjetra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327,4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617,7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908,3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Hidroenergija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628,3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565,7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840,3</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2693,2</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3039,1</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3663,9</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lastRenderedPageBreak/>
        <w:t>Proizvodnja električne energije i topline</w:t>
      </w:r>
    </w:p>
    <w:p w:rsidR="007D4A93" w:rsidRPr="00654E3B" w:rsidRDefault="00EF0BEB">
      <w:pPr>
        <w:rPr>
          <w:rFonts w:cs="Times New Roman"/>
        </w:rPr>
      </w:pPr>
      <w:r w:rsidRPr="00654E3B">
        <w:rPr>
          <w:rFonts w:cs="Times New Roman"/>
        </w:rPr>
        <w:t>U NU2 scenariju očekuje se povećanje domaće proizvodnje i značajna promjena u strukturi proizvodnje električne energije. Povećava se udio obnovljivih izvora energije, a smanjuje udio proizvodnje termoelektrana (općenito – termoelektrane, javne toplane i industrijske kogeneracije). Do kraja promatranog razdoblja sve potrebne količine električne energije mogle bi se proizvesti iz domaćih elektrana, ali je moguća razmjena sa susjednim sustavima (tj. neto uvoz je jednak nuli).</w:t>
      </w:r>
    </w:p>
    <w:p w:rsidR="007D4A93" w:rsidRPr="00654E3B" w:rsidRDefault="00EF0BEB">
      <w:pPr>
        <w:rPr>
          <w:rFonts w:cs="Times New Roman"/>
        </w:rPr>
      </w:pPr>
      <w:r w:rsidRPr="00654E3B">
        <w:rPr>
          <w:rFonts w:cs="Times New Roman"/>
        </w:rPr>
        <w:t>U NU2 scenariju ukupna snaga elektrana raste na 7,1 GW u 2030. godini, odnosno na 12,9 GW u 2050. godini. Prosječno je godišnje potrebno izgraditi oko 350 MW novih elektrana. Osnovni razlog značajnom povećanju snage je izgradnja velikog broja OIE, u prosjeku se tijekom tridesetogodišnjeg razdoblja gradi 110 MW novih vjetroelektrana godišnje te 100 MW sunčanih elektrana godišnje.</w:t>
      </w:r>
    </w:p>
    <w:p w:rsidR="007D4A93" w:rsidRPr="00654E3B" w:rsidRDefault="00EF0BEB">
      <w:pPr>
        <w:rPr>
          <w:rFonts w:cs="Times New Roman"/>
        </w:rPr>
      </w:pPr>
      <w:r w:rsidRPr="00654E3B">
        <w:rPr>
          <w:rFonts w:cs="Times New Roman"/>
        </w:rPr>
        <w:t>U NU1 do kraja razdoblja pretpostavljen je izlazak iz pogona NE Krško te postojećih jedinica na lokaciji Plomin. Nema izgradnje novih TE na ugljen.</w:t>
      </w:r>
    </w:p>
    <w:p w:rsidR="007D4A93" w:rsidRPr="00654E3B" w:rsidRDefault="00EF0BEB">
      <w:pPr>
        <w:rPr>
          <w:rFonts w:cs="Times New Roman"/>
        </w:rPr>
      </w:pPr>
      <w:r w:rsidRPr="00654E3B">
        <w:rPr>
          <w:rFonts w:cs="Times New Roman"/>
        </w:rPr>
        <w:t>U tablici III.1-5 prikazane su projekcije proizvodnje električne energije u NU2 scenariju.</w:t>
      </w:r>
    </w:p>
    <w:p w:rsidR="007D4A93" w:rsidRPr="00654E3B" w:rsidRDefault="00EF0BEB">
      <w:pPr>
        <w:rPr>
          <w:rFonts w:cs="Times New Roman"/>
          <w:i/>
        </w:rPr>
      </w:pPr>
      <w:r w:rsidRPr="00654E3B">
        <w:rPr>
          <w:rFonts w:cs="Times New Roman"/>
          <w:i/>
        </w:rPr>
        <w:t xml:space="preserve">Tablica III.1-5: Projekcije proizvodnje električne energije u NU2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Industrijske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280,4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239,8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Javne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3316,4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2394,0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1636,8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Termoelektrane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719,8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1764,3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Geotermalne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128,8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365,8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427,8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Sunčane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1371,0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3316,0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5133,1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Vjetroelektrane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4331,6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7183,7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10563,2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Hidroelektrane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7307,2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7637,7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9772,7</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17495,2</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21177,6</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29537,8</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Proizvodnja i uvoz energije</w:t>
      </w:r>
    </w:p>
    <w:p w:rsidR="007D4A93" w:rsidRPr="00654E3B" w:rsidRDefault="00EF0BEB">
      <w:pPr>
        <w:rPr>
          <w:rFonts w:cs="Times New Roman"/>
        </w:rPr>
      </w:pPr>
      <w:r w:rsidRPr="00654E3B">
        <w:rPr>
          <w:rFonts w:cs="Times New Roman"/>
        </w:rPr>
        <w:t>U NU2 scenariju udio domaće proizvodnje energije u ukupnoj potrošnji energije kontinuirano raste prema kraju razdoblja što se objašnjava smanjenjem ukupnih potreba za energijom: zbog snažnih mjera energetske učinkovitosti – obnova fonda zgrada i prelaska na druge oblike energije (npr. električna energija u prometu). Istovremeno se povećava proizvodnja iz OIE, i unatoč opadanju proizvodnje fosilnih goriva, vlastita opskrbljenost raste na 56,8</w:t>
      </w:r>
      <w:r w:rsidR="00060992" w:rsidRPr="00654E3B">
        <w:rPr>
          <w:rFonts w:cs="Times New Roman"/>
        </w:rPr>
        <w:t xml:space="preserve"> %</w:t>
      </w:r>
      <w:r w:rsidRPr="00654E3B">
        <w:rPr>
          <w:rFonts w:cs="Times New Roman"/>
        </w:rPr>
        <w:t xml:space="preserve"> u 2030. i na 62,0</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U tablici III.1-6 prikazane su projekcije proizvodnje i uvoza energije u NU2 scenariju.</w:t>
      </w:r>
    </w:p>
    <w:p w:rsidR="007D4A93" w:rsidRPr="00654E3B" w:rsidRDefault="00EF0BEB">
      <w:pPr>
        <w:rPr>
          <w:rFonts w:cs="Times New Roman"/>
          <w:i/>
        </w:rPr>
      </w:pPr>
      <w:r w:rsidRPr="00654E3B">
        <w:rPr>
          <w:rFonts w:cs="Times New Roman"/>
          <w:i/>
        </w:rPr>
        <w:t xml:space="preserve">Tablica III.1-6: Projekcije proizvodnje i uvoza energije u NU2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Domaća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4797,6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4471,4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4039,0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Uvozna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3609,9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3049,1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2480,2</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8407,5</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7520,4</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6519,2</w:t>
            </w:r>
          </w:p>
        </w:tc>
      </w:tr>
    </w:tbl>
    <w:p w:rsidR="007D4A93" w:rsidRPr="00654E3B" w:rsidRDefault="00EF0BEB">
      <w:pPr>
        <w:pStyle w:val="Heading2"/>
        <w:rPr>
          <w:rFonts w:ascii="Times New Roman" w:hAnsi="Times New Roman" w:cs="Times New Roman"/>
        </w:rPr>
      </w:pPr>
      <w:bookmarkStart w:id="378" w:name="_Toc69297812"/>
      <w:r w:rsidRPr="00654E3B">
        <w:rPr>
          <w:rFonts w:ascii="Times New Roman" w:hAnsi="Times New Roman" w:cs="Times New Roman"/>
        </w:rPr>
        <w:lastRenderedPageBreak/>
        <w:t xml:space="preserve">III.2. </w:t>
      </w:r>
      <w:r w:rsidRPr="00654E3B">
        <w:rPr>
          <w:rFonts w:ascii="Times New Roman" w:hAnsi="Times New Roman" w:cs="Times New Roman"/>
        </w:rPr>
        <w:tab/>
        <w:t>INDUSTRIJA</w:t>
      </w:r>
      <w:bookmarkEnd w:id="378"/>
    </w:p>
    <w:p w:rsidR="007D4A93" w:rsidRPr="00654E3B" w:rsidRDefault="007D4A93">
      <w:pPr>
        <w:keepNext/>
        <w:rPr>
          <w:rFonts w:cs="Times New Roman"/>
        </w:rPr>
      </w:pPr>
    </w:p>
    <w:p w:rsidR="007D4A93" w:rsidRPr="00654E3B" w:rsidRDefault="00EF0BEB">
      <w:pPr>
        <w:pStyle w:val="NormalWeb"/>
        <w:keepNext/>
        <w:rPr>
          <w:rFonts w:eastAsia="MS Mincho" w:cs="Times New Roman"/>
          <w:lang w:eastAsia="hr-HR"/>
        </w:rPr>
      </w:pPr>
      <w:r w:rsidRPr="00654E3B">
        <w:rPr>
          <w:rFonts w:eastAsia="MS Mincho" w:cs="Times New Roman"/>
          <w:lang w:eastAsia="hr-HR"/>
        </w:rPr>
        <w:t>Prerađivačka industrija</w:t>
      </w:r>
    </w:p>
    <w:p w:rsidR="007D4A93" w:rsidRPr="00654E3B" w:rsidRDefault="00EF0BEB">
      <w:pPr>
        <w:pStyle w:val="NormalWeb"/>
        <w:keepNext/>
        <w:rPr>
          <w:rFonts w:eastAsia="MS Mincho" w:cs="Times New Roman"/>
          <w:lang w:eastAsia="hr-HR"/>
        </w:rPr>
      </w:pPr>
      <w:r w:rsidRPr="00654E3B">
        <w:rPr>
          <w:rFonts w:eastAsia="MS Mincho" w:cs="Times New Roman"/>
          <w:lang w:eastAsia="hr-HR"/>
        </w:rPr>
        <w:t>Scenarij uključuje intenzivniju primjenu procesnih mjera koje se odnose na postupno smanjenje udjela klinkera u proizvodnji cementa (30</w:t>
      </w:r>
      <w:r w:rsidR="00060992" w:rsidRPr="00654E3B">
        <w:rPr>
          <w:rFonts w:eastAsia="MS Mincho" w:cs="Times New Roman"/>
          <w:lang w:eastAsia="hr-HR"/>
        </w:rPr>
        <w:t xml:space="preserve"> %</w:t>
      </w:r>
      <w:r w:rsidRPr="00654E3B">
        <w:rPr>
          <w:rFonts w:eastAsia="MS Mincho" w:cs="Times New Roman"/>
          <w:lang w:eastAsia="hr-HR"/>
        </w:rPr>
        <w:t xml:space="preserve"> u 2050. godini) te mjere hvatanja i skladištenja CO</w:t>
      </w:r>
      <w:r w:rsidRPr="00654E3B">
        <w:rPr>
          <w:rFonts w:eastAsia="MS Mincho" w:cs="Times New Roman"/>
          <w:vertAlign w:val="subscript"/>
          <w:lang w:eastAsia="hr-HR"/>
        </w:rPr>
        <w:t>2</w:t>
      </w:r>
      <w:r w:rsidRPr="00654E3B">
        <w:rPr>
          <w:rFonts w:eastAsia="MS Mincho" w:cs="Times New Roman"/>
          <w:lang w:eastAsia="hr-HR"/>
        </w:rPr>
        <w:t xml:space="preserve"> u postrojenjima za proizvodnju cementa od 2040. godine kao i smanjenje emisije kontroliranih tvari i fluoriranih stakleničkih plinova tijekom cijelog promatranog razdoblja do 2050. godine. Dodatno, predviđa se povećano korištenje biomase u industrijskim toplanama i kogeneracijama.</w:t>
      </w:r>
    </w:p>
    <w:p w:rsidR="007D4A93" w:rsidRPr="00654E3B" w:rsidRDefault="00EF0BEB">
      <w:pPr>
        <w:rPr>
          <w:rFonts w:cs="Times New Roman"/>
          <w:u w:val="single"/>
        </w:rPr>
      </w:pPr>
      <w:r w:rsidRPr="00654E3B">
        <w:rPr>
          <w:rFonts w:cs="Times New Roman"/>
          <w:u w:val="single"/>
        </w:rPr>
        <w:t>Uporaba zamjenskih tvari za tvari koje oštećuju ozonski sloj</w:t>
      </w:r>
    </w:p>
    <w:p w:rsidR="007D4A93" w:rsidRPr="00654E3B" w:rsidRDefault="00EF0BEB">
      <w:pPr>
        <w:rPr>
          <w:rFonts w:cs="Times New Roman"/>
        </w:rPr>
      </w:pPr>
      <w:r w:rsidRPr="00654E3B">
        <w:rPr>
          <w:rFonts w:cs="Times New Roman"/>
        </w:rPr>
        <w:t>Scenarij NU2 uključuje intenzivnije smanjenje fluoriranih stakleničkih plinova dostupnih na tržištu nakon 2030. godine, u odnosu na scenarij NU1. U scenarij NU2 uključene su pretpostavke o broju vozila, što je povezano s intenzivnijim smanjenjem emisija fluoriranih stakleničkih plinova iz mobilnih sustava za klimatiziranje.</w:t>
      </w:r>
      <w:r w:rsidRPr="00654E3B">
        <w:rPr>
          <w:rFonts w:eastAsia="MS Mincho" w:cs="Times New Roman"/>
          <w:szCs w:val="24"/>
          <w:lang w:eastAsia="ja-JP"/>
        </w:rPr>
        <w:t xml:space="preserve"> </w:t>
      </w:r>
    </w:p>
    <w:p w:rsidR="007D4A93" w:rsidRPr="00654E3B" w:rsidRDefault="00EF0BEB">
      <w:pPr>
        <w:pStyle w:val="Heading2"/>
        <w:rPr>
          <w:rFonts w:ascii="Times New Roman" w:hAnsi="Times New Roman" w:cs="Times New Roman"/>
        </w:rPr>
      </w:pPr>
      <w:bookmarkStart w:id="379" w:name="_Toc69297813"/>
      <w:r w:rsidRPr="00654E3B">
        <w:rPr>
          <w:rFonts w:ascii="Times New Roman" w:hAnsi="Times New Roman" w:cs="Times New Roman"/>
        </w:rPr>
        <w:t xml:space="preserve">III.3. </w:t>
      </w:r>
      <w:r w:rsidRPr="00654E3B">
        <w:rPr>
          <w:rFonts w:ascii="Times New Roman" w:hAnsi="Times New Roman" w:cs="Times New Roman"/>
        </w:rPr>
        <w:tab/>
        <w:t>PROMET</w:t>
      </w:r>
      <w:bookmarkEnd w:id="379"/>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Sektor prometa u NU2 scenariju modeliran je s osnovnom pretpostavkom </w:t>
      </w:r>
      <w:r w:rsidR="00982D90" w:rsidRPr="00654E3B">
        <w:rPr>
          <w:rFonts w:cs="Times New Roman"/>
        </w:rPr>
        <w:t xml:space="preserve">snažnog povećanja udjela </w:t>
      </w:r>
      <w:r w:rsidRPr="00654E3B">
        <w:rPr>
          <w:rFonts w:cs="Times New Roman"/>
        </w:rPr>
        <w:t>električnih vozila.</w:t>
      </w:r>
    </w:p>
    <w:p w:rsidR="007D4A93" w:rsidRPr="00654E3B" w:rsidRDefault="00EF0BEB">
      <w:pPr>
        <w:rPr>
          <w:rFonts w:cs="Times New Roman"/>
        </w:rPr>
      </w:pPr>
      <w:r w:rsidRPr="00654E3B">
        <w:rPr>
          <w:rFonts w:cs="Times New Roman"/>
        </w:rPr>
        <w:t>Uključene su sljedeće pretpostavke i mjere u scenariju NU2:</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porast udjela električnih automobila na 61</w:t>
      </w:r>
      <w:r w:rsidR="00060992" w:rsidRPr="00654E3B">
        <w:rPr>
          <w:rFonts w:cs="Times New Roman"/>
        </w:rPr>
        <w:t xml:space="preserve"> %</w:t>
      </w:r>
      <w:r w:rsidRPr="00654E3B">
        <w:rPr>
          <w:rFonts w:cs="Times New Roman"/>
        </w:rPr>
        <w:t xml:space="preserve"> od ukupnog broja automobila u 2050. godini, 1,23 milijuna električnih automobila u 2050. godini,</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porast broja hibridnih i plug-in hibridnih vozila na 14,7</w:t>
      </w:r>
      <w:r w:rsidR="00060992" w:rsidRPr="00654E3B">
        <w:rPr>
          <w:rFonts w:cs="Times New Roman"/>
        </w:rPr>
        <w:t xml:space="preserve"> %</w:t>
      </w:r>
      <w:r w:rsidRPr="00654E3B">
        <w:rPr>
          <w:rFonts w:cs="Times New Roman"/>
        </w:rPr>
        <w:t xml:space="preserve"> (2,8</w:t>
      </w:r>
      <w:r w:rsidR="00060992" w:rsidRPr="00654E3B">
        <w:rPr>
          <w:rFonts w:cs="Times New Roman"/>
        </w:rPr>
        <w:t xml:space="preserve"> %</w:t>
      </w:r>
      <w:r w:rsidRPr="00654E3B">
        <w:rPr>
          <w:rFonts w:cs="Times New Roman"/>
        </w:rPr>
        <w:t xml:space="preserve"> hibridnih i 11,9</w:t>
      </w:r>
      <w:r w:rsidR="00060992" w:rsidRPr="00654E3B">
        <w:rPr>
          <w:rFonts w:cs="Times New Roman"/>
        </w:rPr>
        <w:t xml:space="preserve"> %</w:t>
      </w:r>
      <w:r w:rsidRPr="00654E3B">
        <w:rPr>
          <w:rFonts w:cs="Times New Roman"/>
        </w:rPr>
        <w:t xml:space="preserve"> plug-in hibridnih) od ukupnog broja osobnih vozila do 2050. godine, čime bi broj hibridnih i plug-in hibridnih vozila u 2030. godini iznosio oko 69.800, a u 2050. godini ukupno 297.000 vozila.</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porast broja vozila koja koriste vodik nakon 2030. godine na 2,9</w:t>
      </w:r>
      <w:r w:rsidR="00060992" w:rsidRPr="00654E3B">
        <w:rPr>
          <w:rFonts w:cs="Times New Roman"/>
        </w:rPr>
        <w:t xml:space="preserve"> %</w:t>
      </w:r>
      <w:r w:rsidRPr="00654E3B">
        <w:rPr>
          <w:rFonts w:cs="Times New Roman"/>
        </w:rPr>
        <w:t xml:space="preserve"> od ukupnog broja osobnih vozila, odnosno na oko 59.600 vozila u 2050. godini</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porast udjela biogoriva u benzinskim i dizelskim gorivima na prosječnih 27</w:t>
      </w:r>
      <w:r w:rsidR="00060992" w:rsidRPr="00654E3B">
        <w:rPr>
          <w:rFonts w:cs="Times New Roman"/>
        </w:rPr>
        <w:t xml:space="preserve"> %</w:t>
      </w:r>
      <w:r w:rsidRPr="00654E3B">
        <w:rPr>
          <w:rFonts w:cs="Times New Roman"/>
        </w:rPr>
        <w:t xml:space="preserve"> do 2050. godine</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viša primjenjivost intermodalnosti – porast udjela teretnog prometa ostvaren željezničkim prijevozom (električne lokomotive) na oko 30</w:t>
      </w:r>
      <w:r w:rsidR="00060992" w:rsidRPr="00654E3B">
        <w:rPr>
          <w:rFonts w:cs="Times New Roman"/>
        </w:rPr>
        <w:t xml:space="preserve"> %</w:t>
      </w:r>
      <w:r w:rsidRPr="00654E3B">
        <w:rPr>
          <w:rFonts w:cs="Times New Roman"/>
        </w:rPr>
        <w:t xml:space="preserve"> u 2050. godini </w:t>
      </w:r>
    </w:p>
    <w:p w:rsidR="00DF3C10" w:rsidRPr="00654E3B" w:rsidRDefault="00EF0BEB" w:rsidP="000C6795">
      <w:pPr>
        <w:pStyle w:val="ListParagraph"/>
        <w:numPr>
          <w:ilvl w:val="0"/>
          <w:numId w:val="66"/>
        </w:numPr>
        <w:spacing w:line="240" w:lineRule="auto"/>
        <w:rPr>
          <w:rFonts w:cs="Times New Roman"/>
        </w:rPr>
      </w:pPr>
      <w:r w:rsidRPr="00654E3B">
        <w:rPr>
          <w:rFonts w:cs="Times New Roman"/>
        </w:rPr>
        <w:t>u pomorskom prometu pretpostavlja se da će u 2050. godini udio biogoriva iznositi 20</w:t>
      </w:r>
      <w:r w:rsidR="00060992" w:rsidRPr="00654E3B">
        <w:rPr>
          <w:rFonts w:cs="Times New Roman"/>
        </w:rPr>
        <w:t xml:space="preserve"> %</w:t>
      </w:r>
      <w:r w:rsidRPr="00654E3B">
        <w:rPr>
          <w:rFonts w:cs="Times New Roman"/>
        </w:rPr>
        <w:t>, UPP-a 10</w:t>
      </w:r>
      <w:r w:rsidR="00060992" w:rsidRPr="00654E3B">
        <w:rPr>
          <w:rFonts w:cs="Times New Roman"/>
        </w:rPr>
        <w:t xml:space="preserve"> %</w:t>
      </w:r>
      <w:r w:rsidRPr="00654E3B">
        <w:rPr>
          <w:rFonts w:cs="Times New Roman"/>
        </w:rPr>
        <w:t>.</w:t>
      </w:r>
    </w:p>
    <w:p w:rsidR="00DF3C10" w:rsidRPr="00654E3B" w:rsidRDefault="00DF3C10" w:rsidP="00DF3C10">
      <w:pPr>
        <w:spacing w:line="240" w:lineRule="auto"/>
        <w:ind w:left="360"/>
        <w:rPr>
          <w:rFonts w:cs="Times New Roman"/>
        </w:rPr>
      </w:pPr>
    </w:p>
    <w:p w:rsidR="00D15819" w:rsidRPr="00654E3B" w:rsidRDefault="00D15819" w:rsidP="00D15819">
      <w:pPr>
        <w:pStyle w:val="Heading2"/>
        <w:rPr>
          <w:rFonts w:ascii="Times New Roman" w:hAnsi="Times New Roman" w:cs="Times New Roman"/>
        </w:rPr>
      </w:pPr>
      <w:bookmarkStart w:id="380" w:name="_Toc69297814"/>
      <w:bookmarkStart w:id="381" w:name="_Toc33417213"/>
      <w:r w:rsidRPr="00654E3B">
        <w:rPr>
          <w:rFonts w:ascii="Times New Roman" w:hAnsi="Times New Roman" w:cs="Times New Roman"/>
        </w:rPr>
        <w:t xml:space="preserve">III.4. </w:t>
      </w:r>
      <w:r w:rsidRPr="00654E3B">
        <w:rPr>
          <w:rFonts w:ascii="Times New Roman" w:hAnsi="Times New Roman" w:cs="Times New Roman"/>
        </w:rPr>
        <w:tab/>
        <w:t>SEKTOR OPĆE POTROŠNJE</w:t>
      </w:r>
      <w:bookmarkEnd w:id="380"/>
    </w:p>
    <w:p w:rsidR="00D15819" w:rsidRPr="00654E3B" w:rsidRDefault="00D15819" w:rsidP="00D15819">
      <w:pPr>
        <w:rPr>
          <w:rFonts w:cs="Times New Roman"/>
        </w:rPr>
      </w:pPr>
    </w:p>
    <w:p w:rsidR="00D15819" w:rsidRPr="00654E3B" w:rsidRDefault="00D15819" w:rsidP="00D15819">
      <w:pPr>
        <w:rPr>
          <w:rFonts w:cs="Times New Roman"/>
        </w:rPr>
      </w:pPr>
      <w:r w:rsidRPr="00654E3B">
        <w:rPr>
          <w:rFonts w:cs="Times New Roman"/>
        </w:rPr>
        <w:t>U NU2 scenariju za dostizanje ciljeva potrebne su sljedeće mjere:</w:t>
      </w:r>
    </w:p>
    <w:p w:rsidR="00D15819" w:rsidRPr="00654E3B" w:rsidRDefault="00D15819" w:rsidP="00827D0A">
      <w:pPr>
        <w:pStyle w:val="ListParagraph"/>
        <w:numPr>
          <w:ilvl w:val="0"/>
          <w:numId w:val="67"/>
        </w:numPr>
        <w:spacing w:line="240" w:lineRule="auto"/>
        <w:rPr>
          <w:rFonts w:cs="Times New Roman"/>
        </w:rPr>
      </w:pPr>
      <w:r w:rsidRPr="00654E3B">
        <w:rPr>
          <w:rFonts w:cs="Times New Roman"/>
        </w:rPr>
        <w:t>najznačajniji doprinos smanjenju potrošnji energije daje energetska obnova zgrada – obnova postojećeg fonda zgrada, prikladnog za obnovu, po godišnjoj stopi od 3</w:t>
      </w:r>
      <w:r w:rsidR="00060992" w:rsidRPr="00654E3B">
        <w:rPr>
          <w:rFonts w:cs="Times New Roman"/>
        </w:rPr>
        <w:t xml:space="preserve"> %</w:t>
      </w:r>
      <w:r w:rsidRPr="00654E3B">
        <w:rPr>
          <w:rFonts w:cs="Times New Roman"/>
        </w:rPr>
        <w:t>, čime do 2050. godine cjelokupni fond zgrada postaje niskoenergetski</w:t>
      </w:r>
      <w:r w:rsidR="00827D0A" w:rsidRPr="00654E3B">
        <w:rPr>
          <w:rFonts w:cs="Times New Roman"/>
        </w:rPr>
        <w:t>. U međuvremenu je u prosincu 2020. godine usvojena Dugoročna strategija obnove nacionalnog fonda zgrada do 2050. godine koja je podignuta na 4</w:t>
      </w:r>
      <w:r w:rsidR="00060992" w:rsidRPr="00654E3B">
        <w:rPr>
          <w:rFonts w:cs="Times New Roman"/>
        </w:rPr>
        <w:t xml:space="preserve"> %</w:t>
      </w:r>
      <w:r w:rsidR="008E2244" w:rsidRPr="00654E3B">
        <w:rPr>
          <w:rFonts w:cs="Times New Roman"/>
        </w:rPr>
        <w:t>, ispunjenje koje ovisi o osiguranju financijskih sredstava.</w:t>
      </w:r>
    </w:p>
    <w:p w:rsidR="00D15819" w:rsidRPr="00654E3B" w:rsidRDefault="00D15819" w:rsidP="001B692F">
      <w:pPr>
        <w:pStyle w:val="ListParagraph"/>
        <w:numPr>
          <w:ilvl w:val="0"/>
          <w:numId w:val="67"/>
        </w:numPr>
        <w:spacing w:line="240" w:lineRule="auto"/>
        <w:rPr>
          <w:rFonts w:cs="Times New Roman"/>
        </w:rPr>
      </w:pPr>
      <w:r w:rsidRPr="00654E3B">
        <w:rPr>
          <w:rFonts w:cs="Times New Roman"/>
        </w:rPr>
        <w:t>u sektoru kućanstava predviđena je obnova oko 20.000 stambenih jedinica godišnje.</w:t>
      </w:r>
    </w:p>
    <w:p w:rsidR="00D15819" w:rsidRPr="00654E3B" w:rsidRDefault="00982D90" w:rsidP="00D15819">
      <w:pPr>
        <w:pStyle w:val="ListParagraph"/>
        <w:numPr>
          <w:ilvl w:val="0"/>
          <w:numId w:val="68"/>
        </w:numPr>
        <w:spacing w:line="240" w:lineRule="auto"/>
        <w:rPr>
          <w:rFonts w:cs="Times New Roman"/>
        </w:rPr>
      </w:pPr>
      <w:r w:rsidRPr="00654E3B">
        <w:rPr>
          <w:rFonts w:cs="Times New Roman"/>
        </w:rPr>
        <w:t xml:space="preserve">povećanje udjela </w:t>
      </w:r>
      <w:r w:rsidR="00D15819" w:rsidRPr="00654E3B">
        <w:rPr>
          <w:rFonts w:cs="Times New Roman"/>
        </w:rPr>
        <w:t>električne energije za toplinske namjene je snažno prisutna</w:t>
      </w:r>
    </w:p>
    <w:p w:rsidR="00D15819" w:rsidRPr="00654E3B" w:rsidRDefault="00D15819" w:rsidP="00D15819">
      <w:pPr>
        <w:pStyle w:val="ListParagraph"/>
        <w:numPr>
          <w:ilvl w:val="0"/>
          <w:numId w:val="68"/>
        </w:numPr>
        <w:spacing w:line="240" w:lineRule="auto"/>
        <w:rPr>
          <w:rFonts w:cs="Times New Roman"/>
        </w:rPr>
      </w:pPr>
      <w:r w:rsidRPr="00654E3B">
        <w:rPr>
          <w:rFonts w:cs="Times New Roman"/>
        </w:rPr>
        <w:t>do 2050. godine bi pola stambenog fonda bile novoizgrađene stambene jedinice u odnosu na danas, a u drugoj polovici bi sve stambene jedinice imale poboljšanu toplinsku izolaciju, što rezultira toplinskim potrebama ukupnog stambenog fonda od 34 kWh/m</w:t>
      </w:r>
      <w:r w:rsidRPr="00654E3B">
        <w:rPr>
          <w:rFonts w:cs="Times New Roman"/>
          <w:vertAlign w:val="superscript"/>
        </w:rPr>
        <w:t>2</w:t>
      </w:r>
      <w:r w:rsidRPr="00654E3B">
        <w:rPr>
          <w:rFonts w:cs="Times New Roman"/>
        </w:rPr>
        <w:t xml:space="preserve"> grijane površine</w:t>
      </w:r>
    </w:p>
    <w:p w:rsidR="00D15819" w:rsidRPr="00654E3B" w:rsidRDefault="00D15819" w:rsidP="00D15819">
      <w:pPr>
        <w:pStyle w:val="ListParagraph"/>
        <w:numPr>
          <w:ilvl w:val="0"/>
          <w:numId w:val="68"/>
        </w:numPr>
        <w:spacing w:line="240" w:lineRule="auto"/>
        <w:rPr>
          <w:rFonts w:cs="Times New Roman"/>
        </w:rPr>
      </w:pPr>
      <w:r w:rsidRPr="00654E3B">
        <w:rPr>
          <w:rFonts w:cs="Times New Roman"/>
        </w:rPr>
        <w:lastRenderedPageBreak/>
        <w:t>u 2050. godini kućanstava će se grijati 25</w:t>
      </w:r>
      <w:r w:rsidR="00060992" w:rsidRPr="00654E3B">
        <w:rPr>
          <w:rFonts w:cs="Times New Roman"/>
        </w:rPr>
        <w:t xml:space="preserve"> %</w:t>
      </w:r>
      <w:r w:rsidRPr="00654E3B">
        <w:rPr>
          <w:rFonts w:cs="Times New Roman"/>
        </w:rPr>
        <w:t xml:space="preserve"> modernom biomasom, 45</w:t>
      </w:r>
      <w:r w:rsidR="00060992" w:rsidRPr="00654E3B">
        <w:rPr>
          <w:rFonts w:cs="Times New Roman"/>
        </w:rPr>
        <w:t xml:space="preserve"> %</w:t>
      </w:r>
      <w:r w:rsidRPr="00654E3B">
        <w:rPr>
          <w:rFonts w:cs="Times New Roman"/>
        </w:rPr>
        <w:t xml:space="preserve"> dizalicama topline, 10</w:t>
      </w:r>
      <w:r w:rsidR="00060992" w:rsidRPr="00654E3B">
        <w:rPr>
          <w:rFonts w:cs="Times New Roman"/>
        </w:rPr>
        <w:t xml:space="preserve"> %</w:t>
      </w:r>
      <w:r w:rsidRPr="00654E3B">
        <w:rPr>
          <w:rFonts w:cs="Times New Roman"/>
        </w:rPr>
        <w:t xml:space="preserve"> daljinskim grijanjem i 20</w:t>
      </w:r>
      <w:r w:rsidR="00060992" w:rsidRPr="00654E3B">
        <w:rPr>
          <w:rFonts w:cs="Times New Roman"/>
        </w:rPr>
        <w:t xml:space="preserve"> %</w:t>
      </w:r>
      <w:r w:rsidRPr="00654E3B">
        <w:rPr>
          <w:rFonts w:cs="Times New Roman"/>
        </w:rPr>
        <w:t xml:space="preserve"> prirodnim plinom, 30</w:t>
      </w:r>
      <w:r w:rsidR="00060992" w:rsidRPr="00654E3B">
        <w:rPr>
          <w:rFonts w:cs="Times New Roman"/>
        </w:rPr>
        <w:t xml:space="preserve"> %</w:t>
      </w:r>
      <w:r w:rsidRPr="00654E3B">
        <w:rPr>
          <w:rFonts w:cs="Times New Roman"/>
        </w:rPr>
        <w:t xml:space="preserve"> pripreme tople vode je sunčevim kolektorima</w:t>
      </w:r>
    </w:p>
    <w:p w:rsidR="00D15819" w:rsidRPr="00654E3B" w:rsidRDefault="00D15819" w:rsidP="00D15819">
      <w:pPr>
        <w:pStyle w:val="ListParagraph"/>
        <w:numPr>
          <w:ilvl w:val="0"/>
          <w:numId w:val="68"/>
        </w:numPr>
        <w:rPr>
          <w:rFonts w:cs="Times New Roman"/>
        </w:rPr>
      </w:pPr>
      <w:r w:rsidRPr="00654E3B">
        <w:rPr>
          <w:rFonts w:cs="Times New Roman"/>
        </w:rPr>
        <w:t>površina uslužnog sektora raste, toplinske potrebe se mjerama do 2050. godine svode na 30 kWh/m</w:t>
      </w:r>
      <w:r w:rsidRPr="00654E3B">
        <w:rPr>
          <w:rFonts w:cs="Times New Roman"/>
          <w:vertAlign w:val="superscript"/>
        </w:rPr>
        <w:t>2</w:t>
      </w:r>
      <w:r w:rsidRPr="00654E3B">
        <w:rPr>
          <w:rFonts w:cs="Times New Roman"/>
        </w:rPr>
        <w:t xml:space="preserve">, struktura grijanja i priprema potrošne tople vode slična kao i za kućanstva. </w:t>
      </w:r>
    </w:p>
    <w:p w:rsidR="00D15819" w:rsidRPr="00654E3B" w:rsidRDefault="00D15819" w:rsidP="00D15819">
      <w:pPr>
        <w:pStyle w:val="Heading2"/>
        <w:rPr>
          <w:rFonts w:ascii="Times New Roman" w:hAnsi="Times New Roman" w:cs="Times New Roman"/>
        </w:rPr>
      </w:pPr>
      <w:bookmarkStart w:id="382" w:name="_Toc69297815"/>
      <w:r w:rsidRPr="00654E3B">
        <w:rPr>
          <w:rFonts w:ascii="Times New Roman" w:hAnsi="Times New Roman" w:cs="Times New Roman"/>
        </w:rPr>
        <w:t xml:space="preserve">III.5. </w:t>
      </w:r>
      <w:r w:rsidRPr="00654E3B">
        <w:rPr>
          <w:rFonts w:ascii="Times New Roman" w:hAnsi="Times New Roman" w:cs="Times New Roman"/>
        </w:rPr>
        <w:tab/>
        <w:t>POLJOPRIVREDA</w:t>
      </w:r>
      <w:bookmarkEnd w:id="382"/>
    </w:p>
    <w:p w:rsidR="00D15819" w:rsidRPr="00654E3B" w:rsidRDefault="00D15819" w:rsidP="00D15819">
      <w:pPr>
        <w:rPr>
          <w:rFonts w:cs="Times New Roman"/>
        </w:rPr>
      </w:pPr>
    </w:p>
    <w:p w:rsidR="00D15819" w:rsidRPr="00654E3B" w:rsidRDefault="00D15819" w:rsidP="00D15819">
      <w:pPr>
        <w:rPr>
          <w:rFonts w:cs="Times New Roman"/>
        </w:rPr>
      </w:pPr>
      <w:r w:rsidRPr="00654E3B">
        <w:rPr>
          <w:rFonts w:cs="Times New Roman"/>
        </w:rPr>
        <w:t>Dodatno značajno smanjenje emisije stakleničkih plinova može se ostvariti uz promjene prehrambenih navika društva odnosno primjenom dodatnih mjera u odnosu na NUR i NU1 scenarije:</w:t>
      </w:r>
    </w:p>
    <w:p w:rsidR="00D15819" w:rsidRPr="00654E3B" w:rsidRDefault="00D15819" w:rsidP="00D15819">
      <w:pPr>
        <w:pStyle w:val="ListParagraph"/>
        <w:numPr>
          <w:ilvl w:val="0"/>
          <w:numId w:val="70"/>
        </w:numPr>
        <w:rPr>
          <w:rFonts w:cs="Times New Roman"/>
        </w:rPr>
      </w:pPr>
      <w:r w:rsidRPr="00654E3B">
        <w:rPr>
          <w:rFonts w:cs="Times New Roman"/>
        </w:rPr>
        <w:t xml:space="preserve">Promjena načina prehrane ljudi – </w:t>
      </w:r>
      <w:r w:rsidR="009711C3" w:rsidRPr="00654E3B">
        <w:rPr>
          <w:rFonts w:cs="Times New Roman"/>
        </w:rPr>
        <w:t xml:space="preserve">promjena načina prehrane ljudi u smjeru </w:t>
      </w:r>
      <w:r w:rsidR="009B6E92" w:rsidRPr="00654E3B">
        <w:rPr>
          <w:rFonts w:cs="Times New Roman"/>
        </w:rPr>
        <w:t xml:space="preserve">veće </w:t>
      </w:r>
      <w:r w:rsidR="009711C3" w:rsidRPr="00654E3B">
        <w:rPr>
          <w:rFonts w:cs="Times New Roman"/>
        </w:rPr>
        <w:t xml:space="preserve">konzumacije </w:t>
      </w:r>
      <w:r w:rsidR="009B6E92" w:rsidRPr="00654E3B">
        <w:rPr>
          <w:rFonts w:cs="Times New Roman"/>
        </w:rPr>
        <w:t>namirnice biljnog porijekla</w:t>
      </w:r>
      <w:r w:rsidR="00911A49" w:rsidRPr="00654E3B">
        <w:rPr>
          <w:rFonts w:cs="Times New Roman"/>
        </w:rPr>
        <w:t xml:space="preserve">. </w:t>
      </w:r>
    </w:p>
    <w:p w:rsidR="00D15819" w:rsidRPr="00654E3B" w:rsidRDefault="00D15819" w:rsidP="00D15819">
      <w:pPr>
        <w:pStyle w:val="Heading2"/>
        <w:rPr>
          <w:rFonts w:ascii="Times New Roman" w:hAnsi="Times New Roman" w:cs="Times New Roman"/>
        </w:rPr>
      </w:pPr>
      <w:bookmarkStart w:id="383" w:name="_Toc69297816"/>
      <w:r w:rsidRPr="00654E3B">
        <w:rPr>
          <w:rFonts w:ascii="Times New Roman" w:hAnsi="Times New Roman" w:cs="Times New Roman"/>
        </w:rPr>
        <w:t xml:space="preserve">III.6. </w:t>
      </w:r>
      <w:r w:rsidRPr="00654E3B">
        <w:rPr>
          <w:rFonts w:ascii="Times New Roman" w:hAnsi="Times New Roman" w:cs="Times New Roman"/>
        </w:rPr>
        <w:tab/>
        <w:t>OTPAD</w:t>
      </w:r>
      <w:bookmarkEnd w:id="383"/>
    </w:p>
    <w:p w:rsidR="00D15819" w:rsidRPr="00654E3B" w:rsidRDefault="00D15819" w:rsidP="00D15819">
      <w:pPr>
        <w:rPr>
          <w:rFonts w:cs="Times New Roman"/>
        </w:rPr>
      </w:pPr>
    </w:p>
    <w:p w:rsidR="00D15819" w:rsidRPr="00654E3B" w:rsidRDefault="00D15819" w:rsidP="00D15819">
      <w:pPr>
        <w:rPr>
          <w:rFonts w:cs="Times New Roman"/>
        </w:rPr>
      </w:pPr>
      <w:r w:rsidRPr="00654E3B">
        <w:rPr>
          <w:rFonts w:cs="Times New Roman"/>
        </w:rPr>
        <w:t xml:space="preserve">Scenarij NU2 jednak je scenariju NUR budući </w:t>
      </w:r>
      <w:r w:rsidR="00C773FB" w:rsidRPr="00654E3B">
        <w:rPr>
          <w:rFonts w:cs="Times New Roman"/>
        </w:rPr>
        <w:t xml:space="preserve">da </w:t>
      </w:r>
      <w:r w:rsidRPr="00654E3B">
        <w:rPr>
          <w:rFonts w:cs="Times New Roman"/>
        </w:rPr>
        <w:t xml:space="preserve">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 (što odgovara NUR scenariju). </w:t>
      </w:r>
    </w:p>
    <w:p w:rsidR="00D15819" w:rsidRPr="00654E3B" w:rsidRDefault="00D15819" w:rsidP="00D15819">
      <w:pPr>
        <w:rPr>
          <w:rFonts w:cs="Times New Roman"/>
        </w:rPr>
      </w:pPr>
      <w:r w:rsidRPr="00654E3B">
        <w:rPr>
          <w:rFonts w:cs="Times New Roman"/>
        </w:rPr>
        <w:br w:type="page"/>
      </w:r>
    </w:p>
    <w:p w:rsidR="007D4A93" w:rsidRPr="00654E3B" w:rsidRDefault="00EF0BEB">
      <w:pPr>
        <w:pStyle w:val="Heading1"/>
        <w:rPr>
          <w:rFonts w:ascii="Times New Roman" w:hAnsi="Times New Roman" w:cs="Times New Roman"/>
        </w:rPr>
      </w:pPr>
      <w:bookmarkStart w:id="384" w:name="_Toc69297817"/>
      <w:r w:rsidRPr="00654E3B">
        <w:rPr>
          <w:rFonts w:ascii="Times New Roman" w:hAnsi="Times New Roman" w:cs="Times New Roman"/>
        </w:rPr>
        <w:lastRenderedPageBreak/>
        <w:t>PRILOG IV.  -  REZULTATI ANALIZE OSJETLJIVOSTI</w:t>
      </w:r>
      <w:bookmarkEnd w:id="376"/>
      <w:bookmarkEnd w:id="377"/>
      <w:bookmarkEnd w:id="381"/>
      <w:bookmarkEnd w:id="384"/>
    </w:p>
    <w:p w:rsidR="007D4A93" w:rsidRPr="00654E3B" w:rsidRDefault="007D4A93">
      <w:pPr>
        <w:rPr>
          <w:rFonts w:cs="Times New Roman"/>
        </w:rPr>
      </w:pPr>
    </w:p>
    <w:p w:rsidR="007D4A93" w:rsidRPr="00654E3B" w:rsidRDefault="00AB3E65">
      <w:pPr>
        <w:rPr>
          <w:rFonts w:cs="Times New Roman"/>
        </w:rPr>
      </w:pPr>
      <w:r w:rsidRPr="00654E3B">
        <w:rPr>
          <w:rFonts w:cs="Times New Roman"/>
        </w:rPr>
        <w:t xml:space="preserve">EU </w:t>
      </w:r>
      <w:r w:rsidR="00EF0BEB" w:rsidRPr="00654E3B">
        <w:rPr>
          <w:rFonts w:cs="Times New Roman"/>
        </w:rPr>
        <w:t>Uredba</w:t>
      </w:r>
      <w:r w:rsidRPr="00654E3B">
        <w:rPr>
          <w:rFonts w:cs="Times New Roman"/>
        </w:rPr>
        <w:t xml:space="preserve"> o upravljanju</w:t>
      </w:r>
      <w:r w:rsidR="00EF0BEB" w:rsidRPr="00654E3B">
        <w:rPr>
          <w:rFonts w:cs="Times New Roman"/>
          <w:szCs w:val="24"/>
        </w:rPr>
        <w:t xml:space="preserve"> </w:t>
      </w:r>
      <w:r w:rsidR="00EF0BEB" w:rsidRPr="00654E3B">
        <w:rPr>
          <w:rFonts w:cs="Times New Roman"/>
        </w:rPr>
        <w:t xml:space="preserve">preporuča da bi za nacionalne scenarije trebalo koristiti, koliko je to moguće i opravdano,  pretpostavke i polazne podatke koji su korišteni za zajedničke projekcije EU. </w:t>
      </w:r>
    </w:p>
    <w:p w:rsidR="007D4A93" w:rsidRPr="00654E3B" w:rsidRDefault="00EF0BEB">
      <w:pPr>
        <w:rPr>
          <w:rFonts w:cs="Times New Roman"/>
        </w:rPr>
      </w:pPr>
      <w:r w:rsidRPr="00654E3B">
        <w:rPr>
          <w:rFonts w:cs="Times New Roman"/>
        </w:rPr>
        <w:t>U lipnju 2018. godine EK izradila je dokument Preporučeni usklađeni parametri za potrebe izrade nacionalnih projekcija, integriranih planova i dugoročnih strategija</w:t>
      </w:r>
      <w:r w:rsidRPr="00F01191">
        <w:rPr>
          <w:rStyle w:val="FootnoteReference"/>
          <w:rFonts w:ascii="Times New Roman" w:hAnsi="Times New Roman" w:cs="Times New Roman"/>
        </w:rPr>
        <w:footnoteReference w:id="7"/>
      </w:r>
      <w:r w:rsidRPr="00F01191">
        <w:rPr>
          <w:rFonts w:cs="Times New Roman"/>
        </w:rPr>
        <w:t>. Preporučeni parametri uključuju projekcije</w:t>
      </w:r>
      <w:r w:rsidRPr="00654E3B">
        <w:rPr>
          <w:rFonts w:cs="Times New Roman"/>
        </w:rPr>
        <w:t xml:space="preserve"> demografskog razvoja, stopa BDP-a, bruto dodane vrijednosti pojedinih industrijskih grana, projekcije cijene goriva te emisijskih jedinica. U slučaju odstupanja, odnosno ne korištenja preporučenih parametra, potrebno je izraditi analizu osjetljivosti i odrediti promjene u emisijama stakleničkih plinova.</w:t>
      </w:r>
    </w:p>
    <w:p w:rsidR="007D4A93" w:rsidRPr="00654E3B" w:rsidRDefault="00EF0BEB">
      <w:pPr>
        <w:rPr>
          <w:rFonts w:cs="Times New Roman"/>
        </w:rPr>
      </w:pPr>
      <w:r w:rsidRPr="00654E3B">
        <w:rPr>
          <w:rFonts w:cs="Times New Roman"/>
        </w:rPr>
        <w:t xml:space="preserve">Ključne razlike u polaznim podacima nacionalnih NUR, NU1 i NU2 scenarija i polaznih podataka koje koristi EU u zajedničkim scenarijima su projekcije broja stanovnika i projekcije BDP-a te su u nastavku prikazani rezultati analize osjetljivosti, odnosno razlike u emisijama stakleničkih plinova ovisno o razlikama tih parametara demografskog i gospodarskog razvoja. </w:t>
      </w:r>
    </w:p>
    <w:p w:rsidR="007D4A93" w:rsidRPr="00654E3B" w:rsidRDefault="00EF0BEB">
      <w:pPr>
        <w:rPr>
          <w:rFonts w:cs="Times New Roman"/>
        </w:rPr>
      </w:pPr>
      <w:r w:rsidRPr="00654E3B">
        <w:rPr>
          <w:rFonts w:cs="Times New Roman"/>
        </w:rPr>
        <w:t>U sva tri promatrana scenarija (NUR, NU1, NU2) demografski i gospodarski parametri su isti (opisani u Poglavlju 3.3.1.).</w:t>
      </w:r>
    </w:p>
    <w:p w:rsidR="007D4A93" w:rsidRPr="00654E3B" w:rsidRDefault="00EF0BEB">
      <w:pPr>
        <w:rPr>
          <w:rFonts w:cs="Times New Roman"/>
          <w:u w:val="single"/>
        </w:rPr>
      </w:pPr>
      <w:r w:rsidRPr="00654E3B">
        <w:rPr>
          <w:rFonts w:cs="Times New Roman"/>
          <w:u w:val="single"/>
        </w:rPr>
        <w:t>Stopa BDP-a</w:t>
      </w:r>
    </w:p>
    <w:p w:rsidR="007D4A93" w:rsidRPr="00654E3B" w:rsidRDefault="00EF0BEB">
      <w:pPr>
        <w:rPr>
          <w:rFonts w:cs="Times New Roman"/>
        </w:rPr>
      </w:pPr>
      <w:r w:rsidRPr="00654E3B">
        <w:rPr>
          <w:rFonts w:cs="Times New Roman"/>
        </w:rPr>
        <w:t>U analiziranim scenarijima pretpostavljen je porast BDP-a u prosjeku 2,0</w:t>
      </w:r>
      <w:r w:rsidR="00060992" w:rsidRPr="00654E3B">
        <w:rPr>
          <w:rFonts w:cs="Times New Roman"/>
        </w:rPr>
        <w:t xml:space="preserve"> %</w:t>
      </w:r>
      <w:r w:rsidRPr="00654E3B">
        <w:rPr>
          <w:rFonts w:cs="Times New Roman"/>
        </w:rPr>
        <w:t xml:space="preserve"> do 2050. godine, što čini nominalno povećanje u odnosu na 2016. godinu za 93,4</w:t>
      </w:r>
      <w:r w:rsidR="00060992" w:rsidRPr="00654E3B">
        <w:rPr>
          <w:rFonts w:cs="Times New Roman"/>
        </w:rPr>
        <w:t xml:space="preserve"> %</w:t>
      </w:r>
      <w:r w:rsidRPr="00654E3B">
        <w:rPr>
          <w:rFonts w:cs="Times New Roman"/>
        </w:rPr>
        <w:t xml:space="preserve">. </w:t>
      </w:r>
    </w:p>
    <w:p w:rsidR="007D4A93" w:rsidRPr="00654E3B" w:rsidRDefault="00EF0BEB">
      <w:pPr>
        <w:rPr>
          <w:rFonts w:cs="Times New Roman"/>
        </w:rPr>
      </w:pPr>
      <w:r w:rsidRPr="00654E3B">
        <w:rPr>
          <w:rFonts w:cs="Times New Roman"/>
        </w:rPr>
        <w:t>Preporučene stope rasta BDP-a u dokumentu Preporučeni usklađeni parametri za potrebe izrade nacionalnih projekcija, integriranih planova i dugoročnih strategija pretpostavljaju porast BDP-a do 2050. godine, u prosjeku 1,7</w:t>
      </w:r>
      <w:r w:rsidR="00060992" w:rsidRPr="00654E3B">
        <w:rPr>
          <w:rFonts w:cs="Times New Roman"/>
        </w:rPr>
        <w:t xml:space="preserve"> %</w:t>
      </w:r>
      <w:r w:rsidRPr="00654E3B">
        <w:rPr>
          <w:rFonts w:cs="Times New Roman"/>
        </w:rPr>
        <w:t xml:space="preserve"> do 2050. godine, što čini nominalno povećanje u odnosu na 2016. godinu za 77,3</w:t>
      </w:r>
      <w:r w:rsidR="00060992" w:rsidRPr="00654E3B">
        <w:rPr>
          <w:rFonts w:cs="Times New Roman"/>
        </w:rPr>
        <w:t xml:space="preserve"> %</w:t>
      </w:r>
      <w:r w:rsidRPr="00654E3B">
        <w:rPr>
          <w:rFonts w:cs="Times New Roman"/>
        </w:rPr>
        <w:t xml:space="preserve">. </w:t>
      </w:r>
    </w:p>
    <w:p w:rsidR="007D4A93" w:rsidRPr="00654E3B" w:rsidRDefault="00EF0BEB">
      <w:pPr>
        <w:rPr>
          <w:rFonts w:cs="Times New Roman"/>
        </w:rPr>
      </w:pPr>
      <w:r w:rsidRPr="00654E3B">
        <w:rPr>
          <w:rFonts w:cs="Times New Roman"/>
        </w:rPr>
        <w:t>Uz korištenje preporučenih stopa rasta BDP-a, emisija stakleničkih plinova u 2030. godini manja je za oko 1,2</w:t>
      </w:r>
      <w:r w:rsidR="00060992" w:rsidRPr="00654E3B">
        <w:rPr>
          <w:rFonts w:cs="Times New Roman"/>
        </w:rPr>
        <w:t xml:space="preserve"> %</w:t>
      </w:r>
      <w:r w:rsidRPr="00654E3B">
        <w:rPr>
          <w:rFonts w:cs="Times New Roman"/>
        </w:rPr>
        <w:t xml:space="preserve"> u odnosu na NUR, NU1 i NU2 scenarije. Emisija stakleničkih plinova u 2050. godini manja je za 1,2</w:t>
      </w:r>
      <w:r w:rsidR="00060992" w:rsidRPr="00654E3B">
        <w:rPr>
          <w:rFonts w:cs="Times New Roman"/>
        </w:rPr>
        <w:t xml:space="preserve"> %</w:t>
      </w:r>
      <w:r w:rsidRPr="00654E3B">
        <w:rPr>
          <w:rFonts w:cs="Times New Roman"/>
        </w:rPr>
        <w:t>, 1,3</w:t>
      </w:r>
      <w:r w:rsidR="00060992" w:rsidRPr="00654E3B">
        <w:rPr>
          <w:rFonts w:cs="Times New Roman"/>
        </w:rPr>
        <w:t xml:space="preserve"> %</w:t>
      </w:r>
      <w:r w:rsidRPr="00654E3B">
        <w:rPr>
          <w:rFonts w:cs="Times New Roman"/>
        </w:rPr>
        <w:t xml:space="preserve"> i 0,7</w:t>
      </w:r>
      <w:r w:rsidR="00060992" w:rsidRPr="00654E3B">
        <w:rPr>
          <w:rFonts w:cs="Times New Roman"/>
        </w:rPr>
        <w:t xml:space="preserve"> %</w:t>
      </w:r>
      <w:r w:rsidRPr="00654E3B">
        <w:rPr>
          <w:rFonts w:cs="Times New Roman"/>
        </w:rPr>
        <w:t xml:space="preserve"> u odnosu na NUR, NU1 i NU2 scenarije, a uz pretpostavku jednake ugljične intenzivnosti gospodarstva. Međutim, provedbom mjera za smanjenje emisija smanjuje se, a u dugom roku i prekida veza između BDP-a i emisija. Dakle, rast BDP-a doprinosi smanjenju emisija kada do njega dolazi kroz ulaganja u niskougljične tehnologije, industriju i usluge.</w:t>
      </w:r>
    </w:p>
    <w:p w:rsidR="007D4A93" w:rsidRPr="00654E3B" w:rsidRDefault="00EF0BEB">
      <w:pPr>
        <w:rPr>
          <w:rFonts w:cs="Times New Roman"/>
          <w:u w:val="single"/>
        </w:rPr>
      </w:pPr>
      <w:r w:rsidRPr="00654E3B">
        <w:rPr>
          <w:rFonts w:cs="Times New Roman"/>
          <w:u w:val="single"/>
        </w:rPr>
        <w:t>Kretanje broja stanovnika</w:t>
      </w:r>
    </w:p>
    <w:p w:rsidR="007D4A93" w:rsidRPr="00654E3B" w:rsidRDefault="00EF0BEB">
      <w:pPr>
        <w:rPr>
          <w:rFonts w:cs="Times New Roman"/>
        </w:rPr>
      </w:pPr>
      <w:r w:rsidRPr="00654E3B">
        <w:rPr>
          <w:rFonts w:cs="Times New Roman"/>
        </w:rPr>
        <w:t>NUR, NU1 i NU2 scenariji napravljeni su uz pretpostavku da u Republici Hrvatskoj broj stanovnika u 2030. iznosi 3.755.419, a u 2050. 3.295.443. Preporučeni parametri projekcija demografskog razvoja iz dokumenta Preporučeni usklađeni parametri za potrebe izrade nacionalnih projekcija, integriranih planova i dugoročnih strategija daju 8,7</w:t>
      </w:r>
      <w:r w:rsidR="00060992" w:rsidRPr="00654E3B">
        <w:rPr>
          <w:rFonts w:cs="Times New Roman"/>
        </w:rPr>
        <w:t xml:space="preserve"> %</w:t>
      </w:r>
      <w:r w:rsidRPr="00654E3B">
        <w:rPr>
          <w:rFonts w:cs="Times New Roman"/>
        </w:rPr>
        <w:t xml:space="preserve"> više stanovnika u 2030. godini, odnosno 16</w:t>
      </w:r>
      <w:r w:rsidR="00060992" w:rsidRPr="00654E3B">
        <w:rPr>
          <w:rFonts w:cs="Times New Roman"/>
        </w:rPr>
        <w:t xml:space="preserve"> %</w:t>
      </w:r>
      <w:r w:rsidRPr="00654E3B">
        <w:rPr>
          <w:rFonts w:cs="Times New Roman"/>
        </w:rPr>
        <w:t xml:space="preserve"> stanovnika više u 2050. godini, u odnosu na pretpostavljeni broj stanovnika u NUR, NU1 i NU2 scenarijima.</w:t>
      </w:r>
    </w:p>
    <w:p w:rsidR="007D4A93" w:rsidRPr="00654E3B" w:rsidRDefault="00EF0BEB">
      <w:pPr>
        <w:rPr>
          <w:rFonts w:cs="Times New Roman"/>
        </w:rPr>
      </w:pPr>
      <w:r w:rsidRPr="00654E3B">
        <w:rPr>
          <w:rFonts w:cs="Times New Roman"/>
        </w:rPr>
        <w:t>Niskougljičnim scenarijima odvaja se BDP od emisija stakleničkih plinova, a  isto tako i emisija po stanovniku pada. U NU1 scenariju u 2030. godini iznosi 5,6 tCO</w:t>
      </w:r>
      <w:r w:rsidRPr="00654E3B">
        <w:rPr>
          <w:rFonts w:cs="Times New Roman"/>
          <w:vertAlign w:val="subscript"/>
        </w:rPr>
        <w:t>2</w:t>
      </w:r>
      <w:r w:rsidRPr="00654E3B">
        <w:rPr>
          <w:rFonts w:cs="Times New Roman"/>
        </w:rPr>
        <w:t>e/stan, a u 2050. godini 4,2 tCO</w:t>
      </w:r>
      <w:r w:rsidRPr="00654E3B">
        <w:rPr>
          <w:rFonts w:cs="Times New Roman"/>
          <w:vertAlign w:val="subscript"/>
        </w:rPr>
        <w:t>2</w:t>
      </w:r>
      <w:r w:rsidRPr="00654E3B">
        <w:rPr>
          <w:rFonts w:cs="Times New Roman"/>
        </w:rPr>
        <w:t>e/stan te 5,4 tCO</w:t>
      </w:r>
      <w:r w:rsidRPr="00654E3B">
        <w:rPr>
          <w:rFonts w:cs="Times New Roman"/>
          <w:vertAlign w:val="subscript"/>
        </w:rPr>
        <w:t>2</w:t>
      </w:r>
      <w:r w:rsidRPr="00654E3B">
        <w:rPr>
          <w:rFonts w:cs="Times New Roman"/>
        </w:rPr>
        <w:t>e/stan 2030. godine u NU2 scenariju, odnosno 2,6 tCO</w:t>
      </w:r>
      <w:r w:rsidRPr="00654E3B">
        <w:rPr>
          <w:rFonts w:cs="Times New Roman"/>
          <w:vertAlign w:val="subscript"/>
        </w:rPr>
        <w:t>2</w:t>
      </w:r>
      <w:r w:rsidRPr="00654E3B">
        <w:rPr>
          <w:rFonts w:cs="Times New Roman"/>
        </w:rPr>
        <w:t xml:space="preserve">e/stan 2050. godine. Varijacije u </w:t>
      </w:r>
      <w:r w:rsidRPr="00654E3B">
        <w:rPr>
          <w:rFonts w:cs="Times New Roman"/>
        </w:rPr>
        <w:lastRenderedPageBreak/>
        <w:t xml:space="preserve">demografskim kretanjima imaju sve manji utjecaj na emisije i ne mogu bitno promijeniti postavljene trendove. </w:t>
      </w:r>
    </w:p>
    <w:p w:rsidR="007D4A93" w:rsidRPr="00654E3B" w:rsidRDefault="00EF0BEB">
      <w:pPr>
        <w:rPr>
          <w:rFonts w:cs="Times New Roman"/>
        </w:rPr>
      </w:pPr>
      <w:r w:rsidRPr="00654E3B">
        <w:rPr>
          <w:rFonts w:cs="Times New Roman"/>
        </w:rPr>
        <w:t>Uz korištenje preporučenih parametara demografskog razvoja iz dokumenta Preporučeni usklađeni parametri za potrebe izrade nacionalnih projekcija, integriranih planova i dugoročnih strategija, emisija stakleničkih plinova u 2030. godini veća je za oko 4</w:t>
      </w:r>
      <w:r w:rsidR="00060992" w:rsidRPr="00654E3B">
        <w:rPr>
          <w:rFonts w:cs="Times New Roman"/>
        </w:rPr>
        <w:t xml:space="preserve"> %</w:t>
      </w:r>
      <w:r w:rsidRPr="00654E3B">
        <w:rPr>
          <w:rFonts w:cs="Times New Roman"/>
        </w:rPr>
        <w:t xml:space="preserve"> u odnosu na NU1 i NU2 scenarije, a u 2050. godini veća je za 4,2</w:t>
      </w:r>
      <w:r w:rsidR="00060992" w:rsidRPr="00654E3B">
        <w:rPr>
          <w:rFonts w:cs="Times New Roman"/>
        </w:rPr>
        <w:t xml:space="preserve"> %</w:t>
      </w:r>
      <w:r w:rsidRPr="00654E3B">
        <w:rPr>
          <w:rFonts w:cs="Times New Roman"/>
        </w:rPr>
        <w:t xml:space="preserve"> odnosno 2,6</w:t>
      </w:r>
      <w:r w:rsidR="00060992" w:rsidRPr="00654E3B">
        <w:rPr>
          <w:rFonts w:cs="Times New Roman"/>
        </w:rPr>
        <w:t xml:space="preserve"> %</w:t>
      </w:r>
      <w:r w:rsidRPr="00654E3B">
        <w:rPr>
          <w:rFonts w:cs="Times New Roman"/>
        </w:rPr>
        <w:t xml:space="preserve"> veća u odnosu NU1 i NU2 scenarije.</w:t>
      </w:r>
    </w:p>
    <w:p w:rsidR="007D4A93" w:rsidRPr="00654E3B" w:rsidRDefault="007D4A93">
      <w:pPr>
        <w:pStyle w:val="Heading1"/>
        <w:rPr>
          <w:rFonts w:ascii="Times New Roman" w:hAnsi="Times New Roman" w:cs="Times New Roman"/>
        </w:rPr>
        <w:sectPr w:rsidR="007D4A93" w:rsidRPr="00654E3B">
          <w:footerReference w:type="default" r:id="rId24"/>
          <w:pgSz w:w="11906" w:h="16838"/>
          <w:pgMar w:top="568" w:right="1418" w:bottom="1418" w:left="1418" w:header="624" w:footer="624" w:gutter="0"/>
          <w:pgNumType w:start="1"/>
          <w:cols w:space="720"/>
          <w:docGrid w:linePitch="360"/>
        </w:sectPr>
      </w:pPr>
      <w:bookmarkStart w:id="385" w:name="_Toc33417210"/>
    </w:p>
    <w:p w:rsidR="007D4A93" w:rsidRPr="00654E3B" w:rsidRDefault="00EF0BEB">
      <w:pPr>
        <w:pStyle w:val="Heading1"/>
        <w:rPr>
          <w:rFonts w:ascii="Times New Roman" w:hAnsi="Times New Roman" w:cs="Times New Roman"/>
        </w:rPr>
      </w:pPr>
      <w:bookmarkStart w:id="386" w:name="_Toc69297818"/>
      <w:r w:rsidRPr="00654E3B">
        <w:rPr>
          <w:rFonts w:ascii="Times New Roman" w:hAnsi="Times New Roman" w:cs="Times New Roman"/>
        </w:rPr>
        <w:lastRenderedPageBreak/>
        <w:t>PRILOG V. - MJERE NA OSNOVU KOJIH SU SE IZRADILI SC</w:t>
      </w:r>
      <w:r w:rsidR="00A10CCE" w:rsidRPr="00654E3B">
        <w:rPr>
          <w:rFonts w:ascii="Times New Roman" w:hAnsi="Times New Roman" w:cs="Times New Roman"/>
        </w:rPr>
        <w:t>E</w:t>
      </w:r>
      <w:r w:rsidRPr="00654E3B">
        <w:rPr>
          <w:rFonts w:ascii="Times New Roman" w:hAnsi="Times New Roman" w:cs="Times New Roman"/>
        </w:rPr>
        <w:t>NARIJI</w:t>
      </w:r>
      <w:bookmarkEnd w:id="385"/>
      <w:bookmarkEnd w:id="386"/>
    </w:p>
    <w:p w:rsidR="007D4A93" w:rsidRPr="00654E3B" w:rsidRDefault="007D4A93">
      <w:pPr>
        <w:rPr>
          <w:rFonts w:cs="Times New Roman"/>
        </w:rPr>
      </w:pPr>
    </w:p>
    <w:tbl>
      <w:tblPr>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832"/>
        <w:gridCol w:w="9217"/>
      </w:tblGrid>
      <w:tr w:rsidR="007D4A93" w:rsidRPr="00654E3B" w:rsidTr="002D7110">
        <w:trPr>
          <w:trHeight w:val="340"/>
          <w:tblHeader/>
        </w:trPr>
        <w:tc>
          <w:tcPr>
            <w:tcW w:w="1129" w:type="dxa"/>
            <w:vAlign w:val="center"/>
          </w:tcPr>
          <w:p w:rsidR="007D4A93" w:rsidRPr="00654E3B" w:rsidRDefault="00EF0BEB">
            <w:pPr>
              <w:spacing w:line="240" w:lineRule="auto"/>
              <w:jc w:val="center"/>
              <w:rPr>
                <w:rFonts w:cs="Times New Roman"/>
                <w:b/>
                <w:sz w:val="20"/>
              </w:rPr>
            </w:pPr>
            <w:r w:rsidRPr="00654E3B">
              <w:rPr>
                <w:rFonts w:cs="Times New Roman"/>
                <w:b/>
                <w:sz w:val="20"/>
              </w:rPr>
              <w:t>OZNAKA</w:t>
            </w:r>
          </w:p>
        </w:tc>
        <w:tc>
          <w:tcPr>
            <w:tcW w:w="12049" w:type="dxa"/>
            <w:gridSpan w:val="2"/>
            <w:vAlign w:val="center"/>
          </w:tcPr>
          <w:p w:rsidR="007D4A93" w:rsidRPr="00654E3B" w:rsidRDefault="00EF0BEB">
            <w:pPr>
              <w:spacing w:line="240" w:lineRule="auto"/>
              <w:jc w:val="center"/>
              <w:rPr>
                <w:rFonts w:eastAsia="Times New Roman" w:cs="Times New Roman"/>
                <w:b/>
                <w:sz w:val="20"/>
                <w:lang w:eastAsia="hr-HR"/>
              </w:rPr>
            </w:pPr>
            <w:r w:rsidRPr="00654E3B">
              <w:rPr>
                <w:rFonts w:cs="Times New Roman"/>
                <w:b/>
                <w:sz w:val="20"/>
              </w:rPr>
              <w:t>NAZIV I OPIS MJERE</w:t>
            </w:r>
          </w:p>
        </w:tc>
      </w:tr>
      <w:tr w:rsidR="007D4A93" w:rsidRPr="00654E3B">
        <w:trPr>
          <w:trHeight w:val="340"/>
        </w:trPr>
        <w:tc>
          <w:tcPr>
            <w:tcW w:w="13178" w:type="dxa"/>
            <w:gridSpan w:val="3"/>
            <w:vAlign w:val="center"/>
          </w:tcPr>
          <w:p w:rsidR="007D4A93" w:rsidRPr="00654E3B" w:rsidRDefault="00EF0BEB">
            <w:pPr>
              <w:spacing w:line="240" w:lineRule="auto"/>
              <w:rPr>
                <w:rFonts w:eastAsia="Times New Roman" w:cs="Times New Roman"/>
                <w:b/>
                <w:sz w:val="20"/>
                <w:lang w:eastAsia="hr-HR"/>
              </w:rPr>
            </w:pPr>
            <w:r w:rsidRPr="00654E3B">
              <w:rPr>
                <w:rFonts w:eastAsia="Times New Roman" w:cs="Times New Roman"/>
                <w:b/>
                <w:sz w:val="20"/>
                <w:lang w:eastAsia="hr-HR"/>
              </w:rPr>
              <w:t>MEĐUSEKTORSKE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Povjerenstvo za međusektorsku koordinaciju za politiku i mjere za ublažavanje i prilagodbu klimatskim promjenama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Povjerenstvo, koje imenuje Vlada Republike Hrvatske, osnovano je 2014. godine i nadležno je za praćenje i ocjenu provedbe i planiranja politike i mjera za ublažavanje i prilagodbu klimatskim promjenama u Republici Hrvatskoj. U Povjerenstvo su imenovani dužnosnici nadležnih tijela državne uprave, ali se na sjednice, po potrebi, mogu pozivati </w:t>
            </w:r>
            <w:r w:rsidRPr="00654E3B">
              <w:rPr>
                <w:rFonts w:cs="Times New Roman"/>
                <w:sz w:val="20"/>
              </w:rPr>
              <w:t>i drugi predstavnici tijela javne vlasti, strukovnih organizacija i predstavnici trgovačkih društava u vlasništvu države.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MCC-2</w:t>
            </w:r>
          </w:p>
        </w:tc>
        <w:tc>
          <w:tcPr>
            <w:tcW w:w="2832" w:type="dxa"/>
            <w:vAlign w:val="center"/>
          </w:tcPr>
          <w:p w:rsidR="007D4A93" w:rsidRPr="00654E3B" w:rsidRDefault="00A273BE" w:rsidP="00A273BE">
            <w:pPr>
              <w:spacing w:line="240" w:lineRule="auto"/>
              <w:jc w:val="left"/>
              <w:rPr>
                <w:rFonts w:eastAsia="Times New Roman" w:cs="Times New Roman"/>
                <w:sz w:val="20"/>
                <w:lang w:eastAsia="hr-HR"/>
              </w:rPr>
            </w:pPr>
            <w:r w:rsidRPr="00654E3B">
              <w:rPr>
                <w:rFonts w:cs="Times New Roman"/>
                <w:sz w:val="20"/>
              </w:rPr>
              <w:t>Jačanje</w:t>
            </w:r>
            <w:r w:rsidR="00EF0BEB" w:rsidRPr="00654E3B">
              <w:rPr>
                <w:rFonts w:cs="Times New Roman"/>
                <w:sz w:val="20"/>
              </w:rPr>
              <w:t xml:space="preserve"> regionalnih energetskih i klimatskih agencija </w:t>
            </w:r>
          </w:p>
        </w:tc>
        <w:tc>
          <w:tcPr>
            <w:tcW w:w="9217" w:type="dxa"/>
            <w:vAlign w:val="center"/>
          </w:tcPr>
          <w:p w:rsidR="007D4A93" w:rsidRPr="00654E3B" w:rsidRDefault="00EF0BEB" w:rsidP="00A273BE">
            <w:pPr>
              <w:spacing w:line="240" w:lineRule="auto"/>
              <w:rPr>
                <w:rFonts w:eastAsia="Times New Roman" w:cs="Times New Roman"/>
                <w:sz w:val="20"/>
                <w:lang w:eastAsia="hr-HR"/>
              </w:rPr>
            </w:pPr>
            <w:r w:rsidRPr="00654E3B">
              <w:rPr>
                <w:rFonts w:eastAsia="Times New Roman" w:cs="Times New Roman"/>
                <w:sz w:val="20"/>
                <w:lang w:eastAsia="hr-HR"/>
              </w:rPr>
              <w:t>Regionalne energetske agencije trenutno ne djeluju na području čitave Republike Hrvatske</w:t>
            </w:r>
            <w:r w:rsidR="00A273BE" w:rsidRPr="00654E3B">
              <w:rPr>
                <w:rFonts w:eastAsia="Times New Roman" w:cs="Times New Roman"/>
                <w:sz w:val="20"/>
                <w:lang w:eastAsia="hr-HR"/>
              </w:rPr>
              <w:t>.</w:t>
            </w:r>
            <w:r w:rsidRPr="00654E3B">
              <w:rPr>
                <w:rFonts w:eastAsia="Times New Roman" w:cs="Times New Roman"/>
                <w:sz w:val="20"/>
                <w:lang w:eastAsia="hr-HR"/>
              </w:rPr>
              <w:t xml:space="preserve"> Cilj ove mjere je </w:t>
            </w:r>
            <w:r w:rsidR="00A273BE" w:rsidRPr="00654E3B">
              <w:rPr>
                <w:rFonts w:eastAsia="Times New Roman" w:cs="Times New Roman"/>
                <w:sz w:val="20"/>
                <w:lang w:eastAsia="hr-HR"/>
              </w:rPr>
              <w:t xml:space="preserve">jačanje </w:t>
            </w:r>
            <w:r w:rsidRPr="00654E3B">
              <w:rPr>
                <w:rFonts w:eastAsia="Times New Roman" w:cs="Times New Roman"/>
                <w:sz w:val="20"/>
                <w:lang w:eastAsia="hr-HR"/>
              </w:rPr>
              <w:t xml:space="preserve"> regionalnih energetskih </w:t>
            </w:r>
            <w:r w:rsidR="00A273BE" w:rsidRPr="00654E3B">
              <w:rPr>
                <w:rFonts w:eastAsia="Times New Roman" w:cs="Times New Roman"/>
                <w:sz w:val="20"/>
                <w:lang w:eastAsia="hr-HR"/>
              </w:rPr>
              <w:t>agencija, preoblikovanje postojećih energetskih agencija u energetske i klimatske agencije te proširenje njihova područja.</w:t>
            </w:r>
            <w:r w:rsidRPr="00654E3B">
              <w:rPr>
                <w:rFonts w:eastAsia="Times New Roman" w:cs="Times New Roman"/>
                <w:sz w:val="20"/>
                <w:lang w:eastAsia="hr-HR"/>
              </w:rPr>
              <w:t xml:space="preserve"> </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Promicanje korištenja inovativnih informacijskih i komunikacijskih tehnologija (ICT) radi smanjenja emisija stakleničkih plinova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Inovativne informacijske i komunikacijske tehnologije imaju sve važniju ulogu u smanjenju emisija stakleničkih plinova i povećanju energetske učinkovitosti. Intenziviranjem njihovog korištenja u javnoj upravi, uslugama i proizvodnim procesima povećat će se produktivnost i učinkovitost rada te istovremeno smanjiti potrošnja energije i posljedične emisije stakleničkih plinova. Očekuje se kako će mjera povećati korištenje inovativnih ICT i praćenje stvarnih ušteda energije te smanjenja emisija stakleničkih plinova.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Europski sustav trgovanja emisijskim jedinicama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Kroz ravnomjernu raspodjelu emisijskih jedinica obveze za smanjenjem podijeljene su sudionicima sustava iz svih država članica s ciljem doprinosa smanjenju emisija na razini EU za najmanje 43</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do 2030. godine u odnosu na razinu iz 2005. godine.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Porez na emisiju CO</w:t>
            </w:r>
            <w:r w:rsidRPr="00654E3B">
              <w:rPr>
                <w:rFonts w:cs="Times New Roman"/>
                <w:sz w:val="20"/>
                <w:vertAlign w:val="subscript"/>
              </w:rPr>
              <w:t>2</w:t>
            </w:r>
            <w:r w:rsidRPr="00654E3B">
              <w:rPr>
                <w:rFonts w:cs="Times New Roman"/>
                <w:sz w:val="20"/>
              </w:rPr>
              <w:t xml:space="preserve"> za stacionarne izvore koji nisu u EU ETS-u</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Uredba o jediničnim naknadama, korektivnim koeficijentima i pobližim kriterijima i mjerilima za utvrđivanje naknade na emisiju u okoliš ugljikovog dioksida (</w:t>
            </w:r>
            <w:r w:rsidR="001C0429" w:rsidRPr="00654E3B">
              <w:rPr>
                <w:rFonts w:cs="Times New Roman"/>
                <w:sz w:val="20"/>
              </w:rPr>
              <w:t>Narodne novine</w:t>
            </w:r>
            <w:r w:rsidRPr="00654E3B">
              <w:rPr>
                <w:rFonts w:cs="Times New Roman"/>
                <w:sz w:val="20"/>
              </w:rPr>
              <w:t xml:space="preserve">, br. </w:t>
            </w:r>
            <w:r w:rsidRPr="00654E3B">
              <w:rPr>
                <w:rFonts w:eastAsia="Times New Roman" w:cs="Times New Roman"/>
                <w:sz w:val="20"/>
                <w:lang w:eastAsia="hr-HR"/>
              </w:rPr>
              <w:t>73/2007, 48/2009 i 2/2018) propisuje obvezu plaćanja naknade na emisiju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za sve stacionarne izvore koji emitiraju više od 450 tona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godišnje. Obveznicima plaćanja naknada koji ulažu u energetsku učinkovitost, OIE i druge mjere za smanjenje emisije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i ostalih emisija stakleničkih plinova naplaćuje se niža naknada. Fond za zaštitu okoliša i energetsku učinkovitost ovlašten je za obračun i naplatu troškova. Od 2013. nadalje, obveza plaćanja naknade na emisiju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odnosi se samo na izvore koji nisu obuhvaćeni ETS-om.</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Sporazum gradonačelnika za klimu i energiju u Republici Hrvatskoj</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Potpisnici Sporazuma podržavaju zajedničku viziju za 2050. godinu: ubrzavanje dekarbonizacije njihovih teritorija, osnaživanje kapaciteta za prilagodbu na neizbježan utjecaj klimatskih promjena te omogućavanje </w:t>
            </w:r>
            <w:r w:rsidRPr="00654E3B">
              <w:rPr>
                <w:rFonts w:eastAsia="Times New Roman" w:cs="Times New Roman"/>
                <w:sz w:val="20"/>
                <w:lang w:eastAsia="hr-HR"/>
              </w:rPr>
              <w:lastRenderedPageBreak/>
              <w:t>građanima pristup sigurnoj, održivoj i povoljnoj energiji. Sporazumom je obuhvaćeno 82 gradova i općina, odnosno preko 2 milijuna stanovnika u Republici Hrvatskoj.</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MCC-7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Povelja o suradnji u cilju dekarbonizacije zgrada do 2050.</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Povelja o suradnji u cilju dekarbonizacije zgrada do 2050., koju je pokrenulo </w:t>
            </w:r>
            <w:r w:rsidR="00315AC1" w:rsidRPr="00654E3B">
              <w:rPr>
                <w:rFonts w:eastAsia="Times New Roman" w:cs="Times New Roman"/>
                <w:sz w:val="20"/>
                <w:lang w:eastAsia="hr-HR"/>
              </w:rPr>
              <w:t>m</w:t>
            </w:r>
            <w:r w:rsidRPr="00654E3B">
              <w:rPr>
                <w:rFonts w:eastAsia="Times New Roman" w:cs="Times New Roman"/>
                <w:sz w:val="20"/>
                <w:lang w:eastAsia="hr-HR"/>
              </w:rPr>
              <w:t xml:space="preserve">inistarstvo </w:t>
            </w:r>
            <w:r w:rsidR="000C668F" w:rsidRPr="00654E3B">
              <w:rPr>
                <w:rFonts w:eastAsia="Times New Roman" w:cs="Times New Roman"/>
                <w:sz w:val="20"/>
                <w:lang w:eastAsia="hr-HR"/>
              </w:rPr>
              <w:t xml:space="preserve"> </w:t>
            </w:r>
            <w:r w:rsidR="00315AC1" w:rsidRPr="00654E3B">
              <w:rPr>
                <w:rFonts w:eastAsia="Times New Roman" w:cs="Times New Roman"/>
                <w:sz w:val="20"/>
                <w:lang w:eastAsia="hr-HR"/>
              </w:rPr>
              <w:t>nadležno za poslove graditeljstva</w:t>
            </w:r>
            <w:r w:rsidRPr="00654E3B">
              <w:rPr>
                <w:rFonts w:eastAsia="Times New Roman" w:cs="Times New Roman"/>
                <w:sz w:val="20"/>
                <w:lang w:eastAsia="hr-HR"/>
              </w:rPr>
              <w:t xml:space="preserve">, a kojom se podržava EU viziju dekarbonizacije zgrada do 2050. godine – Povelja je pokrenuta zbog bolje međuresorne komunikacije i suradnje između tijela državne uprave i realnog sektora. Cilj je putem radionica i otvorenog dijaloga partnera stvoriti široku mrežu povezanih stručnjaka koji su spremni na zajednički dijalog i doprinos dekarbonizaciji fonda zgrada do 2050. godine. Otvoreni  dijalozi partnera okupljaju predstavnike državne </w:t>
            </w:r>
            <w:r w:rsidR="00E0306C" w:rsidRPr="00654E3B">
              <w:rPr>
                <w:rFonts w:eastAsia="Times New Roman" w:cs="Times New Roman"/>
                <w:sz w:val="20"/>
                <w:lang w:eastAsia="hr-HR"/>
              </w:rPr>
              <w:t>uprave i jedinice</w:t>
            </w:r>
            <w:r w:rsidRPr="00654E3B">
              <w:rPr>
                <w:rFonts w:eastAsia="Times New Roman" w:cs="Times New Roman"/>
                <w:sz w:val="20"/>
                <w:lang w:eastAsia="hr-HR"/>
              </w:rPr>
              <w:t xml:space="preserve"> lokalne </w:t>
            </w:r>
            <w:r w:rsidR="00E0306C" w:rsidRPr="00654E3B">
              <w:rPr>
                <w:rFonts w:eastAsia="Times New Roman" w:cs="Times New Roman"/>
                <w:sz w:val="20"/>
                <w:lang w:eastAsia="hr-HR"/>
              </w:rPr>
              <w:t>samo</w:t>
            </w:r>
            <w:r w:rsidRPr="00654E3B">
              <w:rPr>
                <w:rFonts w:eastAsia="Times New Roman" w:cs="Times New Roman"/>
                <w:sz w:val="20"/>
                <w:lang w:eastAsia="hr-HR"/>
              </w:rPr>
              <w:t>uprave, akademske zajednice i stručne javnosti, građevinskog i energetskog sektora te pratećih industrija na tematskim radionicama koje organizira Ministarstv</w:t>
            </w:r>
            <w:r w:rsidR="00315AC1" w:rsidRPr="00654E3B">
              <w:rPr>
                <w:rFonts w:eastAsia="Times New Roman" w:cs="Times New Roman"/>
                <w:sz w:val="20"/>
                <w:lang w:eastAsia="hr-HR"/>
              </w:rPr>
              <w:t>o</w:t>
            </w:r>
            <w:r w:rsidRPr="00654E3B">
              <w:rPr>
                <w:rFonts w:eastAsia="Times New Roman" w:cs="Times New Roman"/>
                <w:sz w:val="20"/>
                <w:lang w:eastAsia="hr-HR"/>
              </w:rPr>
              <w:t xml:space="preserve"> </w:t>
            </w:r>
            <w:r w:rsidR="00315AC1" w:rsidRPr="00654E3B">
              <w:rPr>
                <w:rFonts w:eastAsia="Times New Roman" w:cs="Times New Roman"/>
                <w:sz w:val="20"/>
                <w:lang w:eastAsia="hr-HR"/>
              </w:rPr>
              <w:t>nadležno za poslove graditeljstva</w:t>
            </w:r>
            <w:r w:rsidRPr="00654E3B">
              <w:rPr>
                <w:rFonts w:eastAsia="Times New Roman" w:cs="Times New Roman"/>
                <w:sz w:val="20"/>
                <w:lang w:eastAsia="hr-HR"/>
              </w:rPr>
              <w:t>. Sadržaj povelje odnosi se na postizanje energetskih i klimatskih ciljeva na nacionalnoj i EU razini kroz dekarbonizaciju fonda zgrada, obnovom zgrada i građenjem zgrada gotovo nulte energije, svjesni važnosti dodatnog smanjenja emisija stakleničkih plinova, povećanja udjela obnovljivih izvora energije, poboljšanja energetske sigurnosti, te uvođenja inovacija i pametnih tehnologija koje omogućuju zgradama da potpomognu sveukupnu dekarbonizaciju gospodarstva, Potpisivanjem povelje potiče se kontinuirana suradnja na izradi</w:t>
            </w:r>
            <w:r w:rsidR="00315AC1" w:rsidRPr="00654E3B">
              <w:rPr>
                <w:rFonts w:eastAsia="Times New Roman" w:cs="Times New Roman"/>
                <w:sz w:val="20"/>
                <w:lang w:eastAsia="hr-HR"/>
              </w:rPr>
              <w:t>, provedbi i reviziji</w:t>
            </w:r>
            <w:r w:rsidRPr="00654E3B">
              <w:rPr>
                <w:rFonts w:eastAsia="Times New Roman" w:cs="Times New Roman"/>
                <w:sz w:val="20"/>
                <w:lang w:eastAsia="hr-HR"/>
              </w:rPr>
              <w:t xml:space="preserve"> Dugoročne strategije obnove nacionalnog fonda zgrada i prelazak na standard gradnje zgrada gotovo nulte energije (nZEB). Potpisnici Povelje pružaju potporu te promiču dekarbonizaciju zgrada u svojim daljnjim aktivnostima, gdje god je to moguće.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MCC-8</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platforme za prikupljanje, uporabu i skladištenje CO</w:t>
            </w:r>
            <w:r w:rsidRPr="00654E3B">
              <w:rPr>
                <w:rFonts w:cs="Times New Roman"/>
                <w:sz w:val="20"/>
                <w:vertAlign w:val="subscript"/>
              </w:rPr>
              <w:t>2</w:t>
            </w:r>
            <w:r w:rsidRPr="00654E3B">
              <w:rPr>
                <w:rFonts w:cs="Times New Roman"/>
                <w:sz w:val="20"/>
              </w:rPr>
              <w:t xml:space="preserve">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Tehnologija sakupljanja i pohrane ugljika za velike izvore emisije još nije komercijalno dostupna. Prema Direktivi 2009/31/EC o geološkoj pohrani ugljikovog dioksida, odnosno članku 36. Direktive 2010/75/EU o industrijskim emisijama, za elektrane kapaciteta većih od 300 MW koje su dobile građevinsku dozvolu nakon stupanja na snagu Direktive 2009/31/EK o geološkoj pohrani ugljikovog dioksida, potrebno je ocijeniti jesu li zadovoljeni sljedeći uvjeti: a) dostupnost prikladne lokacije za pohranu, b) tehnička i ekonomska izvedivost transportnih postrojenja i c) tehnička i ekonomska izvedivost nadogradnje postrojenja za izdvajanje i sakupljanje CO</w:t>
            </w:r>
            <w:r w:rsidRPr="00654E3B">
              <w:rPr>
                <w:rFonts w:eastAsia="Times New Roman" w:cs="Times New Roman"/>
                <w:sz w:val="20"/>
                <w:vertAlign w:val="subscript"/>
                <w:lang w:eastAsia="hr-HR"/>
              </w:rPr>
              <w:t>2</w:t>
            </w:r>
            <w:r w:rsidRPr="00654E3B">
              <w:rPr>
                <w:rFonts w:eastAsia="Times New Roman" w:cs="Times New Roman"/>
                <w:sz w:val="20"/>
                <w:lang w:eastAsia="hr-HR"/>
              </w:rPr>
              <w:t>. Ako su ovi uvjeti zadovoljeni, nadležno tijelo mora osigurati na mjestu postrojenja odgovarajući prostor za opremu za hvatanje i komprimiranje izvučenog CO</w:t>
            </w:r>
            <w:r w:rsidRPr="00654E3B">
              <w:rPr>
                <w:rFonts w:eastAsia="Times New Roman" w:cs="Times New Roman"/>
                <w:sz w:val="20"/>
                <w:vertAlign w:val="subscript"/>
                <w:lang w:eastAsia="hr-HR"/>
              </w:rPr>
              <w:t>2</w:t>
            </w:r>
            <w:r w:rsidRPr="00654E3B">
              <w:rPr>
                <w:rFonts w:eastAsia="Times New Roman" w:cs="Times New Roman"/>
                <w:sz w:val="20"/>
                <w:lang w:eastAsia="hr-HR"/>
              </w:rPr>
              <w:t>. Zakonodavno je to obuhvaćeno Zakonom o istraživanju i eksploataciji ugljikovodika (</w:t>
            </w:r>
            <w:r w:rsidR="001C0429" w:rsidRPr="00654E3B">
              <w:rPr>
                <w:rFonts w:eastAsia="Times New Roman" w:cs="Times New Roman"/>
                <w:sz w:val="20"/>
                <w:lang w:eastAsia="hr-HR"/>
              </w:rPr>
              <w:t>Narodne novine</w:t>
            </w:r>
            <w:r w:rsidRPr="00654E3B">
              <w:rPr>
                <w:rFonts w:eastAsia="Times New Roman" w:cs="Times New Roman"/>
                <w:sz w:val="20"/>
                <w:lang w:eastAsia="hr-HR"/>
              </w:rPr>
              <w:t>, br.  52/2018 i 52/2019) koji omogućuje skladištenje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na prostoru Republike Hrvatske. Ova metoda se treba još dodatno razviti te se trebaju razmotriti potencijali i mogućnosti za ovu tehnologiju na razini države. U skladu s navedenim planira se izrada studije procjene skladišnih kapaciteta, ali i izrada Nacionalne studije izvodljivosti s akcijskim planom za pripremne aktivnosti za CCS projekte. Ova će studija obuhvatiti faze hvatanja na izvorima emisija, transport, utiskivanje i skladištenje CO</w:t>
            </w:r>
            <w:r w:rsidRPr="00654E3B">
              <w:rPr>
                <w:rFonts w:eastAsia="Times New Roman" w:cs="Times New Roman"/>
                <w:sz w:val="20"/>
                <w:vertAlign w:val="subscript"/>
                <w:lang w:eastAsia="hr-HR"/>
              </w:rPr>
              <w:t>2</w:t>
            </w:r>
            <w:r w:rsidRPr="00654E3B">
              <w:rPr>
                <w:rFonts w:eastAsia="Times New Roman" w:cs="Times New Roman"/>
                <w:sz w:val="20"/>
                <w:lang w:eastAsia="hr-HR"/>
              </w:rPr>
              <w:t>, te povezanost sustava transporta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sa drugim EU zemljama. Aktivnosti obuhvaćaju:</w:t>
            </w:r>
          </w:p>
          <w:p w:rsidR="007D4A93" w:rsidRPr="00654E3B" w:rsidRDefault="00EF0BEB" w:rsidP="000C6795">
            <w:pPr>
              <w:numPr>
                <w:ilvl w:val="0"/>
                <w:numId w:val="42"/>
              </w:numPr>
              <w:spacing w:line="240" w:lineRule="auto"/>
              <w:ind w:left="714" w:hanging="357"/>
              <w:rPr>
                <w:rFonts w:eastAsia="Times New Roman" w:cs="Times New Roman"/>
                <w:sz w:val="20"/>
                <w:lang w:eastAsia="hr-HR"/>
              </w:rPr>
            </w:pPr>
            <w:r w:rsidRPr="00654E3B">
              <w:rPr>
                <w:rFonts w:eastAsia="Times New Roman" w:cs="Times New Roman"/>
                <w:sz w:val="20"/>
                <w:lang w:eastAsia="hr-HR"/>
              </w:rPr>
              <w:t>provedbu istraživanja potencijala za geološko skladištenje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u Republici Hrvatskoj,</w:t>
            </w:r>
          </w:p>
          <w:p w:rsidR="007D4A93" w:rsidRPr="00654E3B" w:rsidRDefault="00EF0BEB" w:rsidP="000C6795">
            <w:pPr>
              <w:numPr>
                <w:ilvl w:val="0"/>
                <w:numId w:val="42"/>
              </w:numPr>
              <w:spacing w:line="240" w:lineRule="auto"/>
              <w:ind w:left="714" w:hanging="357"/>
              <w:rPr>
                <w:rFonts w:eastAsia="Times New Roman" w:cs="Times New Roman"/>
                <w:sz w:val="20"/>
                <w:lang w:eastAsia="hr-HR"/>
              </w:rPr>
            </w:pPr>
            <w:r w:rsidRPr="00654E3B">
              <w:rPr>
                <w:rFonts w:eastAsia="Times New Roman" w:cs="Times New Roman"/>
                <w:sz w:val="20"/>
                <w:lang w:eastAsia="hr-HR"/>
              </w:rPr>
              <w:t>izradu/dopune studije procjene skladišnih kapaciteta koji su dostupni na području Republike Hrvatske,</w:t>
            </w:r>
          </w:p>
          <w:p w:rsidR="007D4A93" w:rsidRPr="00654E3B" w:rsidRDefault="00EF0BEB" w:rsidP="000C6795">
            <w:pPr>
              <w:numPr>
                <w:ilvl w:val="0"/>
                <w:numId w:val="42"/>
              </w:numPr>
              <w:spacing w:line="240" w:lineRule="auto"/>
              <w:ind w:left="714" w:hanging="357"/>
              <w:rPr>
                <w:rFonts w:eastAsia="Times New Roman" w:cs="Times New Roman"/>
                <w:sz w:val="20"/>
                <w:lang w:eastAsia="hr-HR"/>
              </w:rPr>
            </w:pPr>
            <w:r w:rsidRPr="00654E3B">
              <w:rPr>
                <w:rFonts w:eastAsia="Times New Roman" w:cs="Times New Roman"/>
                <w:sz w:val="20"/>
                <w:lang w:eastAsia="hr-HR"/>
              </w:rPr>
              <w:lastRenderedPageBreak/>
              <w:t>provedbu projekata geološkog skladištenja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u Republici Hrvatskoj u skladu sa izraženim potencijalima.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MCC-9</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Unaprjeđenje održivosti urbanih sredina</w:t>
            </w:r>
          </w:p>
        </w:tc>
        <w:tc>
          <w:tcPr>
            <w:tcW w:w="9217" w:type="dxa"/>
            <w:vAlign w:val="center"/>
          </w:tcPr>
          <w:p w:rsidR="007D4A93" w:rsidRPr="00654E3B" w:rsidRDefault="00ED091A">
            <w:pPr>
              <w:spacing w:line="240" w:lineRule="auto"/>
              <w:rPr>
                <w:rFonts w:eastAsia="Times New Roman" w:cs="Times New Roman"/>
                <w:sz w:val="20"/>
                <w:lang w:eastAsia="hr-HR"/>
              </w:rPr>
            </w:pPr>
            <w:r w:rsidRPr="00654E3B">
              <w:rPr>
                <w:rFonts w:eastAsia="Times New Roman" w:cs="Times New Roman"/>
                <w:sz w:val="20"/>
                <w:lang w:eastAsia="hr-HR"/>
              </w:rPr>
              <w:t>U</w:t>
            </w:r>
            <w:r w:rsidR="00726324" w:rsidRPr="00654E3B">
              <w:rPr>
                <w:rFonts w:eastAsia="Times New Roman" w:cs="Times New Roman"/>
                <w:sz w:val="20"/>
                <w:lang w:eastAsia="hr-HR"/>
              </w:rPr>
              <w:t xml:space="preserve"> procesu </w:t>
            </w:r>
            <w:r w:rsidRPr="00654E3B">
              <w:rPr>
                <w:rFonts w:eastAsia="Times New Roman" w:cs="Times New Roman"/>
                <w:sz w:val="20"/>
                <w:lang w:eastAsia="hr-HR"/>
              </w:rPr>
              <w:t xml:space="preserve">je </w:t>
            </w:r>
            <w:r w:rsidR="00726324" w:rsidRPr="00654E3B">
              <w:rPr>
                <w:rFonts w:eastAsia="Times New Roman" w:cs="Times New Roman"/>
                <w:sz w:val="20"/>
                <w:lang w:eastAsia="hr-HR"/>
              </w:rPr>
              <w:t>izrad</w:t>
            </w:r>
            <w:r w:rsidRPr="00654E3B">
              <w:rPr>
                <w:rFonts w:eastAsia="Times New Roman" w:cs="Times New Roman"/>
                <w:sz w:val="20"/>
                <w:lang w:eastAsia="hr-HR"/>
              </w:rPr>
              <w:t>a</w:t>
            </w:r>
            <w:r w:rsidR="00726324" w:rsidRPr="00654E3B">
              <w:rPr>
                <w:rFonts w:eastAsia="Times New Roman" w:cs="Times New Roman"/>
                <w:sz w:val="20"/>
                <w:lang w:eastAsia="hr-HR"/>
              </w:rPr>
              <w:t xml:space="preserve"> novih nacionalnih Programa razvoja zelene infrastrukture u urbanim područjima i Programa razvoja kružnog gospodarenja prostorom i zgradama, kojima se postižu ekološke, gospodarske i društvene koristi održivog razvoja. Programom razvoja zelene infrastrukture u urbanim područjima razrađuju se ciljevi i mjere za razvoj zelene infrastrukture kojima se između ostaloga utječe na povećanje energetske učinkovitosti zgrada i </w:t>
            </w:r>
            <w:r w:rsidR="00252917" w:rsidRPr="00654E3B">
              <w:rPr>
                <w:rFonts w:eastAsia="Times New Roman" w:cs="Times New Roman"/>
                <w:sz w:val="20"/>
                <w:lang w:eastAsia="hr-HR"/>
              </w:rPr>
              <w:t>građevinskih</w:t>
            </w:r>
            <w:r w:rsidR="00726324" w:rsidRPr="00654E3B">
              <w:rPr>
                <w:rFonts w:eastAsia="Times New Roman" w:cs="Times New Roman"/>
                <w:sz w:val="20"/>
                <w:lang w:eastAsia="hr-HR"/>
              </w:rPr>
              <w:t xml:space="preserve"> područja, razvoj zelene infrastrukture u zgradarstvu, urbanu preobrazbu i urbanu sanaciju te smanjenje temperature u područjima toplinskih otoka u urbanim područjima. Programom razvoja kružnog gospodarenja prostorom zgradama </w:t>
            </w:r>
            <w:r w:rsidR="00252917" w:rsidRPr="00654E3B">
              <w:rPr>
                <w:rFonts w:eastAsia="Times New Roman" w:cs="Times New Roman"/>
                <w:sz w:val="20"/>
                <w:lang w:eastAsia="hr-HR"/>
              </w:rPr>
              <w:t>razrađuju</w:t>
            </w:r>
            <w:r w:rsidR="00726324" w:rsidRPr="00654E3B">
              <w:rPr>
                <w:rFonts w:eastAsia="Times New Roman" w:cs="Times New Roman"/>
                <w:sz w:val="20"/>
                <w:lang w:eastAsia="hr-HR"/>
              </w:rPr>
              <w:t xml:space="preserve"> se ciljevi </w:t>
            </w:r>
            <w:r w:rsidR="00252917" w:rsidRPr="00654E3B">
              <w:rPr>
                <w:rFonts w:eastAsia="Times New Roman" w:cs="Times New Roman"/>
                <w:sz w:val="20"/>
                <w:lang w:eastAsia="hr-HR"/>
              </w:rPr>
              <w:t>i</w:t>
            </w:r>
            <w:r w:rsidR="00726324" w:rsidRPr="00654E3B">
              <w:rPr>
                <w:rFonts w:eastAsia="Times New Roman" w:cs="Times New Roman"/>
                <w:sz w:val="20"/>
                <w:lang w:eastAsia="hr-HR"/>
              </w:rPr>
              <w:t xml:space="preserve"> mjere za kružno gospodarenje prostorom i zgradama kojima se izme</w:t>
            </w:r>
            <w:r w:rsidR="00252917" w:rsidRPr="00654E3B">
              <w:rPr>
                <w:rFonts w:eastAsia="Times New Roman" w:cs="Times New Roman"/>
                <w:sz w:val="20"/>
                <w:lang w:eastAsia="hr-HR"/>
              </w:rPr>
              <w:t>đ</w:t>
            </w:r>
            <w:r w:rsidR="00726324" w:rsidRPr="00654E3B">
              <w:rPr>
                <w:rFonts w:eastAsia="Times New Roman" w:cs="Times New Roman"/>
                <w:sz w:val="20"/>
                <w:lang w:eastAsia="hr-HR"/>
              </w:rPr>
              <w:t xml:space="preserve">u ostaloga potiču mjere kružnosti kod planiranja novih zgrada, ponovno korištenje napuštenih i/ili zapuštenih i produljenje trajnosti postojećih prostora i zgrada, smanjenje količine građevinskog otpada te povećanje energetske učinkovitosti zgrada. Cilj ove mjere je potaknuti gradove i općine da projekte revitalizacije i razvoja novih urbanih sredina temelje na principima održivosti. Prvi korak u tome je izrada razvojnih planova urbanih sredina, u kojima će se na temelju ocjene pokazatelja održivosti, definirati razvojni projekti kojima će se navedeni pokazatelji unaprijediti. Mjera će omogućiti unapređenje održivog razvoja direktnijim povezivanjem strateških i prostorno-planskih dokumenata i uvođenjem mjerenja uspješnosti planiranih te provedenih projekata. </w:t>
            </w:r>
          </w:p>
          <w:p w:rsidR="00726324" w:rsidRPr="00654E3B" w:rsidRDefault="00726324">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MS-9</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MCC-10</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Programa za izračun i smanjenje ugljikova otiska poslovnih subjekata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okviru mjere provest će se sljedeće aktivnosti: </w:t>
            </w:r>
          </w:p>
          <w:p w:rsidR="007D4A93" w:rsidRPr="00654E3B" w:rsidRDefault="00EF0BEB" w:rsidP="000C6795">
            <w:pPr>
              <w:numPr>
                <w:ilvl w:val="0"/>
                <w:numId w:val="41"/>
              </w:numPr>
              <w:spacing w:line="240" w:lineRule="auto"/>
              <w:rPr>
                <w:rFonts w:eastAsia="Times New Roman" w:cs="Times New Roman"/>
                <w:sz w:val="20"/>
                <w:lang w:eastAsia="hr-HR"/>
              </w:rPr>
            </w:pPr>
            <w:r w:rsidRPr="00654E3B">
              <w:rPr>
                <w:rFonts w:eastAsia="Times New Roman" w:cs="Times New Roman"/>
                <w:sz w:val="20"/>
                <w:lang w:eastAsia="hr-HR"/>
              </w:rPr>
              <w:t>unaprjeđenje nacionalnog modela za izračun ugljikova otiska poslovnih subjekata s integriranom bazom nacionalnih faktora emisije stakleničkih plinova,</w:t>
            </w:r>
          </w:p>
          <w:p w:rsidR="007D4A93" w:rsidRPr="00654E3B" w:rsidRDefault="00EF0BEB" w:rsidP="000C6795">
            <w:pPr>
              <w:numPr>
                <w:ilvl w:val="0"/>
                <w:numId w:val="41"/>
              </w:numPr>
              <w:spacing w:line="240" w:lineRule="auto"/>
              <w:rPr>
                <w:rFonts w:eastAsia="Times New Roman" w:cs="Times New Roman"/>
                <w:sz w:val="20"/>
                <w:lang w:eastAsia="hr-HR"/>
              </w:rPr>
            </w:pPr>
            <w:r w:rsidRPr="00654E3B">
              <w:rPr>
                <w:rFonts w:eastAsia="Times New Roman" w:cs="Times New Roman"/>
                <w:sz w:val="20"/>
                <w:lang w:eastAsia="hr-HR"/>
              </w:rPr>
              <w:t>uspostava i provedba dobrovoljnog programa za izračun i smanjenje ugljikova otiska poslovnih subjekata od 2021. godine,</w:t>
            </w:r>
          </w:p>
          <w:p w:rsidR="007D4A93" w:rsidRPr="00654E3B" w:rsidRDefault="00EF0BEB" w:rsidP="000C6795">
            <w:pPr>
              <w:numPr>
                <w:ilvl w:val="0"/>
                <w:numId w:val="41"/>
              </w:numPr>
              <w:spacing w:line="240" w:lineRule="auto"/>
              <w:rPr>
                <w:rFonts w:eastAsia="Times New Roman" w:cs="Times New Roman"/>
                <w:sz w:val="20"/>
                <w:lang w:eastAsia="hr-HR"/>
              </w:rPr>
            </w:pPr>
            <w:r w:rsidRPr="00654E3B">
              <w:rPr>
                <w:rFonts w:eastAsia="Times New Roman" w:cs="Times New Roman"/>
                <w:sz w:val="20"/>
                <w:lang w:eastAsia="hr-HR"/>
              </w:rPr>
              <w:t>praćenje i analiza postignutog smanjenja ugljikova otiska poslovnih subjekata, razmotrit će se donošenje podzakonskog akta koji će uspostaviti obvezu izračuna ugljikova otiska i izradu akcijskog plana za smanjenje ugljikova otiska poslovnih subjekata.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platforme za kružno gospodarstvo</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Potrebno je razraditi sustavni pristup u svim vrijednosnim lancima koje se odnose na hrvatsko gospodarstvo, a odnose se na mjere navedene u Akcijskom planu za kružno gospodarstvo na čijem temelju EK integrira načela kružnog gospodarstva u proizvodnji i potrošnji plastike, gospodarenje vodama, prehrambene sustave i gospodarenje posebnim tokovima otpada. Potrebno je osnovati međusektorsku tematsku radnu skupinu koja će odrediti dionike kružnog gospodarstva (fokus na industriju i dobavljače sirovina, energenata i ambalaže) i prema njima napraviti nacionalni akcijski plan za tranziciju na kružno gospodarstvo kroz prilagodbu zakonodavnog </w:t>
            </w:r>
            <w:r w:rsidRPr="00654E3B">
              <w:rPr>
                <w:rFonts w:eastAsia="Times New Roman" w:cs="Times New Roman"/>
                <w:sz w:val="20"/>
                <w:lang w:eastAsia="hr-HR"/>
              </w:rPr>
              <w:lastRenderedPageBreak/>
              <w:t xml:space="preserve">okvira. Uključivanje predstavnika Republike Hrvatske u Platformu dionika za Europsko kružno gospodarstvo omogućuje izravan pristup inovacijama i najboljim praksama kao i suradnju u istima. </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MCC-12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platforme za biogospodarstvo</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kontekstu razvoja biogospodarstva nužno je povezati tri ključna aspekta: razvoj novih tehnologija i procesa; razvoj tržišta i konkurentnost sektora temeljenih na načelima kružnog gospodarstva te političku volju za suradnju politike i dionika. Time se treba osigurati transformacija postojećih „tradicionalnih“ dionika biogospodarstva (poljoprivrednika, OPG-a, prehrambeno-prerađivačke, šumarske, drvno-prerađivačke, farmaceutske, kemijske industrije…) u nove, moderne dionike niskougljičnog gospodarstva i održivog razvoja uz podržavanje pozitivnog utjecaja na ekosustave, klimu i ciklus kruženja ugljika. Za prelazak na biogospodarstvo neophodna je dubinska analiza dionika (sektora), te da njihova gospodarska aktivnost doprinosi postizanju ciljeva razvoja temeljenog na niskim razinama emisija ugljikovog dioksida i ostalih stakleničkih plinova. Usporedno je potrebna prilagodba uključenih gospodarskih subjekta za korištenje sredstava iz najavljenih EU fondova namijenjenih tranziciji na biogospodarstvo. </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platforme za tehnologiju vodika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Očekuje se kako će uloga vodika u energetskim i prometnim sustavima budućnosti biti značajnija, tim više što će ciljevi u pogledu smanjenja emisija stakleničkih plinova biti ambiciozniji. Zato je potrebno pravovremeno identificirati prilike povezane s korištenjem vodika, razmotriti njegovu primjenu u narednom desetljeću i istražiti mogućnosti financijskog poticanja proizvodnje i potrošnje vodika. U tu svrhu će se formirati platforma za tehnologiju vodika koja će povezati nacionalne dionike relevantne za istraživanje i primjenu tehnologije vodika, pratiti razvoj tehnologija vodika na EU i međunarodnoj razini te služiti kao poveznica između nacionalne, EU i međunarodne razine.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Sustav obveze energetske učinkovitosti za opskrbljivače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Obveznici sustava obveza energetske učinkovitosti su opskrbljivači energijom. Cilj je postići smanjenje potrošnje energije kod krajnjih potrošača.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MCC-15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Integrirani informacijski sustav za praćenje energetske učinkovitosti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Sustav za mjerenje i verifikaciju ušteda energije (SMiV) uspostavljen je na temelju Zakona o energetskoj učinkovitosti i Pravilnikom o sustavu za praćenje, mjerenje i verifikaciju ušteda energije. Sustav je izuzetno važan jer se kroz njega prate uštede energije i rezultirajuće smanjenje stakleničkih plinova te se podatci iz sustava koriste za izvješćivanje. U sljedećem razdoblju nužno je održavati i unaprjeđivati funkcionalnost sustava, povezati ga s drugim sustavima (ISGE) te informirati i obučavati obveznike o pravilnom unosu podatka potrebnih za izračun i verifikaciju ušteda energije.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Zelena javna nabava</w:t>
            </w:r>
          </w:p>
        </w:tc>
        <w:tc>
          <w:tcPr>
            <w:tcW w:w="9217" w:type="dxa"/>
            <w:vAlign w:val="center"/>
          </w:tcPr>
          <w:p w:rsidR="00476A13" w:rsidRPr="00654E3B" w:rsidRDefault="00726324">
            <w:pPr>
              <w:spacing w:line="240" w:lineRule="auto"/>
              <w:rPr>
                <w:rFonts w:eastAsia="Times New Roman" w:cs="Times New Roman"/>
                <w:sz w:val="20"/>
                <w:lang w:eastAsia="hr-HR"/>
              </w:rPr>
            </w:pPr>
            <w:r w:rsidRPr="00654E3B">
              <w:rPr>
                <w:rFonts w:eastAsia="Times New Roman" w:cs="Times New Roman"/>
                <w:sz w:val="20"/>
                <w:lang w:eastAsia="hr-HR"/>
              </w:rPr>
              <w:t xml:space="preserve">Vlada Republike Hrvatske usvojila je 2015. godine I. nacionalni akcijski plan za Zelenu javnu nabavu za razdoblje od 2015. do 2017. godine s pogledom do 2020. godine te je zelena javna nabava prihvaćena kao mjera u 4. NAPENU, koji postavlja cilj da do 2020. godine u 50 </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provedenih postupaka javne nabave budu primijenjena mjerila zelene javne nabave. Zelenom javnom nabavom poticat će se nabava inovativnih niskougljičnih proizvoda i usluga, čime će se dodatno potaknuti njihov ulazak na tržište, a javni sektor će služiti kao dobar primjer. Strateški </w:t>
            </w:r>
            <w:r w:rsidRPr="00654E3B">
              <w:rPr>
                <w:rFonts w:eastAsia="Times New Roman" w:cs="Times New Roman"/>
                <w:sz w:val="20"/>
                <w:lang w:eastAsia="hr-HR"/>
              </w:rPr>
              <w:lastRenderedPageBreak/>
              <w:t xml:space="preserve">cilj je u 2030. godini imati 75 </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provedenih postupaka javne nabave za prioritetne skupine proizvoda s promijenjenim mjerilima zelene javne nabave. </w:t>
            </w:r>
          </w:p>
          <w:p w:rsidR="00726324" w:rsidRPr="00654E3B" w:rsidRDefault="00726324">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ENU-9</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MCC-17</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Utvrđivanje polazišta, nacionalnih ciljeva, indikatora za praćenje ostvarenja te uspostava sustava za praćenje ostvarenja zadanih ciljeva istraživanja, inovacija i konkurentnosti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Razrada ciljeva i sustava praćenja te uspostava sustava praćenja ostvarenja na području istraživanja i razvoja, inovacija i konkurentnosti povezanih s energetskom unijom; definiranje ključnih tehnologija za niskougljičnu tranziciju.</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MCC-18</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Sufinanciranje projekata industrijskog istraživanja i eksperimentalnog razvoja usklađenih s Nacionalnom razvojnom strategijom</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Mjerom se potiče istraživanje i razvoj proizvoda i usluga relevantnih za niskougljični razvoj, sufinanciranjem istraživačkih projekata u okviru prioritetnih tema.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MCC-19</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Poticanje razvoja poduzetništva na području niskougljičnog gospodarstva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Mjerom se potiče razvoj poduzetništva na području niskougljičnih proizvoda i usluga, sufinanciranjem poduzetničkih aktivnosti u ovom području.</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MCC-20</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Poticanje transfera znanja i tehnologija iz sustava znanosti u sustav gospodarstva s naglaskom na niskougljične tehnologije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t>Mjerom se potiče razvoj osnovanih i funkcionalnih ureda za transfer tehnologije i znanstveno-tehnologijskih parkova s ciljem prijenosa znanja i razvoja tehnologija koje će pridonijeti razvoju niskougljičnog gospodarstva.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Poticanje daljnjeg rada znanstvenih centara izvrsnosti osnovanih u području prirodnih, tehničkih, biotehničkih i biomedicinskih znanosti</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 xml:space="preserve">Mjerom se potiče daljnji rad osnovanih i centara izvrsnosti čiji je rad pozitivno ocijenjen u periodičkom postupku evaluacije s ciljem daljnjeg razvoja niskougljičnog gospodarstva.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Izgradnja kapaciteta za poticanje istraživanja i inovacija te povećanje konkurentnosti u </w:t>
            </w:r>
            <w:r w:rsidRPr="00654E3B">
              <w:rPr>
                <w:rFonts w:cs="Times New Roman"/>
                <w:sz w:val="20"/>
              </w:rPr>
              <w:lastRenderedPageBreak/>
              <w:t>području niskougljičnog gospodarstva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lastRenderedPageBreak/>
              <w:t>Izgradit će se kapaciteti institucija uključenih u poticanje i praćenje istraživanja, inovacija i konkurentnosti na području niskougljičnog gospodarstva.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szCs w:val="20"/>
              </w:rPr>
              <w:t>Jačanje kapaciteta županijskih zavoda za prostorno uređenje I Zavoda za prostorno uređenje Grada Zagreba kao područnih (regionalnih) središta za održivi razvoj i klimatske aktivnosti u djelokrugu njihovog rada</w:t>
            </w:r>
          </w:p>
        </w:tc>
        <w:tc>
          <w:tcPr>
            <w:tcW w:w="9217" w:type="dxa"/>
            <w:vAlign w:val="center"/>
          </w:tcPr>
          <w:p w:rsidR="007D4A93" w:rsidRPr="00654E3B" w:rsidRDefault="00EF0BEB" w:rsidP="006F1C3F">
            <w:pPr>
              <w:spacing w:line="240" w:lineRule="auto"/>
              <w:rPr>
                <w:rFonts w:cs="Times New Roman"/>
                <w:sz w:val="20"/>
              </w:rPr>
            </w:pPr>
            <w:r w:rsidRPr="00654E3B">
              <w:rPr>
                <w:rFonts w:eastAsia="Times New Roman" w:cs="Times New Roman"/>
                <w:sz w:val="20"/>
                <w:szCs w:val="20"/>
                <w:lang w:eastAsia="hr-HR"/>
              </w:rPr>
              <w:t>Županijski zavodi za prostorno uređenje i Zavod za prostorno uređenje Grada Zagreba</w:t>
            </w:r>
            <w:r w:rsidRPr="00654E3B">
              <w:rPr>
                <w:rFonts w:cs="Times New Roman"/>
                <w:sz w:val="20"/>
                <w:szCs w:val="20"/>
              </w:rPr>
              <w:t>, kojima je osnovna zadaća izrada, odnosno koordinacija izrade i praćenje provedbe prostornih planova i izrada izvješća o stanju u prostoru mogu</w:t>
            </w:r>
            <w:r w:rsidR="00EE7A3B" w:rsidRPr="00654E3B">
              <w:rPr>
                <w:rFonts w:cs="Times New Roman"/>
                <w:sz w:val="20"/>
                <w:szCs w:val="20"/>
              </w:rPr>
              <w:t xml:space="preserve"> </w:t>
            </w:r>
            <w:r w:rsidRPr="00654E3B">
              <w:rPr>
                <w:rFonts w:cs="Times New Roman"/>
                <w:sz w:val="20"/>
                <w:szCs w:val="20"/>
              </w:rPr>
              <w:t xml:space="preserve">, </w:t>
            </w:r>
            <w:r w:rsidR="006F1C3F" w:rsidRPr="00654E3B">
              <w:rPr>
                <w:rFonts w:cs="Times New Roman"/>
                <w:sz w:val="20"/>
                <w:szCs w:val="20"/>
              </w:rPr>
              <w:t xml:space="preserve">u </w:t>
            </w:r>
            <w:r w:rsidRPr="00654E3B">
              <w:rPr>
                <w:rFonts w:cs="Times New Roman"/>
                <w:sz w:val="20"/>
                <w:szCs w:val="20"/>
              </w:rPr>
              <w:t xml:space="preserve">djelokrugu njihovog rada biti područna (regionalna) središta za održivi razvoj i klimatske aktivnosti. Prostorni i urbanistički planovi su jedan od najvažnijih instrumenata za provođenje klimatskih politika i imaju snagu i pravnu </w:t>
            </w:r>
            <w:r w:rsidR="00F11B9B" w:rsidRPr="00654E3B">
              <w:rPr>
                <w:rFonts w:cs="Times New Roman"/>
                <w:sz w:val="20"/>
                <w:szCs w:val="20"/>
              </w:rPr>
              <w:t xml:space="preserve">prirodu podzakonskog propisa. </w:t>
            </w:r>
            <w:r w:rsidRPr="00654E3B">
              <w:rPr>
                <w:rFonts w:cs="Times New Roman"/>
                <w:sz w:val="20"/>
                <w:szCs w:val="20"/>
              </w:rPr>
              <w:t>Načelo integralnog pristupa prostornom planiranju jedino osigurava optimalan sinergijski efekt sektorskih politika i mjera niskougljičnog razvoja u cilju smanjenja emisija. Planerska paradigma usmjerena prema niskougljičnom odnosno bezugljičnom razvoju i dekarbonizaciji je polazište za novu generaciju prostornih planova.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MCC-24</w:t>
            </w:r>
          </w:p>
        </w:tc>
        <w:tc>
          <w:tcPr>
            <w:tcW w:w="2832" w:type="dxa"/>
            <w:vAlign w:val="center"/>
          </w:tcPr>
          <w:p w:rsidR="007D4A93" w:rsidRPr="00654E3B" w:rsidRDefault="00EF0BEB">
            <w:pPr>
              <w:spacing w:line="240" w:lineRule="auto"/>
              <w:jc w:val="left"/>
              <w:rPr>
                <w:rFonts w:cs="Times New Roman"/>
                <w:sz w:val="20"/>
                <w:szCs w:val="20"/>
              </w:rPr>
            </w:pPr>
            <w:r w:rsidRPr="00654E3B">
              <w:rPr>
                <w:rFonts w:cs="Times New Roman"/>
                <w:sz w:val="20"/>
                <w:szCs w:val="20"/>
              </w:rPr>
              <w:t>Izmjena regulatornog okvira u području prostornog uređenja</w:t>
            </w:r>
          </w:p>
        </w:tc>
        <w:tc>
          <w:tcPr>
            <w:tcW w:w="9217" w:type="dxa"/>
            <w:vAlign w:val="center"/>
          </w:tcPr>
          <w:p w:rsidR="007D4A93" w:rsidRPr="00654E3B" w:rsidRDefault="00EF0BEB" w:rsidP="00D54E65">
            <w:pPr>
              <w:spacing w:line="240" w:lineRule="auto"/>
              <w:rPr>
                <w:rFonts w:eastAsia="Times New Roman" w:cs="Times New Roman"/>
                <w:sz w:val="20"/>
                <w:szCs w:val="20"/>
                <w:lang w:eastAsia="hr-HR"/>
              </w:rPr>
            </w:pPr>
            <w:r w:rsidRPr="00654E3B">
              <w:rPr>
                <w:rFonts w:eastAsia="Times New Roman" w:cs="Times New Roman"/>
                <w:sz w:val="20"/>
                <w:szCs w:val="20"/>
                <w:lang w:eastAsia="hr-HR"/>
              </w:rPr>
              <w:t>Zakon o prostornom uređenju treba izmijeniti i dopuniti polazištima i ciljevima niskouguljičnog razvoja. Prostorni planovi objedinjuju sve sektorske politike i mjere, od energetskog sektora, prometa, poljoprivrede, gospodarstva, LULUCF i dr</w:t>
            </w:r>
          </w:p>
        </w:tc>
      </w:tr>
      <w:tr w:rsidR="007D4A93" w:rsidRPr="00654E3B">
        <w:trPr>
          <w:trHeight w:val="340"/>
        </w:trPr>
        <w:tc>
          <w:tcPr>
            <w:tcW w:w="13178" w:type="dxa"/>
            <w:gridSpan w:val="3"/>
            <w:vAlign w:val="center"/>
          </w:tcPr>
          <w:p w:rsidR="007D4A93" w:rsidRPr="00654E3B" w:rsidRDefault="00EF0BEB">
            <w:pPr>
              <w:spacing w:line="240" w:lineRule="auto"/>
              <w:rPr>
                <w:rFonts w:cs="Times New Roman"/>
                <w:b/>
                <w:sz w:val="20"/>
              </w:rPr>
            </w:pPr>
            <w:r w:rsidRPr="00654E3B">
              <w:rPr>
                <w:rFonts w:cs="Times New Roman"/>
                <w:b/>
                <w:sz w:val="20"/>
              </w:rPr>
              <w:t>ENERGETIKA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Promoviranje nZEB standarda gradnje i obnove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Nakon 31.12.2018. godine sve javne zgrade u Republici Hrvatskoj u kojima borave ili su u vlasništvu javnih tijela moraju biti izgrađene prema nZEB standardu, a obveza za sve ostale novoizgrađene zgrade nastupa nakon 31.12.2020. godine. Navedene zakonske odredbe osiguravaju da sve novoizgrađene zgrade od 2021. godine pa nadalje budu u nZEB standardu. Ipak, kako bi se osigurala ispravna primjena ovih odredbi, ali i potaknula energetska obnova zgrada do nZEB standarda, u sljedećem se razdoblju planira provoditi niz informativno-edukacijskih aktivnosti za promociju izgradnje i obnove po nZEB standardu.</w:t>
            </w:r>
          </w:p>
          <w:p w:rsidR="00476A13" w:rsidRPr="00654E3B" w:rsidRDefault="00476A13">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ENU-2</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Program energetske obnove višestambenih zgrada</w:t>
            </w:r>
          </w:p>
        </w:tc>
        <w:tc>
          <w:tcPr>
            <w:tcW w:w="9217" w:type="dxa"/>
            <w:vAlign w:val="center"/>
          </w:tcPr>
          <w:p w:rsidR="007D4A93" w:rsidRPr="00654E3B" w:rsidRDefault="001A5D3F" w:rsidP="001A5D3F">
            <w:pPr>
              <w:spacing w:line="240" w:lineRule="auto"/>
              <w:rPr>
                <w:rFonts w:eastAsia="Times New Roman" w:cs="Times New Roman"/>
                <w:sz w:val="20"/>
                <w:lang w:eastAsia="hr-HR"/>
              </w:rPr>
            </w:pPr>
            <w:r w:rsidRPr="00654E3B">
              <w:rPr>
                <w:rFonts w:eastAsia="Times New Roman" w:cs="Times New Roman"/>
                <w:sz w:val="20"/>
                <w:lang w:eastAsia="hr-HR"/>
              </w:rPr>
              <w:t>Program poti</w:t>
            </w:r>
            <w:r w:rsidR="00ED091A" w:rsidRPr="00654E3B">
              <w:rPr>
                <w:rFonts w:eastAsia="Times New Roman" w:cs="Times New Roman"/>
                <w:sz w:val="20"/>
                <w:lang w:eastAsia="hr-HR"/>
              </w:rPr>
              <w:t>če</w:t>
            </w:r>
            <w:r w:rsidRPr="00654E3B">
              <w:rPr>
                <w:rFonts w:eastAsia="Times New Roman" w:cs="Times New Roman"/>
                <w:sz w:val="20"/>
                <w:lang w:eastAsia="hr-HR"/>
              </w:rPr>
              <w:t xml:space="preserve"> dubinsku obnovu zgrada te sveobuhvatnu obnovu. 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 </w:t>
            </w:r>
            <w:r w:rsidR="00ED091A" w:rsidRPr="00654E3B">
              <w:rPr>
                <w:rFonts w:eastAsia="Times New Roman" w:cs="Times New Roman"/>
                <w:sz w:val="20"/>
                <w:lang w:eastAsia="hr-HR"/>
              </w:rPr>
              <w:t>Potrebno je s</w:t>
            </w:r>
            <w:r w:rsidRPr="00654E3B">
              <w:rPr>
                <w:rFonts w:eastAsia="Times New Roman" w:cs="Times New Roman"/>
                <w:sz w:val="20"/>
                <w:lang w:eastAsia="hr-HR"/>
              </w:rPr>
              <w:t>nažnije poticati obnovu do nZEB standarda utvrđenog za obnovu. Provedba Programa mora biti praćena snažnim promotivnim aktivnostima, osiguranom tehničkom pomoći prijaviteljima te je nužno osigurati praćenje potrošnje energije prije i nakon energetske obnove, za što je potrebno stvoriti preduvjete u sklopu ISGE-a. Uštede su izračunate uz pretpostavku energetske obnove zgrada na razinu zadovoljavanja uvjeta iz Tehničkog propisa propisom o racionalnoj uporabi energije i toplinskoj zaštiti u zgradama, prema razdobljima izgradnje zgrada, po godišnjoj stopi obnove koja na početku razdoblja (2021. godine) iznosi 1</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a potom se do 2030, godine postupno povećava na 3 </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Godišnje uštede iznose 0,148 PJ. </w:t>
            </w:r>
          </w:p>
          <w:p w:rsidR="00476A13" w:rsidRPr="00654E3B" w:rsidRDefault="00476A13">
            <w:pPr>
              <w:spacing w:line="240" w:lineRule="auto"/>
              <w:rPr>
                <w:rFonts w:eastAsia="Times New Roman" w:cs="Times New Roman"/>
                <w:sz w:val="20"/>
                <w:lang w:eastAsia="hr-HR"/>
              </w:rPr>
            </w:pPr>
            <w:r w:rsidRPr="00654E3B">
              <w:rPr>
                <w:rFonts w:eastAsia="Times New Roman" w:cs="Times New Roman"/>
                <w:sz w:val="20"/>
                <w:lang w:eastAsia="hr-HR"/>
              </w:rPr>
              <w:lastRenderedPageBreak/>
              <w:t>Oznaka mjere u Dugoročnoj strategiji obnove: ENU-3</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Program energetske obnove obiteljskih kuća</w:t>
            </w:r>
          </w:p>
        </w:tc>
        <w:tc>
          <w:tcPr>
            <w:tcW w:w="9217" w:type="dxa"/>
            <w:vAlign w:val="center"/>
          </w:tcPr>
          <w:p w:rsidR="001A5D3F" w:rsidRPr="00654E3B" w:rsidRDefault="00A517AA">
            <w:pPr>
              <w:spacing w:line="240" w:lineRule="auto"/>
              <w:rPr>
                <w:rFonts w:eastAsia="Times New Roman" w:cs="Times New Roman"/>
                <w:sz w:val="20"/>
                <w:lang w:eastAsia="hr-HR"/>
              </w:rPr>
            </w:pPr>
            <w:r w:rsidRPr="00654E3B">
              <w:rPr>
                <w:rFonts w:eastAsia="Times New Roman" w:cs="Times New Roman"/>
                <w:sz w:val="20"/>
                <w:lang w:eastAsia="hr-HR"/>
              </w:rPr>
              <w:t xml:space="preserve">Program </w:t>
            </w:r>
            <w:r w:rsidR="00E73BF9" w:rsidRPr="00654E3B">
              <w:rPr>
                <w:rFonts w:eastAsia="Times New Roman" w:cs="Times New Roman"/>
                <w:sz w:val="20"/>
                <w:lang w:eastAsia="hr-HR"/>
              </w:rPr>
              <w:t xml:space="preserve">će </w:t>
            </w:r>
            <w:r w:rsidR="00737AFA" w:rsidRPr="00654E3B">
              <w:rPr>
                <w:rFonts w:eastAsia="Times New Roman" w:cs="Times New Roman"/>
                <w:sz w:val="20"/>
                <w:lang w:eastAsia="hr-HR"/>
              </w:rPr>
              <w:t>osigurava</w:t>
            </w:r>
            <w:r w:rsidR="00E73BF9" w:rsidRPr="00654E3B">
              <w:rPr>
                <w:rFonts w:eastAsia="Times New Roman" w:cs="Times New Roman"/>
                <w:sz w:val="20"/>
                <w:lang w:eastAsia="hr-HR"/>
              </w:rPr>
              <w:t>ti</w:t>
            </w:r>
            <w:r w:rsidR="00737AFA" w:rsidRPr="00654E3B">
              <w:rPr>
                <w:rFonts w:eastAsia="Times New Roman" w:cs="Times New Roman"/>
                <w:sz w:val="20"/>
                <w:lang w:eastAsia="hr-HR"/>
              </w:rPr>
              <w:t xml:space="preserve"> </w:t>
            </w:r>
            <w:r w:rsidRPr="00654E3B">
              <w:rPr>
                <w:rFonts w:eastAsia="Times New Roman" w:cs="Times New Roman"/>
                <w:sz w:val="20"/>
                <w:lang w:eastAsia="hr-HR"/>
              </w:rPr>
              <w:t xml:space="preserve">kontinuiranu provedbu obnove obiteljskih kuća </w:t>
            </w:r>
            <w:r w:rsidR="00E73BF9" w:rsidRPr="00654E3B">
              <w:rPr>
                <w:rFonts w:eastAsia="Times New Roman" w:cs="Times New Roman"/>
                <w:sz w:val="20"/>
                <w:lang w:eastAsia="hr-HR"/>
              </w:rPr>
              <w:t xml:space="preserve">objavom </w:t>
            </w:r>
            <w:r w:rsidRPr="00654E3B">
              <w:rPr>
                <w:rFonts w:eastAsia="Times New Roman" w:cs="Times New Roman"/>
                <w:sz w:val="20"/>
                <w:lang w:eastAsia="hr-HR"/>
              </w:rPr>
              <w:t xml:space="preserve">javnih poziva za dodjelu bespovratnih sredstava svake godine u razdoblju 2021.-2030. Programom se treba ostaviti mogućnost provedbe individualnih mjera, ali uz uvažavanje redoslijeda provedbe mjera (npr. zamjenu sustava grijanja učinkovitijim sustavom koji koristi OIE treba omogućiti samo onim kućama koje imaju dobre toplinske karakteristike i ne trebaju zahvate na ovojnici). </w:t>
            </w:r>
            <w:r w:rsidR="00737AFA" w:rsidRPr="00654E3B">
              <w:rPr>
                <w:rFonts w:eastAsia="Times New Roman" w:cs="Times New Roman"/>
                <w:sz w:val="20"/>
                <w:lang w:eastAsia="hr-HR"/>
              </w:rPr>
              <w:t>P</w:t>
            </w:r>
            <w:r w:rsidRPr="00654E3B">
              <w:rPr>
                <w:rFonts w:eastAsia="Times New Roman" w:cs="Times New Roman"/>
                <w:sz w:val="20"/>
                <w:lang w:eastAsia="hr-HR"/>
              </w:rPr>
              <w:t xml:space="preserve">otrebno </w:t>
            </w:r>
            <w:r w:rsidR="00737AFA" w:rsidRPr="00654E3B">
              <w:rPr>
                <w:rFonts w:eastAsia="Times New Roman" w:cs="Times New Roman"/>
                <w:sz w:val="20"/>
                <w:lang w:eastAsia="hr-HR"/>
              </w:rPr>
              <w:t xml:space="preserve">je snažnije </w:t>
            </w:r>
            <w:r w:rsidRPr="00654E3B">
              <w:rPr>
                <w:rFonts w:eastAsia="Times New Roman" w:cs="Times New Roman"/>
                <w:sz w:val="20"/>
                <w:lang w:eastAsia="hr-HR"/>
              </w:rPr>
              <w:t>poticati dubinsku obnovu te obnovu do nZEB standarda utvrđenog za obnovu. 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w:t>
            </w:r>
            <w:r w:rsidR="00E73BF9" w:rsidRPr="00654E3B">
              <w:rPr>
                <w:rFonts w:eastAsia="Times New Roman" w:cs="Times New Roman"/>
                <w:sz w:val="20"/>
                <w:lang w:eastAsia="hr-HR"/>
              </w:rPr>
              <w:t xml:space="preserve"> </w:t>
            </w:r>
            <w:r w:rsidRPr="00654E3B">
              <w:rPr>
                <w:rFonts w:eastAsia="Times New Roman" w:cs="Times New Roman"/>
                <w:sz w:val="20"/>
                <w:lang w:eastAsia="hr-HR"/>
              </w:rPr>
              <w:t xml:space="preserve">Programom će se obuhvatiti i segment građana u riziku od energetskog siromaštva. </w:t>
            </w:r>
            <w:r w:rsidR="001A5D3F" w:rsidRPr="00654E3B">
              <w:rPr>
                <w:rFonts w:eastAsia="Times New Roman" w:cs="Times New Roman"/>
                <w:sz w:val="20"/>
                <w:lang w:eastAsia="hr-HR"/>
              </w:rPr>
              <w:t>Oznaka mjere u Dugoročnoj strategiji obnove: ENU-4</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MEN-4</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Program energetske obnove zgrada javnog sektora</w:t>
            </w:r>
          </w:p>
          <w:p w:rsidR="007D4A93" w:rsidRPr="00654E3B" w:rsidRDefault="007D4A93">
            <w:pPr>
              <w:spacing w:line="240" w:lineRule="auto"/>
              <w:jc w:val="left"/>
              <w:rPr>
                <w:rFonts w:cs="Times New Roman"/>
                <w:sz w:val="20"/>
              </w:rPr>
            </w:pPr>
          </w:p>
        </w:tc>
        <w:tc>
          <w:tcPr>
            <w:tcW w:w="9217" w:type="dxa"/>
            <w:vAlign w:val="center"/>
          </w:tcPr>
          <w:p w:rsidR="00D84124" w:rsidRPr="00654E3B" w:rsidRDefault="00D84124" w:rsidP="00D84124">
            <w:pPr>
              <w:spacing w:line="240" w:lineRule="auto"/>
              <w:rPr>
                <w:rFonts w:eastAsia="Times New Roman" w:cs="Times New Roman"/>
                <w:sz w:val="20"/>
                <w:lang w:eastAsia="hr-HR"/>
              </w:rPr>
            </w:pPr>
            <w:r w:rsidRPr="00654E3B">
              <w:rPr>
                <w:rFonts w:eastAsia="Times New Roman" w:cs="Times New Roman"/>
                <w:sz w:val="20"/>
                <w:lang w:eastAsia="hr-HR"/>
              </w:rPr>
              <w:t xml:space="preserve">Obnovu zgrada javnog sektora nužno je usmjeriti prema nZEB standardu utvrđenom za obnovu svugdje gdje je to tehnički izvedivo. 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 </w:t>
            </w:r>
            <w:r w:rsidR="00E73BF9" w:rsidRPr="00654E3B">
              <w:rPr>
                <w:rFonts w:eastAsia="Times New Roman" w:cs="Times New Roman"/>
                <w:sz w:val="20"/>
                <w:lang w:eastAsia="hr-HR"/>
              </w:rPr>
              <w:t>Sredstva je potrebno planirati tako da se osigura i aktiviranje privatnog kapitala i ESCO tržišta, poglavito za zgrade koje su prikladne za ovakve modele financiranja (zgrade s kontinuiranim radom, kao što su bolnice, kaznionice, domovi za smještaj starijih i sl.) i koje pripadaju kategoriji zgrada središnje države, za koje postoji obvezujući cilj obnove definiran u Direktivi 2012/27/EU o energetskoj učinkovitosti.</w:t>
            </w:r>
          </w:p>
          <w:p w:rsidR="00D84124" w:rsidRPr="00654E3B" w:rsidRDefault="00D84124">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ENU-5</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MEN-5</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Program energetske obnove zgrada koje imaju status kulturnog dobra</w:t>
            </w:r>
          </w:p>
        </w:tc>
        <w:tc>
          <w:tcPr>
            <w:tcW w:w="9217" w:type="dxa"/>
            <w:vAlign w:val="center"/>
          </w:tcPr>
          <w:p w:rsidR="00DF34E8" w:rsidRPr="00654E3B" w:rsidRDefault="00DF34E8" w:rsidP="00DF34E8">
            <w:pPr>
              <w:spacing w:line="240" w:lineRule="auto"/>
              <w:rPr>
                <w:rFonts w:eastAsia="Times New Roman" w:cs="Times New Roman"/>
                <w:sz w:val="20"/>
                <w:lang w:eastAsia="hr-HR"/>
              </w:rPr>
            </w:pPr>
            <w:r w:rsidRPr="00654E3B">
              <w:rPr>
                <w:rFonts w:eastAsia="Times New Roman" w:cs="Times New Roman"/>
                <w:sz w:val="20"/>
                <w:lang w:eastAsia="hr-HR"/>
              </w:rPr>
              <w:t xml:space="preserve">Zaštićene zgrade u smislu ovog Programa su one koje se mogu svrstati u dvije kategorije: Pojedinačno zaštićena kulturna dobra (pojedinačne građevine i graditeljski sklopovi) i Zgrade koje se nalaze unutar zaštićene kulturno-povijesne cjeline. Program ne obuhvaća zgrade zaštićene kao preventivno zaštićeno dobro, niti zgrade evidentirane kao graditeljska baština u prostorno planskoj dokumentaciji. Kroz Program </w:t>
            </w:r>
            <w:r w:rsidR="00E73BF9" w:rsidRPr="00654E3B">
              <w:rPr>
                <w:rFonts w:eastAsia="Times New Roman" w:cs="Times New Roman"/>
                <w:sz w:val="20"/>
                <w:lang w:eastAsia="hr-HR"/>
              </w:rPr>
              <w:t xml:space="preserve">su </w:t>
            </w:r>
            <w:r w:rsidRPr="00654E3B">
              <w:rPr>
                <w:rFonts w:eastAsia="Times New Roman" w:cs="Times New Roman"/>
                <w:sz w:val="20"/>
                <w:lang w:eastAsia="hr-HR"/>
              </w:rPr>
              <w:t>razvijena dva osnovna pristupa energetskoj obnovi zgrada koje su predmet ovog Programa</w:t>
            </w:r>
            <w:r w:rsidR="00FD65D8" w:rsidRPr="00654E3B">
              <w:rPr>
                <w:rFonts w:eastAsia="Times New Roman" w:cs="Times New Roman"/>
                <w:sz w:val="20"/>
                <w:lang w:eastAsia="hr-HR"/>
              </w:rPr>
              <w:t>:</w:t>
            </w:r>
            <w:r w:rsidRPr="00654E3B">
              <w:rPr>
                <w:rFonts w:eastAsia="Times New Roman" w:cs="Times New Roman"/>
                <w:sz w:val="20"/>
                <w:lang w:eastAsia="hr-HR"/>
              </w:rPr>
              <w:t xml:space="preserve"> </w:t>
            </w:r>
            <w:r w:rsidR="00FD65D8" w:rsidRPr="00654E3B">
              <w:rPr>
                <w:rFonts w:eastAsia="Times New Roman" w:cs="Times New Roman"/>
                <w:sz w:val="20"/>
                <w:lang w:eastAsia="hr-HR"/>
              </w:rPr>
              <w:t>in</w:t>
            </w:r>
            <w:r w:rsidRPr="00654E3B">
              <w:rPr>
                <w:rFonts w:eastAsia="Times New Roman" w:cs="Times New Roman"/>
                <w:sz w:val="20"/>
                <w:lang w:eastAsia="hr-HR"/>
              </w:rPr>
              <w:t>tegralni pristup te pristup s primjenom pojedinačnih mjera energetske obnove.</w:t>
            </w:r>
          </w:p>
          <w:p w:rsidR="00A615A3" w:rsidRPr="00654E3B" w:rsidRDefault="00A615A3" w:rsidP="00DF34E8">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ENU-6</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Program energetske obnove javne rasvjete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Energetska obnova javne rasvjete u Republici Hrvatskoj trenutno se provodi se korištenjem ESI sredstava iz Europskog fonda za regionalni razvij i to korištenjem financijskog instrumenta kredita s povoljnim kamatnim stopama kojega JLP(R)S-ima nudi HBOR . U tu svrhu raspoloživo je 152 milijuna kn, a kreditom se pokriva do 100</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prihvatljivih troškova projekta. Predviđa se da će se ova financijska alokacija iskoristiti do 2020. godine, a najkasnije do 2023. godine. Procijenjene uštede ove prve faze Programa su oko 15 GWh u 2020. (2023.) godini. </w:t>
            </w:r>
            <w:r w:rsidRPr="00654E3B">
              <w:rPr>
                <w:rFonts w:eastAsia="Times New Roman" w:cs="Times New Roman"/>
                <w:sz w:val="20"/>
                <w:lang w:eastAsia="hr-HR"/>
              </w:rPr>
              <w:lastRenderedPageBreak/>
              <w:t xml:space="preserve">S obzirom na značajan potencijal koji postoji u sustavima javne rasvjete, planira se korištenje ESI fondova i u sljedećem programskom razdoblju 2021.-2027. godine. Programiranjem veće alokacije sredstava za ovu svrhu, mogao bi se iskoristiti postojeći potencijal do kraja 2030. godine, koji je procijenjen na oko 225 – 280 GWh. Istodobno, obnovom javne rasvjete ostvarilo bi se zadovoljavanje tehničkih normi za rasvijetljenost prometnica, što znači da bi se poboljšala sigurnost prometa te bi se smanjilo svjetlosno onečišćenje.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Sustavno gospodarenje energijom u javnom sektoru</w:t>
            </w:r>
          </w:p>
        </w:tc>
        <w:tc>
          <w:tcPr>
            <w:tcW w:w="9217" w:type="dxa"/>
            <w:vAlign w:val="center"/>
          </w:tcPr>
          <w:p w:rsidR="007D4A93" w:rsidRPr="00654E3B" w:rsidRDefault="004207E3">
            <w:pPr>
              <w:spacing w:line="240" w:lineRule="auto"/>
              <w:rPr>
                <w:rFonts w:eastAsia="Times New Roman" w:cs="Times New Roman"/>
                <w:sz w:val="20"/>
                <w:lang w:eastAsia="hr-HR"/>
              </w:rPr>
            </w:pPr>
            <w:r w:rsidRPr="00654E3B">
              <w:rPr>
                <w:rFonts w:eastAsia="Times New Roman" w:cs="Times New Roman"/>
                <w:sz w:val="20"/>
                <w:lang w:eastAsia="hr-HR"/>
              </w:rPr>
              <w:t>Javni sektor u Hrvatskoj obvezan je sustavno gospodariti energijom, što je posebno propisano Zakonom o energetskoj učinkovitosti odnosno Pravilnikom o sustavnom gospodarenju energijom. Temelj mjere je informacijski sustav za gospodarenje energijom (ISGE)</w:t>
            </w:r>
            <w:r w:rsidR="00FD65D8" w:rsidRPr="00654E3B">
              <w:rPr>
                <w:rFonts w:eastAsia="Times New Roman" w:cs="Times New Roman"/>
                <w:sz w:val="20"/>
                <w:lang w:eastAsia="hr-HR"/>
              </w:rPr>
              <w:t>.</w:t>
            </w:r>
            <w:r w:rsidRPr="00654E3B">
              <w:rPr>
                <w:rFonts w:eastAsia="Times New Roman" w:cs="Times New Roman"/>
                <w:sz w:val="20"/>
                <w:lang w:eastAsia="hr-HR"/>
              </w:rPr>
              <w:t xml:space="preserve"> Strateški cilj je obuhvatiti i redovno pratiti ISGE-om sve zgrade javnog sektora i sustave javne rasvjete do kraja 2030. godine. Uštede temeljene na aktivnostima sustavnog gospodarenja energijom i uvođenja daljinskog mjerenja u prethodnom razdoblju su utvrđene na oko 335 TJ godišnje (prema 4. NAPENU). </w:t>
            </w:r>
          </w:p>
          <w:p w:rsidR="004207E3" w:rsidRPr="00654E3B" w:rsidRDefault="004207E3">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ENU-7</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MEN-8</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Sustavno gospodarenje energijom u poslovnom (uslužnom i proizvodnom) sektoru</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Iako su velika poduzeća obvezna redovno provoditi energetske preglede, ova obveza ne osigurava kontinuiranu brigu o potrošnji energije u poduzeću niti obuhvaća mala i srednja poduzeća. Kako bi se poduzeća potaknula na uvođenje certificiranih sustava gospodarenja energijom (kao ISO 50001), do 2020. godine će se izraditi sveobuhvatna analiza mogućnosti korištenja poreznog sustava (uključujući poreze i parafiskalne namete) za poticanje poduzeća koja uvedu ovakav sustav i time osiguraju kontinuiranu brigu o potrošnji energije.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MEN-9</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Informativni računi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Jedna od temeljnih mjera informiranja potrošača jest zakonska obveza opskrbljivača da barem jednom godišnje dostavljaju potrošačima informativne račune, koji sadrže informacije o obračunu energije te prethodnoj potrošnji krajnjeg kupca za obračunska mjerna mjesta koja su predmet ugovornog odnosa, koje obuhvaćaju usporedbu s prosječnim uobičajenim ili referentnim krajnjim kupcem iz iste kategorije krajnjih kupaca opskrbljivača. Poželjno je frekvenciju primjene ove zakonske odredbe s godišnje razine svesti na mjesečnu razinu te je apsolutno nužno osigurati da regulatorno tijelo za energetiku (HERA) provodi nadzor nad ovim obvezama opskrbljivača energije. Osim toga, na temelju ovih regulatornih odredbi potrebno je i dodatno informirati potrošače o sadržaju i značenju računa, što je zadatak Nacionalnog koordinacijskog tijela (NKT) za energetsku učinkovitost.</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MEN-10</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Informiranje o energetskoj učinkovitosti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Informiranje opće javnosti i ciljnih skupina provodit će se organizacijom ciljanih info-kampanja vezanih uz specifične programe poticanja energetske učinkovitosti, poglavito energetske obnove zgrada. NKT će održavati nacionalni portal energetske učinkovitosti i kroz osiguranje ažurnih informacija osigurati kontinuiranu promociju energetske učinkovitosti i energetskih usluga. Posebnu je pozornost u sljedećem razdoblju potrebno dati informiranju potrošača o dužnostima opskrbljivača u sklopu sustava obveza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Obrazovanje u području energetske učinkovitosti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Osposobljavanje će se ostvariti kroz nastavak provedbe postojeće mjere te prilagođavanje aktivnosti potrebama i stvarnoj situaciji. Poglavito je važno sustavno raditi na privlačenju mladih ljudi u građevinska i ostala tehnička </w:t>
            </w:r>
            <w:r w:rsidRPr="00654E3B">
              <w:rPr>
                <w:rFonts w:eastAsia="Times New Roman" w:cs="Times New Roman"/>
                <w:sz w:val="20"/>
                <w:lang w:eastAsia="hr-HR"/>
              </w:rPr>
              <w:lastRenderedPageBreak/>
              <w:t xml:space="preserve">zanimanja, što će dugoročno doprinijeti raspoloživosti stručnih kapaciteta za provedbu energetske obnove zgrada, koja je temelj za postizanje zacrtanih energetsko-klimatskih ciljeva. Kroz obrazovanje u području energetske učinkovitosti postavit će se i primjenjivati principi zelene gradnje: potrebno je potaknuti promicanje i implementaciju zelene gradnje (gradnje po principima održivosti) kao bitnog segmenta održivog razvoja i kružnog gospodarstva.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MEN-12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Energetska učinkovitost elektroenergetskog prijenosnog sustava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Sadašnje razine (2018. godina) gubitaka u prijenosnoj mreži Republike Hrvatske iznose oko 2</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prenesene električne energije, što je iznos na razini ostalih operatora prijenosnog sustava ENTSO-E. Važna karakteristika hrvatske prijenosne mreže, kako s aspekta sigurnosti pogona i podržavanja tržišnih aktivnosti, tako i s aspekta gubitaka je izuzetno jaka povezanost sa susjednim elektroenergetskim sustavima (interkonekcije). Dok se s jedne strane time značajno povećava sigurnost pogona, s druge strane se zbog tranzita povećavaju gubici u mreži. HOPS će u razdoblju do 2030. godine nastaviti provoditi mjere vezane za vođenje pogona EES-a i mjere vezane uz razvoj prijenosne mreže, za optimalno (sigurno i efikasno) vođenje pogona.  Za ovu se mjeru predlaže, uz osiguravanje sredstava od strane HOPS-a, programirati korištenje ESI sredstava u sljedećem programskom razdoblju od 2021. do 2027. godine.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Smanjenje gubitaka u distribucijskoj elektroenergetskoj mreži i uvođenje naprednih mreža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HEP-ODS će u razdoblju do 2030. godine nastaviti provoditi aktivnosti za smanjenje tehničkih i netehničkih gubitaka u distribucijskoj elektroenergetskoj mreži. Detaljnom analizom utvrdit će se uzroci povećanih gubitaka u pojedinim dijelovima mreže i prioriteti za provedbu aktivnosti za smanjenje tehničkih i netehničkih gubitaka. Na temelju iskustava iz provedbe pilot projekta uvođenja naprednih mreža na pilot područjima uz korištenje ESI fondova, potrebno je programirati nastavak korištenja ESI sredstava u sljedećem programskom razdoblju od 2021. do 2027. godine za daljnji razvoj naprednih mreža.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Povećanje učinkovitosti sustava toplinarstva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 postojećim velikim centraliziranim toplinskim sustavima veliki izvor gubitaka je dotrajala distribucijska mreža te se ovom mjerom predviđa nastavak zamjene vrelovoda i parovoda s dotrajalom izolacijom čeličnih cjevovoda novim predizoliranim cijevima i tehnološki pomak k četvrtoj generaciji daljinskog grijanja. U manjim sustavima s vlastitim kotlovnicama potrebno je omogućiti rekonstrukciju kotlovnica, poglavito zamjenom visokoučinkovitim kogeneracijskim sustavima ili sustavima koji koriste dizalice topline. Mjera također predviđa i razvoj novih sustava grijanja i hlađenja, koji koriste visokoučinkovitu kogeneraciju ili obnovljive izvore energije. S obzirom na odredbe Direktive 2018/2002 o energetskoj učinkovitosti, a posebice s uvođenjem obaveze individualnog mjerenja na razini krajnjeg potrošača, sustavi daljinskog grijanja su postali sustavi s promjenjivom potražnjom za toplinskom energijom što zahtijeva uvođenje sustava naprednog mjerenja kao dodatan korak integraciji različitih energetskih sustava i povećanju ukupne energetske učinkovitosti.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Povećanje učinkovitosti plinskog sustava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Potencijal za povećanje energetske učinkovitosti transportnog plinskog sustava najveći je u potrošnji prirodnog plina, koji se najvećim dijelom (70</w:t>
            </w:r>
            <w:r w:rsidR="00060992" w:rsidRPr="00654E3B">
              <w:rPr>
                <w:rFonts w:eastAsia="Times New Roman" w:cs="Times New Roman"/>
                <w:sz w:val="20"/>
                <w:lang w:eastAsia="hr-HR"/>
              </w:rPr>
              <w:t xml:space="preserve"> %</w:t>
            </w:r>
            <w:r w:rsidRPr="00654E3B">
              <w:rPr>
                <w:rFonts w:eastAsia="Times New Roman" w:cs="Times New Roman"/>
                <w:sz w:val="20"/>
                <w:lang w:eastAsia="hr-HR"/>
              </w:rPr>
              <w:t>) troši za predgrijavanje prirodnog plina prije isporuke korisnicima, a samo manjim dijelom (30</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za grijanje poslovnih prostorija i različita tehnološka rasterećenja, odnosno ispuhivanje </w:t>
            </w:r>
            <w:r w:rsidRPr="00654E3B">
              <w:rPr>
                <w:rFonts w:eastAsia="Times New Roman" w:cs="Times New Roman"/>
                <w:sz w:val="20"/>
                <w:lang w:eastAsia="hr-HR"/>
              </w:rPr>
              <w:lastRenderedPageBreak/>
              <w:t>sustava. Plinacro će u narednom razdoblju provoditi aktivnosti za poboljšanje energetske učinkovitosti sukladno Desetogodišnjem planu razvoja plinskog transportnog sustava Republike Hrvatske 2018. -2027.</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MEN-16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Informiranje, edukacija i povećanje kapaciteta za korištenje OIE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Informiranje opće javnosti i ciljnih skupina provodit će se organizacijom ciljanih info-kampanja vezanih uz investiranje u sustave koji koriste obnovljive izvore energije, posebice u sustave namijenjene za vlastite potrebe. Informiranje, edukacija i povećanje kapaciteta za korištenje OIE će se provoditi na nacionalnoj razini.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Prostorno-planski preduvjeti za korištenje OIE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Definiranje smjernica i kriterija za uređenje specifičnih prostorno-funkcionalnih elemenata za iskorištavanje OIE, unaprjeđenije i međusektorski usklađivanje prostorno-planskih uvjeta za utvrđivanje prostora pogodnih za izgradnju postrojenja na OIE na državnoj, županijskoj i lokalnoj razini. Usvojit će se smjernice i kriteriji za određivanje prostorno-planskih uvjeta za korištenje prostora namijenjenog izgradnji postrojenja za energetsko iskorištavanje OIE (specifičnih prostorno-funkcionalnih elementa u prostoru) te za eksploatacijska polja geotermalne vode za energetske svrhe. Uvjeti za određivanje lokacija i izgradnju OIE postrojenja integrirat će se u prostorne planove svih županija i u Državni prostorni plan.</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MEN-18</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Poticanje korištenja OIE za proizvodnju električne i toplinske energije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Osiguravanje financijskih poticaja za razvoj projekata korištenja OIE za proizvodnju električne i toplinske energije. Poticanje korištenja OIE za proizvodnju električne i toplinske energije će se provoditi na nacionalnoj razini.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MEN-19</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Razrada regulatornog okvira za korištenje OIE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Potrebno je dopuniti postojeći zakonski okvir i razraditi procedure i praksu. Cilj je do 2025. u potpunosti donijeti regulatorni okvir i uhodane procedure na nacionalnoj razini.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MEN-20</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Integrirano planiranje sigurnosti opskrbe energijom i energentima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Krovna mjera za povećanje energetske sigurnosti je integrirano planiranje sigurnosti opskrbe</w:t>
            </w:r>
            <w:r w:rsidRPr="00654E3B">
              <w:rPr>
                <w:rFonts w:cs="Times New Roman"/>
              </w:rPr>
              <w:t xml:space="preserve"> </w:t>
            </w:r>
            <w:r w:rsidRPr="00654E3B">
              <w:rPr>
                <w:rFonts w:eastAsia="Times New Roman" w:cs="Times New Roman"/>
                <w:sz w:val="20"/>
                <w:lang w:eastAsia="hr-HR"/>
              </w:rPr>
              <w:t>i osiguranja obveznih rezervi u kontekstu svih energenata i svih energetskih sustava. Integrirano planiranje mora biti usuglašeno na lokalnoj, regionalnoj i nacionalnoj razini, te u skladu s energetskim planiranjem koje provode energetski subjekti za energetsku infrastrukturu po teritoriju RH. Osim toga, integrirano planiranje je potrebno uskladiti s planiranjem za alternativna goriva i infrastrukturu za alternativna goriva. To će se planiranje provoditi u okviru revizije Integriranog energetskog i klimatskog plana, koju je potrebno izraditi do 23. lipnja 2023. godine te u okviru izrade i revizije narednih planova. U tu je svrhu potrebno analizirati postojeći regulatorni okvir i po potrebi ga nadopuniti.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Izgradnja i korištenje spremnika energije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 svrhu povećanja mogućnosti skladištenja energije u sustavu i povećanih regulacijskih mogućnosti elektroenergetskog sustava, planirana je izgradnja dodatnih reverzibilnih elektrana snage 150 MW prije 2030. godine, zatim razvoj spremnika topline kod krajnjih kupaca, razvoj baterijskih spremnika, uvođenje punionica za električna vozila koje omogućuju skladištenje energije te korištenje drugih inovativnih tehnologija za pohranu energije (financiranih iz EU sredstava).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MEN-22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Razvoj i održavanje sustava centralne proizvodnje toplinske energije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Centralizirani toplinski sustavi određeni su kao jedan od prioriteta energetske politike RH, Najznačajniji potencijal za razvoj i unaprjeđenje postojećih centraliziranih toplinskih sustava je prvenstveno u povećanju energetske učinkovitosti proizvodnih jedinica, infrastrukture i opreme kod krajnjih korisnika te povećanjem pouzdanosti i sigurnosti opskrbe. Stoga se ovom mjerom previđa održavanje i unaprjeđenje postojećih CTS sustava, zaustavljanje trenda isključivanja korisnika sa sustava CTS-a, uvođenje spremnika topline na električnu energiju te korištenje OIE za CTS i zamjena postojeće proizvodnje CTS-a obnovljivim izvorima (npr. biogorivo), korištenje dizalica topline.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Modernizacija i transformacija rafinerija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 xml:space="preserve">Provedba investicija u modernizaciju i unaprjeđenje proizvodnje kako bi se održala konkurentnost rafinerija.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Mjere povećanja energetske učinkovitosti unapređenjem procesa i procesnih jedinica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Povećanje energetske učinkovitosti postiže se provođenjem mjera koje doprinose smanjenju energetske intenzivnosti putem racionalnijeg korištenja energije i sirovina, dodavanjem aditiva te izmjenama proizvodnih procesa i opreme na crpnim stanicama i u rafinerijama što doprinosi smanjenju fugitivnih emisija.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5</w:t>
            </w:r>
          </w:p>
        </w:tc>
        <w:tc>
          <w:tcPr>
            <w:tcW w:w="2832" w:type="dxa"/>
            <w:vAlign w:val="center"/>
          </w:tcPr>
          <w:p w:rsidR="007D4A93" w:rsidRPr="00654E3B" w:rsidRDefault="00EF0BEB">
            <w:pPr>
              <w:spacing w:line="240" w:lineRule="auto"/>
              <w:jc w:val="left"/>
              <w:rPr>
                <w:rFonts w:eastAsia="Times New Roman" w:cs="Times New Roman"/>
                <w:b/>
                <w:bCs/>
                <w:sz w:val="20"/>
                <w:lang w:eastAsia="hr-HR"/>
              </w:rPr>
            </w:pPr>
            <w:r w:rsidRPr="00654E3B">
              <w:rPr>
                <w:rFonts w:eastAsia="Times New Roman" w:cs="Times New Roman"/>
                <w:bCs/>
                <w:sz w:val="20"/>
                <w:lang w:eastAsia="hr-HR"/>
              </w:rPr>
              <w:t>Spaljivanje metana na baklji</w:t>
            </w:r>
          </w:p>
        </w:tc>
        <w:tc>
          <w:tcPr>
            <w:tcW w:w="9217" w:type="dxa"/>
            <w:vAlign w:val="center"/>
          </w:tcPr>
          <w:p w:rsidR="007D4A93" w:rsidRPr="00654E3B" w:rsidRDefault="00EF0BEB">
            <w:pPr>
              <w:spacing w:line="240" w:lineRule="auto"/>
              <w:rPr>
                <w:rFonts w:eastAsia="Times New Roman" w:cs="Times New Roman"/>
                <w:bCs/>
                <w:sz w:val="20"/>
                <w:lang w:eastAsia="hr-HR"/>
              </w:rPr>
            </w:pPr>
            <w:r w:rsidRPr="00654E3B">
              <w:rPr>
                <w:rFonts w:eastAsia="Times New Roman" w:cs="Times New Roman"/>
                <w:bCs/>
                <w:sz w:val="20"/>
                <w:lang w:eastAsia="hr-HR"/>
              </w:rPr>
              <w:t>S ciljem smanjenja fugitivnih emisija, umjesto otplinjavnja metana, metan se spaljuje na baklji. Na taj način se emisije metana smanjuju za 95-99</w:t>
            </w:r>
            <w:r w:rsidR="00060992" w:rsidRPr="00654E3B">
              <w:rPr>
                <w:rFonts w:eastAsia="Times New Roman" w:cs="Times New Roman"/>
                <w:bCs/>
                <w:sz w:val="20"/>
                <w:lang w:eastAsia="hr-HR"/>
              </w:rPr>
              <w:t xml:space="preserve"> %</w:t>
            </w:r>
            <w:r w:rsidRPr="00654E3B">
              <w:rPr>
                <w:rFonts w:eastAsia="Times New Roman" w:cs="Times New Roman"/>
                <w:bCs/>
                <w:sz w:val="20"/>
                <w:lang w:eastAsia="hr-HR"/>
              </w:rPr>
              <w:t xml:space="preserve"> ovisno o učinkovitosti baklji.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6</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Razvoj prijenosne elektroenergetske mreže</w:t>
            </w:r>
          </w:p>
        </w:tc>
        <w:tc>
          <w:tcPr>
            <w:tcW w:w="9217" w:type="dxa"/>
            <w:vAlign w:val="center"/>
          </w:tcPr>
          <w:p w:rsidR="007D4A93" w:rsidRPr="00654E3B" w:rsidRDefault="00EF0BEB" w:rsidP="006F1C3F">
            <w:pPr>
              <w:spacing w:line="240" w:lineRule="auto"/>
              <w:rPr>
                <w:rFonts w:eastAsia="Times New Roman" w:cs="Times New Roman"/>
                <w:sz w:val="20"/>
                <w:lang w:eastAsia="hr-HR"/>
              </w:rPr>
            </w:pPr>
            <w:r w:rsidRPr="00654E3B">
              <w:rPr>
                <w:rFonts w:eastAsia="Times New Roman" w:cs="Times New Roman"/>
                <w:sz w:val="20"/>
                <w:lang w:eastAsia="hr-HR"/>
              </w:rPr>
              <w:t>Hrvatski operator prijenosnog sustava d.o.o. (u daljnjem tekstu: HOPS) je prema Zakonu o energiji, energetski subjekt odgovoran za upravljanje, pogon i vođenje, održavanje, razvoj i izgradnju prijenosne elektroenergetske mreže. Na temelju Zakona o tržištu električne energije, HOPS je kao vlasnik prijenosne mreže 110 kV do 400 kV, dužan izraditi i donijeti, uz prethodnu suglasnost Hrvatske energetske regulatorne agencije (u daljnjem tekstu: HERA), desetogodišnje, trogodišnje i jednogodišnje investicijske planove razvoja prijenosne mreže. Desetgodišnji planovi razvoja noveliraju se na godišnjoj razini. U trenutku usvajanja ovog dokumenta relevantan je bio Desetogodišnji plan razvoja prijenosne mreže 2019.-2028., s detaljnom razradom za početno trogodišnje i jednogodišnje razdoblje koji je HERA odobrila u srpnju 2019. godine. Plan će se kontinuirano ažurirati tijekom čitavog razdoblja provedbe ovog dokumenta.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7</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Razvoj plinskog transportnog sustava</w:t>
            </w:r>
          </w:p>
        </w:tc>
        <w:tc>
          <w:tcPr>
            <w:tcW w:w="9217" w:type="dxa"/>
            <w:vAlign w:val="center"/>
          </w:tcPr>
          <w:p w:rsidR="007D4A93" w:rsidRPr="00654E3B" w:rsidRDefault="00EF0BEB" w:rsidP="00060992">
            <w:pPr>
              <w:spacing w:line="240" w:lineRule="auto"/>
              <w:rPr>
                <w:rFonts w:eastAsia="Times New Roman" w:cs="Times New Roman"/>
                <w:sz w:val="20"/>
                <w:lang w:eastAsia="hr-HR"/>
              </w:rPr>
            </w:pPr>
            <w:r w:rsidRPr="00654E3B">
              <w:rPr>
                <w:rFonts w:eastAsia="Times New Roman" w:cs="Times New Roman"/>
                <w:sz w:val="20"/>
                <w:lang w:eastAsia="hr-HR"/>
              </w:rPr>
              <w:t>Planiranje razvoja transportnog sustava provodi se kroz izradu Desetogodišnjeg plana razvoja plinskog transportnog sustava, čija je izrada obveza operatora plinskog transportnog sustava na temelju Zakona o tržištu plina. Operator plinskog transportnog sustava je tvrtka Plinacro d.o.o. Desetgodišnji planovi razvoja plinskog transportnog sustava noveliraju se na godišnjoj razini, a odobrava ih HERA. U trenutku usvajanja ovog dokumenta relevantan je bio Desetogodišnji plan razvoja plinskog transportnog sustava Republike Hrvatske 2018.-2027. Plan će se kontinuirano ažurirati tijekom čitavog razdoblja provedbe ovog dokumenta.</w:t>
            </w:r>
          </w:p>
        </w:tc>
      </w:tr>
      <w:tr w:rsidR="007D4A93" w:rsidRPr="00654E3B">
        <w:trPr>
          <w:trHeight w:val="340"/>
        </w:trPr>
        <w:tc>
          <w:tcPr>
            <w:tcW w:w="1129"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8</w:t>
            </w:r>
          </w:p>
        </w:tc>
        <w:tc>
          <w:tcPr>
            <w:tcW w:w="2832"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 xml:space="preserve">Razrada regulatornog okvira za aktivno sudjelovanje korisnika </w:t>
            </w:r>
            <w:r w:rsidRPr="00654E3B">
              <w:rPr>
                <w:rFonts w:cs="Times New Roman"/>
                <w:sz w:val="20"/>
              </w:rPr>
              <w:lastRenderedPageBreak/>
              <w:t>mreže na tržištu električne energije</w:t>
            </w:r>
          </w:p>
        </w:tc>
        <w:tc>
          <w:tcPr>
            <w:tcW w:w="9217" w:type="dxa"/>
            <w:shd w:val="clear" w:color="auto" w:fill="auto"/>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lastRenderedPageBreak/>
              <w:t xml:space="preserve">Kako bi se omogućila aktivna uloga korisnika mreže na tržištu električne energije potrebno na odgovarajući način izmijeniti i dopuniti postojeći regulatorni okvir, poglavito kroz uvođenje agregatora kao tržišnog sudionika te kroz omogućavanje pokretanja pilot projekta pružanja pomoćnih usluga. Pilot projektima detaljno će se analizirati </w:t>
            </w:r>
            <w:r w:rsidRPr="00654E3B">
              <w:rPr>
                <w:rFonts w:eastAsia="Times New Roman" w:cs="Times New Roman"/>
                <w:sz w:val="20"/>
                <w:lang w:eastAsia="hr-HR"/>
              </w:rPr>
              <w:lastRenderedPageBreak/>
              <w:t>usluge koje korisnici mogu pružati operatoru distribucijskog odnosno prijenosnog elektroenergetskog sustava. Analizirat će se moguće vrste, opseg, način i razdoblje pružanja pomoćnih usluga. Identificirat će se prepreke korištenju pomoćnih usluga i predložiti načini njihova uklanjanja. Prethodno će se provesti analiza potencijala za pružanje pomoćnih usluga i usluga fleksibilnosti odzivom potrošnje kod korisnika mreže na temelju koje će se definirati način i model pružanja pomoćnih usluga i odziva potrošnje od korisnika mreže.</w:t>
            </w:r>
          </w:p>
        </w:tc>
      </w:tr>
      <w:tr w:rsidR="007D4A93" w:rsidRPr="00654E3B">
        <w:trPr>
          <w:trHeight w:val="340"/>
        </w:trPr>
        <w:tc>
          <w:tcPr>
            <w:tcW w:w="1129"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w:t>
            </w:r>
            <w:r w:rsidR="002D2E0A" w:rsidRPr="00654E3B">
              <w:rPr>
                <w:rFonts w:cs="Times New Roman"/>
                <w:sz w:val="20"/>
              </w:rPr>
              <w:t>29</w:t>
            </w:r>
          </w:p>
        </w:tc>
        <w:tc>
          <w:tcPr>
            <w:tcW w:w="2832"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Uvođenje naprednih sustava mjerenja potrošnje i upravljanja mjernim podacima</w:t>
            </w:r>
          </w:p>
        </w:tc>
        <w:tc>
          <w:tcPr>
            <w:tcW w:w="9217" w:type="dxa"/>
            <w:shd w:val="clear" w:color="auto" w:fill="auto"/>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Kako bi se omogućio daljnji razvoj energetskih tržišta i aktivna uloga kupaca energije na energetskim tržištima, planira se uvođenje naprednih mjernih uređaja i sustava na razini potrošnje.</w:t>
            </w:r>
          </w:p>
        </w:tc>
      </w:tr>
      <w:tr w:rsidR="007D4A93" w:rsidRPr="00654E3B">
        <w:trPr>
          <w:trHeight w:val="340"/>
        </w:trPr>
        <w:tc>
          <w:tcPr>
            <w:tcW w:w="1129"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MEN-3</w:t>
            </w:r>
            <w:r w:rsidR="002D2E0A" w:rsidRPr="00654E3B">
              <w:rPr>
                <w:rFonts w:cs="Times New Roman"/>
                <w:sz w:val="20"/>
              </w:rPr>
              <w:t>0</w:t>
            </w:r>
          </w:p>
        </w:tc>
        <w:tc>
          <w:tcPr>
            <w:tcW w:w="2832"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Usvajanje i provedba Programa suzbijanja energetskog siromaštva</w:t>
            </w:r>
          </w:p>
        </w:tc>
        <w:tc>
          <w:tcPr>
            <w:tcW w:w="9217" w:type="dxa"/>
            <w:shd w:val="clear" w:color="auto" w:fill="auto"/>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Ublažavanje energetskog siromaštva i stupnja ugroženosti njime; uspostava sustava praćenja energetskog siromaštva.</w:t>
            </w:r>
          </w:p>
          <w:p w:rsidR="00B9204A" w:rsidRPr="00654E3B" w:rsidRDefault="00B9204A">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UET-5</w:t>
            </w:r>
          </w:p>
        </w:tc>
      </w:tr>
      <w:tr w:rsidR="00697D3E" w:rsidRPr="00654E3B">
        <w:trPr>
          <w:trHeight w:val="340"/>
        </w:trPr>
        <w:tc>
          <w:tcPr>
            <w:tcW w:w="1129" w:type="dxa"/>
            <w:shd w:val="clear" w:color="auto" w:fill="auto"/>
            <w:vAlign w:val="center"/>
          </w:tcPr>
          <w:p w:rsidR="00697D3E" w:rsidRPr="00654E3B" w:rsidRDefault="0081442D">
            <w:pPr>
              <w:spacing w:line="240" w:lineRule="auto"/>
              <w:jc w:val="left"/>
              <w:rPr>
                <w:rFonts w:cs="Times New Roman"/>
                <w:sz w:val="20"/>
              </w:rPr>
            </w:pPr>
            <w:r w:rsidRPr="00654E3B">
              <w:rPr>
                <w:rFonts w:cs="Times New Roman"/>
                <w:sz w:val="20"/>
              </w:rPr>
              <w:t>MEN-3</w:t>
            </w:r>
            <w:r w:rsidR="002D2E0A" w:rsidRPr="00654E3B">
              <w:rPr>
                <w:rFonts w:cs="Times New Roman"/>
                <w:sz w:val="20"/>
              </w:rPr>
              <w:t>1</w:t>
            </w:r>
          </w:p>
        </w:tc>
        <w:tc>
          <w:tcPr>
            <w:tcW w:w="2832" w:type="dxa"/>
            <w:shd w:val="clear" w:color="auto" w:fill="auto"/>
            <w:vAlign w:val="center"/>
          </w:tcPr>
          <w:p w:rsidR="00697D3E" w:rsidRPr="00654E3B" w:rsidRDefault="00697D3E">
            <w:pPr>
              <w:spacing w:line="240" w:lineRule="auto"/>
              <w:jc w:val="left"/>
              <w:rPr>
                <w:rFonts w:cs="Times New Roman"/>
                <w:sz w:val="20"/>
              </w:rPr>
            </w:pPr>
            <w:r w:rsidRPr="00654E3B">
              <w:rPr>
                <w:rFonts w:cs="Times New Roman"/>
                <w:sz w:val="20"/>
              </w:rPr>
              <w:t xml:space="preserve">Povećanje energetske učinkovitosti i korištenja OIE u proizvodnim industrijama </w:t>
            </w:r>
          </w:p>
        </w:tc>
        <w:tc>
          <w:tcPr>
            <w:tcW w:w="9217" w:type="dxa"/>
            <w:shd w:val="clear" w:color="auto" w:fill="auto"/>
            <w:vAlign w:val="center"/>
          </w:tcPr>
          <w:p w:rsidR="00697D3E" w:rsidRPr="00654E3B" w:rsidRDefault="0081442D">
            <w:pPr>
              <w:spacing w:line="240" w:lineRule="auto"/>
              <w:rPr>
                <w:rFonts w:eastAsia="Times New Roman" w:cs="Times New Roman"/>
                <w:sz w:val="20"/>
                <w:lang w:eastAsia="hr-HR"/>
              </w:rPr>
            </w:pPr>
            <w:r w:rsidRPr="00654E3B">
              <w:rPr>
                <w:rFonts w:eastAsia="Times New Roman" w:cs="Times New Roman"/>
                <w:sz w:val="20"/>
                <w:lang w:eastAsia="hr-HR"/>
              </w:rPr>
              <w:t>U proteklom razdoblju iz ESI fondova, a temeljem OPKK bilo je osigurano 60 milijuna €. Apsorpcija sredstava je bila izvrsna, što dokazuje da industrijska postrojenja u RH raspolažu značajnim potencijalom za poboljšanje energetske učinkovitosti, smanjenje potrošnje energije kao i za smanjenje udjela konvencionalnih (fosilnih) goriva u ukupnoj potrošnji energije uvođenjem obnovljivih izvora energije. Cilj ove mjere je osigurati nastavak sufinanciranje provedbe takvih mjera u proizvodnim industrijama i to kroz bespovratna sredstva i kroz financijske instrumente.</w:t>
            </w:r>
          </w:p>
        </w:tc>
      </w:tr>
      <w:tr w:rsidR="008F7C47" w:rsidRPr="00654E3B">
        <w:trPr>
          <w:trHeight w:val="340"/>
        </w:trPr>
        <w:tc>
          <w:tcPr>
            <w:tcW w:w="1129" w:type="dxa"/>
            <w:shd w:val="clear" w:color="auto" w:fill="auto"/>
            <w:vAlign w:val="center"/>
          </w:tcPr>
          <w:p w:rsidR="008F7C47" w:rsidRPr="00654E3B" w:rsidRDefault="0081442D" w:rsidP="002D2E0A">
            <w:pPr>
              <w:spacing w:line="240" w:lineRule="auto"/>
              <w:jc w:val="left"/>
              <w:rPr>
                <w:rFonts w:cs="Times New Roman"/>
                <w:sz w:val="20"/>
              </w:rPr>
            </w:pPr>
            <w:r w:rsidRPr="00654E3B">
              <w:rPr>
                <w:rFonts w:cs="Times New Roman"/>
                <w:sz w:val="20"/>
              </w:rPr>
              <w:t>MEN-3</w:t>
            </w:r>
            <w:r w:rsidR="002D2E0A" w:rsidRPr="00654E3B">
              <w:rPr>
                <w:rFonts w:cs="Times New Roman"/>
                <w:sz w:val="20"/>
              </w:rPr>
              <w:t>2</w:t>
            </w:r>
          </w:p>
        </w:tc>
        <w:tc>
          <w:tcPr>
            <w:tcW w:w="2832" w:type="dxa"/>
            <w:shd w:val="clear" w:color="auto" w:fill="auto"/>
            <w:vAlign w:val="center"/>
          </w:tcPr>
          <w:p w:rsidR="008F7C47" w:rsidRPr="00654E3B" w:rsidRDefault="008F7C47">
            <w:pPr>
              <w:spacing w:line="240" w:lineRule="auto"/>
              <w:jc w:val="left"/>
              <w:rPr>
                <w:rFonts w:cs="Times New Roman"/>
                <w:sz w:val="20"/>
              </w:rPr>
            </w:pPr>
            <w:r w:rsidRPr="00654E3B">
              <w:rPr>
                <w:rFonts w:cs="Times New Roman"/>
                <w:sz w:val="20"/>
              </w:rPr>
              <w:t xml:space="preserve">Usvajanje i provedba Programa suzbijanja energetskog siromaštva koji uključuje korištenje obnovljivih izvora energije u stambenim zgradama na potpomognutim područjima i područjima posebne državne skrbi za razdoblje 2021-2025. godine </w:t>
            </w:r>
          </w:p>
        </w:tc>
        <w:tc>
          <w:tcPr>
            <w:tcW w:w="9217" w:type="dxa"/>
            <w:shd w:val="clear" w:color="auto" w:fill="auto"/>
            <w:vAlign w:val="center"/>
          </w:tcPr>
          <w:p w:rsidR="009B3927" w:rsidRPr="00654E3B" w:rsidRDefault="009B3927" w:rsidP="009B3927">
            <w:pPr>
              <w:spacing w:line="240" w:lineRule="auto"/>
              <w:rPr>
                <w:rFonts w:eastAsia="Times New Roman" w:cs="Times New Roman"/>
                <w:sz w:val="20"/>
                <w:lang w:eastAsia="hr-HR"/>
              </w:rPr>
            </w:pPr>
            <w:r w:rsidRPr="00654E3B">
              <w:rPr>
                <w:rFonts w:eastAsia="Times New Roman" w:cs="Times New Roman"/>
                <w:sz w:val="20"/>
                <w:lang w:eastAsia="hr-HR"/>
              </w:rPr>
              <w:t>Ublažavanje energetskog siromaštva i stupnja ugroženosti njime u zgradama kojima raspolaže i upravlja Središnji državni ured za obnovu i stambeno zbrinjavanje (SDUOSZ), u kojima stanovnici nisu u mogućnosti sudjelovati u financiranju nužnih popravaka. U okviru Programa suzbijanja energetskog siromaštva koji uključuje korištenje obnovljivih izvora energije u stambenim zgradama na potpomognutim područjima i područjima posebne državne skrbi za razdoblje 2021. – 2025. godine, za potrebe Programa identificirano je 413 stambenih zgrada, a obuhvaćeno je 407 zgrada s radnog popisa i 12 dodatnih, ali su 22 obuhvaćene u drugim cjelinama, što daje ukupni broj od 397 zgrada. Određeni su prioriteti obnove prema uočenim nedostacima zgrada, te je procijenjena moguća ušteda energije za grijanje i primarne energije koja će se ostvariti obnovom zgrada. Ukupno je obuhvaćeno 397 zgrada, ukupne površine 297.575 m², za čiju obnovu je potrebno uložiti 297 do 355 milijuna kuna. Ukupna moguća ušteda primarne energije na svim zgrada iznosi 27 GWh godišnje.</w:t>
            </w:r>
          </w:p>
          <w:p w:rsidR="008F7C47" w:rsidRPr="00654E3B" w:rsidRDefault="008F7C47" w:rsidP="008F7C47">
            <w:pPr>
              <w:spacing w:line="240" w:lineRule="auto"/>
              <w:rPr>
                <w:rFonts w:eastAsia="Times New Roman" w:cs="Times New Roman"/>
                <w:sz w:val="20"/>
                <w:lang w:eastAsia="hr-HR"/>
              </w:rPr>
            </w:pPr>
          </w:p>
        </w:tc>
      </w:tr>
      <w:tr w:rsidR="007D4A93" w:rsidRPr="00654E3B">
        <w:trPr>
          <w:trHeight w:val="340"/>
        </w:trPr>
        <w:tc>
          <w:tcPr>
            <w:tcW w:w="13178" w:type="dxa"/>
            <w:gridSpan w:val="3"/>
            <w:vAlign w:val="center"/>
          </w:tcPr>
          <w:p w:rsidR="007D4A93" w:rsidRPr="00654E3B" w:rsidRDefault="00EF0BEB">
            <w:pPr>
              <w:spacing w:line="240" w:lineRule="auto"/>
              <w:rPr>
                <w:rFonts w:eastAsia="Times New Roman" w:cs="Times New Roman"/>
                <w:b/>
                <w:sz w:val="20"/>
                <w:lang w:eastAsia="hr-HR"/>
              </w:rPr>
            </w:pPr>
            <w:r w:rsidRPr="00654E3B">
              <w:rPr>
                <w:rFonts w:cs="Times New Roman"/>
                <w:b/>
                <w:sz w:val="20"/>
              </w:rPr>
              <w:t>PROMET</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Informiranje potrošača o ekonomičnosti potrošnje goriva </w:t>
            </w:r>
            <w:r w:rsidRPr="00654E3B">
              <w:rPr>
                <w:rFonts w:cs="Times New Roman"/>
                <w:sz w:val="20"/>
              </w:rPr>
              <w:lastRenderedPageBreak/>
              <w:t>i emisiji CO</w:t>
            </w:r>
            <w:r w:rsidRPr="00654E3B">
              <w:rPr>
                <w:rFonts w:cs="Times New Roman"/>
                <w:sz w:val="20"/>
                <w:vertAlign w:val="subscript"/>
              </w:rPr>
              <w:t>2</w:t>
            </w:r>
            <w:r w:rsidRPr="00654E3B">
              <w:rPr>
                <w:rFonts w:cs="Times New Roman"/>
                <w:sz w:val="20"/>
              </w:rPr>
              <w:t xml:space="preserve"> novih osobnih automobila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lastRenderedPageBreak/>
              <w:t>Sukladno Pravilniku o dostupnosti podataka o ekonomičnosti potrošnje goriva i emisiji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iz novih putničkih vozila (</w:t>
            </w:r>
            <w:r w:rsidR="001C0429"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oj</w:t>
            </w:r>
            <w:r w:rsidRPr="00654E3B">
              <w:rPr>
                <w:rFonts w:eastAsia="Times New Roman" w:cs="Times New Roman"/>
                <w:sz w:val="20"/>
                <w:lang w:eastAsia="hr-HR"/>
              </w:rPr>
              <w:t xml:space="preserve"> 7/15) svaki dobavljač novih osobnih vozila namijenjenih prodaji dužan je omogućiti </w:t>
            </w:r>
            <w:r w:rsidRPr="00654E3B">
              <w:rPr>
                <w:rFonts w:eastAsia="Times New Roman" w:cs="Times New Roman"/>
                <w:sz w:val="20"/>
                <w:lang w:eastAsia="hr-HR"/>
              </w:rPr>
              <w:lastRenderedPageBreak/>
              <w:t>potrošačima dostupne informacije o razini potrošnje goriva i specifičnoj emisiji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putničkih vozila. Ministarstvo unutarnjih poslova, kao tijelo državne uprave nadležno za sigurnost cestovnog prometa, na osnovi Pravilnika jedanput godišnje, najkasnije do 31. ožujka tekuće godine izrađuje Vodič o ekonomičnosti potrošnje goriva i emisiji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novih osobnih automobila koji su dostupni za kupovinu na tržištu u Republici Hrvatskoj. Vodič sadrži potrebne podatke za svaki model novih osobnih automobila dostupnih na domaćem tržištu.</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MTR-2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Posebna naknada za okoliš za vozila na motorni pogon</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Postojeći sustav plaćanja posebne naknade za okoliš na motornim vozilima uređen je Zakonom o Fondu za zaštitu okoliša i energetsku učinkovitost (</w:t>
            </w:r>
            <w:r w:rsidR="001C0429" w:rsidRPr="00654E3B">
              <w:rPr>
                <w:rFonts w:eastAsia="Times New Roman" w:cs="Times New Roman"/>
                <w:sz w:val="20"/>
                <w:lang w:eastAsia="hr-HR"/>
              </w:rPr>
              <w:t>Narodne novine</w:t>
            </w:r>
            <w:r w:rsidRPr="00654E3B">
              <w:rPr>
                <w:rFonts w:eastAsia="Times New Roman" w:cs="Times New Roman"/>
                <w:sz w:val="20"/>
                <w:lang w:eastAsia="hr-HR"/>
              </w:rPr>
              <w:t>, br. 107/03, 144/12), Uredbom o jediničnim naknadama, korektivnim koeficijentima i pobližim kriterijima i mjerilima za utvrđivanje posebne naknade za okoliš na vozila na motorni pogon (</w:t>
            </w:r>
            <w:r w:rsidR="0097190B" w:rsidRPr="00654E3B">
              <w:rPr>
                <w:rFonts w:eastAsia="Times New Roman" w:cs="Times New Roman"/>
                <w:sz w:val="20"/>
                <w:lang w:eastAsia="hr-HR"/>
              </w:rPr>
              <w:t>Narodne novine</w:t>
            </w:r>
            <w:r w:rsidRPr="00654E3B">
              <w:rPr>
                <w:rFonts w:eastAsia="Times New Roman" w:cs="Times New Roman"/>
                <w:sz w:val="20"/>
                <w:lang w:eastAsia="hr-HR"/>
              </w:rPr>
              <w:t>, br. 114/14, 147/14</w:t>
            </w:r>
            <w:r w:rsidR="009F6712" w:rsidRPr="00654E3B">
              <w:rPr>
                <w:rFonts w:eastAsia="Times New Roman" w:cs="Times New Roman"/>
                <w:sz w:val="20"/>
                <w:lang w:eastAsia="hr-HR"/>
              </w:rPr>
              <w:t>, 2/21</w:t>
            </w:r>
            <w:r w:rsidRPr="00654E3B">
              <w:rPr>
                <w:rFonts w:eastAsia="Times New Roman" w:cs="Times New Roman"/>
                <w:sz w:val="20"/>
                <w:lang w:eastAsia="hr-HR"/>
              </w:rPr>
              <w:t>). Posebna naknada naplaćuje se uzimajući u obzir vrstu motora i goriva, radni volumen motora, vrstu vozila, emisiju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i starost vozila.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Posebni porez za motorna vozila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Bazirajući se na načelu „onečišćivač plaća“, model obračuna temelji se na emisiji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u zrak iz motornih vozila. Posebni porez utvrđuje se na temelju prodajne, odnosno tržišne cijene motornog vozila, emisije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izražene u gramima po kilometru, obujmu motora u kubičnim centimetrima i razini emisije stakleničkih plinova. Ovim posebnim porezom potiče se kupovina učinkovitih vozila i vozila s manjim emisijama stakleničkih plinova. Donošenjem Zakona o posebnom porezu na motorna vozila (</w:t>
            </w:r>
            <w:r w:rsidR="0097190B" w:rsidRPr="00654E3B">
              <w:rPr>
                <w:rFonts w:eastAsia="Times New Roman" w:cs="Times New Roman"/>
                <w:sz w:val="20"/>
                <w:lang w:eastAsia="hr-HR"/>
              </w:rPr>
              <w:t>Narodne novine</w:t>
            </w:r>
            <w:r w:rsidRPr="00654E3B">
              <w:rPr>
                <w:rFonts w:eastAsia="Times New Roman" w:cs="Times New Roman"/>
                <w:sz w:val="20"/>
                <w:lang w:eastAsia="hr-HR"/>
              </w:rPr>
              <w:t>, br. 15/13, 108/13, 115/16, 127/17</w:t>
            </w:r>
            <w:r w:rsidR="009F6712" w:rsidRPr="00654E3B">
              <w:rPr>
                <w:rFonts w:eastAsia="Times New Roman" w:cs="Times New Roman"/>
                <w:sz w:val="20"/>
                <w:lang w:eastAsia="hr-HR"/>
              </w:rPr>
              <w:t>, 121/19</w:t>
            </w:r>
            <w:r w:rsidRPr="00654E3B">
              <w:rPr>
                <w:rFonts w:eastAsia="Times New Roman" w:cs="Times New Roman"/>
                <w:sz w:val="20"/>
                <w:lang w:eastAsia="hr-HR"/>
              </w:rPr>
              <w:t>) osigurana je primjena i provođenje mjere.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MTR-4</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Praćenje, izvještavanje i verifikacija emisija stakleničkih plinova u životnom vijeku goriva i energije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skladu sa Zakonom o </w:t>
            </w:r>
            <w:r w:rsidRPr="00654E3B">
              <w:rPr>
                <w:rFonts w:cs="Times New Roman"/>
                <w:sz w:val="20"/>
              </w:rPr>
              <w:t xml:space="preserve">klimatskim promjenama i zaštiti ozonskog sloja </w:t>
            </w:r>
            <w:r w:rsidRPr="00654E3B">
              <w:rPr>
                <w:rFonts w:eastAsia="Times New Roman" w:cs="Times New Roman"/>
                <w:sz w:val="20"/>
                <w:lang w:eastAsia="hr-HR"/>
              </w:rPr>
              <w:t>(</w:t>
            </w:r>
            <w:r w:rsidR="001C0429" w:rsidRPr="00654E3B">
              <w:rPr>
                <w:rFonts w:eastAsia="Times New Roman" w:cs="Times New Roman"/>
                <w:sz w:val="20"/>
                <w:lang w:eastAsia="hr-HR"/>
              </w:rPr>
              <w:t>Narodne novin</w:t>
            </w:r>
            <w:r w:rsidR="00566C24" w:rsidRPr="00654E3B">
              <w:rPr>
                <w:rFonts w:eastAsia="Times New Roman" w:cs="Times New Roman"/>
                <w:sz w:val="20"/>
                <w:lang w:eastAsia="hr-HR"/>
              </w:rPr>
              <w:t>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 xml:space="preserve">127/19), dobavljač koji stavlja gorivo na domaće tržište će pratiti emisije stakleničkih plinova po jedinici energije za vrijeme trajanja goriva. Dobavljači trebaju sastaviti izvješće koje treba biti verificirano i dostavljeno Ministarstvu </w:t>
            </w:r>
            <w:r w:rsidR="006C7329" w:rsidRPr="00654E3B">
              <w:rPr>
                <w:rFonts w:eastAsia="Times New Roman" w:cs="Times New Roman"/>
                <w:sz w:val="20"/>
                <w:lang w:eastAsia="hr-HR"/>
              </w:rPr>
              <w:t xml:space="preserve">gospodarstva i održivog razvoja </w:t>
            </w:r>
            <w:r w:rsidRPr="00654E3B">
              <w:rPr>
                <w:rFonts w:eastAsia="Times New Roman" w:cs="Times New Roman"/>
                <w:sz w:val="20"/>
                <w:lang w:eastAsia="hr-HR"/>
              </w:rPr>
              <w:t xml:space="preserve"> (Zavod za zaštitu okoliša i prirodu).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MTR-5</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Zakonodavne prilagodbe za čišći promet</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Kroz izmjene i dopune zakona i podzakonskih akata osigurati razvoj infrastrukture za alternativna goriva, podizanje udjela obnovljivih izvora u neposrednoj potrošnji energije u prometu te promicanje čistih i energetski učinkovitih vozila u cestovnom prijevozu.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MTR-6</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Financijski poticaji za energetski učinkovita vozila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kontekstu sufinanciranja projekata čišćeg prometa, potrebno je definirati posebne linije sufinanciranja za specifične namjene i to za kupnju vozila s pogonom na električnu energiju, SPP, UPP i vodik. Poticajne mjere sufinanciranja nabave vozila trebaju se provoditi konzistentno i kontinuirano, a bit će prvenstveno orijentirane na alternativna goriva za koja je procjena postojećeg stanja pokazala neznatnu zastupljenost vozila u ukupnom broju vozila, te će biti vremenski ograničene do trenutka kad praćenje stanja pokaže minimalnu zastupljenost vozila. Minimalnim stupnjem pokrenutosti tržišta smatrat će se udio od 1 posto vozila na određeno alternativno gorivo u ukupnom broju vozila registriranih u državi.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MTR-7</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Razvoj infrastrukture za alternativna goriva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Cilj ove mjere je olakšati prihvaćanje alternativnih goriva od strane korisnika/potrošača jačanjem infrastrukture za distribuciju alternativnih goriva i provedbom zajedničkih tehničkih specifikacija za ovu infrastrukturu. Mjera prati Direktivu 2014/94/EU o uspostavi infrastrukture za alternativna goriva, Zakon o uspostavi infrastrukture za alternativna goriva (</w:t>
            </w:r>
            <w:r w:rsidR="0097190B"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120/16) i Nacionalni okvir politike za uspostavu infrastrukture i razvoj tržišta alternativnih goriva u prometu (</w:t>
            </w:r>
            <w:r w:rsidR="0097190B"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34/17; NOP) te potiče izgradnju punionica u skladu s navedenim dokumentima. Ovom infrastrukturnom mjerom se neće direktno utjecati na smanjenje potrošnje goriva u prometu, no svakako je razvoj infrastrukture nužan preduvjet razvoju tržišta vozila i plovila koja koriste električnu energiju, SPP i UPP te vodik u Hrvatskoj.</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Poticajne mjere sufinanciranja infrastrukture bit će prvenstveno orijentirane na alternativna goriva za koja je procjena postojećeg stanja pokazala nedovoljnu razvijenost infrastrukture te će biti vremenski ograničene do trenutka kad praćenje stanja pokaže minimalnu pokrivenost infrastrukturom. Minimalnom pokrivenosti infrastrukture smatrat će se ona koja odgovara ciljevima minimalne infrastrukture iz NOP-a.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MTR-8</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Poticanje integriranog teretnog prometa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Mjera je uređena Zakonom o kombiniranom prijevozu tereta (</w:t>
            </w:r>
            <w:r w:rsidR="0097190B"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120/16), odnosno Pravilnikom o poticajima u kombiniranom prijevozu tereta (</w:t>
            </w:r>
            <w:r w:rsidR="0097190B"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5/18), kojim su propisani poticaji u kombiniranom prijevozu tereta željeznicom, unutarnjim vodama ili morem, te poticaji u kombiniranom prijevozu tereta cestovnom dionicom.</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MTR-9</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Poticanje razvoja održivog integriranog prometa na nacionalnoj razini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Mjera prati opće i specifične ciljeve definirane u Strategiji prometnog razvoja Republike Hrvatske (2017. – 2030.) u kontekstu energetske učinkovitosti željezničkog, cestovnog, pomorskog prometa, prometa unutarnjim plovnim putovima i gradskog, prigradskog i regionalnog prometa (modernizacija pruga, sustava signalizacije, obnova fonda lokomotiva, vagona, flota plovila, logističke integrirane platforme, integrirani javni prijevoz putnika, itd.). Željeznička i generalno multimodalna infrastruktura zaostaju u razvoju u usporedbi s infrastrukturom autocesta kad je riječ o kvaliteti i povezanosti. Planiraju se ulaganja u cilju razvoja održive, integrirane transeuropske prometne mreže koja je otporna na klimatske promjene. U pomorskom prometu i prometu unutarnjim plovnim putovima, Republika Hrvatska će uz savjetovanje s ostalim Državama Članicama, analizirati mogućnosti uvođenja odgovarajućih mehanizama kako bi se osigurala tranzicija prema niskougljičnim rješenjima, naročito u smislu aplikacije alternativnih izvora energije za plovidbu. U tom kontekstu definirat će se akcijski plan za brodarstvo koji će između ostaloga definirati i odgovarajuće emisijske standarde za nadolazeće razdoblje. Isto tako, u zračnom prometu, Republika Hrvatska će definirati plan i razraditi detaljne smjernice za postizanje značajnog smanjenja emisija stakleničkih plinova.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MTR-10</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Promicanje integriranog i inteligentnog prometa i razvoj infrastrukture za alternativna </w:t>
            </w:r>
            <w:r w:rsidRPr="00654E3B">
              <w:rPr>
                <w:rFonts w:cs="Times New Roman"/>
                <w:sz w:val="20"/>
              </w:rPr>
              <w:lastRenderedPageBreak/>
              <w:t>goriva na lokalnoj i područnoj razini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lastRenderedPageBreak/>
              <w:t xml:space="preserve">Potrebno je promovirati održivi razvoj gradskih prometnih sustava i to kroz optimiranje logistike prijevoza tereta te inteligentno upravljanje javnim parkirnim površinama (ICT tehnologije), uvođenje integriranog prijevoza putnika, uvođenje car-sharing sheme u gradovima, uvođenje nisko-emisijskih zona u gradovima, uvođenje sustava javnih gradskih bicikala i izgradnje pripadajuće biciklističke infrastrukture, inteligentno upravljanje u prometu (nadogradnja, prilagodba i zamjena zastarjelih signalnih uređaja i opreme, ugradnja napredne prometne </w:t>
            </w:r>
            <w:r w:rsidRPr="00654E3B">
              <w:rPr>
                <w:rFonts w:eastAsia="Times New Roman" w:cs="Times New Roman"/>
                <w:sz w:val="20"/>
                <w:lang w:eastAsia="hr-HR"/>
              </w:rPr>
              <w:lastRenderedPageBreak/>
              <w:t xml:space="preserve">opreme i inteligentnih semafora opremljenih autonomnim sustavom napajanja iz obnovljivih izvora, izgradnja i opremanje središnjih operativnih centara za nadzor i upravljanje raskrižjima s postavljenim semaforima). Na lokalnim razinama, nužna je kontinuirana izrada i provedba Planova održive mobilnosti u gradovima, odnosno strateških planova koji se nadovezuju na postojeću praksu u planiranju, a uzimaju u obzir integracijske, participacijske i evaluacijske principe kako bi se zadovoljile potrebe stanovnika gradova za mobilnošću, sada i u budućnosti, te osigurala bolja kvaliteta života u gradovima i njihovoj okolini. Aktivnosti će pratiti odgovarajuće informativno-edukativne kampanje.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MTR-11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Obuka vozača cestovnih vozila za eko vožnju</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Cilj mjere je podizanje razine osviještenosti o prednostima energetski učinkovite vožnje. Obrazovanje o elementima eko vožnje provodi se kratkim treninzima (u trajanju od oko 60-120 minuta po kandidatu) među vozačima koji su vozačku dozvolu dobili prije stupanja na snagu Pravilnika o osposobljavanju kandidata za vozače (</w:t>
            </w:r>
            <w:r w:rsidR="0097190B" w:rsidRPr="00654E3B">
              <w:rPr>
                <w:rFonts w:eastAsia="Times New Roman" w:cs="Times New Roman"/>
                <w:sz w:val="20"/>
                <w:lang w:eastAsia="hr-HR"/>
              </w:rPr>
              <w:t>Narodne novine</w:t>
            </w:r>
            <w:r w:rsidRPr="00654E3B">
              <w:rPr>
                <w:rFonts w:eastAsia="Times New Roman" w:cs="Times New Roman"/>
                <w:sz w:val="20"/>
                <w:lang w:eastAsia="hr-HR"/>
              </w:rPr>
              <w:t xml:space="preserve">, br. 13/09, 132/17), kojim je za sve autoškole i instruktore postavljena obveza provođenja izobrazbe o elementima eko-vožnje tijekom standardne izobrazbe vozača kandidata. Posebni elementi nacionalne kampanje trebaju biti posvećeni edukaciji o eko vožnji za vozače osobnih automobila, autobusa, gospodarskih i teških teretnih vozila.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MTR-12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Poticanje brodskog prometa na alternativna goriva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skladu s Nacionalnim planom razvoja obalnog linijskog pomorskog prometa i obzirom da je Republika Hrvatska pomorska zemlja s razvijenim dužobalnim linijskim prometom, te pored toga ima plovne riječne puteve i jezera ovom mjerom bi se sufinancirali projekti postupnog prijelaza postojeće zastarjele brodske flote na alternativna i/ili hibridna rješenja i novogradnju. Brodovi koji koriste alternativna goriva u pravilu su skuplji od brodova koji koriste konvencionalna goriva pa ne postoji izraženi interes brodara ulagati u takve brodove. Stoga je u početnom razdoblju potrebno financijski podržati prenamjenu/izgradnju takvih brodova u mjeri u kojoj se izjednačava nabavna cijena odnosno stavlja takvog brodara u isti položaj kao i brodara koji koristi brodove s konvencionalnim gorivom. Ova se mjera nadovezuje na mjeru vezanu uz razvoj infrastrukture za alternativna goriva u smislu  trajnih korisnika/potrošača na toj infrastrukturi, a istovremeno značajno utječe na potencijalno smanjenje onečišćenja mora, rijeka i jezera.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MTR-13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Plan razvoja tržišta naprednih biogoriva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Povećanje udjela OIE u prometu do 2030. godine razvoj tržišta naprednih goriva i postizanje planiranog udjela naprednih goriva u neposrednoj potrošnji energije u prometu putem kriterija najmanjeg troška i najvećeg multiplikatora. Provedba mjere osniva se na izmjenama i dopunama relevantnih zakona i podzakonskih akata na temelju Direktive o promicanju uporabe energije iz obnovljivih izvora, a posebice uspostavi uvjeta za praćenje održivosti biogoriva i ušteda stakleničkih plinova.</w:t>
            </w:r>
          </w:p>
        </w:tc>
      </w:tr>
      <w:tr w:rsidR="003810DE" w:rsidRPr="00654E3B">
        <w:trPr>
          <w:trHeight w:val="340"/>
        </w:trPr>
        <w:tc>
          <w:tcPr>
            <w:tcW w:w="1129" w:type="dxa"/>
            <w:vAlign w:val="center"/>
          </w:tcPr>
          <w:p w:rsidR="003810DE" w:rsidRPr="00654E3B" w:rsidRDefault="003810DE">
            <w:pPr>
              <w:spacing w:line="240" w:lineRule="auto"/>
              <w:jc w:val="left"/>
              <w:rPr>
                <w:rFonts w:cs="Times New Roman"/>
                <w:sz w:val="20"/>
              </w:rPr>
            </w:pPr>
            <w:r w:rsidRPr="00654E3B">
              <w:rPr>
                <w:rFonts w:cs="Times New Roman"/>
                <w:sz w:val="20"/>
              </w:rPr>
              <w:t>MTR-14</w:t>
            </w:r>
          </w:p>
        </w:tc>
        <w:tc>
          <w:tcPr>
            <w:tcW w:w="2832" w:type="dxa"/>
            <w:vAlign w:val="center"/>
          </w:tcPr>
          <w:p w:rsidR="003810DE" w:rsidRPr="00654E3B" w:rsidRDefault="003810DE" w:rsidP="00697D3E">
            <w:pPr>
              <w:spacing w:line="240" w:lineRule="auto"/>
              <w:jc w:val="left"/>
              <w:rPr>
                <w:rFonts w:cs="Times New Roman"/>
                <w:sz w:val="20"/>
              </w:rPr>
            </w:pPr>
            <w:r w:rsidRPr="00654E3B">
              <w:rPr>
                <w:rFonts w:cs="Times New Roman"/>
                <w:sz w:val="20"/>
              </w:rPr>
              <w:t xml:space="preserve">Dekarbonizacija prometa kroz proizvodnju naprednih biogoriva iz ostataka poljoprivredne proizvodnje i energetskih usjeva uz </w:t>
            </w:r>
            <w:r w:rsidRPr="00654E3B">
              <w:rPr>
                <w:rFonts w:cs="Times New Roman"/>
                <w:sz w:val="20"/>
              </w:rPr>
              <w:lastRenderedPageBreak/>
              <w:t>integrirano hvatanje, korištenje i skladištenje ugljika</w:t>
            </w:r>
          </w:p>
        </w:tc>
        <w:tc>
          <w:tcPr>
            <w:tcW w:w="9217" w:type="dxa"/>
            <w:vAlign w:val="center"/>
          </w:tcPr>
          <w:p w:rsidR="0081442D" w:rsidRPr="00654E3B" w:rsidRDefault="0081442D" w:rsidP="0081442D">
            <w:pPr>
              <w:spacing w:line="240" w:lineRule="auto"/>
              <w:rPr>
                <w:rFonts w:cs="Times New Roman"/>
                <w:sz w:val="20"/>
              </w:rPr>
            </w:pPr>
            <w:r w:rsidRPr="00654E3B">
              <w:rPr>
                <w:rFonts w:cs="Times New Roman"/>
                <w:sz w:val="20"/>
              </w:rPr>
              <w:lastRenderedPageBreak/>
              <w:t xml:space="preserve">Stvaranje dugoročno održivog lanca opskrbe biomasom i proizvodnja bioetanola s negativnim neto emisijama stakleničkih plinova </w:t>
            </w:r>
          </w:p>
          <w:p w:rsidR="003810DE" w:rsidRPr="00654E3B" w:rsidRDefault="0081442D">
            <w:pPr>
              <w:spacing w:line="240" w:lineRule="auto"/>
              <w:rPr>
                <w:rFonts w:eastAsia="Times New Roman" w:cs="Times New Roman"/>
                <w:sz w:val="20"/>
                <w:lang w:eastAsia="hr-HR"/>
              </w:rPr>
            </w:pPr>
            <w:r w:rsidRPr="00654E3B">
              <w:rPr>
                <w:rFonts w:cs="Times New Roman"/>
                <w:sz w:val="20"/>
              </w:rPr>
              <w:t xml:space="preserve">Izgradit će se industrijski kompleks za proizvodnju naprednog bioetanola na bazi Axensove (Francuska) patentirane inovativne FUTUROL™ tehnologije s integracijom BIO-CCUS-a. Postrojenje će imati kapacitet od </w:t>
            </w:r>
            <w:r w:rsidRPr="00654E3B">
              <w:rPr>
                <w:rFonts w:cs="Times New Roman"/>
                <w:sz w:val="20"/>
              </w:rPr>
              <w:lastRenderedPageBreak/>
              <w:t>55.000 tona godišnje naprednog bioetanola koji će se distribuirati na tržištu komercijalnim kanalima INA-e i MOL Grupe. Oko 52.000 t/g biogenog ugljičnog dioksida hvatat će se i skladištiti na domaćim naftnim poljima korištenjem BIO-CCUS tehnologije. Za proizvodnju naprednog bioetanola koristit će se kombinacija poljoprivrednih ostataka, uglavnom slame žitarica i kukuruza, i energetska biljka Miscanthus x giganteus, u skladu s dijelom A Aneksa IX Direktive 2018/2001 o promicanju uporabe energije iz obnovljivih izvora, koji navodi vrste sirovina prihvatljive za proizvodnju naprednih biogoriva. Industrijski kompleks sastojat će se od postrojenja za proizvodnju naprednog bioetanola, za proizvodnju bioplina te visokoučinkovitog kogeneracijskog postrojenja.</w:t>
            </w:r>
          </w:p>
        </w:tc>
      </w:tr>
      <w:tr w:rsidR="007D4A93" w:rsidRPr="00654E3B">
        <w:trPr>
          <w:trHeight w:val="340"/>
        </w:trPr>
        <w:tc>
          <w:tcPr>
            <w:tcW w:w="13178" w:type="dxa"/>
            <w:gridSpan w:val="3"/>
            <w:vAlign w:val="center"/>
          </w:tcPr>
          <w:p w:rsidR="007D4A93" w:rsidRPr="00654E3B" w:rsidRDefault="00EF0BEB">
            <w:pPr>
              <w:spacing w:line="240" w:lineRule="auto"/>
              <w:rPr>
                <w:rFonts w:eastAsia="Times New Roman" w:cs="Times New Roman"/>
                <w:b/>
                <w:sz w:val="20"/>
                <w:lang w:eastAsia="hr-HR"/>
              </w:rPr>
            </w:pPr>
            <w:r w:rsidRPr="00654E3B">
              <w:rPr>
                <w:rFonts w:eastAsia="Times New Roman" w:cs="Times New Roman"/>
                <w:b/>
                <w:sz w:val="20"/>
                <w:lang w:eastAsia="hr-HR"/>
              </w:rPr>
              <w:lastRenderedPageBreak/>
              <w:t>INDUSTRIJSKI PROCESI I UPORABA PROIZVODA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MIP-1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Smanjenje udjela klinkera u proizvodnji cementa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Povećanje udjela mineralnih dodataka u cementu ovisno o sastavu sirovine, raspoloživosti dodataka odgovarajućeg sastava na tržištu te o zahtjevima tržišta za pojedinim vrstama cementa.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MIP-2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Ograničavanje emisija fluoriranih stakleničkih plinova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Provedba Uredbe (EU) br. 517/2014 u Republici Hrvatskoj regulirana je Zakonom o provedbi Uredbe (EU) br. 517/2014 Europskog parlamenta i Vijeća od 16. travnja 2014. o fluoriranim stakleničkim plinovima i stavljanju izvan snage Uredbe (EZ) br. 842/2006 (</w:t>
            </w:r>
            <w:r w:rsidR="0097190B" w:rsidRPr="00654E3B">
              <w:rPr>
                <w:rFonts w:eastAsia="Times New Roman" w:cs="Times New Roman"/>
                <w:sz w:val="20"/>
                <w:lang w:eastAsia="hr-HR"/>
              </w:rPr>
              <w:t>Narodne novine</w:t>
            </w:r>
            <w:r w:rsidRPr="00654E3B">
              <w:rPr>
                <w:rFonts w:eastAsia="Times New Roman" w:cs="Times New Roman"/>
                <w:sz w:val="20"/>
                <w:lang w:eastAsia="hr-HR"/>
              </w:rPr>
              <w:t>, br. 61/17, 118/18), koji je na snazi od 01.01.2019. godine.</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Mjerom su definirane aktivnosti i postupci za sprječavanje emisija fluoriranih stakleničkih plinova, provođenje provjere propuštanja opreme, korištenje opreme sa sustavima za otkrivanje propuštanja, vođenje evidencije o opremi na kojoj je potrebno obavljati provjere propuštanja, prikupljanje fluoriranih stakleničkih plinova kako bi se osiguralo njihovo obnavljanje, oporaba ili uništavanje, razvoj sustava odgovornosti proizvođača za prikupljanje fluoriranih stakleničkih plinova i njihovo obnavljanje, oporabu ili uništavanje te primjena programa za osposobljavanje i certifikaciju.</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MIP-3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Postupno smanjenje količine fluorougljikovodika koja se može stavljati na tržište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Mjera se odnosi na postupno ograničavanje količine fluorougljikovodika dostupnih na tržištu EU do 2030. godine na 21</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od ukupne količine fluorougljikovodika koji su stavljeni na tržište tijekom referentnog razdoblja od 2009. do 2012. godine., kako je utvrđeno Uredbom (EU) br. 517/2014.</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Uredbom (EU) br. 517/2014 uvodi se sustav kvota za stavljanje fluorougljikovodika na tržište. Izračun referentnih vrijednosti i raspodjelu kvota potrebno je temeljiti na prijavljenim količinama fluorougljikovodika koji su stavljeni na tržište tijekom referentnog razdoblja od 2009. do 2012. godine. Kvote za stavljanje fluorougljikovodika na tržište dodjeljuju se za svakog proizvođača i uvoznika za svaku godinu, s početkom od 2015. godine, na temelju referentnih vrijednosti, primjenjujući definirane postotke za izračun maksimalne količine fluorougljikovodika za stavljanje na tržište te mehanizam dodjele.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MIP-4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Ograničenja i zabrana stavljanja na tržište određenih proizvoda i opreme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Mjera se odnosi na ograničenja i zabranu stavljanja na tržište određenih proizvoda i opreme koji sadrže fluorirane stakleničke plinove, kako je utvrđeno Uredbom (EU) br. 517/2014.</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Fluorirani staklenički plinovi s visokim stakleničkim potencijalom ograničeni su za upotrebu u novoj opremi za hlađenje i klimatizaciju, sustavima za gašenje požara, dodacima za potiskivanje pjena i aerosolima.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MIP-5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Smanjenje emisija fluoriranih stakleničkih plinova iz mobilnih sustava</w:t>
            </w:r>
            <w:r w:rsidRPr="00654E3B">
              <w:rPr>
                <w:rFonts w:cs="Times New Roman"/>
                <w:sz w:val="20"/>
              </w:rPr>
              <w:t xml:space="preserve"> </w:t>
            </w:r>
            <w:r w:rsidRPr="00654E3B">
              <w:rPr>
                <w:rFonts w:eastAsia="Times New Roman" w:cs="Times New Roman"/>
                <w:sz w:val="20"/>
                <w:lang w:eastAsia="hr-HR"/>
              </w:rPr>
              <w:t>za klimatiziranje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Direktiva 2006/40/EZ Europskog parlamenta i Vijeća od 17. svibnja 2006. o emisijama iz sustava za klimatizaciju u motornim vozilima i o izmjeni Direktive Vijeća 70/156/EEZ provedena je u tri faze. Posljednja faza stupila je na snagu 01.01.2017. godine ograničenjem mogućnosti naknadne ugradnje klimatizacijske opreme oblikovane da sadrži fluorirane stakleničke plinove s potencijalom globalnog zagrijavanja iznad 150 u motorna vozila i zabranom punjenja klimatizacijske opreme tim plinovima.</w:t>
            </w:r>
          </w:p>
        </w:tc>
      </w:tr>
      <w:tr w:rsidR="007D4A93" w:rsidRPr="00654E3B">
        <w:trPr>
          <w:trHeight w:val="340"/>
        </w:trPr>
        <w:tc>
          <w:tcPr>
            <w:tcW w:w="13178" w:type="dxa"/>
            <w:gridSpan w:val="3"/>
            <w:vAlign w:val="center"/>
          </w:tcPr>
          <w:p w:rsidR="007D4A93" w:rsidRPr="00654E3B" w:rsidRDefault="00EF0BEB">
            <w:pPr>
              <w:spacing w:line="240" w:lineRule="auto"/>
              <w:rPr>
                <w:rFonts w:eastAsia="Times New Roman" w:cs="Times New Roman"/>
                <w:b/>
                <w:sz w:val="20"/>
                <w:lang w:eastAsia="hr-HR"/>
              </w:rPr>
            </w:pPr>
            <w:r w:rsidRPr="00654E3B">
              <w:rPr>
                <w:rFonts w:cs="Times New Roman"/>
                <w:b/>
                <w:sz w:val="20"/>
              </w:rPr>
              <w:t>POLJOPRIVREDA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MAG-1</w:t>
            </w:r>
          </w:p>
        </w:tc>
        <w:tc>
          <w:tcPr>
            <w:tcW w:w="2832" w:type="dxa"/>
            <w:vAlign w:val="center"/>
          </w:tcPr>
          <w:p w:rsidR="007D4A93" w:rsidRPr="00654E3B" w:rsidRDefault="00EF0BEB" w:rsidP="00DE41D8">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Promjena u </w:t>
            </w:r>
            <w:r w:rsidR="00DE41D8" w:rsidRPr="00654E3B">
              <w:rPr>
                <w:rFonts w:eastAsia="Times New Roman" w:cs="Times New Roman"/>
                <w:sz w:val="20"/>
                <w:lang w:eastAsia="hr-HR"/>
              </w:rPr>
              <w:t xml:space="preserve">ishrani </w:t>
            </w:r>
            <w:r w:rsidRPr="00654E3B">
              <w:rPr>
                <w:rFonts w:eastAsia="Times New Roman" w:cs="Times New Roman"/>
                <w:sz w:val="20"/>
                <w:lang w:eastAsia="hr-HR"/>
              </w:rPr>
              <w:t xml:space="preserve">goveda i svinja te kvaliteti </w:t>
            </w:r>
            <w:r w:rsidR="001E5EFB" w:rsidRPr="00654E3B">
              <w:rPr>
                <w:rFonts w:eastAsia="Times New Roman" w:cs="Times New Roman"/>
                <w:sz w:val="20"/>
                <w:lang w:eastAsia="hr-HR"/>
              </w:rPr>
              <w:t xml:space="preserve"> hrane za životinje</w:t>
            </w:r>
          </w:p>
        </w:tc>
        <w:tc>
          <w:tcPr>
            <w:tcW w:w="9217" w:type="dxa"/>
            <w:vAlign w:val="center"/>
          </w:tcPr>
          <w:p w:rsidR="007D4A93" w:rsidRPr="00654E3B" w:rsidRDefault="00EF0BEB" w:rsidP="00DE41D8">
            <w:pPr>
              <w:spacing w:line="240" w:lineRule="auto"/>
              <w:rPr>
                <w:rFonts w:eastAsia="Times New Roman" w:cs="Times New Roman"/>
                <w:sz w:val="20"/>
                <w:lang w:eastAsia="hr-HR"/>
              </w:rPr>
            </w:pPr>
            <w:r w:rsidRPr="00654E3B">
              <w:rPr>
                <w:rFonts w:cs="Times New Roman"/>
                <w:sz w:val="20"/>
              </w:rPr>
              <w:t xml:space="preserve">Mjere koje se poduzimaju usmjerene su na regulaciju probavnih procesa (način i režim </w:t>
            </w:r>
            <w:r w:rsidR="00DE41D8" w:rsidRPr="00654E3B">
              <w:rPr>
                <w:rFonts w:cs="Times New Roman"/>
                <w:sz w:val="20"/>
              </w:rPr>
              <w:t xml:space="preserve"> ishrane</w:t>
            </w:r>
            <w:r w:rsidRPr="00654E3B">
              <w:rPr>
                <w:rFonts w:cs="Times New Roman"/>
                <w:sz w:val="20"/>
              </w:rPr>
              <w:t>, odabir krmiva, upotrebu aditiva regulatora aktivnosti mikropopulacije). U praksi se najčešće primjenjuje više mjera istovremeno.</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MAG-2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Poboljšanje stočarskih gospodarstava i sustava gospodarenja stajskim gnojem</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Poboljšanjem i promjenom postojećih sustava gospodarenja stajskim gnojem i  korištenjem najboljih raspoloživih tehnika moguće je smanjiti navedene emisije.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MAG-3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Modifikacije proizvodnih sustava u stočarstvu</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t>Mjere kojima se postižu učinci na smanjenje emisije stakleničkih plinova odnose se na mjere kojima se povećava intenzitet proizvodnje po životinji i u jedinici vremena.</w:t>
            </w:r>
            <w:r w:rsidRPr="00654E3B">
              <w:rPr>
                <w:rFonts w:cs="Times New Roman"/>
              </w:rPr>
              <w:t xml:space="preserve">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Anaerobna razgradnja stajskog gnoja i proizvodnja bioplina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t>Uvođenjem bioplinskih postrojenja ostvaruje se smanjenje emisije CH</w:t>
            </w:r>
            <w:r w:rsidRPr="00654E3B">
              <w:rPr>
                <w:rFonts w:cs="Times New Roman"/>
                <w:sz w:val="20"/>
                <w:vertAlign w:val="subscript"/>
              </w:rPr>
              <w:t xml:space="preserve">4 </w:t>
            </w:r>
            <w:r w:rsidRPr="00654E3B">
              <w:rPr>
                <w:rFonts w:cs="Times New Roman"/>
                <w:sz w:val="20"/>
              </w:rPr>
              <w:t>uslijed iskorištavanja stelje kao obnovljivog izvora i proizvodnju električne energije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Poboljšanje uzgojno-selekcijskog programa, zdravlja i dobrobiti životinja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t>Cilj mjere je odrediti i fenotipske i genetske varijacije u predviđenoj emisiji CH4 i odrediti potencijal genetike za smanjenje emisija  CH</w:t>
            </w:r>
            <w:r w:rsidRPr="00654E3B">
              <w:rPr>
                <w:rFonts w:cs="Times New Roman"/>
                <w:sz w:val="20"/>
                <w:vertAlign w:val="subscript"/>
              </w:rPr>
              <w:t>4</w:t>
            </w:r>
            <w:r w:rsidRPr="00654E3B">
              <w:rPr>
                <w:rFonts w:cs="Times New Roman"/>
                <w:sz w:val="20"/>
              </w:rPr>
              <w:t xml:space="preserve"> kod  mliječnih krava, ali i povećani intenzitet proizvodnje.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Unaprjeđivanje i promjena sustava obrade tla (reducirana obrada)</w:t>
            </w:r>
          </w:p>
        </w:tc>
        <w:tc>
          <w:tcPr>
            <w:tcW w:w="9217" w:type="dxa"/>
            <w:vAlign w:val="center"/>
          </w:tcPr>
          <w:p w:rsidR="007D4A93" w:rsidRPr="00654E3B" w:rsidRDefault="00EF0BEB">
            <w:pPr>
              <w:shd w:val="clear" w:color="auto" w:fill="FFFFFF"/>
              <w:spacing w:line="240" w:lineRule="auto"/>
              <w:rPr>
                <w:rFonts w:eastAsia="MS Mincho" w:cs="Times New Roman"/>
                <w:sz w:val="20"/>
                <w:lang w:eastAsia="ja-JP"/>
              </w:rPr>
            </w:pPr>
            <w:r w:rsidRPr="00654E3B">
              <w:rPr>
                <w:rFonts w:cs="Times New Roman"/>
                <w:sz w:val="20"/>
              </w:rPr>
              <w:t>Reducirana obrada tla predstavlja rezultat znanstvenih istraživanja i praktičnih provjera koji rezultiraju promjenom konvencionalnog sustava obrade tla kroz reduciranje dubine obrade, izostavljanje jednog ili više radnih zahvata, reduciranje frekvencije ili potpuno izostavljanje obrade, reduciranje površine tla koje se obrađuje te zadržavanje biljnih ostataka. Izravni utjecaj na emisiju stakleničkih plinova prvenstveno se odnosi na značajni utjecaj na sadržaj organskog ugljika u tlu te manji broja radnih sati strojeva.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MAG-7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Proširenje plodoreda s većim učešćem leguminoza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Sjetva leguminoznih usjeva veže atmosferski dušik, smanjuje se opasnost od onečišćenja podzemnih voda ,tlo se obogaćuje organskom tvari što ima višestruke pozitivne učinke na poboljšanje i održanje povoljnih fizikalnih, kemijskih i bioloških svojstava tla.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MAG-8</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Intenziviranje plodoreda korištenjem međuusjeva</w:t>
            </w:r>
          </w:p>
        </w:tc>
        <w:tc>
          <w:tcPr>
            <w:tcW w:w="9217" w:type="dxa"/>
            <w:vAlign w:val="center"/>
          </w:tcPr>
          <w:p w:rsidR="007D4A93" w:rsidRPr="00654E3B" w:rsidRDefault="00EF0BEB" w:rsidP="00DE41D8">
            <w:pPr>
              <w:spacing w:line="240" w:lineRule="auto"/>
              <w:rPr>
                <w:rFonts w:eastAsia="Times New Roman" w:cs="Times New Roman"/>
                <w:sz w:val="20"/>
                <w:lang w:eastAsia="hr-HR"/>
              </w:rPr>
            </w:pPr>
            <w:r w:rsidRPr="00654E3B">
              <w:rPr>
                <w:rFonts w:cs="Times New Roman"/>
                <w:sz w:val="20"/>
              </w:rPr>
              <w:t xml:space="preserve">Sjetvom međuusjeva koji se mogu  koristiti za </w:t>
            </w:r>
            <w:r w:rsidR="00DE41D8" w:rsidRPr="00654E3B">
              <w:rPr>
                <w:rFonts w:cs="Times New Roman"/>
                <w:sz w:val="20"/>
              </w:rPr>
              <w:t xml:space="preserve">ishranu </w:t>
            </w:r>
            <w:r w:rsidRPr="00654E3B">
              <w:rPr>
                <w:rFonts w:cs="Times New Roman"/>
                <w:sz w:val="20"/>
              </w:rPr>
              <w:t>stoke ili zaorati za zelenu gnojidbu, iskoristiti će se preostala hranjiva, spriječiti daljnje isparavanje vode iz tla, smanjiti gubitak ugljika iz tla, spriječiti ispiranje dušika u podzemne vode te povećati organsku masu u tlu.</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MAG-9</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Poboljšanje metoda primjene mineralnih gnojiva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Smanjenje potrošnje mineralnih gnojiva neizravna je korist iz ostalih mjera kojima se smanjuje potreba za njihovom primjenom, ali uz pravilnu gnojidbenu  praksu .Primjenom sporodjelujućih gnojiva može se i izravno utjecati na ukupnu primijenjenu količinu mineralnih gnojiva.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MAG-10</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Poboljšanje metoda primjene organskih gnojiva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Organska gnojiva su podrijetlom iz organskih izvora poput krutog stajskog gnoja ili gnojovke i biljnih, odnosno životinjskih ostataka, te jače potiču aktivnost mikroba tla u odnosu na mineralna gnojiva. K</w:t>
            </w:r>
            <w:r w:rsidRPr="00654E3B">
              <w:rPr>
                <w:rFonts w:cs="Times New Roman"/>
                <w:bCs/>
                <w:sz w:val="20"/>
              </w:rPr>
              <w:t xml:space="preserve">orištenjem injektora za direktno ubrizgavanju u tlo smanjuje se gubitak dušika uslijed volatizacije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Agrošumarstvo</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 xml:space="preserve">Agrošumarstvo je zajednički naziv za sustave gospodarenja zemljištem pri kojem se trajne drvenaste vrste integriraju s uzgojem usjeva i/ili životinja na istoj površinskoj jedinici. Pojedini agrošumarski sustavi (npr. agrosilvakultura) su značajni ponori ugljika. </w:t>
            </w:r>
          </w:p>
          <w:p w:rsidR="007D4A93" w:rsidRPr="00654E3B" w:rsidRDefault="00EF0BEB">
            <w:pPr>
              <w:spacing w:line="240" w:lineRule="auto"/>
              <w:rPr>
                <w:rFonts w:eastAsia="Times New Roman" w:cs="Times New Roman"/>
                <w:sz w:val="20"/>
                <w:lang w:eastAsia="hr-HR"/>
              </w:rPr>
            </w:pPr>
            <w:r w:rsidRPr="00654E3B">
              <w:rPr>
                <w:rFonts w:cs="Times New Roman"/>
                <w:sz w:val="20"/>
              </w:rPr>
              <w:t>Potrebno je  putem pokusa ustanoviti primjenjivost agrošumarstva u našim uvjetima s obzirom na različite oblike i podjele, ali i na različite potrebe.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Hidromelioracijski zahvati i sustavi zaštite od nepogoda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Uz kontroliranu primjenu mineralnih gnojiva, za smanjenje emisije nitrata važna je kontrolirana odvodnja, ponovno korištenje drenirane vode te korištenje vode odgovarajuće kvalitete.  Drenaža ima funkciju odvodnje suvišne količine vode. Također, promjena vodozračnih odnosa tla utječe i na aktivnost korisnih mikroorganizama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MAG-13</w:t>
            </w:r>
          </w:p>
        </w:tc>
        <w:tc>
          <w:tcPr>
            <w:tcW w:w="2832" w:type="dxa"/>
            <w:vAlign w:val="center"/>
          </w:tcPr>
          <w:p w:rsidR="007D4A93" w:rsidRPr="00654E3B" w:rsidRDefault="00C84D39" w:rsidP="00E523BF">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Uvođenje novih sorti i vrsta </w:t>
            </w:r>
          </w:p>
        </w:tc>
        <w:tc>
          <w:tcPr>
            <w:tcW w:w="9217" w:type="dxa"/>
            <w:vAlign w:val="center"/>
          </w:tcPr>
          <w:p w:rsidR="007D4A93" w:rsidRPr="00654E3B" w:rsidRDefault="00EF0BEB" w:rsidP="00FD4068">
            <w:pPr>
              <w:spacing w:line="240" w:lineRule="auto"/>
              <w:rPr>
                <w:rFonts w:eastAsia="Times New Roman" w:cs="Times New Roman"/>
                <w:sz w:val="20"/>
                <w:lang w:eastAsia="hr-HR"/>
              </w:rPr>
            </w:pPr>
            <w:r w:rsidRPr="00654E3B">
              <w:rPr>
                <w:rFonts w:eastAsia="Times New Roman" w:cs="Times New Roman"/>
                <w:sz w:val="20"/>
                <w:lang w:eastAsia="hr-HR"/>
              </w:rPr>
              <w:t xml:space="preserve">Smanjenje primjene mineralnog dušika kroz primjenu novih </w:t>
            </w:r>
            <w:r w:rsidR="00FD4068" w:rsidRPr="00654E3B">
              <w:rPr>
                <w:rFonts w:eastAsia="Times New Roman" w:cs="Times New Roman"/>
                <w:sz w:val="20"/>
                <w:lang w:eastAsia="hr-HR"/>
              </w:rPr>
              <w:t xml:space="preserve">sorti </w:t>
            </w:r>
            <w:r w:rsidRPr="00654E3B">
              <w:rPr>
                <w:rFonts w:eastAsia="Times New Roman" w:cs="Times New Roman"/>
                <w:sz w:val="20"/>
                <w:lang w:eastAsia="hr-HR"/>
              </w:rPr>
              <w:t>sa  otpornosti na sušu i na bolest,  kao i specifičnih leguminoza koje imaju sposobnost simbiotskog odnosa s kvržičnim bakterijama.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Promjena načina prehrane ljudi </w:t>
            </w:r>
          </w:p>
        </w:tc>
        <w:tc>
          <w:tcPr>
            <w:tcW w:w="9217" w:type="dxa"/>
            <w:vAlign w:val="center"/>
          </w:tcPr>
          <w:p w:rsidR="007D4A93" w:rsidRPr="00654E3B" w:rsidRDefault="00EF0BEB" w:rsidP="009B6E92">
            <w:pPr>
              <w:spacing w:line="240" w:lineRule="auto"/>
              <w:rPr>
                <w:rFonts w:eastAsia="Times New Roman" w:cs="Times New Roman"/>
                <w:sz w:val="20"/>
                <w:lang w:eastAsia="hr-HR"/>
              </w:rPr>
            </w:pPr>
            <w:r w:rsidRPr="00654E3B">
              <w:rPr>
                <w:rFonts w:eastAsia="Times New Roman" w:cs="Times New Roman"/>
                <w:sz w:val="20"/>
                <w:lang w:eastAsia="hr-HR"/>
              </w:rPr>
              <w:t xml:space="preserve">Uzgoj žitarica za hranu </w:t>
            </w:r>
            <w:r w:rsidR="001E5EFB" w:rsidRPr="00654E3B">
              <w:rPr>
                <w:rFonts w:eastAsia="Times New Roman" w:cs="Times New Roman"/>
                <w:sz w:val="20"/>
                <w:lang w:eastAsia="hr-HR"/>
              </w:rPr>
              <w:t xml:space="preserve">za životinje </w:t>
            </w:r>
            <w:r w:rsidRPr="00654E3B">
              <w:rPr>
                <w:rFonts w:eastAsia="Times New Roman" w:cs="Times New Roman"/>
                <w:sz w:val="20"/>
                <w:lang w:eastAsia="hr-HR"/>
              </w:rPr>
              <w:t xml:space="preserve">proizvodi puno više stakleničkih plinova nego proizvodnja žitarica za ljudsku prehranu. </w:t>
            </w:r>
            <w:r w:rsidR="009B6E92" w:rsidRPr="00654E3B">
              <w:rPr>
                <w:rFonts w:eastAsia="Times New Roman" w:cs="Times New Roman"/>
                <w:sz w:val="20"/>
                <w:lang w:eastAsia="hr-HR"/>
              </w:rPr>
              <w:t xml:space="preserve">Povećanjem </w:t>
            </w:r>
            <w:r w:rsidRPr="00654E3B">
              <w:rPr>
                <w:rFonts w:eastAsia="Times New Roman" w:cs="Times New Roman"/>
                <w:sz w:val="20"/>
                <w:lang w:eastAsia="hr-HR"/>
              </w:rPr>
              <w:t xml:space="preserve">utroška </w:t>
            </w:r>
            <w:r w:rsidR="009B6E92" w:rsidRPr="00654E3B">
              <w:rPr>
                <w:rFonts w:eastAsia="Times New Roman" w:cs="Times New Roman"/>
                <w:sz w:val="20"/>
                <w:lang w:eastAsia="hr-HR"/>
              </w:rPr>
              <w:t xml:space="preserve">namirnica biljnog porijekla </w:t>
            </w:r>
            <w:r w:rsidRPr="00654E3B">
              <w:rPr>
                <w:rFonts w:eastAsia="Times New Roman" w:cs="Times New Roman"/>
                <w:sz w:val="20"/>
                <w:lang w:eastAsia="hr-HR"/>
              </w:rPr>
              <w:t xml:space="preserve"> u prehrani mogu se ostvariti značajna smanjenja emisija, kao i ušteda vode.</w:t>
            </w:r>
          </w:p>
        </w:tc>
      </w:tr>
      <w:tr w:rsidR="007D4A93" w:rsidRPr="00654E3B">
        <w:trPr>
          <w:trHeight w:val="340"/>
        </w:trPr>
        <w:tc>
          <w:tcPr>
            <w:tcW w:w="1129" w:type="dxa"/>
            <w:tcBorders>
              <w:bottom w:val="single" w:sz="4" w:space="0" w:color="000000"/>
            </w:tcBorders>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MAG-15</w:t>
            </w:r>
          </w:p>
        </w:tc>
        <w:tc>
          <w:tcPr>
            <w:tcW w:w="2832" w:type="dxa"/>
            <w:tcBorders>
              <w:bottom w:val="single" w:sz="4" w:space="0" w:color="000000"/>
            </w:tcBorders>
            <w:vAlign w:val="center"/>
          </w:tcPr>
          <w:p w:rsidR="007D4A93" w:rsidRPr="00654E3B" w:rsidRDefault="00C84D39" w:rsidP="00F6582E">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Sakupljanje </w:t>
            </w:r>
            <w:r w:rsidR="00E703C1" w:rsidRPr="00654E3B">
              <w:rPr>
                <w:rFonts w:eastAsia="Times New Roman" w:cs="Times New Roman"/>
                <w:sz w:val="20"/>
                <w:lang w:eastAsia="hr-HR"/>
              </w:rPr>
              <w:t xml:space="preserve">žetvenih i </w:t>
            </w:r>
            <w:r w:rsidRPr="00654E3B">
              <w:rPr>
                <w:rFonts w:eastAsia="Times New Roman" w:cs="Times New Roman"/>
                <w:sz w:val="20"/>
                <w:lang w:eastAsia="hr-HR"/>
              </w:rPr>
              <w:t xml:space="preserve">rezidbenih poljoprivrednih ostataka za korištenje u energetske svrhe </w:t>
            </w:r>
          </w:p>
        </w:tc>
        <w:tc>
          <w:tcPr>
            <w:tcW w:w="9217" w:type="dxa"/>
            <w:tcBorders>
              <w:bottom w:val="single" w:sz="4" w:space="0" w:color="000000"/>
            </w:tcBorders>
            <w:vAlign w:val="center"/>
          </w:tcPr>
          <w:p w:rsidR="007D4A93" w:rsidRPr="00654E3B" w:rsidRDefault="00EF0BEB">
            <w:pPr>
              <w:spacing w:line="240" w:lineRule="auto"/>
              <w:rPr>
                <w:rFonts w:cs="Times New Roman"/>
                <w:sz w:val="20"/>
                <w:lang w:eastAsia="hr-HR"/>
              </w:rPr>
            </w:pPr>
            <w:r w:rsidRPr="00654E3B">
              <w:rPr>
                <w:rFonts w:cs="Times New Roman"/>
                <w:sz w:val="20"/>
                <w:lang w:eastAsia="hr-HR"/>
              </w:rPr>
              <w:t xml:space="preserve">Energetsko iskorištavanje </w:t>
            </w:r>
            <w:r w:rsidR="00F6582E" w:rsidRPr="00654E3B">
              <w:rPr>
                <w:rFonts w:cs="Times New Roman"/>
                <w:sz w:val="20"/>
                <w:lang w:eastAsia="hr-HR"/>
              </w:rPr>
              <w:t xml:space="preserve">poslijerezidbenih </w:t>
            </w:r>
            <w:r w:rsidRPr="00654E3B">
              <w:rPr>
                <w:rFonts w:cs="Times New Roman"/>
                <w:sz w:val="20"/>
                <w:lang w:eastAsia="hr-HR"/>
              </w:rPr>
              <w:t xml:space="preserve">ostataka (s naglaskom na ratarske) </w:t>
            </w:r>
            <w:r w:rsidR="00FD4068" w:rsidRPr="00654E3B">
              <w:rPr>
                <w:rFonts w:cs="Times New Roman"/>
                <w:sz w:val="20"/>
                <w:lang w:eastAsia="hr-HR"/>
              </w:rPr>
              <w:t xml:space="preserve">vrste </w:t>
            </w:r>
            <w:r w:rsidRPr="00654E3B">
              <w:rPr>
                <w:rFonts w:cs="Times New Roman"/>
                <w:sz w:val="20"/>
                <w:lang w:eastAsia="hr-HR"/>
              </w:rPr>
              <w:t xml:space="preserve">jedan je od značajnijih načina proizvodnje energije iz biomase u RH. Ostali mogući izvori su ostaci zimske </w:t>
            </w:r>
            <w:r w:rsidR="00F6582E" w:rsidRPr="00654E3B">
              <w:rPr>
                <w:rFonts w:cs="Times New Roman"/>
                <w:sz w:val="20"/>
                <w:lang w:eastAsia="hr-HR"/>
              </w:rPr>
              <w:t xml:space="preserve">rezidbe </w:t>
            </w:r>
            <w:r w:rsidRPr="00654E3B">
              <w:rPr>
                <w:rFonts w:cs="Times New Roman"/>
                <w:sz w:val="20"/>
                <w:lang w:eastAsia="hr-HR"/>
              </w:rPr>
              <w:t xml:space="preserve">gotovo svih hortikulturnih vrsta, kao i brzorastuće </w:t>
            </w:r>
            <w:r w:rsidR="00FD4068" w:rsidRPr="00654E3B">
              <w:rPr>
                <w:rFonts w:cs="Times New Roman"/>
                <w:sz w:val="20"/>
                <w:lang w:eastAsia="hr-HR"/>
              </w:rPr>
              <w:t xml:space="preserve">vrste </w:t>
            </w:r>
            <w:r w:rsidRPr="00654E3B">
              <w:rPr>
                <w:rFonts w:cs="Times New Roman"/>
                <w:sz w:val="20"/>
                <w:lang w:eastAsia="hr-HR"/>
              </w:rPr>
              <w:t>za proizvodnju energije koje se sade/siju isključivo za proizvodnju biomase s ciljem njezine konverzije u energiju.</w:t>
            </w:r>
          </w:p>
          <w:p w:rsidR="007D4A93" w:rsidRPr="00654E3B" w:rsidRDefault="00EF0BEB">
            <w:pPr>
              <w:spacing w:line="240" w:lineRule="auto"/>
              <w:rPr>
                <w:rFonts w:eastAsia="Times New Roman" w:cs="Times New Roman"/>
                <w:sz w:val="20"/>
                <w:lang w:eastAsia="hr-HR"/>
              </w:rPr>
            </w:pPr>
            <w:r w:rsidRPr="00654E3B">
              <w:rPr>
                <w:rFonts w:cs="Times New Roman"/>
                <w:sz w:val="20"/>
                <w:lang w:eastAsia="hr-HR"/>
              </w:rPr>
              <w:lastRenderedPageBreak/>
              <w:t>U cilju razvoja tržišta biomase, uspostavit će se sabirno-logistički centri za biomasu koristeći postojeću infrastrukturu (komunalna poduzeća, centre kompetencija, poslovne zone) kako bi se smanjio jedinični trošak proizvodnje proizvoda iz biomase te kapitalizirali inovacijski kapaciteti i neophodna oprema za inovativne proizvode iz biomase za biogospodarstvo. Sabirno-logistički centri imat će ulogu poveznice između poljoprivrednika koji posjeduje biomasu, prerade biomase u nove proizvode s većom dodanom vrijednosti, razvoja novih proizvoda te plasiranja tih novih proizvoda na tržište.</w:t>
            </w:r>
          </w:p>
        </w:tc>
      </w:tr>
      <w:tr w:rsidR="007D4A93" w:rsidRPr="00654E3B">
        <w:trPr>
          <w:trHeight w:val="340"/>
        </w:trPr>
        <w:tc>
          <w:tcPr>
            <w:tcW w:w="13178" w:type="dxa"/>
            <w:gridSpan w:val="3"/>
            <w:tcBorders>
              <w:bottom w:val="single" w:sz="4" w:space="0" w:color="000000"/>
            </w:tcBorders>
            <w:vAlign w:val="center"/>
          </w:tcPr>
          <w:p w:rsidR="007D4A93" w:rsidRPr="00654E3B" w:rsidRDefault="00EF0BEB">
            <w:pPr>
              <w:spacing w:line="240" w:lineRule="auto"/>
              <w:rPr>
                <w:rFonts w:cs="Times New Roman"/>
                <w:b/>
                <w:sz w:val="20"/>
                <w:lang w:eastAsia="hr-HR"/>
              </w:rPr>
            </w:pPr>
            <w:r w:rsidRPr="00654E3B">
              <w:rPr>
                <w:rFonts w:cs="Times New Roman"/>
                <w:b/>
                <w:sz w:val="20"/>
              </w:rPr>
              <w:lastRenderedPageBreak/>
              <w:t>OTPAD</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MWM-1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Sprječavanje nastajanja i smanjivanje količine krutog otpada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To je prvi po redu prioritet u gospodarenju otpadom, prema Zakonu o održivom gospodarenju otpadom (</w:t>
            </w:r>
            <w:r w:rsidR="0097190B" w:rsidRPr="00654E3B">
              <w:rPr>
                <w:rFonts w:cs="Times New Roman"/>
                <w:sz w:val="20"/>
              </w:rPr>
              <w:t>Narodne novine</w:t>
            </w:r>
            <w:r w:rsidRPr="00654E3B">
              <w:rPr>
                <w:rFonts w:cs="Times New Roman"/>
                <w:sz w:val="20"/>
              </w:rPr>
              <w:t>, br. 94/13, 73/17, 14/19). Sprječavanje nastajanja i smanjivanje količine otpada uključuje komunalni otpad, proizvodni otpad i mulj iz uređaja za pročišćavanje otpadnih voda.</w:t>
            </w:r>
          </w:p>
          <w:p w:rsidR="007D4A93" w:rsidRPr="00654E3B" w:rsidRDefault="00EF0BEB">
            <w:pPr>
              <w:spacing w:line="240" w:lineRule="auto"/>
              <w:rPr>
                <w:rFonts w:cs="Times New Roman"/>
                <w:sz w:val="20"/>
              </w:rPr>
            </w:pPr>
            <w:r w:rsidRPr="00654E3B">
              <w:rPr>
                <w:rFonts w:cs="Times New Roman"/>
                <w:sz w:val="20"/>
              </w:rPr>
              <w:t xml:space="preserve">Sprječavanje nastajanja otpada postiže se postupkom ponovne uporabe i primjenom instrumenata nusproizvoda i ukidanja statusa otpada, koji će neposredno utjecati na smanjenje nastanka ukupne količine otpada. Provođenje mjera za sprječavanje nastanka otpada definirano je </w:t>
            </w:r>
            <w:r w:rsidR="00492484" w:rsidRPr="00654E3B">
              <w:rPr>
                <w:rFonts w:cs="Times New Roman"/>
                <w:sz w:val="20"/>
              </w:rPr>
              <w:t xml:space="preserve">kao i </w:t>
            </w:r>
            <w:r w:rsidRPr="00654E3B">
              <w:rPr>
                <w:rFonts w:cs="Times New Roman"/>
                <w:sz w:val="20"/>
              </w:rPr>
              <w:t>Planom sprječavanja</w:t>
            </w:r>
            <w:r w:rsidR="00492484" w:rsidRPr="00654E3B">
              <w:rPr>
                <w:rFonts w:cs="Times New Roman"/>
                <w:sz w:val="20"/>
              </w:rPr>
              <w:t xml:space="preserve"> i smanjenja nastajanja otpada od hrane Republike Hrvatske 2019-2022, koji Ministarstvo poljoprivrede izrađuje i predlaže Vladi Republike Hrvatske</w:t>
            </w:r>
            <w:r w:rsidRPr="00654E3B">
              <w:rPr>
                <w:rFonts w:cs="Times New Roman"/>
                <w:sz w:val="20"/>
              </w:rPr>
              <w:t>. Najvažnije mjere u pogledu sprječavanja nastanka otpada su uspostava Centara za ponovnu uporabu i osiguranje potrebne opreme za kućno kompostiranje.</w:t>
            </w:r>
          </w:p>
          <w:p w:rsidR="007D4A93" w:rsidRPr="00654E3B" w:rsidRDefault="00EF0BEB">
            <w:pPr>
              <w:spacing w:line="240" w:lineRule="auto"/>
              <w:rPr>
                <w:rFonts w:cs="Times New Roman"/>
                <w:sz w:val="20"/>
              </w:rPr>
            </w:pPr>
            <w:r w:rsidRPr="00654E3B">
              <w:rPr>
                <w:rFonts w:cs="Times New Roman"/>
                <w:sz w:val="20"/>
              </w:rPr>
              <w:t>Ova mjera se treba postići čistijom proizvodnjom, odgojem i obrazovanjem, ekonomskim instrumentima, primjenom propisa u gospodarenju otpadom i ulaganjem u suvremene tehnologije kojima se omogućava materijalna oporaba i kemijsko recikliranje otpada (proizvodnja različitih industrijskih spojeva poput etilena, amonijaka i sl., kao i različitih goriva poput vodika, sintetskog plina i tekućih goriva na bazi ugljika</w:t>
            </w:r>
            <w:r w:rsidRPr="00654E3B">
              <w:rPr>
                <w:rFonts w:cs="Times New Roman"/>
                <w:i/>
                <w:iCs/>
                <w:sz w:val="20"/>
              </w:rPr>
              <w:t>)</w:t>
            </w:r>
            <w:r w:rsidRPr="00654E3B">
              <w:rPr>
                <w:rFonts w:cs="Times New Roman"/>
                <w:sz w:val="20"/>
              </w:rPr>
              <w:t xml:space="preserve">. Sukladno zakonu definirani su kvantitativni ciljevi i rokovi za smanjenje ukupne količine odloženog otpada na neusklađena odlagališta. Odlaganje otpada na neusklađena odlagališta u </w:t>
            </w:r>
            <w:r w:rsidRPr="00654E3B">
              <w:rPr>
                <w:rFonts w:eastAsia="Times New Roman" w:cs="Times New Roman"/>
                <w:sz w:val="20"/>
                <w:lang w:eastAsia="hr-HR"/>
              </w:rPr>
              <w:t>Republici Hrvatskoj</w:t>
            </w:r>
            <w:r w:rsidRPr="00654E3B">
              <w:rPr>
                <w:rFonts w:cs="Times New Roman"/>
                <w:sz w:val="20"/>
              </w:rPr>
              <w:t xml:space="preserve"> zabranjeno je nakon 31. prosinca 2017. godine. </w:t>
            </w:r>
          </w:p>
          <w:p w:rsidR="007D4A93" w:rsidRPr="00654E3B" w:rsidRDefault="00EF0BEB">
            <w:pPr>
              <w:spacing w:line="240" w:lineRule="auto"/>
              <w:rPr>
                <w:rFonts w:cs="Times New Roman"/>
                <w:sz w:val="20"/>
              </w:rPr>
            </w:pPr>
            <w:r w:rsidRPr="00654E3B">
              <w:rPr>
                <w:rFonts w:cs="Times New Roman"/>
                <w:sz w:val="20"/>
              </w:rPr>
              <w:t>Prema Direktivi (EU) 2018/850 Europskog parlamenta i Vijeća od 30. svibnja 2018. o izmjeni Direktive 1999/31/EZ o odlagalištima otpada, države članice trebale bi poduzeti potrebne mjere da se do 2035. godine količina odloženog komunalnog otpada smanji na 10</w:t>
            </w:r>
            <w:r w:rsidR="00060992" w:rsidRPr="00654E3B">
              <w:rPr>
                <w:rFonts w:cs="Times New Roman"/>
                <w:sz w:val="20"/>
              </w:rPr>
              <w:t xml:space="preserve"> %</w:t>
            </w:r>
            <w:r w:rsidRPr="00654E3B">
              <w:rPr>
                <w:rFonts w:cs="Times New Roman"/>
                <w:sz w:val="20"/>
              </w:rPr>
              <w:t xml:space="preserve"> ukupne količine (po masi) proizvedenog komunalnog otpada ili manje. Republika Hrvatska je dobila mogućnost odgode od pet godina za ispunjavanje navedenog cilja jer je među državama članicama koje su 2013. godine odlagale više od 60</w:t>
            </w:r>
            <w:r w:rsidR="00060992" w:rsidRPr="00654E3B">
              <w:rPr>
                <w:rFonts w:cs="Times New Roman"/>
                <w:sz w:val="20"/>
              </w:rPr>
              <w:t xml:space="preserve"> %</w:t>
            </w:r>
            <w:r w:rsidRPr="00654E3B">
              <w:rPr>
                <w:rFonts w:cs="Times New Roman"/>
                <w:sz w:val="20"/>
              </w:rPr>
              <w:t xml:space="preserve"> komunalnog otpada na odlagalištima. Sukladno tome, taj cilj će morati ispuniti do 2040. godine, pod uvjetom da mora poduzeti potrebne mjere da se do 2025. godine količina komunalnog otpada koji se odlaže smanji na 25</w:t>
            </w:r>
            <w:r w:rsidR="00060992" w:rsidRPr="00654E3B">
              <w:rPr>
                <w:rFonts w:cs="Times New Roman"/>
                <w:sz w:val="20"/>
              </w:rPr>
              <w:t xml:space="preserve"> %</w:t>
            </w:r>
            <w:r w:rsidRPr="00654E3B">
              <w:rPr>
                <w:rFonts w:cs="Times New Roman"/>
                <w:sz w:val="20"/>
              </w:rPr>
              <w:t xml:space="preserve"> ukupne količine (po masi) nastalog komunalnog otpada ili manje.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MWM-2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Povećanje količine odvojeno skupljenog i recikliranog krutog otpada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Kvantitativni ciljevi i rokovi za povećanje količine odvojeno skupljenog i recikliranog otpada osim Zakonom o održivom gospodarenju otpadom definirani su i Planom gospodarenja otpadom Republike Hrvatske za razdoblje 2017. - 2022. godine (</w:t>
            </w:r>
            <w:r w:rsidR="0097190B" w:rsidRPr="00654E3B">
              <w:rPr>
                <w:rFonts w:cs="Times New Roman"/>
                <w:sz w:val="20"/>
              </w:rPr>
              <w:t>Narodne novine</w:t>
            </w:r>
            <w:r w:rsidRPr="00654E3B">
              <w:rPr>
                <w:rFonts w:cs="Times New Roman"/>
                <w:sz w:val="20"/>
              </w:rPr>
              <w:t>, br</w:t>
            </w:r>
            <w:r w:rsidR="001C0429" w:rsidRPr="00654E3B">
              <w:rPr>
                <w:rFonts w:cs="Times New Roman"/>
                <w:sz w:val="20"/>
              </w:rPr>
              <w:t xml:space="preserve">oj </w:t>
            </w:r>
            <w:r w:rsidRPr="00654E3B">
              <w:rPr>
                <w:rFonts w:cs="Times New Roman"/>
                <w:sz w:val="20"/>
              </w:rPr>
              <w:t>3/17).</w:t>
            </w:r>
          </w:p>
          <w:p w:rsidR="007D4A93" w:rsidRPr="00654E3B" w:rsidRDefault="00EF0BEB">
            <w:pPr>
              <w:spacing w:line="240" w:lineRule="auto"/>
              <w:rPr>
                <w:rFonts w:cs="Times New Roman"/>
                <w:sz w:val="20"/>
              </w:rPr>
            </w:pPr>
            <w:r w:rsidRPr="00654E3B">
              <w:rPr>
                <w:rFonts w:cs="Times New Roman"/>
                <w:sz w:val="20"/>
              </w:rPr>
              <w:t>Ciljevi gospodarenja otpadom propisuju se radi poticanja prelaska na gospodarstvo koje je u većoj mjeri kružno i u kojem se što dulje zadržava vrijednost proizvoda, materijala i resursa, a stvaranje otpada se svodi na najmanju moguću mjeru.</w:t>
            </w:r>
          </w:p>
          <w:p w:rsidR="007D4A93" w:rsidRPr="00654E3B" w:rsidRDefault="00EF0BEB">
            <w:pPr>
              <w:spacing w:line="240" w:lineRule="auto"/>
              <w:rPr>
                <w:rFonts w:cs="Times New Roman"/>
                <w:sz w:val="20"/>
              </w:rPr>
            </w:pPr>
            <w:r w:rsidRPr="00654E3B">
              <w:rPr>
                <w:rFonts w:cs="Times New Roman"/>
                <w:sz w:val="20"/>
              </w:rPr>
              <w:t>U svrhu doprinosa kružnom gospodarstvu Europske unije, prema Direktivi (EU) 2018/851 Europskog parlamenta i Vijeća od 30. svibnja 2018. o izmjeni Direktive 2008/98/EZ o otpadu, Republika Hrvatska treba ostvariti sljedeće ciljeve:</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50</w:t>
            </w:r>
            <w:r w:rsidR="00060992" w:rsidRPr="00654E3B">
              <w:rPr>
                <w:rFonts w:cs="Times New Roman"/>
                <w:sz w:val="20"/>
              </w:rPr>
              <w:t xml:space="preserve"> %</w:t>
            </w:r>
            <w:r w:rsidRPr="00654E3B">
              <w:rPr>
                <w:rFonts w:cs="Times New Roman"/>
                <w:sz w:val="20"/>
              </w:rPr>
              <w:t xml:space="preserve"> mase otpada iz kućanstva i otpada iz drugih izvora čiji su tokovi otpada slični toku otpada iz kućanstva, uključujući barem papir, metal, plastiku i staklo, mora se oporabiti recikliranjem i pripremom za ponovnu uporabu;</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70</w:t>
            </w:r>
            <w:r w:rsidR="00060992" w:rsidRPr="00654E3B">
              <w:rPr>
                <w:rFonts w:cs="Times New Roman"/>
                <w:sz w:val="20"/>
              </w:rPr>
              <w:t xml:space="preserve"> %</w:t>
            </w:r>
            <w:r w:rsidRPr="00654E3B">
              <w:rPr>
                <w:rFonts w:cs="Times New Roman"/>
                <w:sz w:val="20"/>
              </w:rPr>
              <w:t xml:space="preserve"> mase neopasnog građevnog otpada, osim materijala iz prirode određenog ključnim brojem otpada 17 05 04 - zemlja i kamenje koji nisu navedeni pod 17 05 03, mora se oporabiti recikliranjem, pripremom za ponovnu uporabu i drugim postupcima materijalne oporabe, uključujući postupak nasipavanja, kod kojih se otpad koristi kao zamjena za druge materijale;</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55</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2025. godine;</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60</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2030. godine;</w:t>
            </w:r>
          </w:p>
          <w:p w:rsidR="007D4A93" w:rsidRPr="00654E3B" w:rsidRDefault="00EF0BEB" w:rsidP="000C6795">
            <w:pPr>
              <w:numPr>
                <w:ilvl w:val="0"/>
                <w:numId w:val="80"/>
              </w:numPr>
              <w:spacing w:line="240" w:lineRule="auto"/>
              <w:rPr>
                <w:rFonts w:cs="Times New Roman"/>
                <w:sz w:val="20"/>
              </w:rPr>
            </w:pPr>
            <w:r w:rsidRPr="00654E3B">
              <w:rPr>
                <w:rFonts w:cs="Times New Roman"/>
                <w:sz w:val="20"/>
              </w:rPr>
              <w:t>najmanje 65</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2035. godine.</w:t>
            </w:r>
          </w:p>
          <w:p w:rsidR="007D4A93" w:rsidRPr="00654E3B" w:rsidRDefault="00EF0BEB">
            <w:pPr>
              <w:spacing w:line="240" w:lineRule="auto"/>
              <w:rPr>
                <w:rFonts w:cs="Times New Roman"/>
                <w:sz w:val="20"/>
              </w:rPr>
            </w:pPr>
            <w:r w:rsidRPr="00654E3B">
              <w:rPr>
                <w:rFonts w:cs="Times New Roman"/>
                <w:sz w:val="20"/>
              </w:rPr>
              <w:t>Republika Hrvatska je dobila mogućnost odgode od pet godina za ispunjavanje navedenih ciljeva jer je među državama članicama koje su 2013. godine reciklirale manje od 20</w:t>
            </w:r>
            <w:r w:rsidR="00060992" w:rsidRPr="00654E3B">
              <w:rPr>
                <w:rFonts w:cs="Times New Roman"/>
                <w:sz w:val="20"/>
              </w:rPr>
              <w:t xml:space="preserve"> %</w:t>
            </w:r>
            <w:r w:rsidRPr="00654E3B">
              <w:rPr>
                <w:rFonts w:cs="Times New Roman"/>
                <w:sz w:val="20"/>
              </w:rPr>
              <w:t xml:space="preserve"> komunalnog otpada. Sukladno tome, Republika Hrvatska mora poduzeti potrebne mjere za ostvarenje sljedećih ciljeva:</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50</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2025. godine;</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55</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2030. godine;</w:t>
            </w:r>
          </w:p>
          <w:p w:rsidR="007D4A93" w:rsidRPr="00654E3B" w:rsidRDefault="00EF0BEB" w:rsidP="000C6795">
            <w:pPr>
              <w:numPr>
                <w:ilvl w:val="0"/>
                <w:numId w:val="80"/>
              </w:numPr>
              <w:spacing w:line="240" w:lineRule="auto"/>
              <w:ind w:left="714" w:hanging="357"/>
              <w:rPr>
                <w:rFonts w:cs="Times New Roman"/>
                <w:sz w:val="20"/>
              </w:rPr>
            </w:pPr>
            <w:r w:rsidRPr="00654E3B">
              <w:rPr>
                <w:rFonts w:cs="Times New Roman"/>
                <w:sz w:val="20"/>
              </w:rPr>
              <w:t>najmanje 60</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2035. godine.</w:t>
            </w:r>
          </w:p>
          <w:p w:rsidR="007D4A93" w:rsidRPr="00654E3B" w:rsidRDefault="007D4A93">
            <w:pPr>
              <w:rPr>
                <w:rFonts w:cs="Times New Roman"/>
              </w:rPr>
            </w:pP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MWM-3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Osiguravanje sustava obrade i korištenja odlagališnog plina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Pravilnikom o načinima i uvjetima odlaganja otpada, kategorijama i uvjetima rada za odlagališta otpada (</w:t>
            </w:r>
            <w:r w:rsidR="0097190B" w:rsidRPr="00654E3B">
              <w:rPr>
                <w:rFonts w:cs="Times New Roman"/>
                <w:sz w:val="20"/>
              </w:rPr>
              <w:t>Narodne novine</w:t>
            </w:r>
            <w:r w:rsidRPr="00654E3B">
              <w:rPr>
                <w:rFonts w:cs="Times New Roman"/>
                <w:sz w:val="20"/>
              </w:rPr>
              <w:t>, br. 114/15, 103/18, 56/19) i Pravilnikom o gospodarenju otpadom (</w:t>
            </w:r>
            <w:r w:rsidR="0097190B" w:rsidRPr="00654E3B">
              <w:rPr>
                <w:rFonts w:cs="Times New Roman"/>
                <w:sz w:val="20"/>
              </w:rPr>
              <w:t>Narodne novine</w:t>
            </w:r>
            <w:r w:rsidRPr="00654E3B">
              <w:rPr>
                <w:rFonts w:cs="Times New Roman"/>
                <w:sz w:val="20"/>
              </w:rPr>
              <w:t>, br</w:t>
            </w:r>
            <w:r w:rsidR="001C0429" w:rsidRPr="00654E3B">
              <w:rPr>
                <w:rFonts w:cs="Times New Roman"/>
                <w:sz w:val="20"/>
              </w:rPr>
              <w:t xml:space="preserve">oj </w:t>
            </w:r>
            <w:r w:rsidRPr="00654E3B">
              <w:rPr>
                <w:rFonts w:cs="Times New Roman"/>
                <w:sz w:val="20"/>
              </w:rPr>
              <w:t>117/17)</w:t>
            </w:r>
            <w:r w:rsidR="001C0429" w:rsidRPr="00654E3B">
              <w:rPr>
                <w:rFonts w:cs="Times New Roman"/>
                <w:sz w:val="20"/>
              </w:rPr>
              <w:t>,</w:t>
            </w:r>
            <w:r w:rsidRPr="00654E3B">
              <w:rPr>
                <w:rFonts w:cs="Times New Roman"/>
                <w:sz w:val="20"/>
              </w:rPr>
              <w:t xml:space="preserve"> propisani su strogi tehnički uvjeti rada za odlagališta otpada, kojima se smanjuju moguće štetne posljedice odlagališta na okoliš. Na odlagalištu na kojemu nastaje odlagališni plin potrebno je osigurati sustav sakupljanja plina koji se mora obraditi i koristiti. Ako se sakupljeni odlagališni plinovi ne mogu upotrijebiti za dobivanje energije, treba ih spaliti na području odlagališta i spriječiti emisiju metana u atmosferu.</w:t>
            </w:r>
          </w:p>
          <w:p w:rsidR="007D4A93" w:rsidRPr="00654E3B" w:rsidRDefault="00EF0BEB">
            <w:pPr>
              <w:spacing w:line="240" w:lineRule="auto"/>
              <w:rPr>
                <w:rFonts w:cs="Times New Roman"/>
                <w:sz w:val="20"/>
              </w:rPr>
            </w:pPr>
            <w:r w:rsidRPr="00654E3B">
              <w:rPr>
                <w:rFonts w:cs="Times New Roman"/>
                <w:sz w:val="20"/>
              </w:rPr>
              <w:t>Primjena obvezujućih ciljeva vezanih uz smanjenje odlaganja i recikliranje otpada, opisanih u mjerama Sprječavanje nastajanja i smanjivanje količine krutog otpada i Povećanje količine odvojeno skupljenog i recikliranog krutog otpada, utječe na količinu nastalog odlagališnog plina.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MWM-4</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Smanjenje količine odloženog biorazgradivog otpada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Cilj ove mjere je smanjiti količinu biorazgradive frakcije otpada koja se odlaže na odlagališta, čime se smanjuje emisija metana nastalog anaerobnim procesima razgradnje otpada.</w:t>
            </w:r>
          </w:p>
          <w:p w:rsidR="007D4A93" w:rsidRPr="00654E3B" w:rsidRDefault="00EF0BEB">
            <w:pPr>
              <w:spacing w:line="240" w:lineRule="auto"/>
              <w:rPr>
                <w:rFonts w:cs="Times New Roman"/>
                <w:sz w:val="20"/>
              </w:rPr>
            </w:pPr>
            <w:r w:rsidRPr="00654E3B">
              <w:rPr>
                <w:rFonts w:cs="Times New Roman"/>
                <w:sz w:val="20"/>
              </w:rPr>
              <w:t>Sukladno Zakonu o održivom gospodarenju otpadom utvrđeni su kvantitativni ciljevi koji se odnose na smanjenje udjela biorazgradivog komunalnog otpada koji se odlaže na odlagališta. Kako bi se spriječilo odlaganje biootpada na odlagališta otpada i doprinijelo ostvarenju ostalih ciljeva gospodarenja otpadom potrebno je potaknuti građane na kompostiranje. Cilj je postići da kućanstva odvajaju biootpad od ostalog kućnog (komunalnog) otpada odlaganjem u spremnike za biootpad</w:t>
            </w:r>
            <w:r w:rsidRPr="00654E3B">
              <w:rPr>
                <w:rFonts w:cs="Times New Roman"/>
                <w:i/>
                <w:iCs/>
                <w:sz w:val="20"/>
              </w:rPr>
              <w:t>.</w:t>
            </w:r>
            <w:r w:rsidRPr="00654E3B">
              <w:rPr>
                <w:rFonts w:cs="Times New Roman"/>
                <w:sz w:val="20"/>
              </w:rPr>
              <w:t xml:space="preserve"> Ovom mjerom će se obuhvatiti ruralna područja, odnosno predgrađa urbanih sredina s većim brojem samostalnih stambenih jedinica s okućnicom. Na području Republike Hrvatske provedbom ove mjere moguće je smanjiti do 90.000 t biootpada godišnje.</w:t>
            </w:r>
          </w:p>
          <w:p w:rsidR="007D4A93" w:rsidRPr="00654E3B" w:rsidRDefault="00EF0BEB">
            <w:pPr>
              <w:spacing w:line="240" w:lineRule="auto"/>
              <w:rPr>
                <w:rFonts w:cs="Times New Roman"/>
                <w:sz w:val="20"/>
              </w:rPr>
            </w:pPr>
            <w:r w:rsidRPr="00654E3B">
              <w:rPr>
                <w:rFonts w:cs="Times New Roman"/>
                <w:sz w:val="20"/>
              </w:rPr>
              <w:t>S obzirom da značajan dio biootpada čini otpad od hrane, nužan je nastavak međuresornih aktivnosti na sprječavanju i smanjenju nastanka otpada od hrane.</w:t>
            </w:r>
            <w:r w:rsidR="00492484" w:rsidRPr="00654E3B">
              <w:rPr>
                <w:rFonts w:cs="Times New Roman"/>
                <w:sz w:val="20"/>
              </w:rPr>
              <w:t xml:space="preserve"> Budući da otpad od hrane predstavlja potrošene prirodne i ljudske resurse te pridonosi emisiji stakleničkih plinova, a u cilju doprinosa ostvarenju cilja 12.3. UN-ove Agende 2030. za održivi razvoj, odnosno smanjenju otpada od hrane na razini maloprodaje i potrošača za pola te općenito smanjenju gubitaka hrane duž cijelog prehrambenog lanca, potrebno je provoditi aktivnosti i mjere predviđene Planom sprječavanja i smanjenja nastajanja otpada od hrane RH 2019.-2022.</w:t>
            </w:r>
          </w:p>
          <w:p w:rsidR="007D4A93" w:rsidRPr="00654E3B" w:rsidRDefault="00EF0BEB">
            <w:pPr>
              <w:spacing w:line="240" w:lineRule="auto"/>
              <w:rPr>
                <w:rFonts w:cs="Times New Roman"/>
                <w:sz w:val="20"/>
              </w:rPr>
            </w:pPr>
            <w:r w:rsidRPr="00654E3B">
              <w:rPr>
                <w:rFonts w:cs="Times New Roman"/>
                <w:sz w:val="20"/>
              </w:rPr>
              <w:t>Primjena obvezujućih ciljeva vezanih uz smanjenje odlaganja i recikliranje otpada, opisanih u mjerama Sprječavanje nastajanja i smanjivanje količine krutog otpada i Povećanje količine odvojeno skupljenog i recikliranog krutog otpada, utječe na smanjenje količine odloženog biorazgradivog otpada.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MWM-5</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Korištenje bioplina za proizvodnju biometana, električne energije i topline</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 xml:space="preserve">Mjera je povezana s mjerom poticanja korištenja obnovljivih izvora energije za proizvodnju električne energije i topline te obveze korištenja obnovljivih izvora energije u prometu, a odnosi se na obvezno korištenje biootpada </w:t>
            </w:r>
            <w:r w:rsidRPr="00654E3B">
              <w:rPr>
                <w:rFonts w:cs="Times New Roman"/>
                <w:sz w:val="20"/>
              </w:rPr>
              <w:lastRenderedPageBreak/>
              <w:t xml:space="preserve">kao supstrata u bioplinskom postrojenju koja proizvode bioplin koji će se koristiti za proizvodnju biometana, električne energije i topline. </w:t>
            </w:r>
          </w:p>
          <w:p w:rsidR="007D4A93" w:rsidRPr="00654E3B" w:rsidRDefault="00EF0BEB">
            <w:pPr>
              <w:spacing w:line="240" w:lineRule="auto"/>
              <w:rPr>
                <w:rFonts w:cs="Times New Roman"/>
                <w:sz w:val="20"/>
              </w:rPr>
            </w:pPr>
            <w:r w:rsidRPr="00654E3B">
              <w:rPr>
                <w:rFonts w:cs="Times New Roman"/>
                <w:sz w:val="20"/>
              </w:rPr>
              <w:t>Potencijal smanjenja emisije CH</w:t>
            </w:r>
            <w:r w:rsidRPr="00654E3B">
              <w:rPr>
                <w:rFonts w:cs="Times New Roman"/>
                <w:sz w:val="20"/>
                <w:vertAlign w:val="subscript"/>
              </w:rPr>
              <w:t>4</w:t>
            </w:r>
            <w:r w:rsidRPr="00654E3B">
              <w:rPr>
                <w:rFonts w:cs="Times New Roman"/>
                <w:sz w:val="20"/>
              </w:rPr>
              <w:t xml:space="preserve"> (nastalog anaerobnom razgradnjom biorazgradive frakcije otpada) uključen je u mjeru Smanjenje količine odloženog biorazgradivog otpada. Potencijal smanjenja emisije CO</w:t>
            </w:r>
            <w:r w:rsidRPr="00654E3B">
              <w:rPr>
                <w:rFonts w:cs="Times New Roman"/>
                <w:sz w:val="20"/>
                <w:vertAlign w:val="subscript"/>
              </w:rPr>
              <w:t>2</w:t>
            </w:r>
            <w:r w:rsidRPr="00654E3B">
              <w:rPr>
                <w:rFonts w:cs="Times New Roman"/>
                <w:sz w:val="20"/>
              </w:rPr>
              <w:t xml:space="preserve"> koji se može ostvariti primjenom ove mjere bilancira se u sektoru energetika.</w:t>
            </w:r>
          </w:p>
        </w:tc>
      </w:tr>
      <w:tr w:rsidR="007D4A93" w:rsidRPr="00654E3B">
        <w:trPr>
          <w:trHeight w:val="340"/>
        </w:trPr>
        <w:tc>
          <w:tcPr>
            <w:tcW w:w="13178" w:type="dxa"/>
            <w:gridSpan w:val="3"/>
            <w:vAlign w:val="center"/>
          </w:tcPr>
          <w:p w:rsidR="007D4A93" w:rsidRPr="00654E3B" w:rsidRDefault="00EF0BEB">
            <w:pPr>
              <w:spacing w:line="240" w:lineRule="auto"/>
              <w:rPr>
                <w:rFonts w:cs="Times New Roman"/>
                <w:b/>
                <w:sz w:val="20"/>
              </w:rPr>
            </w:pPr>
            <w:r w:rsidRPr="00654E3B">
              <w:rPr>
                <w:rFonts w:cs="Times New Roman"/>
                <w:b/>
                <w:sz w:val="20"/>
              </w:rPr>
              <w:lastRenderedPageBreak/>
              <w:t xml:space="preserve">KORIŠTENJE ZEMLJIŠTA, PRENAMJENA ZEMLJIŠTA I ŠUMARSTVO (LULUCF) </w:t>
            </w:r>
          </w:p>
          <w:p w:rsidR="007D4A93" w:rsidRPr="00654E3B" w:rsidRDefault="00EF0BEB">
            <w:pPr>
              <w:spacing w:line="240" w:lineRule="auto"/>
              <w:rPr>
                <w:rFonts w:cs="Times New Roman"/>
                <w:b/>
                <w:sz w:val="20"/>
              </w:rPr>
            </w:pPr>
            <w:r w:rsidRPr="00654E3B">
              <w:rPr>
                <w:rFonts w:cs="Times New Roman"/>
                <w:b/>
                <w:sz w:val="20"/>
              </w:rPr>
              <w:t>TE POVEZANE AKTIVNOSTI</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MLF-1</w:t>
            </w:r>
          </w:p>
        </w:tc>
        <w:tc>
          <w:tcPr>
            <w:tcW w:w="2832" w:type="dxa"/>
            <w:vAlign w:val="center"/>
          </w:tcPr>
          <w:p w:rsidR="007D4A93" w:rsidRPr="00654E3B" w:rsidRDefault="00E134FB">
            <w:pPr>
              <w:spacing w:line="240" w:lineRule="auto"/>
              <w:jc w:val="left"/>
              <w:rPr>
                <w:rFonts w:eastAsia="Times New Roman" w:cs="Times New Roman"/>
                <w:sz w:val="20"/>
                <w:lang w:eastAsia="hr-HR"/>
              </w:rPr>
            </w:pPr>
            <w:r w:rsidRPr="00654E3B">
              <w:rPr>
                <w:rFonts w:eastAsia="Times New Roman" w:cs="Times New Roman"/>
                <w:sz w:val="20"/>
                <w:lang w:eastAsia="hr-HR"/>
              </w:rPr>
              <w:t>Unapređenje sustava</w:t>
            </w:r>
            <w:r w:rsidR="00EF0BEB" w:rsidRPr="00654E3B">
              <w:rPr>
                <w:rFonts w:eastAsia="Times New Roman" w:cs="Times New Roman"/>
                <w:sz w:val="20"/>
                <w:lang w:eastAsia="hr-HR"/>
              </w:rPr>
              <w:t xml:space="preserve"> upravljanja zemljištem Republike Hrvatske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Do 2027. godine potrebno je </w:t>
            </w:r>
            <w:r w:rsidR="00E134FB" w:rsidRPr="00654E3B">
              <w:rPr>
                <w:rFonts w:eastAsia="Times New Roman" w:cs="Times New Roman"/>
                <w:sz w:val="20"/>
                <w:lang w:eastAsia="hr-HR"/>
              </w:rPr>
              <w:t xml:space="preserve"> unaprijediti sustav</w:t>
            </w:r>
            <w:r w:rsidRPr="00654E3B">
              <w:rPr>
                <w:rFonts w:eastAsia="Times New Roman" w:cs="Times New Roman"/>
                <w:sz w:val="20"/>
                <w:lang w:eastAsia="hr-HR"/>
              </w:rPr>
              <w:t xml:space="preserve"> upravljanja zemljištem RH. </w:t>
            </w:r>
            <w:r w:rsidR="00270818" w:rsidRPr="00654E3B">
              <w:rPr>
                <w:rFonts w:eastAsia="Times New Roman" w:cs="Times New Roman"/>
                <w:sz w:val="20"/>
                <w:lang w:eastAsia="hr-HR"/>
              </w:rPr>
              <w:t>U</w:t>
            </w:r>
            <w:r w:rsidR="00E134FB" w:rsidRPr="00654E3B">
              <w:rPr>
                <w:rFonts w:eastAsia="Times New Roman" w:cs="Times New Roman"/>
                <w:sz w:val="20"/>
                <w:lang w:eastAsia="hr-HR"/>
              </w:rPr>
              <w:t xml:space="preserve"> tom pogledu potrebne su slijedeće aktivnosti:</w:t>
            </w:r>
          </w:p>
          <w:p w:rsidR="007D4A93" w:rsidRPr="00654E3B" w:rsidRDefault="00E134FB" w:rsidP="000C6795">
            <w:pPr>
              <w:numPr>
                <w:ilvl w:val="0"/>
                <w:numId w:val="58"/>
              </w:numPr>
              <w:spacing w:line="240" w:lineRule="auto"/>
              <w:rPr>
                <w:rFonts w:eastAsia="Times New Roman" w:cs="Times New Roman"/>
                <w:sz w:val="20"/>
                <w:lang w:eastAsia="hr-HR"/>
              </w:rPr>
            </w:pPr>
            <w:r w:rsidRPr="00654E3B">
              <w:rPr>
                <w:rFonts w:eastAsia="Times New Roman" w:cs="Times New Roman"/>
                <w:sz w:val="20"/>
                <w:lang w:eastAsia="hr-HR"/>
              </w:rPr>
              <w:t xml:space="preserve">Uspostava jedinstvenog informacijskog </w:t>
            </w:r>
            <w:r w:rsidR="00EF0BEB" w:rsidRPr="00654E3B">
              <w:rPr>
                <w:rFonts w:eastAsia="Times New Roman" w:cs="Times New Roman"/>
                <w:sz w:val="20"/>
                <w:lang w:eastAsia="hr-HR"/>
              </w:rPr>
              <w:t>sustav</w:t>
            </w:r>
            <w:r w:rsidRPr="00654E3B">
              <w:rPr>
                <w:rFonts w:eastAsia="Times New Roman" w:cs="Times New Roman"/>
                <w:sz w:val="20"/>
                <w:lang w:eastAsia="hr-HR"/>
              </w:rPr>
              <w:t>a</w:t>
            </w:r>
            <w:r w:rsidR="00EF0BEB" w:rsidRPr="00654E3B">
              <w:rPr>
                <w:rFonts w:eastAsia="Times New Roman" w:cs="Times New Roman"/>
                <w:sz w:val="20"/>
                <w:lang w:eastAsia="hr-HR"/>
              </w:rPr>
              <w:t xml:space="preserve"> zemljišta u Republici Hrvatskoj ili utvrditi površine pojedine LULUCF kategorije zemljišta upotrebom prostorno točno utvrđenih podataka, za svaku kategoriju zemljišta te za svaku vrste prenamjene zemljišta iz jedne kategorije zemljišta u drugu </w:t>
            </w:r>
          </w:p>
          <w:p w:rsidR="007D4A93" w:rsidRPr="00654E3B" w:rsidRDefault="00270818" w:rsidP="000C6795">
            <w:pPr>
              <w:numPr>
                <w:ilvl w:val="0"/>
                <w:numId w:val="58"/>
              </w:numPr>
              <w:spacing w:line="240" w:lineRule="auto"/>
              <w:rPr>
                <w:rFonts w:eastAsia="Times New Roman" w:cs="Times New Roman"/>
                <w:sz w:val="20"/>
                <w:lang w:eastAsia="hr-HR"/>
              </w:rPr>
            </w:pPr>
            <w:r w:rsidRPr="00654E3B">
              <w:rPr>
                <w:rFonts w:eastAsia="Times New Roman" w:cs="Times New Roman"/>
                <w:sz w:val="20"/>
                <w:lang w:eastAsia="hr-HR"/>
              </w:rPr>
              <w:t>Provedba</w:t>
            </w:r>
            <w:r w:rsidR="00E134FB" w:rsidRPr="00654E3B">
              <w:rPr>
                <w:rFonts w:eastAsia="Times New Roman" w:cs="Times New Roman"/>
                <w:sz w:val="20"/>
                <w:lang w:eastAsia="hr-HR"/>
              </w:rPr>
              <w:t xml:space="preserve"> </w:t>
            </w:r>
            <w:r w:rsidR="00EF0BEB" w:rsidRPr="00654E3B">
              <w:rPr>
                <w:rFonts w:eastAsia="Times New Roman" w:cs="Times New Roman"/>
                <w:sz w:val="20"/>
                <w:lang w:eastAsia="hr-HR"/>
              </w:rPr>
              <w:t>analiza svih LULUCF kategorija zemljišta u ovisnosti o pokrovu, uporabi zemljišta te praksama gospodarenja koje se na svakom zemljištu koriste i s time povezanim emisijama/ponorima radi razmatranja potencijala svakog od pohraništa unutar svake LULUCF kategorije zemljišta za smanjenje emisija i povećanje ponora stakleničkih plinova</w:t>
            </w:r>
          </w:p>
          <w:p w:rsidR="007D4A93" w:rsidRPr="00654E3B" w:rsidRDefault="00E134FB" w:rsidP="000C6795">
            <w:pPr>
              <w:numPr>
                <w:ilvl w:val="0"/>
                <w:numId w:val="58"/>
              </w:numPr>
              <w:spacing w:line="240" w:lineRule="auto"/>
              <w:rPr>
                <w:rFonts w:eastAsia="Times New Roman" w:cs="Times New Roman"/>
                <w:sz w:val="20"/>
                <w:lang w:eastAsia="hr-HR"/>
              </w:rPr>
            </w:pPr>
            <w:r w:rsidRPr="00654E3B">
              <w:rPr>
                <w:rFonts w:eastAsia="Times New Roman" w:cs="Times New Roman"/>
                <w:sz w:val="20"/>
                <w:lang w:eastAsia="hr-HR"/>
              </w:rPr>
              <w:t xml:space="preserve">Izrada </w:t>
            </w:r>
            <w:r w:rsidR="00EF0BEB" w:rsidRPr="00654E3B">
              <w:rPr>
                <w:rFonts w:eastAsia="Times New Roman" w:cs="Times New Roman"/>
                <w:sz w:val="20"/>
                <w:lang w:eastAsia="hr-HR"/>
              </w:rPr>
              <w:t>detaljne projekcije razvoja budućih emisija/</w:t>
            </w:r>
            <w:r w:rsidR="00BF4CA8" w:rsidRPr="00654E3B">
              <w:rPr>
                <w:rFonts w:eastAsia="Times New Roman" w:cs="Times New Roman"/>
                <w:sz w:val="20"/>
                <w:lang w:eastAsia="hr-HR"/>
              </w:rPr>
              <w:t>ponora</w:t>
            </w:r>
            <w:r w:rsidR="00EF0BEB" w:rsidRPr="00654E3B">
              <w:rPr>
                <w:rFonts w:eastAsia="Times New Roman" w:cs="Times New Roman"/>
                <w:sz w:val="20"/>
                <w:lang w:eastAsia="hr-HR"/>
              </w:rPr>
              <w:t xml:space="preserve"> u LULUCF sektoru po provedbi više navedene analize </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Izračun emisija/ponora u LULUCF sektoru, te navedeni projekti trebaju činiti osnovu za planiranje pokrova, uporabe i načina gospodarenja LULUCF kategorijama zemljišta za svako od pohraništa radi razvoja </w:t>
            </w:r>
            <w:r w:rsidR="00E56BCD" w:rsidRPr="00654E3B">
              <w:rPr>
                <w:rFonts w:eastAsia="Times New Roman" w:cs="Times New Roman"/>
                <w:sz w:val="20"/>
                <w:lang w:eastAsia="hr-HR"/>
              </w:rPr>
              <w:t xml:space="preserve">sustava </w:t>
            </w:r>
            <w:r w:rsidRPr="00654E3B">
              <w:rPr>
                <w:rFonts w:eastAsia="Times New Roman" w:cs="Times New Roman"/>
                <w:sz w:val="20"/>
                <w:lang w:eastAsia="hr-HR"/>
              </w:rPr>
              <w:t>upravljanja zemljištem te kako bi se pravilno definirale mjere koje će se na pojedinoj kategoriji zemljišta provoditi, a kojima će se smanjivati emisije i povećavati ponore stakleničkih plinova u RH. Unaprjeđenje i definiranje mjera zaštite šuma od požara treba činiti sastavni dio ove strategije.</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Birati tehnologije i načine izvođenja (OIE, golf igrališta i slično) koje omogućuju nakon korištenja povrat zemljišta osnovnoj poljoprivrednoj ili šumskoj namjeni, te gdje god je to moguće koristiti institut ,,nepotpunog izvlaštenja tj. prava služnosti“.</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MLF-2</w:t>
            </w:r>
          </w:p>
        </w:tc>
        <w:tc>
          <w:tcPr>
            <w:tcW w:w="2832" w:type="dxa"/>
            <w:vAlign w:val="center"/>
          </w:tcPr>
          <w:p w:rsidR="007D4A93" w:rsidRPr="00654E3B" w:rsidRDefault="00EF0BEB">
            <w:pPr>
              <w:spacing w:line="240" w:lineRule="auto"/>
              <w:jc w:val="left"/>
              <w:rPr>
                <w:rFonts w:eastAsia="Times New Roman" w:cs="Times New Roman"/>
                <w:b/>
                <w:bCs/>
                <w:sz w:val="20"/>
                <w:lang w:eastAsia="hr-HR"/>
              </w:rPr>
            </w:pPr>
            <w:r w:rsidRPr="00654E3B">
              <w:rPr>
                <w:rFonts w:eastAsia="Times New Roman" w:cs="Times New Roman"/>
                <w:sz w:val="20"/>
                <w:lang w:eastAsia="hr-HR"/>
              </w:rPr>
              <w:t>Akumulacija ugljika na površinama postojećih šuma</w:t>
            </w:r>
          </w:p>
        </w:tc>
        <w:tc>
          <w:tcPr>
            <w:tcW w:w="9217" w:type="dxa"/>
            <w:vAlign w:val="center"/>
          </w:tcPr>
          <w:p w:rsidR="007D4A93" w:rsidRPr="00654E3B" w:rsidRDefault="00EF0BEB" w:rsidP="00EF0BEB">
            <w:pPr>
              <w:spacing w:line="240" w:lineRule="auto"/>
              <w:rPr>
                <w:rFonts w:eastAsia="Times New Roman" w:cs="Times New Roman"/>
                <w:b/>
                <w:bCs/>
                <w:sz w:val="20"/>
                <w:lang w:eastAsia="hr-HR"/>
              </w:rPr>
            </w:pPr>
            <w:r w:rsidRPr="00654E3B">
              <w:rPr>
                <w:rFonts w:eastAsia="Times New Roman" w:cs="Times New Roman"/>
                <w:sz w:val="20"/>
                <w:lang w:eastAsia="hr-HR"/>
              </w:rPr>
              <w:t xml:space="preserve">Provedba aktivnosti kojima se doprinosi povećanju sadržaja zalihe ugljika u šumama posebice u pohraništu biomase i provedbom kojih se osiguravaju uklanjanja u pojedinom razdoblju većima od onih definiranih referentnom razinom za šume (FRL). Ove aktivnosti su npr. obnova šuma, prevođenje sastojina u viši uzgojni oblik, odabir vrsta za popunjavanje i dr. Održavanjem ponora većeg od onoga definiranog po FRL-u osigurava se </w:t>
            </w:r>
            <w:r w:rsidRPr="00654E3B">
              <w:rPr>
                <w:rFonts w:eastAsia="Times New Roman" w:cs="Times New Roman"/>
                <w:sz w:val="20"/>
                <w:lang w:eastAsia="hr-HR"/>
              </w:rPr>
              <w:lastRenderedPageBreak/>
              <w:t>i povećanje emisijskih jedinica koje je moguće prenijeti u sektore izvan ETS-a. Održavanjem ponora većeg od onoga definiranog po FRL-u osigurava se i korištenje fleksibilnih mehanizama. U daljnjem razdoblju potrebna je ocjena učinkovitosti provedenih mjera i aktivnosti iz Programa ruralnog razvoja Republike Hrvatske za razdoblje 2014. – 2020. na smanjenje/zadržavanje emisija i povećanje/zadržavanje ponora stakleničkih plinova i izrada novih smjernica za daljnje gospodarenje u šumarskom i poljoprivrednom sektoru uz primjenu mjera za ublaženje i prilagodbu na klimatske promjene. Potrebno je promovirati gospodarenje kategorijama zemljišta koje su korisne za klimu i okoliš, te izraditi smjernice daljnjeg razvoja temeljem znanja i iskustava stečenih provedbom ove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MLF-3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Provedba radova pošumljavanja i radova sanacije opožarenih površina</w:t>
            </w:r>
          </w:p>
        </w:tc>
        <w:tc>
          <w:tcPr>
            <w:tcW w:w="9217" w:type="dxa"/>
            <w:vAlign w:val="center"/>
          </w:tcPr>
          <w:p w:rsidR="007D4A93" w:rsidRPr="00654E3B" w:rsidRDefault="00EF0BEB">
            <w:pPr>
              <w:spacing w:line="240" w:lineRule="auto"/>
              <w:rPr>
                <w:rFonts w:eastAsia="Times New Roman" w:cs="Times New Roman"/>
                <w:sz w:val="20"/>
                <w:lang w:eastAsia="hr-HR"/>
              </w:rPr>
            </w:pPr>
            <w:bookmarkStart w:id="387" w:name="_Hlk37925195"/>
            <w:r w:rsidRPr="00654E3B">
              <w:rPr>
                <w:rFonts w:eastAsia="Times New Roman" w:cs="Times New Roman"/>
                <w:sz w:val="20"/>
                <w:lang w:eastAsia="hr-HR"/>
              </w:rPr>
              <w:t xml:space="preserve">Pošumljavanje na površinama koje nisu šumske (u smislu IPCC metodologije), predstavlja aktivnost koja generira ponore. Republika Hrvatska zbog propisa iz područja zaštite prirode kojima se osigurava očuvanje prirodnih stanišnih tipova od interesa za Europsku uniju na cijelom svom teritoriju, nije u mogućnosti raspolagati svim površinama travnjaka (prema nacionalnom propisu: neobraslog proizvodnog šumskog zemljišta) za potrebe pošumljavanja. S obzirom da u Republici Hrvatskoj postoje poljoprivredne površine na kojima se ne odvija proizvodnja i koje su dugi niz godina zapuštene, prilikom </w:t>
            </w:r>
            <w:r w:rsidR="00E56BCD" w:rsidRPr="00654E3B">
              <w:rPr>
                <w:rFonts w:eastAsia="Times New Roman" w:cs="Times New Roman"/>
                <w:sz w:val="20"/>
                <w:lang w:eastAsia="hr-HR"/>
              </w:rPr>
              <w:t xml:space="preserve">unapređenja sustava </w:t>
            </w:r>
            <w:r w:rsidRPr="00654E3B">
              <w:rPr>
                <w:rFonts w:eastAsia="Times New Roman" w:cs="Times New Roman"/>
                <w:sz w:val="20"/>
                <w:lang w:eastAsia="hr-HR"/>
              </w:rPr>
              <w:t>upravljanja zemljištem problem ovih površina mora biti odgovarajuće adresiran. Potrebno je ocijeniti opravdanost prenamjene ovih površina u šumske površine provedbom pošumljavanja. Ovdje treba uzeti u obzir da prilikom obračunavanja ponora na prenamijenjenim površinama zbog pošumljavanja ne postoji ograničenje u primjeni količine ponora, te da se ovi ponori uzimaju u potpunosti u obzir kod obračunavanja. Potreba je i ocjena učinaka pošumljavanja dodatnog neobraslog, proizvodnog šumskog zemljišta na ispunjavanje obaveza Republike Hrvatske povezanih s korištenjem obnovljivih izvora energije. Potrebno je izraditi smjernice daljnjeg razvoja temeljem znanja i iskustava stečenih provedbom aktivnosti pošumljavanja. U slučaju uvođenja mjere pošumljavanja na zapuštenom poljoprivrednom zemljištu, mjera će zahtijevati jačanje sjemenarstva i rasadničarske službe u šumarskom sektoru i uzgoj sadnog materijala potrebnog za provedbu ovih radova.</w:t>
            </w:r>
            <w:bookmarkEnd w:id="387"/>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Očekivanim porastom temperature i povećanim izgledima za suše uslijed promjene klime broj požara i opožarenih površina će rasti. Potrebno je izraditi detaljne smjernice i osigurati sredstva (EU fondovi, Naknada za OKFŠ) za provedbu sanacije opožarenih površina te provedbu radova čišćenja i proreda u šumama na krškom području kao uzgojne mjere s protupožarnim učinkom. Provoditi znanstvena istraživanja u cilju  utvrđivanja najboljih metoda pošumljavanja uzimajući u obzir specifičnosti terena na kojem se pošumljavanje provodi, s posebnim naglaskom na odabir vrsta pošumljavanja.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Proizvodnja i uporaba drva i drvnih proizvoda </w:t>
            </w:r>
          </w:p>
        </w:tc>
        <w:tc>
          <w:tcPr>
            <w:tcW w:w="9217" w:type="dxa"/>
            <w:vAlign w:val="center"/>
          </w:tcPr>
          <w:p w:rsidR="007D4A93" w:rsidRPr="00654E3B" w:rsidRDefault="00EF0BEB" w:rsidP="00EF0BEB">
            <w:pPr>
              <w:spacing w:line="240" w:lineRule="auto"/>
              <w:rPr>
                <w:rFonts w:eastAsia="Times New Roman" w:cs="Times New Roman"/>
                <w:sz w:val="20"/>
                <w:lang w:eastAsia="hr-HR"/>
              </w:rPr>
            </w:pPr>
            <w:r w:rsidRPr="00654E3B">
              <w:rPr>
                <w:rFonts w:eastAsia="Times New Roman" w:cs="Times New Roman"/>
                <w:sz w:val="20"/>
                <w:lang w:eastAsia="hr-HR"/>
              </w:rPr>
              <w:t xml:space="preserve">Harmonizacijom dostupnih podataka i statističkih izvješća, te novim istraživanjima usuglasiti informacije kojima se raspolaže za potrebe različitih izvještavanja prema međunarodnim organizacijama u cilju što točnijeg, transparentnijeg i kvalitetnog izvješćivanja, ali i stvaranja harmoniziranih podloga za donošenje srednjoročnih i dugoročnih strategija u šumarskom i drvoprerađivačkom sektoru. Podrazumijeva se mapiranje šumarske i drvne industrijske proizvodnje. Poticati korištenje drvnih proizvoda u tradicionalnim i novim proizvodima u cilju povećavanja ponora i smanjenja emisija stakleničkih plinova u pohraništu drvnih proizvoda. Navedeno zahtjeva </w:t>
            </w:r>
            <w:r w:rsidRPr="00654E3B">
              <w:rPr>
                <w:rFonts w:eastAsia="Times New Roman" w:cs="Times New Roman"/>
                <w:sz w:val="20"/>
                <w:lang w:eastAsia="hr-HR"/>
              </w:rPr>
              <w:lastRenderedPageBreak/>
              <w:t>i regulacija izvoza neobrađenog i poluobrađenog drva što potiče razvoj domaće drvne industrije, a regulacija izvoza energetskog drva povećava udio proizvodnje energije iz obnovljivih izvora čime se ispunjavaju preuzete međunarodne obveze. Potrebno je promovirati aktivnosti kojima se generiraju ponori te koje osiguravaju da se drvni proizvodi i drvo za energetske svrhe koriste na načine koji doprinose ispunjavanju oba cilja EU do 2030. godine (smanjenju emisija i povećanju udjela obnovljivih izvora u ukupnoj potrošnji energije) te su korisne za klimu i okoliš. Potrebno je izraditi smjernice daljnjeg razvoja temeljem znanja i iskustava stečenih provedbom ove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MLF-5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Gospodarenje poljoprivrednim zemljištem</w:t>
            </w:r>
          </w:p>
        </w:tc>
        <w:tc>
          <w:tcPr>
            <w:tcW w:w="9217" w:type="dxa"/>
            <w:vAlign w:val="center"/>
          </w:tcPr>
          <w:p w:rsidR="007D4A93" w:rsidRPr="00654E3B" w:rsidRDefault="00EF0BEB" w:rsidP="0065066D">
            <w:pPr>
              <w:spacing w:line="240" w:lineRule="auto"/>
              <w:rPr>
                <w:rFonts w:eastAsia="Times New Roman" w:cs="Times New Roman"/>
                <w:sz w:val="20"/>
                <w:lang w:eastAsia="hr-HR"/>
              </w:rPr>
            </w:pPr>
            <w:r w:rsidRPr="00654E3B">
              <w:rPr>
                <w:rFonts w:eastAsia="Times New Roman" w:cs="Times New Roman"/>
                <w:sz w:val="20"/>
                <w:lang w:eastAsia="hr-HR"/>
              </w:rPr>
              <w:t>Provedbom aktivnosti u gospodarenju površinama za poljoprivrednu proizvodnju na način koji doprinosi smanjenju emisijskog faktora od interesa je za  obiteljska poljoprivredna gospodarstava</w:t>
            </w:r>
            <w:r w:rsidR="0065066D" w:rsidRPr="00654E3B">
              <w:rPr>
                <w:rFonts w:eastAsia="Times New Roman" w:cs="Times New Roman"/>
                <w:sz w:val="20"/>
                <w:lang w:eastAsia="hr-HR"/>
              </w:rPr>
              <w:t>.</w:t>
            </w:r>
            <w:r w:rsidRPr="00654E3B">
              <w:rPr>
                <w:rFonts w:eastAsia="Times New Roman" w:cs="Times New Roman"/>
                <w:sz w:val="20"/>
                <w:lang w:eastAsia="hr-HR"/>
              </w:rPr>
              <w:t>. Prakse gospodarenja ovim površinama koje mogu imati utjecaja na emisije i ponore u primjerice u pohraništu tla su: načini obrade tla, životni vijek nasada/usjeva (rotacijsko razdoblje) i tip usjeva/nasada, primjena gnojiva, gospodarenje ostacima, kontrola erozije, primjena sustava navodnjavanja i dr.). Potrebno je promovirati aktivnosti na način koristan za klimu i okoliš, te izraditi smjernice daljnjeg razvoja temeljem znanja i iskustava stečenih provedbom ove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Gospodarenje pašnjacima</w:t>
            </w:r>
          </w:p>
        </w:tc>
        <w:tc>
          <w:tcPr>
            <w:tcW w:w="9217" w:type="dxa"/>
            <w:vAlign w:val="center"/>
          </w:tcPr>
          <w:p w:rsidR="007D4A93" w:rsidRPr="00654E3B" w:rsidRDefault="00EF0BEB" w:rsidP="0065066D">
            <w:pPr>
              <w:spacing w:line="240" w:lineRule="auto"/>
              <w:rPr>
                <w:rFonts w:eastAsia="Times New Roman" w:cs="Times New Roman"/>
                <w:sz w:val="20"/>
                <w:lang w:eastAsia="hr-HR"/>
              </w:rPr>
            </w:pPr>
            <w:r w:rsidRPr="00654E3B">
              <w:rPr>
                <w:rFonts w:eastAsia="Times New Roman" w:cs="Times New Roman"/>
                <w:sz w:val="20"/>
                <w:lang w:eastAsia="hr-HR"/>
              </w:rPr>
              <w:t>Provedbom aktivnosti u gospodarenju pašnjacima na način koji doprinosi smanjenju emisijskog faktora od interesa je za  obiteljska poljoprivredna gospodarstva Potrebno je promovirati aktivnosti na način koristan za klimu i okoliš, te izraditi smjernice daljnjeg razvoja temeljem znanja i iskustava stečenih provedbom ove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Provedba tehničkih projekata i znanstvenih istraživanja u LULUCF sektoru </w:t>
            </w:r>
          </w:p>
        </w:tc>
        <w:tc>
          <w:tcPr>
            <w:tcW w:w="9217" w:type="dxa"/>
            <w:vAlign w:val="center"/>
          </w:tcPr>
          <w:p w:rsidR="007D4A93" w:rsidRPr="00654E3B" w:rsidRDefault="00EF0BEB" w:rsidP="00EF0BEB">
            <w:pPr>
              <w:spacing w:line="240" w:lineRule="auto"/>
              <w:rPr>
                <w:rFonts w:eastAsia="Times New Roman" w:cs="Times New Roman"/>
                <w:sz w:val="20"/>
                <w:lang w:eastAsia="hr-HR"/>
              </w:rPr>
            </w:pPr>
            <w:r w:rsidRPr="00654E3B">
              <w:rPr>
                <w:rFonts w:eastAsia="Times New Roman" w:cs="Times New Roman"/>
                <w:sz w:val="20"/>
                <w:lang w:eastAsia="hr-HR"/>
              </w:rPr>
              <w:t xml:space="preserve">U razdoblju do 2030. i 2050. godinu nužno je osigurati financijska sredstva za provedbu tehničkih i znanstvenih projekata u LULUCF sektoru. Znanstvenim projektima treba se omogućiti razvoj različitih modela za potrebe prelaska na višu razinu IPCC metodologije (Tier 3) s ciljem što točnijeg utvrđivanja emisija/ponora stakleničkih plinova i posljedično planiranja mjera za smanjenje emisija i povećanje ponora. </w:t>
            </w:r>
          </w:p>
        </w:tc>
      </w:tr>
    </w:tbl>
    <w:p w:rsidR="007D4A93" w:rsidRPr="00654E3B" w:rsidRDefault="007D4A93">
      <w:pPr>
        <w:pStyle w:val="Naslov2"/>
        <w:ind w:left="0"/>
      </w:pPr>
      <w:bookmarkStart w:id="388" w:name="_Toc23768208"/>
      <w:bookmarkEnd w:id="388"/>
    </w:p>
    <w:sectPr w:rsidR="007D4A93" w:rsidRPr="00654E3B">
      <w:pgSz w:w="16838" w:h="11906" w:orient="landscape"/>
      <w:pgMar w:top="1418" w:right="1418" w:bottom="1418" w:left="1701" w:header="624"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A86" w:rsidRDefault="00BF1A86">
      <w:pPr>
        <w:spacing w:after="0" w:line="240" w:lineRule="auto"/>
      </w:pPr>
      <w:r>
        <w:separator/>
      </w:r>
    </w:p>
    <w:p w:rsidR="00BF1A86" w:rsidRDefault="00BF1A86"/>
  </w:endnote>
  <w:endnote w:type="continuationSeparator" w:id="0">
    <w:p w:rsidR="00BF1A86" w:rsidRDefault="00BF1A86">
      <w:pPr>
        <w:spacing w:after="0" w:line="240" w:lineRule="auto"/>
      </w:pPr>
      <w:r>
        <w:continuationSeparator/>
      </w:r>
    </w:p>
    <w:p w:rsidR="00BF1A86" w:rsidRDefault="00BF1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EE"/>
    <w:family w:val="roman"/>
    <w:notTrueType/>
    <w:pitch w:val="default"/>
    <w:sig w:usb0="00000007" w:usb1="00000000" w:usb2="00000000" w:usb3="00000000" w:csb0="00000003" w:csb1="00000000"/>
  </w:font>
  <w:font w:name="Minion Pro Cond">
    <w:panose1 w:val="00000000000000000000"/>
    <w:charset w:val="00"/>
    <w:family w:val="roman"/>
    <w:notTrueType/>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GarmdITC Bk BT">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NewBskvll BT">
    <w:panose1 w:val="00000000000000000000"/>
    <w:charset w:val="00"/>
    <w:family w:val="roman"/>
    <w:notTrueType/>
    <w:pitch w:val="default"/>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3F" w:rsidRDefault="006F1C3F">
    <w:pPr>
      <w:pStyle w:val="Footer"/>
      <w:jc w:val="right"/>
    </w:pPr>
  </w:p>
  <w:p w:rsidR="006F1C3F" w:rsidRDefault="006F1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203880"/>
      <w:docPartObj>
        <w:docPartGallery w:val="Page Numbers (Bottom of Page)"/>
        <w:docPartUnique/>
      </w:docPartObj>
    </w:sdtPr>
    <w:sdtEndPr/>
    <w:sdtContent>
      <w:p w:rsidR="006F1C3F" w:rsidRDefault="006F1C3F">
        <w:pPr>
          <w:pStyle w:val="Footer"/>
          <w:jc w:val="right"/>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sidR="00B638E0">
          <w:rPr>
            <w:rFonts w:cs="Times New Roman"/>
            <w:noProof/>
          </w:rPr>
          <w:t>17</w:t>
        </w:r>
        <w:r>
          <w:rPr>
            <w:rFonts w:cs="Times New Roman"/>
          </w:rPr>
          <w:fldChar w:fldCharType="end"/>
        </w:r>
      </w:p>
    </w:sdtContent>
  </w:sdt>
  <w:p w:rsidR="006F1C3F" w:rsidRDefault="006F1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A86" w:rsidRDefault="00BF1A86">
      <w:r>
        <w:separator/>
      </w:r>
    </w:p>
    <w:p w:rsidR="00BF1A86" w:rsidRDefault="00BF1A86"/>
  </w:footnote>
  <w:footnote w:type="continuationSeparator" w:id="0">
    <w:p w:rsidR="00BF1A86" w:rsidRDefault="00BF1A86">
      <w:r>
        <w:continuationSeparator/>
      </w:r>
    </w:p>
    <w:p w:rsidR="00BF1A86" w:rsidRDefault="00BF1A86"/>
  </w:footnote>
  <w:footnote w:type="continuationNotice" w:id="1">
    <w:p w:rsidR="00BF1A86" w:rsidRDefault="00BF1A86"/>
    <w:p w:rsidR="00BF1A86" w:rsidRDefault="00BF1A86"/>
  </w:footnote>
  <w:footnote w:id="2">
    <w:p w:rsidR="006F1C3F" w:rsidRPr="00380CA9" w:rsidRDefault="006F1C3F">
      <w:pPr>
        <w:pStyle w:val="FootnoteText"/>
        <w:rPr>
          <w:rFonts w:cs="Times New Roman"/>
        </w:rPr>
      </w:pPr>
      <w:r w:rsidRPr="00380CA9">
        <w:rPr>
          <w:rStyle w:val="FootnoteReference"/>
          <w:rFonts w:ascii="Times New Roman" w:hAnsi="Times New Roman" w:cs="Times New Roman"/>
        </w:rPr>
        <w:footnoteRef/>
      </w:r>
      <w:r w:rsidRPr="00380CA9">
        <w:rPr>
          <w:rFonts w:cs="Times New Roman"/>
        </w:rPr>
        <w:t xml:space="preserve"> Zakon o zaštiti okoliša (NN 80/13, 153/13, 78/15, 12/18, 118/18)</w:t>
      </w:r>
    </w:p>
  </w:footnote>
  <w:footnote w:id="3">
    <w:p w:rsidR="006F1C3F" w:rsidRPr="00380CA9" w:rsidRDefault="006F1C3F">
      <w:pPr>
        <w:pStyle w:val="FootnoteText"/>
        <w:jc w:val="left"/>
        <w:rPr>
          <w:rFonts w:cs="Times New Roman"/>
        </w:rPr>
      </w:pPr>
      <w:r w:rsidRPr="00380CA9">
        <w:rPr>
          <w:rStyle w:val="FootnoteReference"/>
          <w:rFonts w:ascii="Times New Roman" w:hAnsi="Times New Roman" w:cs="Times New Roman"/>
        </w:rPr>
        <w:footnoteRef/>
      </w:r>
      <w:r w:rsidRPr="00380CA9">
        <w:rPr>
          <w:rFonts w:cs="Times New Roman"/>
        </w:rPr>
        <w:t xml:space="preserve"> Izvješće o inventaru stakleničkih plinova 2020 </w:t>
      </w:r>
      <w:hyperlink r:id="rId1" w:history="1">
        <w:r w:rsidRPr="00380CA9">
          <w:rPr>
            <w:rStyle w:val="Hyperlink"/>
            <w:rFonts w:cs="Times New Roman"/>
          </w:rPr>
          <w:t>http://www.haop.hr/sites/default/files/uploads/dokumenti/012_klima/dostava_podataka/Izvjesca/NIR_2020_hrv.pdf</w:t>
        </w:r>
      </w:hyperlink>
      <w:r w:rsidRPr="00380CA9">
        <w:rPr>
          <w:rFonts w:cs="Times New Roman"/>
        </w:rPr>
        <w:t xml:space="preserve"> </w:t>
      </w:r>
    </w:p>
  </w:footnote>
  <w:footnote w:id="4">
    <w:p w:rsidR="006F1C3F" w:rsidRPr="00430F83" w:rsidRDefault="006F1C3F">
      <w:pPr>
        <w:pStyle w:val="FootnoteText"/>
        <w:rPr>
          <w:rFonts w:cs="Times New Roman"/>
        </w:rPr>
      </w:pPr>
      <w:r w:rsidRPr="00430F83">
        <w:rPr>
          <w:rStyle w:val="FootnoteReference"/>
          <w:rFonts w:ascii="Times New Roman" w:hAnsi="Times New Roman" w:cs="Times New Roman"/>
        </w:rPr>
        <w:footnoteRef/>
      </w:r>
      <w:r w:rsidRPr="00430F83">
        <w:rPr>
          <w:rFonts w:cs="Times New Roman"/>
        </w:rPr>
        <w:t xml:space="preserve"> Zakona o sustavu strateškog planiranja i upravljanja razvojem Republike Hrvatske (NN 123/17)</w:t>
      </w:r>
    </w:p>
  </w:footnote>
  <w:footnote w:id="5">
    <w:p w:rsidR="006F1C3F" w:rsidRPr="004D5D43" w:rsidRDefault="006F1C3F">
      <w:pPr>
        <w:pStyle w:val="FootnoteText"/>
        <w:rPr>
          <w:rFonts w:cs="Times New Roman"/>
        </w:rPr>
      </w:pPr>
      <w:r w:rsidRPr="004D5D43">
        <w:rPr>
          <w:rStyle w:val="FootnoteReference"/>
          <w:rFonts w:ascii="Times New Roman" w:hAnsi="Times New Roman" w:cs="Times New Roman"/>
        </w:rPr>
        <w:footnoteRef/>
      </w:r>
      <w:r w:rsidRPr="004D5D43">
        <w:rPr>
          <w:rFonts w:cs="Times New Roman"/>
        </w:rPr>
        <w:t xml:space="preserve"> Zakon o sustavu strateškog planiranja i upravljanja razvojem Republike Hrvatske  (NN 123/17) </w:t>
      </w:r>
      <w:hyperlink r:id="rId2" w:history="1">
        <w:r w:rsidRPr="004D5D43">
          <w:rPr>
            <w:rStyle w:val="Hyperlink"/>
            <w:rFonts w:cs="Times New Roman"/>
          </w:rPr>
          <w:t>https://narodne-novine.nn.hr/clanci/sluzbeni/2017_12_123_2798.html</w:t>
        </w:r>
      </w:hyperlink>
      <w:r w:rsidRPr="004D5D43">
        <w:rPr>
          <w:rFonts w:cs="Times New Roman"/>
        </w:rPr>
        <w:t xml:space="preserve"> </w:t>
      </w:r>
    </w:p>
  </w:footnote>
  <w:footnote w:id="6">
    <w:p w:rsidR="006F1C3F" w:rsidRPr="00DA2DA8" w:rsidRDefault="006F1C3F">
      <w:pPr>
        <w:pStyle w:val="FootnoteText"/>
        <w:rPr>
          <w:rFonts w:cs="Times New Roman"/>
        </w:rPr>
      </w:pPr>
      <w:r w:rsidRPr="00DA2DA8">
        <w:rPr>
          <w:rStyle w:val="FootnoteReference"/>
          <w:rFonts w:ascii="Times New Roman" w:hAnsi="Times New Roman" w:cs="Times New Roman"/>
        </w:rPr>
        <w:footnoteRef/>
      </w:r>
      <w:r w:rsidRPr="00DA2DA8">
        <w:rPr>
          <w:rFonts w:cs="Times New Roman"/>
        </w:rPr>
        <w:t xml:space="preserve"> FAO. 2018. The future of food and agriculture – Alternative pathways to 2050. Rome. 224 pp. Licence: CC BY-NC-SA 3.0 IGO.</w:t>
      </w:r>
    </w:p>
  </w:footnote>
  <w:footnote w:id="7">
    <w:p w:rsidR="006F1C3F" w:rsidRPr="004D5D43" w:rsidRDefault="006F1C3F">
      <w:pPr>
        <w:pStyle w:val="FootnoteText"/>
        <w:rPr>
          <w:rFonts w:cs="Times New Roman"/>
        </w:rPr>
      </w:pPr>
      <w:r w:rsidRPr="004D5D43">
        <w:rPr>
          <w:rStyle w:val="FootnoteReference"/>
          <w:rFonts w:ascii="Times New Roman" w:hAnsi="Times New Roman" w:cs="Times New Roman"/>
        </w:rPr>
        <w:footnoteRef/>
      </w:r>
      <w:r w:rsidRPr="004D5D43">
        <w:rPr>
          <w:rFonts w:cs="Times New Roman"/>
        </w:rPr>
        <w:t>Recommended parameters for reporting on GHG projections in 2019, EK</w:t>
      </w:r>
    </w:p>
    <w:p w:rsidR="006F1C3F" w:rsidRDefault="006F1C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3F" w:rsidRDefault="006F1C3F">
    <w:pPr>
      <w:pStyle w:val="Header"/>
      <w:jc w:val="center"/>
    </w:pPr>
  </w:p>
  <w:p w:rsidR="006F1C3F" w:rsidRDefault="006F1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525A"/>
    <w:multiLevelType w:val="hybridMultilevel"/>
    <w:tmpl w:val="2F90F85A"/>
    <w:lvl w:ilvl="0" w:tplc="42C020A0">
      <w:start w:val="1"/>
      <w:numFmt w:val="bullet"/>
      <w:lvlText w:val=""/>
      <w:lvlJc w:val="left"/>
      <w:pPr>
        <w:ind w:left="720" w:hanging="360"/>
      </w:pPr>
      <w:rPr>
        <w:rFonts w:ascii="Symbol" w:hAnsi="Symbol" w:hint="default"/>
      </w:rPr>
    </w:lvl>
    <w:lvl w:ilvl="1" w:tplc="076027A6">
      <w:start w:val="1"/>
      <w:numFmt w:val="bullet"/>
      <w:lvlText w:val="•"/>
      <w:lvlJc w:val="left"/>
      <w:pPr>
        <w:ind w:left="1440" w:hanging="360"/>
      </w:pPr>
      <w:rPr>
        <w:rFonts w:ascii="Calibri" w:hAnsi="Calibri" w:hint="default"/>
        <w:b w:val="0"/>
        <w:i w:val="0"/>
        <w:sz w:val="22"/>
      </w:rPr>
    </w:lvl>
    <w:lvl w:ilvl="2" w:tplc="82F0C11C">
      <w:start w:val="1"/>
      <w:numFmt w:val="bullet"/>
      <w:lvlText w:val=""/>
      <w:lvlJc w:val="left"/>
      <w:pPr>
        <w:ind w:left="2160" w:hanging="360"/>
      </w:pPr>
      <w:rPr>
        <w:rFonts w:ascii="Wingdings" w:hAnsi="Wingdings" w:hint="default"/>
      </w:rPr>
    </w:lvl>
    <w:lvl w:ilvl="3" w:tplc="C4103DC8">
      <w:start w:val="1"/>
      <w:numFmt w:val="bullet"/>
      <w:lvlText w:val=""/>
      <w:lvlJc w:val="left"/>
      <w:pPr>
        <w:ind w:left="2880" w:hanging="360"/>
      </w:pPr>
      <w:rPr>
        <w:rFonts w:ascii="Symbol" w:hAnsi="Symbol" w:hint="default"/>
      </w:rPr>
    </w:lvl>
    <w:lvl w:ilvl="4" w:tplc="A0044146">
      <w:start w:val="1"/>
      <w:numFmt w:val="bullet"/>
      <w:lvlText w:val="o"/>
      <w:lvlJc w:val="left"/>
      <w:pPr>
        <w:ind w:left="3600" w:hanging="360"/>
      </w:pPr>
      <w:rPr>
        <w:rFonts w:ascii="Courier New" w:hAnsi="Courier New" w:cs="Courier New" w:hint="default"/>
      </w:rPr>
    </w:lvl>
    <w:lvl w:ilvl="5" w:tplc="70AA849A">
      <w:start w:val="1"/>
      <w:numFmt w:val="bullet"/>
      <w:lvlText w:val=""/>
      <w:lvlJc w:val="left"/>
      <w:pPr>
        <w:ind w:left="4320" w:hanging="360"/>
      </w:pPr>
      <w:rPr>
        <w:rFonts w:ascii="Wingdings" w:hAnsi="Wingdings" w:hint="default"/>
      </w:rPr>
    </w:lvl>
    <w:lvl w:ilvl="6" w:tplc="82848234">
      <w:start w:val="1"/>
      <w:numFmt w:val="bullet"/>
      <w:lvlText w:val=""/>
      <w:lvlJc w:val="left"/>
      <w:pPr>
        <w:ind w:left="5040" w:hanging="360"/>
      </w:pPr>
      <w:rPr>
        <w:rFonts w:ascii="Symbol" w:hAnsi="Symbol" w:hint="default"/>
      </w:rPr>
    </w:lvl>
    <w:lvl w:ilvl="7" w:tplc="96CEE94E">
      <w:start w:val="1"/>
      <w:numFmt w:val="bullet"/>
      <w:lvlText w:val="o"/>
      <w:lvlJc w:val="left"/>
      <w:pPr>
        <w:ind w:left="5760" w:hanging="360"/>
      </w:pPr>
      <w:rPr>
        <w:rFonts w:ascii="Courier New" w:hAnsi="Courier New" w:cs="Courier New" w:hint="default"/>
      </w:rPr>
    </w:lvl>
    <w:lvl w:ilvl="8" w:tplc="F6AEF98E">
      <w:start w:val="1"/>
      <w:numFmt w:val="bullet"/>
      <w:lvlText w:val=""/>
      <w:lvlJc w:val="left"/>
      <w:pPr>
        <w:ind w:left="6480" w:hanging="360"/>
      </w:pPr>
      <w:rPr>
        <w:rFonts w:ascii="Wingdings" w:hAnsi="Wingdings" w:hint="default"/>
      </w:rPr>
    </w:lvl>
  </w:abstractNum>
  <w:abstractNum w:abstractNumId="1" w15:restartNumberingAfterBreak="0">
    <w:nsid w:val="0657643B"/>
    <w:multiLevelType w:val="hybridMultilevel"/>
    <w:tmpl w:val="E89EB572"/>
    <w:lvl w:ilvl="0" w:tplc="57F85C5A">
      <w:start w:val="1"/>
      <w:numFmt w:val="bullet"/>
      <w:lvlText w:val="•"/>
      <w:lvlJc w:val="left"/>
      <w:pPr>
        <w:ind w:left="720" w:hanging="360"/>
      </w:pPr>
      <w:rPr>
        <w:rFonts w:ascii="Calibri" w:hAnsi="Calibri" w:hint="default"/>
        <w:b w:val="0"/>
        <w:i w:val="0"/>
        <w:sz w:val="22"/>
      </w:rPr>
    </w:lvl>
    <w:lvl w:ilvl="1" w:tplc="4644048A">
      <w:start w:val="1"/>
      <w:numFmt w:val="bullet"/>
      <w:lvlText w:val="o"/>
      <w:lvlJc w:val="left"/>
      <w:pPr>
        <w:ind w:left="1440" w:hanging="360"/>
      </w:pPr>
      <w:rPr>
        <w:rFonts w:ascii="Courier New" w:hAnsi="Courier New" w:cs="Courier New" w:hint="default"/>
      </w:rPr>
    </w:lvl>
    <w:lvl w:ilvl="2" w:tplc="7010B50A">
      <w:start w:val="1"/>
      <w:numFmt w:val="bullet"/>
      <w:lvlText w:val=""/>
      <w:lvlJc w:val="left"/>
      <w:pPr>
        <w:ind w:left="2160" w:hanging="360"/>
      </w:pPr>
      <w:rPr>
        <w:rFonts w:ascii="Wingdings" w:hAnsi="Wingdings" w:hint="default"/>
      </w:rPr>
    </w:lvl>
    <w:lvl w:ilvl="3" w:tplc="D3BA2F30">
      <w:start w:val="1"/>
      <w:numFmt w:val="bullet"/>
      <w:lvlText w:val=""/>
      <w:lvlJc w:val="left"/>
      <w:pPr>
        <w:ind w:left="2880" w:hanging="360"/>
      </w:pPr>
      <w:rPr>
        <w:rFonts w:ascii="Symbol" w:hAnsi="Symbol" w:hint="default"/>
      </w:rPr>
    </w:lvl>
    <w:lvl w:ilvl="4" w:tplc="D1F2EDD0">
      <w:start w:val="1"/>
      <w:numFmt w:val="bullet"/>
      <w:lvlText w:val="o"/>
      <w:lvlJc w:val="left"/>
      <w:pPr>
        <w:ind w:left="3600" w:hanging="360"/>
      </w:pPr>
      <w:rPr>
        <w:rFonts w:ascii="Courier New" w:hAnsi="Courier New" w:cs="Courier New" w:hint="default"/>
      </w:rPr>
    </w:lvl>
    <w:lvl w:ilvl="5" w:tplc="EF424696">
      <w:start w:val="1"/>
      <w:numFmt w:val="bullet"/>
      <w:lvlText w:val=""/>
      <w:lvlJc w:val="left"/>
      <w:pPr>
        <w:ind w:left="4320" w:hanging="360"/>
      </w:pPr>
      <w:rPr>
        <w:rFonts w:ascii="Wingdings" w:hAnsi="Wingdings" w:hint="default"/>
      </w:rPr>
    </w:lvl>
    <w:lvl w:ilvl="6" w:tplc="69101DB4">
      <w:start w:val="1"/>
      <w:numFmt w:val="bullet"/>
      <w:lvlText w:val=""/>
      <w:lvlJc w:val="left"/>
      <w:pPr>
        <w:ind w:left="5040" w:hanging="360"/>
      </w:pPr>
      <w:rPr>
        <w:rFonts w:ascii="Symbol" w:hAnsi="Symbol" w:hint="default"/>
      </w:rPr>
    </w:lvl>
    <w:lvl w:ilvl="7" w:tplc="F8C8C4F8">
      <w:start w:val="1"/>
      <w:numFmt w:val="bullet"/>
      <w:lvlText w:val="o"/>
      <w:lvlJc w:val="left"/>
      <w:pPr>
        <w:ind w:left="5760" w:hanging="360"/>
      </w:pPr>
      <w:rPr>
        <w:rFonts w:ascii="Courier New" w:hAnsi="Courier New" w:cs="Courier New" w:hint="default"/>
      </w:rPr>
    </w:lvl>
    <w:lvl w:ilvl="8" w:tplc="D2302F44">
      <w:start w:val="1"/>
      <w:numFmt w:val="bullet"/>
      <w:lvlText w:val=""/>
      <w:lvlJc w:val="left"/>
      <w:pPr>
        <w:ind w:left="6480" w:hanging="360"/>
      </w:pPr>
      <w:rPr>
        <w:rFonts w:ascii="Wingdings" w:hAnsi="Wingdings" w:hint="default"/>
      </w:rPr>
    </w:lvl>
  </w:abstractNum>
  <w:abstractNum w:abstractNumId="2" w15:restartNumberingAfterBreak="0">
    <w:nsid w:val="0D786043"/>
    <w:multiLevelType w:val="hybridMultilevel"/>
    <w:tmpl w:val="8B50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B0CEB"/>
    <w:multiLevelType w:val="hybridMultilevel"/>
    <w:tmpl w:val="718C9D80"/>
    <w:lvl w:ilvl="0" w:tplc="C9BCBB48">
      <w:start w:val="1"/>
      <w:numFmt w:val="bullet"/>
      <w:lvlText w:val="•"/>
      <w:lvlJc w:val="left"/>
      <w:pPr>
        <w:ind w:left="1077" w:hanging="360"/>
      </w:pPr>
      <w:rPr>
        <w:rFonts w:ascii="Calibri" w:hAnsi="Calibri" w:hint="default"/>
        <w:b w:val="0"/>
        <w:i w:val="0"/>
        <w:sz w:val="22"/>
      </w:rPr>
    </w:lvl>
    <w:lvl w:ilvl="1" w:tplc="5D945C62">
      <w:start w:val="1"/>
      <w:numFmt w:val="bullet"/>
      <w:lvlText w:val="o"/>
      <w:lvlJc w:val="left"/>
      <w:pPr>
        <w:ind w:left="1797" w:hanging="360"/>
      </w:pPr>
      <w:rPr>
        <w:rFonts w:ascii="Courier New" w:hAnsi="Courier New" w:cs="Courier New" w:hint="default"/>
      </w:rPr>
    </w:lvl>
    <w:lvl w:ilvl="2" w:tplc="95E85AAC">
      <w:start w:val="1"/>
      <w:numFmt w:val="bullet"/>
      <w:lvlText w:val=""/>
      <w:lvlJc w:val="left"/>
      <w:pPr>
        <w:ind w:left="2517" w:hanging="360"/>
      </w:pPr>
      <w:rPr>
        <w:rFonts w:ascii="Wingdings" w:hAnsi="Wingdings" w:hint="default"/>
      </w:rPr>
    </w:lvl>
    <w:lvl w:ilvl="3" w:tplc="04E4F254">
      <w:start w:val="1"/>
      <w:numFmt w:val="bullet"/>
      <w:lvlText w:val=""/>
      <w:lvlJc w:val="left"/>
      <w:pPr>
        <w:ind w:left="3237" w:hanging="360"/>
      </w:pPr>
      <w:rPr>
        <w:rFonts w:ascii="Symbol" w:hAnsi="Symbol" w:hint="default"/>
      </w:rPr>
    </w:lvl>
    <w:lvl w:ilvl="4" w:tplc="2A2A040C">
      <w:start w:val="1"/>
      <w:numFmt w:val="bullet"/>
      <w:lvlText w:val="o"/>
      <w:lvlJc w:val="left"/>
      <w:pPr>
        <w:ind w:left="3957" w:hanging="360"/>
      </w:pPr>
      <w:rPr>
        <w:rFonts w:ascii="Courier New" w:hAnsi="Courier New" w:cs="Courier New" w:hint="default"/>
      </w:rPr>
    </w:lvl>
    <w:lvl w:ilvl="5" w:tplc="822090D0">
      <w:start w:val="1"/>
      <w:numFmt w:val="bullet"/>
      <w:lvlText w:val=""/>
      <w:lvlJc w:val="left"/>
      <w:pPr>
        <w:ind w:left="4677" w:hanging="360"/>
      </w:pPr>
      <w:rPr>
        <w:rFonts w:ascii="Wingdings" w:hAnsi="Wingdings" w:hint="default"/>
      </w:rPr>
    </w:lvl>
    <w:lvl w:ilvl="6" w:tplc="1E0CF7C4">
      <w:start w:val="1"/>
      <w:numFmt w:val="bullet"/>
      <w:lvlText w:val=""/>
      <w:lvlJc w:val="left"/>
      <w:pPr>
        <w:ind w:left="5397" w:hanging="360"/>
      </w:pPr>
      <w:rPr>
        <w:rFonts w:ascii="Symbol" w:hAnsi="Symbol" w:hint="default"/>
      </w:rPr>
    </w:lvl>
    <w:lvl w:ilvl="7" w:tplc="C6182568">
      <w:start w:val="1"/>
      <w:numFmt w:val="bullet"/>
      <w:lvlText w:val="o"/>
      <w:lvlJc w:val="left"/>
      <w:pPr>
        <w:ind w:left="6117" w:hanging="360"/>
      </w:pPr>
      <w:rPr>
        <w:rFonts w:ascii="Courier New" w:hAnsi="Courier New" w:cs="Courier New" w:hint="default"/>
      </w:rPr>
    </w:lvl>
    <w:lvl w:ilvl="8" w:tplc="4A9EF7B6">
      <w:start w:val="1"/>
      <w:numFmt w:val="bullet"/>
      <w:lvlText w:val=""/>
      <w:lvlJc w:val="left"/>
      <w:pPr>
        <w:ind w:left="6837" w:hanging="360"/>
      </w:pPr>
      <w:rPr>
        <w:rFonts w:ascii="Wingdings" w:hAnsi="Wingdings" w:hint="default"/>
      </w:rPr>
    </w:lvl>
  </w:abstractNum>
  <w:abstractNum w:abstractNumId="4" w15:restartNumberingAfterBreak="0">
    <w:nsid w:val="0FCD5C20"/>
    <w:multiLevelType w:val="hybridMultilevel"/>
    <w:tmpl w:val="DCB6ED92"/>
    <w:lvl w:ilvl="0" w:tplc="A0289DD0">
      <w:start w:val="1"/>
      <w:numFmt w:val="bullet"/>
      <w:lvlText w:val="•"/>
      <w:lvlJc w:val="left"/>
      <w:pPr>
        <w:ind w:left="1440" w:hanging="360"/>
      </w:pPr>
      <w:rPr>
        <w:rFonts w:ascii="Calibri" w:hAnsi="Calibri" w:hint="default"/>
        <w:b w:val="0"/>
        <w:i w:val="0"/>
        <w:sz w:val="22"/>
      </w:rPr>
    </w:lvl>
    <w:lvl w:ilvl="1" w:tplc="9C38C12E">
      <w:start w:val="1"/>
      <w:numFmt w:val="bullet"/>
      <w:lvlText w:val="o"/>
      <w:lvlJc w:val="left"/>
      <w:pPr>
        <w:ind w:left="2160" w:hanging="360"/>
      </w:pPr>
      <w:rPr>
        <w:rFonts w:ascii="Courier New" w:hAnsi="Courier New" w:cs="Courier New" w:hint="default"/>
      </w:rPr>
    </w:lvl>
    <w:lvl w:ilvl="2" w:tplc="83A6E882">
      <w:start w:val="1"/>
      <w:numFmt w:val="bullet"/>
      <w:lvlText w:val=""/>
      <w:lvlJc w:val="left"/>
      <w:pPr>
        <w:ind w:left="2880" w:hanging="360"/>
      </w:pPr>
      <w:rPr>
        <w:rFonts w:ascii="Wingdings" w:hAnsi="Wingdings" w:hint="default"/>
      </w:rPr>
    </w:lvl>
    <w:lvl w:ilvl="3" w:tplc="400A384A">
      <w:start w:val="1"/>
      <w:numFmt w:val="bullet"/>
      <w:lvlText w:val=""/>
      <w:lvlJc w:val="left"/>
      <w:pPr>
        <w:ind w:left="3600" w:hanging="360"/>
      </w:pPr>
      <w:rPr>
        <w:rFonts w:ascii="Symbol" w:hAnsi="Symbol" w:hint="default"/>
      </w:rPr>
    </w:lvl>
    <w:lvl w:ilvl="4" w:tplc="DF1A6F32">
      <w:start w:val="1"/>
      <w:numFmt w:val="bullet"/>
      <w:lvlText w:val="o"/>
      <w:lvlJc w:val="left"/>
      <w:pPr>
        <w:ind w:left="4320" w:hanging="360"/>
      </w:pPr>
      <w:rPr>
        <w:rFonts w:ascii="Courier New" w:hAnsi="Courier New" w:cs="Courier New" w:hint="default"/>
      </w:rPr>
    </w:lvl>
    <w:lvl w:ilvl="5" w:tplc="66BA84CA">
      <w:start w:val="1"/>
      <w:numFmt w:val="bullet"/>
      <w:lvlText w:val=""/>
      <w:lvlJc w:val="left"/>
      <w:pPr>
        <w:ind w:left="5040" w:hanging="360"/>
      </w:pPr>
      <w:rPr>
        <w:rFonts w:ascii="Wingdings" w:hAnsi="Wingdings" w:hint="default"/>
      </w:rPr>
    </w:lvl>
    <w:lvl w:ilvl="6" w:tplc="CEB69EC4">
      <w:start w:val="1"/>
      <w:numFmt w:val="bullet"/>
      <w:lvlText w:val=""/>
      <w:lvlJc w:val="left"/>
      <w:pPr>
        <w:ind w:left="5760" w:hanging="360"/>
      </w:pPr>
      <w:rPr>
        <w:rFonts w:ascii="Symbol" w:hAnsi="Symbol" w:hint="default"/>
      </w:rPr>
    </w:lvl>
    <w:lvl w:ilvl="7" w:tplc="59F6CCAE">
      <w:start w:val="1"/>
      <w:numFmt w:val="bullet"/>
      <w:lvlText w:val="o"/>
      <w:lvlJc w:val="left"/>
      <w:pPr>
        <w:ind w:left="6480" w:hanging="360"/>
      </w:pPr>
      <w:rPr>
        <w:rFonts w:ascii="Courier New" w:hAnsi="Courier New" w:cs="Courier New" w:hint="default"/>
      </w:rPr>
    </w:lvl>
    <w:lvl w:ilvl="8" w:tplc="D47C4D58">
      <w:start w:val="1"/>
      <w:numFmt w:val="bullet"/>
      <w:lvlText w:val=""/>
      <w:lvlJc w:val="left"/>
      <w:pPr>
        <w:ind w:left="7200" w:hanging="360"/>
      </w:pPr>
      <w:rPr>
        <w:rFonts w:ascii="Wingdings" w:hAnsi="Wingdings" w:hint="default"/>
      </w:rPr>
    </w:lvl>
  </w:abstractNum>
  <w:abstractNum w:abstractNumId="5" w15:restartNumberingAfterBreak="0">
    <w:nsid w:val="10594B9D"/>
    <w:multiLevelType w:val="hybridMultilevel"/>
    <w:tmpl w:val="F27AB6A0"/>
    <w:lvl w:ilvl="0" w:tplc="9CD2BAD6">
      <w:start w:val="1"/>
      <w:numFmt w:val="bullet"/>
      <w:lvlText w:val="•"/>
      <w:lvlJc w:val="left"/>
      <w:pPr>
        <w:ind w:left="720" w:hanging="360"/>
      </w:pPr>
      <w:rPr>
        <w:rFonts w:ascii="Calibri" w:hAnsi="Calibri" w:hint="default"/>
        <w:b w:val="0"/>
        <w:i w:val="0"/>
        <w:sz w:val="22"/>
      </w:rPr>
    </w:lvl>
    <w:lvl w:ilvl="1" w:tplc="479223E8">
      <w:start w:val="1"/>
      <w:numFmt w:val="bullet"/>
      <w:lvlText w:val="o"/>
      <w:lvlJc w:val="left"/>
      <w:pPr>
        <w:ind w:left="1440" w:hanging="360"/>
      </w:pPr>
      <w:rPr>
        <w:rFonts w:ascii="Courier New" w:hAnsi="Courier New" w:cs="Courier New" w:hint="default"/>
      </w:rPr>
    </w:lvl>
    <w:lvl w:ilvl="2" w:tplc="ED268474">
      <w:start w:val="1"/>
      <w:numFmt w:val="bullet"/>
      <w:lvlText w:val=""/>
      <w:lvlJc w:val="left"/>
      <w:pPr>
        <w:ind w:left="2160" w:hanging="360"/>
      </w:pPr>
      <w:rPr>
        <w:rFonts w:ascii="Wingdings" w:hAnsi="Wingdings" w:hint="default"/>
      </w:rPr>
    </w:lvl>
    <w:lvl w:ilvl="3" w:tplc="C8CCE86C">
      <w:start w:val="1"/>
      <w:numFmt w:val="bullet"/>
      <w:lvlText w:val=""/>
      <w:lvlJc w:val="left"/>
      <w:pPr>
        <w:ind w:left="2880" w:hanging="360"/>
      </w:pPr>
      <w:rPr>
        <w:rFonts w:ascii="Symbol" w:hAnsi="Symbol" w:hint="default"/>
      </w:rPr>
    </w:lvl>
    <w:lvl w:ilvl="4" w:tplc="0AD86FAC">
      <w:start w:val="1"/>
      <w:numFmt w:val="bullet"/>
      <w:lvlText w:val="o"/>
      <w:lvlJc w:val="left"/>
      <w:pPr>
        <w:ind w:left="3600" w:hanging="360"/>
      </w:pPr>
      <w:rPr>
        <w:rFonts w:ascii="Courier New" w:hAnsi="Courier New" w:cs="Courier New" w:hint="default"/>
      </w:rPr>
    </w:lvl>
    <w:lvl w:ilvl="5" w:tplc="A7168112">
      <w:start w:val="1"/>
      <w:numFmt w:val="bullet"/>
      <w:lvlText w:val=""/>
      <w:lvlJc w:val="left"/>
      <w:pPr>
        <w:ind w:left="4320" w:hanging="360"/>
      </w:pPr>
      <w:rPr>
        <w:rFonts w:ascii="Wingdings" w:hAnsi="Wingdings" w:hint="default"/>
      </w:rPr>
    </w:lvl>
    <w:lvl w:ilvl="6" w:tplc="0E9CE620">
      <w:start w:val="1"/>
      <w:numFmt w:val="bullet"/>
      <w:lvlText w:val=""/>
      <w:lvlJc w:val="left"/>
      <w:pPr>
        <w:ind w:left="5040" w:hanging="360"/>
      </w:pPr>
      <w:rPr>
        <w:rFonts w:ascii="Symbol" w:hAnsi="Symbol" w:hint="default"/>
      </w:rPr>
    </w:lvl>
    <w:lvl w:ilvl="7" w:tplc="0E6A5388">
      <w:start w:val="1"/>
      <w:numFmt w:val="bullet"/>
      <w:lvlText w:val="o"/>
      <w:lvlJc w:val="left"/>
      <w:pPr>
        <w:ind w:left="5760" w:hanging="360"/>
      </w:pPr>
      <w:rPr>
        <w:rFonts w:ascii="Courier New" w:hAnsi="Courier New" w:cs="Courier New" w:hint="default"/>
      </w:rPr>
    </w:lvl>
    <w:lvl w:ilvl="8" w:tplc="04DE39A4">
      <w:start w:val="1"/>
      <w:numFmt w:val="bullet"/>
      <w:lvlText w:val=""/>
      <w:lvlJc w:val="left"/>
      <w:pPr>
        <w:ind w:left="6480" w:hanging="360"/>
      </w:pPr>
      <w:rPr>
        <w:rFonts w:ascii="Wingdings" w:hAnsi="Wingdings" w:hint="default"/>
      </w:rPr>
    </w:lvl>
  </w:abstractNum>
  <w:abstractNum w:abstractNumId="6" w15:restartNumberingAfterBreak="0">
    <w:nsid w:val="10E55AB4"/>
    <w:multiLevelType w:val="hybridMultilevel"/>
    <w:tmpl w:val="D3AA96D8"/>
    <w:lvl w:ilvl="0" w:tplc="5810E262">
      <w:start w:val="1"/>
      <w:numFmt w:val="bullet"/>
      <w:lvlText w:val="•"/>
      <w:lvlJc w:val="left"/>
      <w:pPr>
        <w:ind w:left="720" w:hanging="360"/>
      </w:pPr>
      <w:rPr>
        <w:rFonts w:ascii="Calibri" w:hAnsi="Calibri" w:hint="default"/>
        <w:b w:val="0"/>
        <w:i w:val="0"/>
        <w:sz w:val="22"/>
      </w:rPr>
    </w:lvl>
    <w:lvl w:ilvl="1" w:tplc="5592178A">
      <w:start w:val="1"/>
      <w:numFmt w:val="bullet"/>
      <w:lvlText w:val="o"/>
      <w:lvlJc w:val="left"/>
      <w:pPr>
        <w:ind w:left="1440" w:hanging="360"/>
      </w:pPr>
      <w:rPr>
        <w:rFonts w:ascii="Courier New" w:hAnsi="Courier New" w:cs="Courier New" w:hint="default"/>
      </w:rPr>
    </w:lvl>
    <w:lvl w:ilvl="2" w:tplc="51D24EC0">
      <w:start w:val="1"/>
      <w:numFmt w:val="bullet"/>
      <w:lvlText w:val=""/>
      <w:lvlJc w:val="left"/>
      <w:pPr>
        <w:ind w:left="2160" w:hanging="360"/>
      </w:pPr>
      <w:rPr>
        <w:rFonts w:ascii="Wingdings" w:hAnsi="Wingdings" w:hint="default"/>
      </w:rPr>
    </w:lvl>
    <w:lvl w:ilvl="3" w:tplc="AD1C83C2">
      <w:start w:val="1"/>
      <w:numFmt w:val="bullet"/>
      <w:lvlText w:val=""/>
      <w:lvlJc w:val="left"/>
      <w:pPr>
        <w:ind w:left="2880" w:hanging="360"/>
      </w:pPr>
      <w:rPr>
        <w:rFonts w:ascii="Symbol" w:hAnsi="Symbol" w:hint="default"/>
      </w:rPr>
    </w:lvl>
    <w:lvl w:ilvl="4" w:tplc="4A481B34">
      <w:start w:val="1"/>
      <w:numFmt w:val="bullet"/>
      <w:lvlText w:val="o"/>
      <w:lvlJc w:val="left"/>
      <w:pPr>
        <w:ind w:left="3600" w:hanging="360"/>
      </w:pPr>
      <w:rPr>
        <w:rFonts w:ascii="Courier New" w:hAnsi="Courier New" w:cs="Courier New" w:hint="default"/>
      </w:rPr>
    </w:lvl>
    <w:lvl w:ilvl="5" w:tplc="21866E0C">
      <w:start w:val="1"/>
      <w:numFmt w:val="bullet"/>
      <w:lvlText w:val=""/>
      <w:lvlJc w:val="left"/>
      <w:pPr>
        <w:ind w:left="4320" w:hanging="360"/>
      </w:pPr>
      <w:rPr>
        <w:rFonts w:ascii="Wingdings" w:hAnsi="Wingdings" w:hint="default"/>
      </w:rPr>
    </w:lvl>
    <w:lvl w:ilvl="6" w:tplc="6316A274">
      <w:start w:val="1"/>
      <w:numFmt w:val="bullet"/>
      <w:lvlText w:val=""/>
      <w:lvlJc w:val="left"/>
      <w:pPr>
        <w:ind w:left="5040" w:hanging="360"/>
      </w:pPr>
      <w:rPr>
        <w:rFonts w:ascii="Symbol" w:hAnsi="Symbol" w:hint="default"/>
      </w:rPr>
    </w:lvl>
    <w:lvl w:ilvl="7" w:tplc="CC404304">
      <w:start w:val="1"/>
      <w:numFmt w:val="bullet"/>
      <w:lvlText w:val="o"/>
      <w:lvlJc w:val="left"/>
      <w:pPr>
        <w:ind w:left="5760" w:hanging="360"/>
      </w:pPr>
      <w:rPr>
        <w:rFonts w:ascii="Courier New" w:hAnsi="Courier New" w:cs="Courier New" w:hint="default"/>
      </w:rPr>
    </w:lvl>
    <w:lvl w:ilvl="8" w:tplc="75781972">
      <w:start w:val="1"/>
      <w:numFmt w:val="bullet"/>
      <w:lvlText w:val=""/>
      <w:lvlJc w:val="left"/>
      <w:pPr>
        <w:ind w:left="6480" w:hanging="360"/>
      </w:pPr>
      <w:rPr>
        <w:rFonts w:ascii="Wingdings" w:hAnsi="Wingdings" w:hint="default"/>
      </w:rPr>
    </w:lvl>
  </w:abstractNum>
  <w:abstractNum w:abstractNumId="7" w15:restartNumberingAfterBreak="0">
    <w:nsid w:val="10EB3A67"/>
    <w:multiLevelType w:val="hybridMultilevel"/>
    <w:tmpl w:val="94DAD7EA"/>
    <w:lvl w:ilvl="0" w:tplc="E9726ADA">
      <w:start w:val="1"/>
      <w:numFmt w:val="bullet"/>
      <w:lvlText w:val="•"/>
      <w:lvlJc w:val="left"/>
      <w:pPr>
        <w:ind w:left="720" w:hanging="360"/>
      </w:pPr>
      <w:rPr>
        <w:rFonts w:ascii="Calibri" w:hAnsi="Calibri" w:hint="default"/>
        <w:b w:val="0"/>
        <w:i w:val="0"/>
        <w:sz w:val="22"/>
      </w:rPr>
    </w:lvl>
    <w:lvl w:ilvl="1" w:tplc="A21EF5BC">
      <w:start w:val="1"/>
      <w:numFmt w:val="bullet"/>
      <w:lvlText w:val="o"/>
      <w:lvlJc w:val="left"/>
      <w:pPr>
        <w:ind w:left="1440" w:hanging="360"/>
      </w:pPr>
      <w:rPr>
        <w:rFonts w:ascii="Courier New" w:hAnsi="Courier New" w:cs="Courier New" w:hint="default"/>
      </w:rPr>
    </w:lvl>
    <w:lvl w:ilvl="2" w:tplc="DC183C08">
      <w:start w:val="1"/>
      <w:numFmt w:val="bullet"/>
      <w:lvlText w:val=""/>
      <w:lvlJc w:val="left"/>
      <w:pPr>
        <w:ind w:left="2160" w:hanging="360"/>
      </w:pPr>
      <w:rPr>
        <w:rFonts w:ascii="Wingdings" w:hAnsi="Wingdings" w:hint="default"/>
      </w:rPr>
    </w:lvl>
    <w:lvl w:ilvl="3" w:tplc="5F92CD78">
      <w:start w:val="1"/>
      <w:numFmt w:val="bullet"/>
      <w:lvlText w:val=""/>
      <w:lvlJc w:val="left"/>
      <w:pPr>
        <w:ind w:left="2880" w:hanging="360"/>
      </w:pPr>
      <w:rPr>
        <w:rFonts w:ascii="Symbol" w:hAnsi="Symbol" w:hint="default"/>
      </w:rPr>
    </w:lvl>
    <w:lvl w:ilvl="4" w:tplc="F64EB754">
      <w:start w:val="1"/>
      <w:numFmt w:val="bullet"/>
      <w:lvlText w:val="o"/>
      <w:lvlJc w:val="left"/>
      <w:pPr>
        <w:ind w:left="3600" w:hanging="360"/>
      </w:pPr>
      <w:rPr>
        <w:rFonts w:ascii="Courier New" w:hAnsi="Courier New" w:cs="Courier New" w:hint="default"/>
      </w:rPr>
    </w:lvl>
    <w:lvl w:ilvl="5" w:tplc="AED811DA">
      <w:start w:val="1"/>
      <w:numFmt w:val="bullet"/>
      <w:lvlText w:val=""/>
      <w:lvlJc w:val="left"/>
      <w:pPr>
        <w:ind w:left="4320" w:hanging="360"/>
      </w:pPr>
      <w:rPr>
        <w:rFonts w:ascii="Wingdings" w:hAnsi="Wingdings" w:hint="default"/>
      </w:rPr>
    </w:lvl>
    <w:lvl w:ilvl="6" w:tplc="2F88D18C">
      <w:start w:val="1"/>
      <w:numFmt w:val="bullet"/>
      <w:lvlText w:val=""/>
      <w:lvlJc w:val="left"/>
      <w:pPr>
        <w:ind w:left="5040" w:hanging="360"/>
      </w:pPr>
      <w:rPr>
        <w:rFonts w:ascii="Symbol" w:hAnsi="Symbol" w:hint="default"/>
      </w:rPr>
    </w:lvl>
    <w:lvl w:ilvl="7" w:tplc="7262B2AC">
      <w:start w:val="1"/>
      <w:numFmt w:val="bullet"/>
      <w:lvlText w:val="o"/>
      <w:lvlJc w:val="left"/>
      <w:pPr>
        <w:ind w:left="5760" w:hanging="360"/>
      </w:pPr>
      <w:rPr>
        <w:rFonts w:ascii="Courier New" w:hAnsi="Courier New" w:cs="Courier New" w:hint="default"/>
      </w:rPr>
    </w:lvl>
    <w:lvl w:ilvl="8" w:tplc="E280F03C">
      <w:start w:val="1"/>
      <w:numFmt w:val="bullet"/>
      <w:lvlText w:val=""/>
      <w:lvlJc w:val="left"/>
      <w:pPr>
        <w:ind w:left="6480" w:hanging="360"/>
      </w:pPr>
      <w:rPr>
        <w:rFonts w:ascii="Wingdings" w:hAnsi="Wingdings" w:hint="default"/>
      </w:rPr>
    </w:lvl>
  </w:abstractNum>
  <w:abstractNum w:abstractNumId="8" w15:restartNumberingAfterBreak="0">
    <w:nsid w:val="12976881"/>
    <w:multiLevelType w:val="hybridMultilevel"/>
    <w:tmpl w:val="E3B418D8"/>
    <w:lvl w:ilvl="0" w:tplc="8C146ACC">
      <w:start w:val="1"/>
      <w:numFmt w:val="bullet"/>
      <w:lvlText w:val=""/>
      <w:lvlJc w:val="left"/>
      <w:pPr>
        <w:ind w:left="720" w:hanging="360"/>
      </w:pPr>
      <w:rPr>
        <w:rFonts w:ascii="Symbol" w:hAnsi="Symbol" w:hint="default"/>
      </w:rPr>
    </w:lvl>
    <w:lvl w:ilvl="1" w:tplc="6F6C2638">
      <w:start w:val="1"/>
      <w:numFmt w:val="bullet"/>
      <w:lvlText w:val="•"/>
      <w:lvlJc w:val="left"/>
      <w:pPr>
        <w:ind w:left="1440" w:hanging="360"/>
      </w:pPr>
      <w:rPr>
        <w:rFonts w:ascii="Calibri" w:hAnsi="Calibri" w:hint="default"/>
        <w:b w:val="0"/>
        <w:i w:val="0"/>
        <w:sz w:val="22"/>
      </w:rPr>
    </w:lvl>
    <w:lvl w:ilvl="2" w:tplc="8CE60014">
      <w:start w:val="1"/>
      <w:numFmt w:val="bullet"/>
      <w:lvlText w:val=""/>
      <w:lvlJc w:val="left"/>
      <w:pPr>
        <w:ind w:left="2160" w:hanging="360"/>
      </w:pPr>
      <w:rPr>
        <w:rFonts w:ascii="Wingdings" w:hAnsi="Wingdings" w:hint="default"/>
      </w:rPr>
    </w:lvl>
    <w:lvl w:ilvl="3" w:tplc="584003F6">
      <w:start w:val="1"/>
      <w:numFmt w:val="bullet"/>
      <w:lvlText w:val=""/>
      <w:lvlJc w:val="left"/>
      <w:pPr>
        <w:ind w:left="2880" w:hanging="360"/>
      </w:pPr>
      <w:rPr>
        <w:rFonts w:ascii="Symbol" w:hAnsi="Symbol" w:hint="default"/>
      </w:rPr>
    </w:lvl>
    <w:lvl w:ilvl="4" w:tplc="4806A428">
      <w:start w:val="1"/>
      <w:numFmt w:val="bullet"/>
      <w:lvlText w:val="o"/>
      <w:lvlJc w:val="left"/>
      <w:pPr>
        <w:ind w:left="3600" w:hanging="360"/>
      </w:pPr>
      <w:rPr>
        <w:rFonts w:ascii="Courier New" w:hAnsi="Courier New" w:cs="Courier New" w:hint="default"/>
      </w:rPr>
    </w:lvl>
    <w:lvl w:ilvl="5" w:tplc="036216E8">
      <w:start w:val="1"/>
      <w:numFmt w:val="bullet"/>
      <w:lvlText w:val=""/>
      <w:lvlJc w:val="left"/>
      <w:pPr>
        <w:ind w:left="4320" w:hanging="360"/>
      </w:pPr>
      <w:rPr>
        <w:rFonts w:ascii="Wingdings" w:hAnsi="Wingdings" w:hint="default"/>
      </w:rPr>
    </w:lvl>
    <w:lvl w:ilvl="6" w:tplc="2B4A23F0">
      <w:start w:val="1"/>
      <w:numFmt w:val="bullet"/>
      <w:lvlText w:val=""/>
      <w:lvlJc w:val="left"/>
      <w:pPr>
        <w:ind w:left="5040" w:hanging="360"/>
      </w:pPr>
      <w:rPr>
        <w:rFonts w:ascii="Symbol" w:hAnsi="Symbol" w:hint="default"/>
      </w:rPr>
    </w:lvl>
    <w:lvl w:ilvl="7" w:tplc="1C8EF906">
      <w:start w:val="1"/>
      <w:numFmt w:val="bullet"/>
      <w:lvlText w:val="o"/>
      <w:lvlJc w:val="left"/>
      <w:pPr>
        <w:ind w:left="5760" w:hanging="360"/>
      </w:pPr>
      <w:rPr>
        <w:rFonts w:ascii="Courier New" w:hAnsi="Courier New" w:cs="Courier New" w:hint="default"/>
      </w:rPr>
    </w:lvl>
    <w:lvl w:ilvl="8" w:tplc="22D6C1F4">
      <w:start w:val="1"/>
      <w:numFmt w:val="bullet"/>
      <w:lvlText w:val=""/>
      <w:lvlJc w:val="left"/>
      <w:pPr>
        <w:ind w:left="6480" w:hanging="360"/>
      </w:pPr>
      <w:rPr>
        <w:rFonts w:ascii="Wingdings" w:hAnsi="Wingdings" w:hint="default"/>
      </w:rPr>
    </w:lvl>
  </w:abstractNum>
  <w:abstractNum w:abstractNumId="9" w15:restartNumberingAfterBreak="0">
    <w:nsid w:val="12EC1CC4"/>
    <w:multiLevelType w:val="hybridMultilevel"/>
    <w:tmpl w:val="882A26CE"/>
    <w:lvl w:ilvl="0" w:tplc="1ECE095A">
      <w:start w:val="1"/>
      <w:numFmt w:val="bullet"/>
      <w:lvlText w:val="•"/>
      <w:lvlJc w:val="left"/>
      <w:pPr>
        <w:ind w:left="720" w:hanging="360"/>
      </w:pPr>
      <w:rPr>
        <w:rFonts w:ascii="Calibri" w:hAnsi="Calibri" w:hint="default"/>
        <w:b w:val="0"/>
        <w:i w:val="0"/>
        <w:sz w:val="22"/>
      </w:rPr>
    </w:lvl>
    <w:lvl w:ilvl="1" w:tplc="4378DB18">
      <w:start w:val="1"/>
      <w:numFmt w:val="bullet"/>
      <w:lvlText w:val="o"/>
      <w:lvlJc w:val="left"/>
      <w:pPr>
        <w:ind w:left="1440" w:hanging="360"/>
      </w:pPr>
      <w:rPr>
        <w:rFonts w:ascii="Courier New" w:hAnsi="Courier New" w:cs="Courier New" w:hint="default"/>
      </w:rPr>
    </w:lvl>
    <w:lvl w:ilvl="2" w:tplc="D250E07A">
      <w:start w:val="1"/>
      <w:numFmt w:val="bullet"/>
      <w:lvlText w:val=""/>
      <w:lvlJc w:val="left"/>
      <w:pPr>
        <w:ind w:left="2160" w:hanging="360"/>
      </w:pPr>
      <w:rPr>
        <w:rFonts w:ascii="Wingdings" w:hAnsi="Wingdings" w:hint="default"/>
      </w:rPr>
    </w:lvl>
    <w:lvl w:ilvl="3" w:tplc="5650C2BC">
      <w:start w:val="1"/>
      <w:numFmt w:val="bullet"/>
      <w:lvlText w:val=""/>
      <w:lvlJc w:val="left"/>
      <w:pPr>
        <w:ind w:left="2880" w:hanging="360"/>
      </w:pPr>
      <w:rPr>
        <w:rFonts w:ascii="Symbol" w:hAnsi="Symbol" w:hint="default"/>
      </w:rPr>
    </w:lvl>
    <w:lvl w:ilvl="4" w:tplc="3E8AA6AE">
      <w:start w:val="1"/>
      <w:numFmt w:val="bullet"/>
      <w:lvlText w:val="o"/>
      <w:lvlJc w:val="left"/>
      <w:pPr>
        <w:ind w:left="3600" w:hanging="360"/>
      </w:pPr>
      <w:rPr>
        <w:rFonts w:ascii="Courier New" w:hAnsi="Courier New" w:cs="Courier New" w:hint="default"/>
      </w:rPr>
    </w:lvl>
    <w:lvl w:ilvl="5" w:tplc="04A0C138">
      <w:start w:val="1"/>
      <w:numFmt w:val="bullet"/>
      <w:lvlText w:val=""/>
      <w:lvlJc w:val="left"/>
      <w:pPr>
        <w:ind w:left="4320" w:hanging="360"/>
      </w:pPr>
      <w:rPr>
        <w:rFonts w:ascii="Wingdings" w:hAnsi="Wingdings" w:hint="default"/>
      </w:rPr>
    </w:lvl>
    <w:lvl w:ilvl="6" w:tplc="3A90025E">
      <w:start w:val="1"/>
      <w:numFmt w:val="bullet"/>
      <w:lvlText w:val=""/>
      <w:lvlJc w:val="left"/>
      <w:pPr>
        <w:ind w:left="5040" w:hanging="360"/>
      </w:pPr>
      <w:rPr>
        <w:rFonts w:ascii="Symbol" w:hAnsi="Symbol" w:hint="default"/>
      </w:rPr>
    </w:lvl>
    <w:lvl w:ilvl="7" w:tplc="0D8065AC">
      <w:start w:val="1"/>
      <w:numFmt w:val="bullet"/>
      <w:lvlText w:val="o"/>
      <w:lvlJc w:val="left"/>
      <w:pPr>
        <w:ind w:left="5760" w:hanging="360"/>
      </w:pPr>
      <w:rPr>
        <w:rFonts w:ascii="Courier New" w:hAnsi="Courier New" w:cs="Courier New" w:hint="default"/>
      </w:rPr>
    </w:lvl>
    <w:lvl w:ilvl="8" w:tplc="E87EB828">
      <w:start w:val="1"/>
      <w:numFmt w:val="bullet"/>
      <w:lvlText w:val=""/>
      <w:lvlJc w:val="left"/>
      <w:pPr>
        <w:ind w:left="6480" w:hanging="360"/>
      </w:pPr>
      <w:rPr>
        <w:rFonts w:ascii="Wingdings" w:hAnsi="Wingdings" w:hint="default"/>
      </w:rPr>
    </w:lvl>
  </w:abstractNum>
  <w:abstractNum w:abstractNumId="10" w15:restartNumberingAfterBreak="0">
    <w:nsid w:val="1402546B"/>
    <w:multiLevelType w:val="multilevel"/>
    <w:tmpl w:val="417E0332"/>
    <w:lvl w:ilvl="0">
      <w:start w:val="2"/>
      <w:numFmt w:val="decimal"/>
      <w:pStyle w:val="NASLOV14"/>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EE3438"/>
    <w:multiLevelType w:val="hybridMultilevel"/>
    <w:tmpl w:val="31641EBA"/>
    <w:lvl w:ilvl="0" w:tplc="3B2A448A">
      <w:start w:val="1"/>
      <w:numFmt w:val="bullet"/>
      <w:lvlText w:val="•"/>
      <w:lvlJc w:val="left"/>
      <w:pPr>
        <w:ind w:left="720" w:hanging="360"/>
      </w:pPr>
      <w:rPr>
        <w:rFonts w:ascii="Calibri" w:hAnsi="Calibri" w:hint="default"/>
        <w:b w:val="0"/>
        <w:i w:val="0"/>
        <w:sz w:val="22"/>
      </w:rPr>
    </w:lvl>
    <w:lvl w:ilvl="1" w:tplc="B93CCA64">
      <w:start w:val="1"/>
      <w:numFmt w:val="bullet"/>
      <w:lvlText w:val="o"/>
      <w:lvlJc w:val="left"/>
      <w:pPr>
        <w:ind w:left="1440" w:hanging="360"/>
      </w:pPr>
      <w:rPr>
        <w:rFonts w:ascii="Courier New" w:hAnsi="Courier New" w:cs="Courier New" w:hint="default"/>
      </w:rPr>
    </w:lvl>
    <w:lvl w:ilvl="2" w:tplc="02F0F532">
      <w:start w:val="1"/>
      <w:numFmt w:val="bullet"/>
      <w:lvlText w:val=""/>
      <w:lvlJc w:val="left"/>
      <w:pPr>
        <w:ind w:left="2160" w:hanging="360"/>
      </w:pPr>
      <w:rPr>
        <w:rFonts w:ascii="Wingdings" w:hAnsi="Wingdings" w:hint="default"/>
      </w:rPr>
    </w:lvl>
    <w:lvl w:ilvl="3" w:tplc="262233A2">
      <w:start w:val="1"/>
      <w:numFmt w:val="bullet"/>
      <w:lvlText w:val=""/>
      <w:lvlJc w:val="left"/>
      <w:pPr>
        <w:ind w:left="2880" w:hanging="360"/>
      </w:pPr>
      <w:rPr>
        <w:rFonts w:ascii="Symbol" w:hAnsi="Symbol" w:hint="default"/>
      </w:rPr>
    </w:lvl>
    <w:lvl w:ilvl="4" w:tplc="41DE7330">
      <w:start w:val="1"/>
      <w:numFmt w:val="bullet"/>
      <w:lvlText w:val="o"/>
      <w:lvlJc w:val="left"/>
      <w:pPr>
        <w:ind w:left="3600" w:hanging="360"/>
      </w:pPr>
      <w:rPr>
        <w:rFonts w:ascii="Courier New" w:hAnsi="Courier New" w:cs="Courier New" w:hint="default"/>
      </w:rPr>
    </w:lvl>
    <w:lvl w:ilvl="5" w:tplc="61C8C4D0">
      <w:start w:val="1"/>
      <w:numFmt w:val="bullet"/>
      <w:lvlText w:val=""/>
      <w:lvlJc w:val="left"/>
      <w:pPr>
        <w:ind w:left="4320" w:hanging="360"/>
      </w:pPr>
      <w:rPr>
        <w:rFonts w:ascii="Wingdings" w:hAnsi="Wingdings" w:hint="default"/>
      </w:rPr>
    </w:lvl>
    <w:lvl w:ilvl="6" w:tplc="F0465310">
      <w:start w:val="1"/>
      <w:numFmt w:val="bullet"/>
      <w:lvlText w:val=""/>
      <w:lvlJc w:val="left"/>
      <w:pPr>
        <w:ind w:left="5040" w:hanging="360"/>
      </w:pPr>
      <w:rPr>
        <w:rFonts w:ascii="Symbol" w:hAnsi="Symbol" w:hint="default"/>
      </w:rPr>
    </w:lvl>
    <w:lvl w:ilvl="7" w:tplc="1A00D5BC">
      <w:start w:val="1"/>
      <w:numFmt w:val="bullet"/>
      <w:lvlText w:val="o"/>
      <w:lvlJc w:val="left"/>
      <w:pPr>
        <w:ind w:left="5760" w:hanging="360"/>
      </w:pPr>
      <w:rPr>
        <w:rFonts w:ascii="Courier New" w:hAnsi="Courier New" w:cs="Courier New" w:hint="default"/>
      </w:rPr>
    </w:lvl>
    <w:lvl w:ilvl="8" w:tplc="433E039A">
      <w:start w:val="1"/>
      <w:numFmt w:val="bullet"/>
      <w:lvlText w:val=""/>
      <w:lvlJc w:val="left"/>
      <w:pPr>
        <w:ind w:left="6480" w:hanging="360"/>
      </w:pPr>
      <w:rPr>
        <w:rFonts w:ascii="Wingdings" w:hAnsi="Wingdings" w:hint="default"/>
      </w:rPr>
    </w:lvl>
  </w:abstractNum>
  <w:abstractNum w:abstractNumId="12" w15:restartNumberingAfterBreak="0">
    <w:nsid w:val="15547261"/>
    <w:multiLevelType w:val="hybridMultilevel"/>
    <w:tmpl w:val="81B45F80"/>
    <w:lvl w:ilvl="0" w:tplc="4E2E9F3A">
      <w:start w:val="1"/>
      <w:numFmt w:val="bullet"/>
      <w:lvlText w:val="•"/>
      <w:lvlJc w:val="left"/>
      <w:pPr>
        <w:ind w:left="720" w:hanging="360"/>
      </w:pPr>
      <w:rPr>
        <w:rFonts w:ascii="Calibri" w:hAnsi="Calibri" w:hint="default"/>
        <w:b w:val="0"/>
        <w:i w:val="0"/>
        <w:sz w:val="22"/>
      </w:rPr>
    </w:lvl>
    <w:lvl w:ilvl="1" w:tplc="ED4E82F6">
      <w:start w:val="1"/>
      <w:numFmt w:val="bullet"/>
      <w:lvlText w:val="o"/>
      <w:lvlJc w:val="left"/>
      <w:pPr>
        <w:ind w:left="1440" w:hanging="360"/>
      </w:pPr>
      <w:rPr>
        <w:rFonts w:ascii="Courier New" w:hAnsi="Courier New" w:cs="Courier New" w:hint="default"/>
      </w:rPr>
    </w:lvl>
    <w:lvl w:ilvl="2" w:tplc="77C41F5C">
      <w:start w:val="1"/>
      <w:numFmt w:val="bullet"/>
      <w:lvlText w:val=""/>
      <w:lvlJc w:val="left"/>
      <w:pPr>
        <w:ind w:left="2160" w:hanging="360"/>
      </w:pPr>
      <w:rPr>
        <w:rFonts w:ascii="Wingdings" w:hAnsi="Wingdings" w:hint="default"/>
      </w:rPr>
    </w:lvl>
    <w:lvl w:ilvl="3" w:tplc="59380CA6">
      <w:start w:val="1"/>
      <w:numFmt w:val="bullet"/>
      <w:lvlText w:val=""/>
      <w:lvlJc w:val="left"/>
      <w:pPr>
        <w:ind w:left="2880" w:hanging="360"/>
      </w:pPr>
      <w:rPr>
        <w:rFonts w:ascii="Symbol" w:hAnsi="Symbol" w:hint="default"/>
      </w:rPr>
    </w:lvl>
    <w:lvl w:ilvl="4" w:tplc="A74C9388">
      <w:start w:val="1"/>
      <w:numFmt w:val="bullet"/>
      <w:lvlText w:val="o"/>
      <w:lvlJc w:val="left"/>
      <w:pPr>
        <w:ind w:left="3600" w:hanging="360"/>
      </w:pPr>
      <w:rPr>
        <w:rFonts w:ascii="Courier New" w:hAnsi="Courier New" w:cs="Courier New" w:hint="default"/>
      </w:rPr>
    </w:lvl>
    <w:lvl w:ilvl="5" w:tplc="662E692C">
      <w:start w:val="1"/>
      <w:numFmt w:val="bullet"/>
      <w:lvlText w:val=""/>
      <w:lvlJc w:val="left"/>
      <w:pPr>
        <w:ind w:left="4320" w:hanging="360"/>
      </w:pPr>
      <w:rPr>
        <w:rFonts w:ascii="Wingdings" w:hAnsi="Wingdings" w:hint="default"/>
      </w:rPr>
    </w:lvl>
    <w:lvl w:ilvl="6" w:tplc="16287B78">
      <w:start w:val="1"/>
      <w:numFmt w:val="bullet"/>
      <w:lvlText w:val=""/>
      <w:lvlJc w:val="left"/>
      <w:pPr>
        <w:ind w:left="5040" w:hanging="360"/>
      </w:pPr>
      <w:rPr>
        <w:rFonts w:ascii="Symbol" w:hAnsi="Symbol" w:hint="default"/>
      </w:rPr>
    </w:lvl>
    <w:lvl w:ilvl="7" w:tplc="2BFA9F8A">
      <w:start w:val="1"/>
      <w:numFmt w:val="bullet"/>
      <w:lvlText w:val="o"/>
      <w:lvlJc w:val="left"/>
      <w:pPr>
        <w:ind w:left="5760" w:hanging="360"/>
      </w:pPr>
      <w:rPr>
        <w:rFonts w:ascii="Courier New" w:hAnsi="Courier New" w:cs="Courier New" w:hint="default"/>
      </w:rPr>
    </w:lvl>
    <w:lvl w:ilvl="8" w:tplc="E3E8D4BA">
      <w:start w:val="1"/>
      <w:numFmt w:val="bullet"/>
      <w:lvlText w:val=""/>
      <w:lvlJc w:val="left"/>
      <w:pPr>
        <w:ind w:left="6480" w:hanging="360"/>
      </w:pPr>
      <w:rPr>
        <w:rFonts w:ascii="Wingdings" w:hAnsi="Wingdings" w:hint="default"/>
      </w:rPr>
    </w:lvl>
  </w:abstractNum>
  <w:abstractNum w:abstractNumId="13" w15:restartNumberingAfterBreak="0">
    <w:nsid w:val="172D531A"/>
    <w:multiLevelType w:val="hybridMultilevel"/>
    <w:tmpl w:val="BC709D74"/>
    <w:lvl w:ilvl="0" w:tplc="FA36AE04">
      <w:start w:val="1"/>
      <w:numFmt w:val="bullet"/>
      <w:lvlText w:val="–"/>
      <w:lvlJc w:val="left"/>
      <w:pPr>
        <w:ind w:left="720" w:hanging="360"/>
      </w:pPr>
      <w:rPr>
        <w:rFonts w:ascii="Times New Roman" w:hAnsi="Times New Roman" w:cs="Times New Roman" w:hint="default"/>
        <w:sz w:val="24"/>
        <w:szCs w:val="24"/>
      </w:rPr>
    </w:lvl>
    <w:lvl w:ilvl="1" w:tplc="711EF4FE">
      <w:start w:val="1"/>
      <w:numFmt w:val="bullet"/>
      <w:lvlText w:val="o"/>
      <w:lvlJc w:val="left"/>
      <w:pPr>
        <w:ind w:left="1440" w:hanging="360"/>
      </w:pPr>
      <w:rPr>
        <w:rFonts w:ascii="Courier New" w:hAnsi="Courier New" w:cs="Courier New" w:hint="default"/>
      </w:rPr>
    </w:lvl>
    <w:lvl w:ilvl="2" w:tplc="475E5680">
      <w:start w:val="1"/>
      <w:numFmt w:val="bullet"/>
      <w:lvlText w:val=""/>
      <w:lvlJc w:val="left"/>
      <w:pPr>
        <w:ind w:left="2160" w:hanging="360"/>
      </w:pPr>
      <w:rPr>
        <w:rFonts w:ascii="Wingdings" w:hAnsi="Wingdings" w:hint="default"/>
      </w:rPr>
    </w:lvl>
    <w:lvl w:ilvl="3" w:tplc="D5D85974">
      <w:start w:val="1"/>
      <w:numFmt w:val="bullet"/>
      <w:lvlText w:val=""/>
      <w:lvlJc w:val="left"/>
      <w:pPr>
        <w:ind w:left="2880" w:hanging="360"/>
      </w:pPr>
      <w:rPr>
        <w:rFonts w:ascii="Symbol" w:hAnsi="Symbol" w:hint="default"/>
      </w:rPr>
    </w:lvl>
    <w:lvl w:ilvl="4" w:tplc="21FE82C4">
      <w:start w:val="1"/>
      <w:numFmt w:val="bullet"/>
      <w:lvlText w:val="o"/>
      <w:lvlJc w:val="left"/>
      <w:pPr>
        <w:ind w:left="3600" w:hanging="360"/>
      </w:pPr>
      <w:rPr>
        <w:rFonts w:ascii="Courier New" w:hAnsi="Courier New" w:cs="Courier New" w:hint="default"/>
      </w:rPr>
    </w:lvl>
    <w:lvl w:ilvl="5" w:tplc="1D48B034">
      <w:start w:val="1"/>
      <w:numFmt w:val="bullet"/>
      <w:lvlText w:val=""/>
      <w:lvlJc w:val="left"/>
      <w:pPr>
        <w:ind w:left="4320" w:hanging="360"/>
      </w:pPr>
      <w:rPr>
        <w:rFonts w:ascii="Wingdings" w:hAnsi="Wingdings" w:hint="default"/>
      </w:rPr>
    </w:lvl>
    <w:lvl w:ilvl="6" w:tplc="43A6AA24">
      <w:start w:val="1"/>
      <w:numFmt w:val="bullet"/>
      <w:lvlText w:val=""/>
      <w:lvlJc w:val="left"/>
      <w:pPr>
        <w:ind w:left="5040" w:hanging="360"/>
      </w:pPr>
      <w:rPr>
        <w:rFonts w:ascii="Symbol" w:hAnsi="Symbol" w:hint="default"/>
      </w:rPr>
    </w:lvl>
    <w:lvl w:ilvl="7" w:tplc="CDA6E180">
      <w:start w:val="1"/>
      <w:numFmt w:val="bullet"/>
      <w:lvlText w:val="o"/>
      <w:lvlJc w:val="left"/>
      <w:pPr>
        <w:ind w:left="5760" w:hanging="360"/>
      </w:pPr>
      <w:rPr>
        <w:rFonts w:ascii="Courier New" w:hAnsi="Courier New" w:cs="Courier New" w:hint="default"/>
      </w:rPr>
    </w:lvl>
    <w:lvl w:ilvl="8" w:tplc="8834C2D2">
      <w:start w:val="1"/>
      <w:numFmt w:val="bullet"/>
      <w:lvlText w:val=""/>
      <w:lvlJc w:val="left"/>
      <w:pPr>
        <w:ind w:left="6480" w:hanging="360"/>
      </w:pPr>
      <w:rPr>
        <w:rFonts w:ascii="Wingdings" w:hAnsi="Wingdings" w:hint="default"/>
      </w:rPr>
    </w:lvl>
  </w:abstractNum>
  <w:abstractNum w:abstractNumId="14" w15:restartNumberingAfterBreak="0">
    <w:nsid w:val="19557926"/>
    <w:multiLevelType w:val="hybridMultilevel"/>
    <w:tmpl w:val="0CD832E6"/>
    <w:lvl w:ilvl="0" w:tplc="05AE5D9C">
      <w:start w:val="1"/>
      <w:numFmt w:val="bullet"/>
      <w:lvlText w:val="•"/>
      <w:lvlJc w:val="left"/>
      <w:pPr>
        <w:ind w:left="720" w:hanging="360"/>
      </w:pPr>
      <w:rPr>
        <w:rFonts w:ascii="Calibri" w:hAnsi="Calibri" w:hint="default"/>
        <w:b w:val="0"/>
        <w:i w:val="0"/>
        <w:sz w:val="22"/>
      </w:rPr>
    </w:lvl>
    <w:lvl w:ilvl="1" w:tplc="A3B4BBB8">
      <w:start w:val="1"/>
      <w:numFmt w:val="bullet"/>
      <w:lvlText w:val="o"/>
      <w:lvlJc w:val="left"/>
      <w:pPr>
        <w:ind w:left="1440" w:hanging="360"/>
      </w:pPr>
      <w:rPr>
        <w:rFonts w:ascii="Courier New" w:hAnsi="Courier New" w:cs="Courier New" w:hint="default"/>
      </w:rPr>
    </w:lvl>
    <w:lvl w:ilvl="2" w:tplc="3514C626">
      <w:start w:val="1"/>
      <w:numFmt w:val="bullet"/>
      <w:lvlText w:val=""/>
      <w:lvlJc w:val="left"/>
      <w:pPr>
        <w:ind w:left="2160" w:hanging="360"/>
      </w:pPr>
      <w:rPr>
        <w:rFonts w:ascii="Wingdings" w:hAnsi="Wingdings" w:hint="default"/>
      </w:rPr>
    </w:lvl>
    <w:lvl w:ilvl="3" w:tplc="135E45BE">
      <w:start w:val="1"/>
      <w:numFmt w:val="bullet"/>
      <w:lvlText w:val=""/>
      <w:lvlJc w:val="left"/>
      <w:pPr>
        <w:ind w:left="2880" w:hanging="360"/>
      </w:pPr>
      <w:rPr>
        <w:rFonts w:ascii="Symbol" w:hAnsi="Symbol" w:hint="default"/>
      </w:rPr>
    </w:lvl>
    <w:lvl w:ilvl="4" w:tplc="FCDADBD2">
      <w:start w:val="1"/>
      <w:numFmt w:val="bullet"/>
      <w:lvlText w:val="o"/>
      <w:lvlJc w:val="left"/>
      <w:pPr>
        <w:ind w:left="3600" w:hanging="360"/>
      </w:pPr>
      <w:rPr>
        <w:rFonts w:ascii="Courier New" w:hAnsi="Courier New" w:cs="Courier New" w:hint="default"/>
      </w:rPr>
    </w:lvl>
    <w:lvl w:ilvl="5" w:tplc="C0F2A352">
      <w:start w:val="1"/>
      <w:numFmt w:val="bullet"/>
      <w:lvlText w:val=""/>
      <w:lvlJc w:val="left"/>
      <w:pPr>
        <w:ind w:left="4320" w:hanging="360"/>
      </w:pPr>
      <w:rPr>
        <w:rFonts w:ascii="Wingdings" w:hAnsi="Wingdings" w:hint="default"/>
      </w:rPr>
    </w:lvl>
    <w:lvl w:ilvl="6" w:tplc="ED489B8C">
      <w:start w:val="1"/>
      <w:numFmt w:val="bullet"/>
      <w:lvlText w:val=""/>
      <w:lvlJc w:val="left"/>
      <w:pPr>
        <w:ind w:left="5040" w:hanging="360"/>
      </w:pPr>
      <w:rPr>
        <w:rFonts w:ascii="Symbol" w:hAnsi="Symbol" w:hint="default"/>
      </w:rPr>
    </w:lvl>
    <w:lvl w:ilvl="7" w:tplc="C71C19F8">
      <w:start w:val="1"/>
      <w:numFmt w:val="bullet"/>
      <w:lvlText w:val="o"/>
      <w:lvlJc w:val="left"/>
      <w:pPr>
        <w:ind w:left="5760" w:hanging="360"/>
      </w:pPr>
      <w:rPr>
        <w:rFonts w:ascii="Courier New" w:hAnsi="Courier New" w:cs="Courier New" w:hint="default"/>
      </w:rPr>
    </w:lvl>
    <w:lvl w:ilvl="8" w:tplc="BB403F08">
      <w:start w:val="1"/>
      <w:numFmt w:val="bullet"/>
      <w:lvlText w:val=""/>
      <w:lvlJc w:val="left"/>
      <w:pPr>
        <w:ind w:left="6480" w:hanging="360"/>
      </w:pPr>
      <w:rPr>
        <w:rFonts w:ascii="Wingdings" w:hAnsi="Wingdings" w:hint="default"/>
      </w:rPr>
    </w:lvl>
  </w:abstractNum>
  <w:abstractNum w:abstractNumId="15" w15:restartNumberingAfterBreak="0">
    <w:nsid w:val="1AE33ED1"/>
    <w:multiLevelType w:val="hybridMultilevel"/>
    <w:tmpl w:val="33FE22E2"/>
    <w:lvl w:ilvl="0" w:tplc="926A7B2C">
      <w:start w:val="1"/>
      <w:numFmt w:val="bullet"/>
      <w:lvlText w:val="•"/>
      <w:lvlJc w:val="left"/>
      <w:pPr>
        <w:ind w:left="720" w:hanging="360"/>
      </w:pPr>
      <w:rPr>
        <w:rFonts w:ascii="Calibri" w:hAnsi="Calibri" w:hint="default"/>
        <w:b w:val="0"/>
        <w:i w:val="0"/>
        <w:sz w:val="22"/>
      </w:rPr>
    </w:lvl>
    <w:lvl w:ilvl="1" w:tplc="D3F26622">
      <w:start w:val="1"/>
      <w:numFmt w:val="bullet"/>
      <w:lvlText w:val="o"/>
      <w:lvlJc w:val="left"/>
      <w:pPr>
        <w:ind w:left="1440" w:hanging="360"/>
      </w:pPr>
      <w:rPr>
        <w:rFonts w:ascii="Courier New" w:hAnsi="Courier New" w:cs="Courier New" w:hint="default"/>
      </w:rPr>
    </w:lvl>
    <w:lvl w:ilvl="2" w:tplc="918AFDA2">
      <w:start w:val="1"/>
      <w:numFmt w:val="bullet"/>
      <w:lvlText w:val=""/>
      <w:lvlJc w:val="left"/>
      <w:pPr>
        <w:ind w:left="2160" w:hanging="360"/>
      </w:pPr>
      <w:rPr>
        <w:rFonts w:ascii="Wingdings" w:hAnsi="Wingdings" w:hint="default"/>
      </w:rPr>
    </w:lvl>
    <w:lvl w:ilvl="3" w:tplc="B57020D0">
      <w:start w:val="1"/>
      <w:numFmt w:val="bullet"/>
      <w:lvlText w:val=""/>
      <w:lvlJc w:val="left"/>
      <w:pPr>
        <w:ind w:left="2880" w:hanging="360"/>
      </w:pPr>
      <w:rPr>
        <w:rFonts w:ascii="Symbol" w:hAnsi="Symbol" w:hint="default"/>
      </w:rPr>
    </w:lvl>
    <w:lvl w:ilvl="4" w:tplc="470640C8">
      <w:start w:val="1"/>
      <w:numFmt w:val="bullet"/>
      <w:lvlText w:val="o"/>
      <w:lvlJc w:val="left"/>
      <w:pPr>
        <w:ind w:left="3600" w:hanging="360"/>
      </w:pPr>
      <w:rPr>
        <w:rFonts w:ascii="Courier New" w:hAnsi="Courier New" w:cs="Courier New" w:hint="default"/>
      </w:rPr>
    </w:lvl>
    <w:lvl w:ilvl="5" w:tplc="C2389962">
      <w:start w:val="1"/>
      <w:numFmt w:val="bullet"/>
      <w:lvlText w:val=""/>
      <w:lvlJc w:val="left"/>
      <w:pPr>
        <w:ind w:left="4320" w:hanging="360"/>
      </w:pPr>
      <w:rPr>
        <w:rFonts w:ascii="Wingdings" w:hAnsi="Wingdings" w:hint="default"/>
      </w:rPr>
    </w:lvl>
    <w:lvl w:ilvl="6" w:tplc="E91EC100">
      <w:start w:val="1"/>
      <w:numFmt w:val="bullet"/>
      <w:lvlText w:val=""/>
      <w:lvlJc w:val="left"/>
      <w:pPr>
        <w:ind w:left="5040" w:hanging="360"/>
      </w:pPr>
      <w:rPr>
        <w:rFonts w:ascii="Symbol" w:hAnsi="Symbol" w:hint="default"/>
      </w:rPr>
    </w:lvl>
    <w:lvl w:ilvl="7" w:tplc="AD8A34A2">
      <w:start w:val="1"/>
      <w:numFmt w:val="bullet"/>
      <w:lvlText w:val="o"/>
      <w:lvlJc w:val="left"/>
      <w:pPr>
        <w:ind w:left="5760" w:hanging="360"/>
      </w:pPr>
      <w:rPr>
        <w:rFonts w:ascii="Courier New" w:hAnsi="Courier New" w:cs="Courier New" w:hint="default"/>
      </w:rPr>
    </w:lvl>
    <w:lvl w:ilvl="8" w:tplc="9EB65262">
      <w:start w:val="1"/>
      <w:numFmt w:val="bullet"/>
      <w:lvlText w:val=""/>
      <w:lvlJc w:val="left"/>
      <w:pPr>
        <w:ind w:left="6480" w:hanging="360"/>
      </w:pPr>
      <w:rPr>
        <w:rFonts w:ascii="Wingdings" w:hAnsi="Wingdings" w:hint="default"/>
      </w:rPr>
    </w:lvl>
  </w:abstractNum>
  <w:abstractNum w:abstractNumId="16" w15:restartNumberingAfterBreak="0">
    <w:nsid w:val="1CAF17EB"/>
    <w:multiLevelType w:val="hybridMultilevel"/>
    <w:tmpl w:val="A64ACF30"/>
    <w:lvl w:ilvl="0" w:tplc="0DBE91FA">
      <w:start w:val="1"/>
      <w:numFmt w:val="bullet"/>
      <w:lvlText w:val="•"/>
      <w:lvlJc w:val="left"/>
      <w:pPr>
        <w:ind w:left="720" w:hanging="360"/>
      </w:pPr>
      <w:rPr>
        <w:rFonts w:ascii="Calibri" w:hAnsi="Calibri" w:hint="default"/>
        <w:b w:val="0"/>
        <w:i w:val="0"/>
        <w:sz w:val="22"/>
      </w:rPr>
    </w:lvl>
    <w:lvl w:ilvl="1" w:tplc="9E886046">
      <w:start w:val="1"/>
      <w:numFmt w:val="bullet"/>
      <w:lvlText w:val="o"/>
      <w:lvlJc w:val="left"/>
      <w:pPr>
        <w:ind w:left="1440" w:hanging="360"/>
      </w:pPr>
      <w:rPr>
        <w:rFonts w:ascii="Courier New" w:hAnsi="Courier New" w:cs="Courier New" w:hint="default"/>
      </w:rPr>
    </w:lvl>
    <w:lvl w:ilvl="2" w:tplc="EF984DAC">
      <w:start w:val="1"/>
      <w:numFmt w:val="bullet"/>
      <w:lvlText w:val=""/>
      <w:lvlJc w:val="left"/>
      <w:pPr>
        <w:ind w:left="2160" w:hanging="360"/>
      </w:pPr>
      <w:rPr>
        <w:rFonts w:ascii="Wingdings" w:hAnsi="Wingdings" w:hint="default"/>
      </w:rPr>
    </w:lvl>
    <w:lvl w:ilvl="3" w:tplc="3BB85022">
      <w:start w:val="1"/>
      <w:numFmt w:val="bullet"/>
      <w:lvlText w:val=""/>
      <w:lvlJc w:val="left"/>
      <w:pPr>
        <w:ind w:left="2880" w:hanging="360"/>
      </w:pPr>
      <w:rPr>
        <w:rFonts w:ascii="Symbol" w:hAnsi="Symbol" w:hint="default"/>
      </w:rPr>
    </w:lvl>
    <w:lvl w:ilvl="4" w:tplc="9C7E1CEC">
      <w:start w:val="1"/>
      <w:numFmt w:val="bullet"/>
      <w:lvlText w:val="o"/>
      <w:lvlJc w:val="left"/>
      <w:pPr>
        <w:ind w:left="3600" w:hanging="360"/>
      </w:pPr>
      <w:rPr>
        <w:rFonts w:ascii="Courier New" w:hAnsi="Courier New" w:cs="Courier New" w:hint="default"/>
      </w:rPr>
    </w:lvl>
    <w:lvl w:ilvl="5" w:tplc="D18A5342">
      <w:start w:val="1"/>
      <w:numFmt w:val="bullet"/>
      <w:lvlText w:val=""/>
      <w:lvlJc w:val="left"/>
      <w:pPr>
        <w:ind w:left="4320" w:hanging="360"/>
      </w:pPr>
      <w:rPr>
        <w:rFonts w:ascii="Wingdings" w:hAnsi="Wingdings" w:hint="default"/>
      </w:rPr>
    </w:lvl>
    <w:lvl w:ilvl="6" w:tplc="941ECFAA">
      <w:start w:val="1"/>
      <w:numFmt w:val="bullet"/>
      <w:lvlText w:val=""/>
      <w:lvlJc w:val="left"/>
      <w:pPr>
        <w:ind w:left="5040" w:hanging="360"/>
      </w:pPr>
      <w:rPr>
        <w:rFonts w:ascii="Symbol" w:hAnsi="Symbol" w:hint="default"/>
      </w:rPr>
    </w:lvl>
    <w:lvl w:ilvl="7" w:tplc="474805C6">
      <w:start w:val="1"/>
      <w:numFmt w:val="bullet"/>
      <w:lvlText w:val="o"/>
      <w:lvlJc w:val="left"/>
      <w:pPr>
        <w:ind w:left="5760" w:hanging="360"/>
      </w:pPr>
      <w:rPr>
        <w:rFonts w:ascii="Courier New" w:hAnsi="Courier New" w:cs="Courier New" w:hint="default"/>
      </w:rPr>
    </w:lvl>
    <w:lvl w:ilvl="8" w:tplc="CE169F00">
      <w:start w:val="1"/>
      <w:numFmt w:val="bullet"/>
      <w:lvlText w:val=""/>
      <w:lvlJc w:val="left"/>
      <w:pPr>
        <w:ind w:left="6480" w:hanging="360"/>
      </w:pPr>
      <w:rPr>
        <w:rFonts w:ascii="Wingdings" w:hAnsi="Wingdings" w:hint="default"/>
      </w:rPr>
    </w:lvl>
  </w:abstractNum>
  <w:abstractNum w:abstractNumId="17" w15:restartNumberingAfterBreak="0">
    <w:nsid w:val="1CBC0566"/>
    <w:multiLevelType w:val="hybridMultilevel"/>
    <w:tmpl w:val="8EC0E594"/>
    <w:lvl w:ilvl="0" w:tplc="07E2BE8E">
      <w:start w:val="1"/>
      <w:numFmt w:val="bullet"/>
      <w:lvlText w:val="•"/>
      <w:lvlJc w:val="left"/>
      <w:pPr>
        <w:ind w:left="720" w:hanging="360"/>
      </w:pPr>
      <w:rPr>
        <w:rFonts w:ascii="Calibri" w:hAnsi="Calibri" w:hint="default"/>
        <w:b w:val="0"/>
        <w:i w:val="0"/>
        <w:sz w:val="22"/>
      </w:rPr>
    </w:lvl>
    <w:lvl w:ilvl="1" w:tplc="C16CE66E">
      <w:start w:val="1"/>
      <w:numFmt w:val="bullet"/>
      <w:lvlText w:val="o"/>
      <w:lvlJc w:val="left"/>
      <w:pPr>
        <w:ind w:left="1440" w:hanging="360"/>
      </w:pPr>
      <w:rPr>
        <w:rFonts w:ascii="Courier New" w:hAnsi="Courier New" w:cs="Courier New" w:hint="default"/>
      </w:rPr>
    </w:lvl>
    <w:lvl w:ilvl="2" w:tplc="C0424F38">
      <w:start w:val="1"/>
      <w:numFmt w:val="bullet"/>
      <w:lvlText w:val=""/>
      <w:lvlJc w:val="left"/>
      <w:pPr>
        <w:ind w:left="2160" w:hanging="360"/>
      </w:pPr>
      <w:rPr>
        <w:rFonts w:ascii="Wingdings" w:hAnsi="Wingdings" w:hint="default"/>
      </w:rPr>
    </w:lvl>
    <w:lvl w:ilvl="3" w:tplc="99D05C02">
      <w:start w:val="1"/>
      <w:numFmt w:val="bullet"/>
      <w:lvlText w:val=""/>
      <w:lvlJc w:val="left"/>
      <w:pPr>
        <w:ind w:left="2880" w:hanging="360"/>
      </w:pPr>
      <w:rPr>
        <w:rFonts w:ascii="Symbol" w:hAnsi="Symbol" w:hint="default"/>
      </w:rPr>
    </w:lvl>
    <w:lvl w:ilvl="4" w:tplc="56B0F3E2">
      <w:start w:val="1"/>
      <w:numFmt w:val="bullet"/>
      <w:lvlText w:val="o"/>
      <w:lvlJc w:val="left"/>
      <w:pPr>
        <w:ind w:left="3600" w:hanging="360"/>
      </w:pPr>
      <w:rPr>
        <w:rFonts w:ascii="Courier New" w:hAnsi="Courier New" w:cs="Courier New" w:hint="default"/>
      </w:rPr>
    </w:lvl>
    <w:lvl w:ilvl="5" w:tplc="EC2ABF62">
      <w:start w:val="1"/>
      <w:numFmt w:val="bullet"/>
      <w:lvlText w:val=""/>
      <w:lvlJc w:val="left"/>
      <w:pPr>
        <w:ind w:left="4320" w:hanging="360"/>
      </w:pPr>
      <w:rPr>
        <w:rFonts w:ascii="Wingdings" w:hAnsi="Wingdings" w:hint="default"/>
      </w:rPr>
    </w:lvl>
    <w:lvl w:ilvl="6" w:tplc="93245E20">
      <w:start w:val="1"/>
      <w:numFmt w:val="bullet"/>
      <w:lvlText w:val=""/>
      <w:lvlJc w:val="left"/>
      <w:pPr>
        <w:ind w:left="5040" w:hanging="360"/>
      </w:pPr>
      <w:rPr>
        <w:rFonts w:ascii="Symbol" w:hAnsi="Symbol" w:hint="default"/>
      </w:rPr>
    </w:lvl>
    <w:lvl w:ilvl="7" w:tplc="621C5D3A">
      <w:start w:val="1"/>
      <w:numFmt w:val="bullet"/>
      <w:lvlText w:val="o"/>
      <w:lvlJc w:val="left"/>
      <w:pPr>
        <w:ind w:left="5760" w:hanging="360"/>
      </w:pPr>
      <w:rPr>
        <w:rFonts w:ascii="Courier New" w:hAnsi="Courier New" w:cs="Courier New" w:hint="default"/>
      </w:rPr>
    </w:lvl>
    <w:lvl w:ilvl="8" w:tplc="D2FA76D4">
      <w:start w:val="1"/>
      <w:numFmt w:val="bullet"/>
      <w:lvlText w:val=""/>
      <w:lvlJc w:val="left"/>
      <w:pPr>
        <w:ind w:left="6480" w:hanging="360"/>
      </w:pPr>
      <w:rPr>
        <w:rFonts w:ascii="Wingdings" w:hAnsi="Wingdings" w:hint="default"/>
      </w:rPr>
    </w:lvl>
  </w:abstractNum>
  <w:abstractNum w:abstractNumId="18" w15:restartNumberingAfterBreak="0">
    <w:nsid w:val="1D230CDA"/>
    <w:multiLevelType w:val="hybridMultilevel"/>
    <w:tmpl w:val="71A8C462"/>
    <w:lvl w:ilvl="0" w:tplc="78B8D178">
      <w:start w:val="1"/>
      <w:numFmt w:val="bullet"/>
      <w:lvlText w:val="•"/>
      <w:lvlJc w:val="left"/>
      <w:pPr>
        <w:ind w:left="720" w:hanging="360"/>
      </w:pPr>
      <w:rPr>
        <w:rFonts w:ascii="Calibri" w:hAnsi="Calibri" w:hint="default"/>
        <w:b w:val="0"/>
        <w:i w:val="0"/>
        <w:sz w:val="22"/>
      </w:rPr>
    </w:lvl>
    <w:lvl w:ilvl="1" w:tplc="A6FA40DA">
      <w:start w:val="1"/>
      <w:numFmt w:val="bullet"/>
      <w:lvlText w:val="o"/>
      <w:lvlJc w:val="left"/>
      <w:pPr>
        <w:ind w:left="1440" w:hanging="360"/>
      </w:pPr>
      <w:rPr>
        <w:rFonts w:ascii="Courier New" w:hAnsi="Courier New" w:cs="Courier New" w:hint="default"/>
      </w:rPr>
    </w:lvl>
    <w:lvl w:ilvl="2" w:tplc="5CF0C092">
      <w:start w:val="1"/>
      <w:numFmt w:val="bullet"/>
      <w:lvlText w:val=""/>
      <w:lvlJc w:val="left"/>
      <w:pPr>
        <w:ind w:left="2160" w:hanging="360"/>
      </w:pPr>
      <w:rPr>
        <w:rFonts w:ascii="Wingdings" w:hAnsi="Wingdings" w:hint="default"/>
      </w:rPr>
    </w:lvl>
    <w:lvl w:ilvl="3" w:tplc="35928308">
      <w:start w:val="1"/>
      <w:numFmt w:val="bullet"/>
      <w:lvlText w:val=""/>
      <w:lvlJc w:val="left"/>
      <w:pPr>
        <w:ind w:left="2880" w:hanging="360"/>
      </w:pPr>
      <w:rPr>
        <w:rFonts w:ascii="Symbol" w:hAnsi="Symbol" w:hint="default"/>
      </w:rPr>
    </w:lvl>
    <w:lvl w:ilvl="4" w:tplc="4FFC0A94">
      <w:start w:val="1"/>
      <w:numFmt w:val="bullet"/>
      <w:lvlText w:val="o"/>
      <w:lvlJc w:val="left"/>
      <w:pPr>
        <w:ind w:left="3600" w:hanging="360"/>
      </w:pPr>
      <w:rPr>
        <w:rFonts w:ascii="Courier New" w:hAnsi="Courier New" w:cs="Courier New" w:hint="default"/>
      </w:rPr>
    </w:lvl>
    <w:lvl w:ilvl="5" w:tplc="3E50E560">
      <w:start w:val="1"/>
      <w:numFmt w:val="bullet"/>
      <w:lvlText w:val=""/>
      <w:lvlJc w:val="left"/>
      <w:pPr>
        <w:ind w:left="4320" w:hanging="360"/>
      </w:pPr>
      <w:rPr>
        <w:rFonts w:ascii="Wingdings" w:hAnsi="Wingdings" w:hint="default"/>
      </w:rPr>
    </w:lvl>
    <w:lvl w:ilvl="6" w:tplc="2DDE007E">
      <w:start w:val="1"/>
      <w:numFmt w:val="bullet"/>
      <w:lvlText w:val=""/>
      <w:lvlJc w:val="left"/>
      <w:pPr>
        <w:ind w:left="5040" w:hanging="360"/>
      </w:pPr>
      <w:rPr>
        <w:rFonts w:ascii="Symbol" w:hAnsi="Symbol" w:hint="default"/>
      </w:rPr>
    </w:lvl>
    <w:lvl w:ilvl="7" w:tplc="53C05BAC">
      <w:start w:val="1"/>
      <w:numFmt w:val="bullet"/>
      <w:lvlText w:val="o"/>
      <w:lvlJc w:val="left"/>
      <w:pPr>
        <w:ind w:left="5760" w:hanging="360"/>
      </w:pPr>
      <w:rPr>
        <w:rFonts w:ascii="Courier New" w:hAnsi="Courier New" w:cs="Courier New" w:hint="default"/>
      </w:rPr>
    </w:lvl>
    <w:lvl w:ilvl="8" w:tplc="663A18EE">
      <w:start w:val="1"/>
      <w:numFmt w:val="bullet"/>
      <w:lvlText w:val=""/>
      <w:lvlJc w:val="left"/>
      <w:pPr>
        <w:ind w:left="6480" w:hanging="360"/>
      </w:pPr>
      <w:rPr>
        <w:rFonts w:ascii="Wingdings" w:hAnsi="Wingdings" w:hint="default"/>
      </w:rPr>
    </w:lvl>
  </w:abstractNum>
  <w:abstractNum w:abstractNumId="19" w15:restartNumberingAfterBreak="0">
    <w:nsid w:val="1DD06E17"/>
    <w:multiLevelType w:val="hybridMultilevel"/>
    <w:tmpl w:val="4EF46B56"/>
    <w:lvl w:ilvl="0" w:tplc="3BC8CA78">
      <w:start w:val="1"/>
      <w:numFmt w:val="bullet"/>
      <w:lvlText w:val="•"/>
      <w:lvlJc w:val="left"/>
      <w:pPr>
        <w:ind w:left="720" w:hanging="360"/>
      </w:pPr>
      <w:rPr>
        <w:rFonts w:ascii="Calibri" w:hAnsi="Calibri" w:hint="default"/>
        <w:b w:val="0"/>
        <w:i w:val="0"/>
        <w:sz w:val="22"/>
      </w:rPr>
    </w:lvl>
    <w:lvl w:ilvl="1" w:tplc="0232BB6E">
      <w:start w:val="1"/>
      <w:numFmt w:val="bullet"/>
      <w:lvlText w:val="o"/>
      <w:lvlJc w:val="left"/>
      <w:pPr>
        <w:ind w:left="1440" w:hanging="360"/>
      </w:pPr>
      <w:rPr>
        <w:rFonts w:ascii="Courier New" w:hAnsi="Courier New" w:cs="Courier New" w:hint="default"/>
      </w:rPr>
    </w:lvl>
    <w:lvl w:ilvl="2" w:tplc="DC74DA3C">
      <w:start w:val="1"/>
      <w:numFmt w:val="bullet"/>
      <w:lvlText w:val=""/>
      <w:lvlJc w:val="left"/>
      <w:pPr>
        <w:ind w:left="2160" w:hanging="360"/>
      </w:pPr>
      <w:rPr>
        <w:rFonts w:ascii="Wingdings" w:hAnsi="Wingdings" w:hint="default"/>
      </w:rPr>
    </w:lvl>
    <w:lvl w:ilvl="3" w:tplc="F26A7948">
      <w:start w:val="1"/>
      <w:numFmt w:val="bullet"/>
      <w:lvlText w:val=""/>
      <w:lvlJc w:val="left"/>
      <w:pPr>
        <w:ind w:left="2880" w:hanging="360"/>
      </w:pPr>
      <w:rPr>
        <w:rFonts w:ascii="Symbol" w:hAnsi="Symbol" w:hint="default"/>
      </w:rPr>
    </w:lvl>
    <w:lvl w:ilvl="4" w:tplc="50AEB46C">
      <w:start w:val="1"/>
      <w:numFmt w:val="bullet"/>
      <w:lvlText w:val="o"/>
      <w:lvlJc w:val="left"/>
      <w:pPr>
        <w:ind w:left="3600" w:hanging="360"/>
      </w:pPr>
      <w:rPr>
        <w:rFonts w:ascii="Courier New" w:hAnsi="Courier New" w:cs="Courier New" w:hint="default"/>
      </w:rPr>
    </w:lvl>
    <w:lvl w:ilvl="5" w:tplc="13728040">
      <w:start w:val="1"/>
      <w:numFmt w:val="bullet"/>
      <w:lvlText w:val=""/>
      <w:lvlJc w:val="left"/>
      <w:pPr>
        <w:ind w:left="4320" w:hanging="360"/>
      </w:pPr>
      <w:rPr>
        <w:rFonts w:ascii="Wingdings" w:hAnsi="Wingdings" w:hint="default"/>
      </w:rPr>
    </w:lvl>
    <w:lvl w:ilvl="6" w:tplc="8C74BA6C">
      <w:start w:val="1"/>
      <w:numFmt w:val="bullet"/>
      <w:lvlText w:val=""/>
      <w:lvlJc w:val="left"/>
      <w:pPr>
        <w:ind w:left="5040" w:hanging="360"/>
      </w:pPr>
      <w:rPr>
        <w:rFonts w:ascii="Symbol" w:hAnsi="Symbol" w:hint="default"/>
      </w:rPr>
    </w:lvl>
    <w:lvl w:ilvl="7" w:tplc="777098EC">
      <w:start w:val="1"/>
      <w:numFmt w:val="bullet"/>
      <w:lvlText w:val="o"/>
      <w:lvlJc w:val="left"/>
      <w:pPr>
        <w:ind w:left="5760" w:hanging="360"/>
      </w:pPr>
      <w:rPr>
        <w:rFonts w:ascii="Courier New" w:hAnsi="Courier New" w:cs="Courier New" w:hint="default"/>
      </w:rPr>
    </w:lvl>
    <w:lvl w:ilvl="8" w:tplc="44DCFA98">
      <w:start w:val="1"/>
      <w:numFmt w:val="bullet"/>
      <w:lvlText w:val=""/>
      <w:lvlJc w:val="left"/>
      <w:pPr>
        <w:ind w:left="6480" w:hanging="360"/>
      </w:pPr>
      <w:rPr>
        <w:rFonts w:ascii="Wingdings" w:hAnsi="Wingdings" w:hint="default"/>
      </w:rPr>
    </w:lvl>
  </w:abstractNum>
  <w:abstractNum w:abstractNumId="20" w15:restartNumberingAfterBreak="0">
    <w:nsid w:val="1E211998"/>
    <w:multiLevelType w:val="multilevel"/>
    <w:tmpl w:val="14FEAEE8"/>
    <w:styleLink w:val="naslovimultilvl"/>
    <w:lvl w:ilvl="0">
      <w:start w:val="1"/>
      <w:numFmt w:val="decimal"/>
      <w:pStyle w:val="naslovimultilvl"/>
      <w:lvlText w:val="%1."/>
      <w:lvlJc w:val="left"/>
      <w:pPr>
        <w:ind w:left="567" w:hanging="567"/>
      </w:pPr>
      <w:rPr>
        <w:rFonts w:ascii="Segoe UI" w:hAnsi="Segoe UI"/>
        <w:color w:val="003F71"/>
        <w:sz w:val="40"/>
      </w:rPr>
    </w:lvl>
    <w:lvl w:ilvl="1">
      <w:start w:val="1"/>
      <w:numFmt w:val="decimal"/>
      <w:lvlText w:val="%1.%2."/>
      <w:lvlJc w:val="left"/>
      <w:pPr>
        <w:ind w:left="567" w:hanging="567"/>
      </w:pPr>
      <w:rPr>
        <w:rFonts w:ascii="Segoe UI" w:hAnsi="Segoe UI" w:hint="default"/>
        <w:color w:val="003F71"/>
        <w:sz w:val="28"/>
      </w:rPr>
    </w:lvl>
    <w:lvl w:ilvl="2">
      <w:start w:val="1"/>
      <w:numFmt w:val="decimal"/>
      <w:lvlText w:val="%1.%2.%3."/>
      <w:lvlJc w:val="left"/>
      <w:pPr>
        <w:ind w:left="737" w:hanging="737"/>
      </w:pPr>
      <w:rPr>
        <w:rFonts w:ascii="Segoe UI" w:hAnsi="Segoe UI" w:hint="default"/>
        <w:color w:val="003F71"/>
        <w:sz w:val="24"/>
      </w:rPr>
    </w:lvl>
    <w:lvl w:ilvl="3">
      <w:start w:val="1"/>
      <w:numFmt w:val="decimal"/>
      <w:lvlText w:val="%1.%2.%3.%4."/>
      <w:lvlJc w:val="left"/>
      <w:pPr>
        <w:ind w:left="1730" w:hanging="737"/>
      </w:pPr>
      <w:rPr>
        <w:rFonts w:ascii="Segoe UI" w:hAnsi="Segoe UI" w:hint="default"/>
        <w:color w:val="003F71"/>
        <w:sz w:val="20"/>
      </w:rPr>
    </w:lvl>
    <w:lvl w:ilvl="4">
      <w:start w:val="1"/>
      <w:numFmt w:val="decimal"/>
      <w:lvlText w:val="%1.%2.%3.%4.%5."/>
      <w:lvlJc w:val="left"/>
      <w:pPr>
        <w:ind w:left="4394" w:hanging="794"/>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21" w15:restartNumberingAfterBreak="0">
    <w:nsid w:val="21043D9A"/>
    <w:multiLevelType w:val="hybridMultilevel"/>
    <w:tmpl w:val="154C81C8"/>
    <w:lvl w:ilvl="0" w:tplc="3E386184">
      <w:start w:val="1"/>
      <w:numFmt w:val="bullet"/>
      <w:lvlText w:val=""/>
      <w:lvlJc w:val="left"/>
      <w:pPr>
        <w:ind w:left="720" w:hanging="360"/>
      </w:pPr>
      <w:rPr>
        <w:rFonts w:ascii="Symbol" w:hAnsi="Symbol" w:hint="default"/>
      </w:rPr>
    </w:lvl>
    <w:lvl w:ilvl="1" w:tplc="A056878C">
      <w:start w:val="1"/>
      <w:numFmt w:val="bullet"/>
      <w:lvlText w:val="o"/>
      <w:lvlJc w:val="left"/>
      <w:pPr>
        <w:ind w:left="1440" w:hanging="360"/>
      </w:pPr>
      <w:rPr>
        <w:rFonts w:ascii="Courier New" w:hAnsi="Courier New" w:cs="Courier New" w:hint="default"/>
      </w:rPr>
    </w:lvl>
    <w:lvl w:ilvl="2" w:tplc="9620AF66">
      <w:start w:val="1"/>
      <w:numFmt w:val="bullet"/>
      <w:lvlText w:val=""/>
      <w:lvlJc w:val="left"/>
      <w:pPr>
        <w:ind w:left="2160" w:hanging="360"/>
      </w:pPr>
      <w:rPr>
        <w:rFonts w:ascii="Wingdings" w:hAnsi="Wingdings" w:cs="Wingdings" w:hint="default"/>
      </w:rPr>
    </w:lvl>
    <w:lvl w:ilvl="3" w:tplc="48204686">
      <w:start w:val="1"/>
      <w:numFmt w:val="bullet"/>
      <w:lvlText w:val=""/>
      <w:lvlJc w:val="left"/>
      <w:pPr>
        <w:ind w:left="2880" w:hanging="360"/>
      </w:pPr>
      <w:rPr>
        <w:rFonts w:ascii="Symbol" w:hAnsi="Symbol" w:cs="Symbol" w:hint="default"/>
      </w:rPr>
    </w:lvl>
    <w:lvl w:ilvl="4" w:tplc="D890BF64">
      <w:start w:val="1"/>
      <w:numFmt w:val="bullet"/>
      <w:lvlText w:val="o"/>
      <w:lvlJc w:val="left"/>
      <w:pPr>
        <w:ind w:left="3600" w:hanging="360"/>
      </w:pPr>
      <w:rPr>
        <w:rFonts w:ascii="Courier New" w:hAnsi="Courier New" w:cs="Courier New" w:hint="default"/>
      </w:rPr>
    </w:lvl>
    <w:lvl w:ilvl="5" w:tplc="D4E8465A">
      <w:start w:val="1"/>
      <w:numFmt w:val="bullet"/>
      <w:lvlText w:val=""/>
      <w:lvlJc w:val="left"/>
      <w:pPr>
        <w:ind w:left="4320" w:hanging="360"/>
      </w:pPr>
      <w:rPr>
        <w:rFonts w:ascii="Wingdings" w:hAnsi="Wingdings" w:cs="Wingdings" w:hint="default"/>
      </w:rPr>
    </w:lvl>
    <w:lvl w:ilvl="6" w:tplc="366C470A">
      <w:start w:val="1"/>
      <w:numFmt w:val="bullet"/>
      <w:lvlText w:val=""/>
      <w:lvlJc w:val="left"/>
      <w:pPr>
        <w:ind w:left="5040" w:hanging="360"/>
      </w:pPr>
      <w:rPr>
        <w:rFonts w:ascii="Symbol" w:hAnsi="Symbol" w:cs="Symbol" w:hint="default"/>
      </w:rPr>
    </w:lvl>
    <w:lvl w:ilvl="7" w:tplc="96943032">
      <w:start w:val="1"/>
      <w:numFmt w:val="bullet"/>
      <w:lvlText w:val="o"/>
      <w:lvlJc w:val="left"/>
      <w:pPr>
        <w:ind w:left="5760" w:hanging="360"/>
      </w:pPr>
      <w:rPr>
        <w:rFonts w:ascii="Courier New" w:hAnsi="Courier New" w:cs="Courier New" w:hint="default"/>
      </w:rPr>
    </w:lvl>
    <w:lvl w:ilvl="8" w:tplc="4828B120">
      <w:start w:val="1"/>
      <w:numFmt w:val="bullet"/>
      <w:lvlText w:val=""/>
      <w:lvlJc w:val="left"/>
      <w:pPr>
        <w:ind w:left="6480" w:hanging="360"/>
      </w:pPr>
      <w:rPr>
        <w:rFonts w:ascii="Wingdings" w:hAnsi="Wingdings" w:cs="Wingdings" w:hint="default"/>
      </w:rPr>
    </w:lvl>
  </w:abstractNum>
  <w:abstractNum w:abstractNumId="22" w15:restartNumberingAfterBreak="0">
    <w:nsid w:val="21B0146B"/>
    <w:multiLevelType w:val="hybridMultilevel"/>
    <w:tmpl w:val="230C0220"/>
    <w:lvl w:ilvl="0" w:tplc="F57E9226">
      <w:start w:val="1"/>
      <w:numFmt w:val="bullet"/>
      <w:lvlText w:val="•"/>
      <w:lvlJc w:val="left"/>
      <w:pPr>
        <w:ind w:left="1428" w:hanging="360"/>
      </w:pPr>
      <w:rPr>
        <w:rFonts w:ascii="Calibri" w:hAnsi="Calibri" w:hint="default"/>
        <w:b w:val="0"/>
        <w:i w:val="0"/>
        <w:sz w:val="22"/>
      </w:rPr>
    </w:lvl>
    <w:lvl w:ilvl="1" w:tplc="51D484E4">
      <w:start w:val="1"/>
      <w:numFmt w:val="bullet"/>
      <w:lvlText w:val="o"/>
      <w:lvlJc w:val="left"/>
      <w:pPr>
        <w:ind w:left="2148" w:hanging="360"/>
      </w:pPr>
      <w:rPr>
        <w:rFonts w:ascii="Courier New" w:hAnsi="Courier New" w:cs="Courier New" w:hint="default"/>
      </w:rPr>
    </w:lvl>
    <w:lvl w:ilvl="2" w:tplc="9D6CE2A8">
      <w:start w:val="1"/>
      <w:numFmt w:val="bullet"/>
      <w:lvlText w:val=""/>
      <w:lvlJc w:val="left"/>
      <w:pPr>
        <w:ind w:left="2868" w:hanging="360"/>
      </w:pPr>
      <w:rPr>
        <w:rFonts w:ascii="Wingdings" w:hAnsi="Wingdings" w:hint="default"/>
      </w:rPr>
    </w:lvl>
    <w:lvl w:ilvl="3" w:tplc="C8BC8C42">
      <w:start w:val="1"/>
      <w:numFmt w:val="bullet"/>
      <w:lvlText w:val=""/>
      <w:lvlJc w:val="left"/>
      <w:pPr>
        <w:ind w:left="3588" w:hanging="360"/>
      </w:pPr>
      <w:rPr>
        <w:rFonts w:ascii="Symbol" w:hAnsi="Symbol" w:hint="default"/>
      </w:rPr>
    </w:lvl>
    <w:lvl w:ilvl="4" w:tplc="6802AEFE">
      <w:start w:val="1"/>
      <w:numFmt w:val="bullet"/>
      <w:lvlText w:val="o"/>
      <w:lvlJc w:val="left"/>
      <w:pPr>
        <w:ind w:left="4308" w:hanging="360"/>
      </w:pPr>
      <w:rPr>
        <w:rFonts w:ascii="Courier New" w:hAnsi="Courier New" w:cs="Courier New" w:hint="default"/>
      </w:rPr>
    </w:lvl>
    <w:lvl w:ilvl="5" w:tplc="F2E26E48">
      <w:start w:val="1"/>
      <w:numFmt w:val="bullet"/>
      <w:lvlText w:val=""/>
      <w:lvlJc w:val="left"/>
      <w:pPr>
        <w:ind w:left="5028" w:hanging="360"/>
      </w:pPr>
      <w:rPr>
        <w:rFonts w:ascii="Wingdings" w:hAnsi="Wingdings" w:hint="default"/>
      </w:rPr>
    </w:lvl>
    <w:lvl w:ilvl="6" w:tplc="23CCB5AA">
      <w:start w:val="1"/>
      <w:numFmt w:val="bullet"/>
      <w:lvlText w:val=""/>
      <w:lvlJc w:val="left"/>
      <w:pPr>
        <w:ind w:left="5748" w:hanging="360"/>
      </w:pPr>
      <w:rPr>
        <w:rFonts w:ascii="Symbol" w:hAnsi="Symbol" w:hint="default"/>
      </w:rPr>
    </w:lvl>
    <w:lvl w:ilvl="7" w:tplc="D570D5C4">
      <w:start w:val="1"/>
      <w:numFmt w:val="bullet"/>
      <w:lvlText w:val="o"/>
      <w:lvlJc w:val="left"/>
      <w:pPr>
        <w:ind w:left="6468" w:hanging="360"/>
      </w:pPr>
      <w:rPr>
        <w:rFonts w:ascii="Courier New" w:hAnsi="Courier New" w:cs="Courier New" w:hint="default"/>
      </w:rPr>
    </w:lvl>
    <w:lvl w:ilvl="8" w:tplc="42A64B1A">
      <w:start w:val="1"/>
      <w:numFmt w:val="bullet"/>
      <w:lvlText w:val=""/>
      <w:lvlJc w:val="left"/>
      <w:pPr>
        <w:ind w:left="7188" w:hanging="360"/>
      </w:pPr>
      <w:rPr>
        <w:rFonts w:ascii="Wingdings" w:hAnsi="Wingdings" w:hint="default"/>
      </w:rPr>
    </w:lvl>
  </w:abstractNum>
  <w:abstractNum w:abstractNumId="23" w15:restartNumberingAfterBreak="0">
    <w:nsid w:val="21EC21A9"/>
    <w:multiLevelType w:val="hybridMultilevel"/>
    <w:tmpl w:val="F0720458"/>
    <w:lvl w:ilvl="0" w:tplc="DE38A522">
      <w:start w:val="1"/>
      <w:numFmt w:val="bullet"/>
      <w:lvlText w:val=""/>
      <w:lvlJc w:val="left"/>
      <w:pPr>
        <w:ind w:left="720" w:hanging="360"/>
      </w:pPr>
      <w:rPr>
        <w:rFonts w:ascii="Symbol" w:hAnsi="Symbol" w:hint="default"/>
      </w:rPr>
    </w:lvl>
    <w:lvl w:ilvl="1" w:tplc="803879D4">
      <w:start w:val="1"/>
      <w:numFmt w:val="bullet"/>
      <w:lvlText w:val="o"/>
      <w:lvlJc w:val="left"/>
      <w:pPr>
        <w:ind w:left="1440" w:hanging="360"/>
      </w:pPr>
      <w:rPr>
        <w:rFonts w:ascii="Courier New" w:hAnsi="Courier New" w:cs="Courier New" w:hint="default"/>
      </w:rPr>
    </w:lvl>
    <w:lvl w:ilvl="2" w:tplc="4D66AED2">
      <w:start w:val="1"/>
      <w:numFmt w:val="bullet"/>
      <w:lvlText w:val=""/>
      <w:lvlJc w:val="left"/>
      <w:pPr>
        <w:ind w:left="2160" w:hanging="360"/>
      </w:pPr>
      <w:rPr>
        <w:rFonts w:ascii="Wingdings" w:hAnsi="Wingdings" w:hint="default"/>
      </w:rPr>
    </w:lvl>
    <w:lvl w:ilvl="3" w:tplc="31086D96">
      <w:start w:val="1"/>
      <w:numFmt w:val="bullet"/>
      <w:lvlText w:val=""/>
      <w:lvlJc w:val="left"/>
      <w:pPr>
        <w:ind w:left="2880" w:hanging="360"/>
      </w:pPr>
      <w:rPr>
        <w:rFonts w:ascii="Symbol" w:hAnsi="Symbol" w:hint="default"/>
      </w:rPr>
    </w:lvl>
    <w:lvl w:ilvl="4" w:tplc="9DDC9F78">
      <w:start w:val="1"/>
      <w:numFmt w:val="bullet"/>
      <w:lvlText w:val="o"/>
      <w:lvlJc w:val="left"/>
      <w:pPr>
        <w:ind w:left="3600" w:hanging="360"/>
      </w:pPr>
      <w:rPr>
        <w:rFonts w:ascii="Courier New" w:hAnsi="Courier New" w:cs="Courier New" w:hint="default"/>
      </w:rPr>
    </w:lvl>
    <w:lvl w:ilvl="5" w:tplc="4F0CF880">
      <w:start w:val="1"/>
      <w:numFmt w:val="bullet"/>
      <w:lvlText w:val=""/>
      <w:lvlJc w:val="left"/>
      <w:pPr>
        <w:ind w:left="4320" w:hanging="360"/>
      </w:pPr>
      <w:rPr>
        <w:rFonts w:ascii="Wingdings" w:hAnsi="Wingdings" w:hint="default"/>
      </w:rPr>
    </w:lvl>
    <w:lvl w:ilvl="6" w:tplc="DA1AC9B8">
      <w:start w:val="1"/>
      <w:numFmt w:val="bullet"/>
      <w:lvlText w:val=""/>
      <w:lvlJc w:val="left"/>
      <w:pPr>
        <w:ind w:left="5040" w:hanging="360"/>
      </w:pPr>
      <w:rPr>
        <w:rFonts w:ascii="Symbol" w:hAnsi="Symbol" w:hint="default"/>
      </w:rPr>
    </w:lvl>
    <w:lvl w:ilvl="7" w:tplc="22F0990E">
      <w:start w:val="1"/>
      <w:numFmt w:val="bullet"/>
      <w:lvlText w:val="o"/>
      <w:lvlJc w:val="left"/>
      <w:pPr>
        <w:ind w:left="5760" w:hanging="360"/>
      </w:pPr>
      <w:rPr>
        <w:rFonts w:ascii="Courier New" w:hAnsi="Courier New" w:cs="Courier New" w:hint="default"/>
      </w:rPr>
    </w:lvl>
    <w:lvl w:ilvl="8" w:tplc="395A8726">
      <w:start w:val="1"/>
      <w:numFmt w:val="bullet"/>
      <w:lvlText w:val=""/>
      <w:lvlJc w:val="left"/>
      <w:pPr>
        <w:ind w:left="6480" w:hanging="360"/>
      </w:pPr>
      <w:rPr>
        <w:rFonts w:ascii="Wingdings" w:hAnsi="Wingdings" w:hint="default"/>
      </w:rPr>
    </w:lvl>
  </w:abstractNum>
  <w:abstractNum w:abstractNumId="24" w15:restartNumberingAfterBreak="0">
    <w:nsid w:val="22C51300"/>
    <w:multiLevelType w:val="hybridMultilevel"/>
    <w:tmpl w:val="3B081866"/>
    <w:lvl w:ilvl="0" w:tplc="7F5C7F5C">
      <w:start w:val="1"/>
      <w:numFmt w:val="bullet"/>
      <w:lvlText w:val=""/>
      <w:lvlJc w:val="left"/>
      <w:pPr>
        <w:ind w:left="720" w:hanging="360"/>
      </w:pPr>
      <w:rPr>
        <w:rFonts w:ascii="Symbol" w:hAnsi="Symbol" w:hint="default"/>
        <w:b w:val="0"/>
        <w:i w:val="0"/>
        <w:sz w:val="22"/>
      </w:rPr>
    </w:lvl>
    <w:lvl w:ilvl="1" w:tplc="65B4180E">
      <w:start w:val="1"/>
      <w:numFmt w:val="bullet"/>
      <w:lvlText w:val="o"/>
      <w:lvlJc w:val="left"/>
      <w:pPr>
        <w:ind w:left="1440" w:hanging="360"/>
      </w:pPr>
      <w:rPr>
        <w:rFonts w:ascii="Courier New" w:hAnsi="Courier New" w:cs="Courier New" w:hint="default"/>
      </w:rPr>
    </w:lvl>
    <w:lvl w:ilvl="2" w:tplc="1C9CD434">
      <w:start w:val="1"/>
      <w:numFmt w:val="bullet"/>
      <w:lvlText w:val=""/>
      <w:lvlJc w:val="left"/>
      <w:pPr>
        <w:ind w:left="2160" w:hanging="360"/>
      </w:pPr>
      <w:rPr>
        <w:rFonts w:ascii="Wingdings" w:hAnsi="Wingdings" w:hint="default"/>
      </w:rPr>
    </w:lvl>
    <w:lvl w:ilvl="3" w:tplc="54E4446E">
      <w:start w:val="1"/>
      <w:numFmt w:val="bullet"/>
      <w:lvlText w:val=""/>
      <w:lvlJc w:val="left"/>
      <w:pPr>
        <w:ind w:left="2880" w:hanging="360"/>
      </w:pPr>
      <w:rPr>
        <w:rFonts w:ascii="Symbol" w:hAnsi="Symbol" w:hint="default"/>
      </w:rPr>
    </w:lvl>
    <w:lvl w:ilvl="4" w:tplc="AFBC5658">
      <w:start w:val="1"/>
      <w:numFmt w:val="bullet"/>
      <w:lvlText w:val="o"/>
      <w:lvlJc w:val="left"/>
      <w:pPr>
        <w:ind w:left="3600" w:hanging="360"/>
      </w:pPr>
      <w:rPr>
        <w:rFonts w:ascii="Courier New" w:hAnsi="Courier New" w:cs="Courier New" w:hint="default"/>
      </w:rPr>
    </w:lvl>
    <w:lvl w:ilvl="5" w:tplc="078245EC">
      <w:start w:val="1"/>
      <w:numFmt w:val="bullet"/>
      <w:lvlText w:val=""/>
      <w:lvlJc w:val="left"/>
      <w:pPr>
        <w:ind w:left="4320" w:hanging="360"/>
      </w:pPr>
      <w:rPr>
        <w:rFonts w:ascii="Wingdings" w:hAnsi="Wingdings" w:hint="default"/>
      </w:rPr>
    </w:lvl>
    <w:lvl w:ilvl="6" w:tplc="D8E43C3E">
      <w:start w:val="1"/>
      <w:numFmt w:val="bullet"/>
      <w:lvlText w:val=""/>
      <w:lvlJc w:val="left"/>
      <w:pPr>
        <w:ind w:left="5040" w:hanging="360"/>
      </w:pPr>
      <w:rPr>
        <w:rFonts w:ascii="Symbol" w:hAnsi="Symbol" w:hint="default"/>
      </w:rPr>
    </w:lvl>
    <w:lvl w:ilvl="7" w:tplc="78804190">
      <w:start w:val="1"/>
      <w:numFmt w:val="bullet"/>
      <w:lvlText w:val="o"/>
      <w:lvlJc w:val="left"/>
      <w:pPr>
        <w:ind w:left="5760" w:hanging="360"/>
      </w:pPr>
      <w:rPr>
        <w:rFonts w:ascii="Courier New" w:hAnsi="Courier New" w:cs="Courier New" w:hint="default"/>
      </w:rPr>
    </w:lvl>
    <w:lvl w:ilvl="8" w:tplc="AA4A784C">
      <w:start w:val="1"/>
      <w:numFmt w:val="bullet"/>
      <w:lvlText w:val=""/>
      <w:lvlJc w:val="left"/>
      <w:pPr>
        <w:ind w:left="6480" w:hanging="360"/>
      </w:pPr>
      <w:rPr>
        <w:rFonts w:ascii="Wingdings" w:hAnsi="Wingdings" w:hint="default"/>
      </w:rPr>
    </w:lvl>
  </w:abstractNum>
  <w:abstractNum w:abstractNumId="25" w15:restartNumberingAfterBreak="0">
    <w:nsid w:val="2301278F"/>
    <w:multiLevelType w:val="hybridMultilevel"/>
    <w:tmpl w:val="BBE4B4AA"/>
    <w:lvl w:ilvl="0" w:tplc="7C1EF38A">
      <w:start w:val="1"/>
      <w:numFmt w:val="bullet"/>
      <w:lvlText w:val="•"/>
      <w:lvlJc w:val="left"/>
      <w:pPr>
        <w:ind w:left="720" w:hanging="360"/>
      </w:pPr>
      <w:rPr>
        <w:rFonts w:ascii="Calibri" w:hAnsi="Calibri" w:hint="default"/>
        <w:b w:val="0"/>
        <w:i w:val="0"/>
        <w:sz w:val="22"/>
      </w:rPr>
    </w:lvl>
    <w:lvl w:ilvl="1" w:tplc="A38CE036">
      <w:start w:val="1"/>
      <w:numFmt w:val="bullet"/>
      <w:lvlText w:val="o"/>
      <w:lvlJc w:val="left"/>
      <w:pPr>
        <w:ind w:left="1440" w:hanging="360"/>
      </w:pPr>
      <w:rPr>
        <w:rFonts w:ascii="Courier New" w:hAnsi="Courier New" w:cs="Courier New" w:hint="default"/>
      </w:rPr>
    </w:lvl>
    <w:lvl w:ilvl="2" w:tplc="3A1EFB82">
      <w:start w:val="1"/>
      <w:numFmt w:val="bullet"/>
      <w:lvlText w:val=""/>
      <w:lvlJc w:val="left"/>
      <w:pPr>
        <w:ind w:left="2160" w:hanging="360"/>
      </w:pPr>
      <w:rPr>
        <w:rFonts w:ascii="Wingdings" w:hAnsi="Wingdings" w:hint="default"/>
      </w:rPr>
    </w:lvl>
    <w:lvl w:ilvl="3" w:tplc="7584E604">
      <w:start w:val="1"/>
      <w:numFmt w:val="bullet"/>
      <w:lvlText w:val=""/>
      <w:lvlJc w:val="left"/>
      <w:pPr>
        <w:ind w:left="2880" w:hanging="360"/>
      </w:pPr>
      <w:rPr>
        <w:rFonts w:ascii="Symbol" w:hAnsi="Symbol" w:hint="default"/>
      </w:rPr>
    </w:lvl>
    <w:lvl w:ilvl="4" w:tplc="E8D6099E">
      <w:start w:val="1"/>
      <w:numFmt w:val="bullet"/>
      <w:lvlText w:val="o"/>
      <w:lvlJc w:val="left"/>
      <w:pPr>
        <w:ind w:left="3600" w:hanging="360"/>
      </w:pPr>
      <w:rPr>
        <w:rFonts w:ascii="Courier New" w:hAnsi="Courier New" w:cs="Courier New" w:hint="default"/>
      </w:rPr>
    </w:lvl>
    <w:lvl w:ilvl="5" w:tplc="4B5EEA5A">
      <w:start w:val="1"/>
      <w:numFmt w:val="bullet"/>
      <w:lvlText w:val=""/>
      <w:lvlJc w:val="left"/>
      <w:pPr>
        <w:ind w:left="4320" w:hanging="360"/>
      </w:pPr>
      <w:rPr>
        <w:rFonts w:ascii="Wingdings" w:hAnsi="Wingdings" w:hint="default"/>
      </w:rPr>
    </w:lvl>
    <w:lvl w:ilvl="6" w:tplc="1CDA289E">
      <w:start w:val="1"/>
      <w:numFmt w:val="bullet"/>
      <w:lvlText w:val=""/>
      <w:lvlJc w:val="left"/>
      <w:pPr>
        <w:ind w:left="5040" w:hanging="360"/>
      </w:pPr>
      <w:rPr>
        <w:rFonts w:ascii="Symbol" w:hAnsi="Symbol" w:hint="default"/>
      </w:rPr>
    </w:lvl>
    <w:lvl w:ilvl="7" w:tplc="7C24DB90">
      <w:start w:val="1"/>
      <w:numFmt w:val="bullet"/>
      <w:lvlText w:val="o"/>
      <w:lvlJc w:val="left"/>
      <w:pPr>
        <w:ind w:left="5760" w:hanging="360"/>
      </w:pPr>
      <w:rPr>
        <w:rFonts w:ascii="Courier New" w:hAnsi="Courier New" w:cs="Courier New" w:hint="default"/>
      </w:rPr>
    </w:lvl>
    <w:lvl w:ilvl="8" w:tplc="A17A56F4">
      <w:start w:val="1"/>
      <w:numFmt w:val="bullet"/>
      <w:lvlText w:val=""/>
      <w:lvlJc w:val="left"/>
      <w:pPr>
        <w:ind w:left="6480" w:hanging="360"/>
      </w:pPr>
      <w:rPr>
        <w:rFonts w:ascii="Wingdings" w:hAnsi="Wingdings" w:hint="default"/>
      </w:rPr>
    </w:lvl>
  </w:abstractNum>
  <w:abstractNum w:abstractNumId="26" w15:restartNumberingAfterBreak="0">
    <w:nsid w:val="23454713"/>
    <w:multiLevelType w:val="hybridMultilevel"/>
    <w:tmpl w:val="B57E2BAC"/>
    <w:lvl w:ilvl="0" w:tplc="D876BE64">
      <w:start w:val="1"/>
      <w:numFmt w:val="bullet"/>
      <w:lvlText w:val="•"/>
      <w:lvlJc w:val="left"/>
      <w:pPr>
        <w:ind w:left="720" w:hanging="360"/>
      </w:pPr>
      <w:rPr>
        <w:rFonts w:ascii="Calibri" w:hAnsi="Calibri" w:hint="default"/>
        <w:b w:val="0"/>
        <w:i w:val="0"/>
        <w:sz w:val="22"/>
      </w:rPr>
    </w:lvl>
    <w:lvl w:ilvl="1" w:tplc="BC0CB734">
      <w:start w:val="1"/>
      <w:numFmt w:val="bullet"/>
      <w:lvlText w:val="o"/>
      <w:lvlJc w:val="left"/>
      <w:pPr>
        <w:ind w:left="1440" w:hanging="360"/>
      </w:pPr>
      <w:rPr>
        <w:rFonts w:ascii="Courier New" w:hAnsi="Courier New" w:cs="Courier New" w:hint="default"/>
      </w:rPr>
    </w:lvl>
    <w:lvl w:ilvl="2" w:tplc="E86C1728">
      <w:start w:val="1"/>
      <w:numFmt w:val="bullet"/>
      <w:lvlText w:val=""/>
      <w:lvlJc w:val="left"/>
      <w:pPr>
        <w:ind w:left="2160" w:hanging="360"/>
      </w:pPr>
      <w:rPr>
        <w:rFonts w:ascii="Wingdings" w:hAnsi="Wingdings" w:hint="default"/>
      </w:rPr>
    </w:lvl>
    <w:lvl w:ilvl="3" w:tplc="D42AC5C4">
      <w:start w:val="1"/>
      <w:numFmt w:val="bullet"/>
      <w:lvlText w:val=""/>
      <w:lvlJc w:val="left"/>
      <w:pPr>
        <w:ind w:left="2880" w:hanging="360"/>
      </w:pPr>
      <w:rPr>
        <w:rFonts w:ascii="Symbol" w:hAnsi="Symbol" w:hint="default"/>
      </w:rPr>
    </w:lvl>
    <w:lvl w:ilvl="4" w:tplc="84E4C85A">
      <w:start w:val="1"/>
      <w:numFmt w:val="bullet"/>
      <w:lvlText w:val="o"/>
      <w:lvlJc w:val="left"/>
      <w:pPr>
        <w:ind w:left="3600" w:hanging="360"/>
      </w:pPr>
      <w:rPr>
        <w:rFonts w:ascii="Courier New" w:hAnsi="Courier New" w:cs="Courier New" w:hint="default"/>
      </w:rPr>
    </w:lvl>
    <w:lvl w:ilvl="5" w:tplc="D8AE4B7E">
      <w:start w:val="1"/>
      <w:numFmt w:val="bullet"/>
      <w:lvlText w:val=""/>
      <w:lvlJc w:val="left"/>
      <w:pPr>
        <w:ind w:left="4320" w:hanging="360"/>
      </w:pPr>
      <w:rPr>
        <w:rFonts w:ascii="Wingdings" w:hAnsi="Wingdings" w:hint="default"/>
      </w:rPr>
    </w:lvl>
    <w:lvl w:ilvl="6" w:tplc="8072FB64">
      <w:start w:val="1"/>
      <w:numFmt w:val="bullet"/>
      <w:lvlText w:val=""/>
      <w:lvlJc w:val="left"/>
      <w:pPr>
        <w:ind w:left="5040" w:hanging="360"/>
      </w:pPr>
      <w:rPr>
        <w:rFonts w:ascii="Symbol" w:hAnsi="Symbol" w:hint="default"/>
      </w:rPr>
    </w:lvl>
    <w:lvl w:ilvl="7" w:tplc="AF4699F2">
      <w:start w:val="1"/>
      <w:numFmt w:val="bullet"/>
      <w:lvlText w:val="o"/>
      <w:lvlJc w:val="left"/>
      <w:pPr>
        <w:ind w:left="5760" w:hanging="360"/>
      </w:pPr>
      <w:rPr>
        <w:rFonts w:ascii="Courier New" w:hAnsi="Courier New" w:cs="Courier New" w:hint="default"/>
      </w:rPr>
    </w:lvl>
    <w:lvl w:ilvl="8" w:tplc="68B8D570">
      <w:start w:val="1"/>
      <w:numFmt w:val="bullet"/>
      <w:lvlText w:val=""/>
      <w:lvlJc w:val="left"/>
      <w:pPr>
        <w:ind w:left="6480" w:hanging="360"/>
      </w:pPr>
      <w:rPr>
        <w:rFonts w:ascii="Wingdings" w:hAnsi="Wingdings" w:hint="default"/>
      </w:rPr>
    </w:lvl>
  </w:abstractNum>
  <w:abstractNum w:abstractNumId="27" w15:restartNumberingAfterBreak="0">
    <w:nsid w:val="267E7784"/>
    <w:multiLevelType w:val="hybridMultilevel"/>
    <w:tmpl w:val="BA527462"/>
    <w:lvl w:ilvl="0" w:tplc="69FEBDC0">
      <w:start w:val="1"/>
      <w:numFmt w:val="bullet"/>
      <w:lvlText w:val="•"/>
      <w:lvlJc w:val="left"/>
      <w:pPr>
        <w:ind w:left="720" w:hanging="360"/>
      </w:pPr>
      <w:rPr>
        <w:rFonts w:ascii="Calibri" w:hAnsi="Calibri" w:hint="default"/>
        <w:b w:val="0"/>
        <w:i w:val="0"/>
        <w:sz w:val="22"/>
      </w:rPr>
    </w:lvl>
    <w:lvl w:ilvl="1" w:tplc="DDCECC2C">
      <w:start w:val="1"/>
      <w:numFmt w:val="bullet"/>
      <w:lvlText w:val="o"/>
      <w:lvlJc w:val="left"/>
      <w:pPr>
        <w:ind w:left="1440" w:hanging="360"/>
      </w:pPr>
      <w:rPr>
        <w:rFonts w:ascii="Courier New" w:hAnsi="Courier New" w:cs="Courier New" w:hint="default"/>
      </w:rPr>
    </w:lvl>
    <w:lvl w:ilvl="2" w:tplc="4A26E938">
      <w:start w:val="1"/>
      <w:numFmt w:val="bullet"/>
      <w:lvlText w:val=""/>
      <w:lvlJc w:val="left"/>
      <w:pPr>
        <w:ind w:left="2160" w:hanging="360"/>
      </w:pPr>
      <w:rPr>
        <w:rFonts w:ascii="Wingdings" w:hAnsi="Wingdings" w:hint="default"/>
      </w:rPr>
    </w:lvl>
    <w:lvl w:ilvl="3" w:tplc="A4B4307C">
      <w:start w:val="1"/>
      <w:numFmt w:val="bullet"/>
      <w:lvlText w:val=""/>
      <w:lvlJc w:val="left"/>
      <w:pPr>
        <w:ind w:left="2880" w:hanging="360"/>
      </w:pPr>
      <w:rPr>
        <w:rFonts w:ascii="Symbol" w:hAnsi="Symbol" w:hint="default"/>
      </w:rPr>
    </w:lvl>
    <w:lvl w:ilvl="4" w:tplc="6444FA42">
      <w:start w:val="1"/>
      <w:numFmt w:val="bullet"/>
      <w:lvlText w:val="o"/>
      <w:lvlJc w:val="left"/>
      <w:pPr>
        <w:ind w:left="3600" w:hanging="360"/>
      </w:pPr>
      <w:rPr>
        <w:rFonts w:ascii="Courier New" w:hAnsi="Courier New" w:cs="Courier New" w:hint="default"/>
      </w:rPr>
    </w:lvl>
    <w:lvl w:ilvl="5" w:tplc="5740AEC6">
      <w:start w:val="1"/>
      <w:numFmt w:val="bullet"/>
      <w:lvlText w:val=""/>
      <w:lvlJc w:val="left"/>
      <w:pPr>
        <w:ind w:left="4320" w:hanging="360"/>
      </w:pPr>
      <w:rPr>
        <w:rFonts w:ascii="Wingdings" w:hAnsi="Wingdings" w:hint="default"/>
      </w:rPr>
    </w:lvl>
    <w:lvl w:ilvl="6" w:tplc="4DB82464">
      <w:start w:val="1"/>
      <w:numFmt w:val="bullet"/>
      <w:lvlText w:val=""/>
      <w:lvlJc w:val="left"/>
      <w:pPr>
        <w:ind w:left="5040" w:hanging="360"/>
      </w:pPr>
      <w:rPr>
        <w:rFonts w:ascii="Symbol" w:hAnsi="Symbol" w:hint="default"/>
      </w:rPr>
    </w:lvl>
    <w:lvl w:ilvl="7" w:tplc="91DE930E">
      <w:start w:val="1"/>
      <w:numFmt w:val="bullet"/>
      <w:lvlText w:val="o"/>
      <w:lvlJc w:val="left"/>
      <w:pPr>
        <w:ind w:left="5760" w:hanging="360"/>
      </w:pPr>
      <w:rPr>
        <w:rFonts w:ascii="Courier New" w:hAnsi="Courier New" w:cs="Courier New" w:hint="default"/>
      </w:rPr>
    </w:lvl>
    <w:lvl w:ilvl="8" w:tplc="1EC48BC4">
      <w:start w:val="1"/>
      <w:numFmt w:val="bullet"/>
      <w:lvlText w:val=""/>
      <w:lvlJc w:val="left"/>
      <w:pPr>
        <w:ind w:left="6480" w:hanging="360"/>
      </w:pPr>
      <w:rPr>
        <w:rFonts w:ascii="Wingdings" w:hAnsi="Wingdings" w:hint="default"/>
      </w:rPr>
    </w:lvl>
  </w:abstractNum>
  <w:abstractNum w:abstractNumId="28" w15:restartNumberingAfterBreak="0">
    <w:nsid w:val="26BB1515"/>
    <w:multiLevelType w:val="hybridMultilevel"/>
    <w:tmpl w:val="E420351E"/>
    <w:lvl w:ilvl="0" w:tplc="0A885FBE">
      <w:start w:val="1"/>
      <w:numFmt w:val="bullet"/>
      <w:lvlText w:val="•"/>
      <w:lvlJc w:val="left"/>
      <w:pPr>
        <w:ind w:left="720" w:hanging="360"/>
      </w:pPr>
      <w:rPr>
        <w:rFonts w:ascii="Calibri" w:hAnsi="Calibri" w:hint="default"/>
        <w:b w:val="0"/>
        <w:i w:val="0"/>
        <w:sz w:val="22"/>
      </w:rPr>
    </w:lvl>
    <w:lvl w:ilvl="1" w:tplc="85847C60">
      <w:start w:val="1"/>
      <w:numFmt w:val="bullet"/>
      <w:lvlText w:val="o"/>
      <w:lvlJc w:val="left"/>
      <w:pPr>
        <w:ind w:left="1440" w:hanging="360"/>
      </w:pPr>
      <w:rPr>
        <w:rFonts w:ascii="Courier New" w:hAnsi="Courier New" w:cs="Courier New" w:hint="default"/>
      </w:rPr>
    </w:lvl>
    <w:lvl w:ilvl="2" w:tplc="0A302D00">
      <w:start w:val="1"/>
      <w:numFmt w:val="bullet"/>
      <w:lvlText w:val=""/>
      <w:lvlJc w:val="left"/>
      <w:pPr>
        <w:ind w:left="2160" w:hanging="360"/>
      </w:pPr>
      <w:rPr>
        <w:rFonts w:ascii="Wingdings" w:hAnsi="Wingdings" w:hint="default"/>
      </w:rPr>
    </w:lvl>
    <w:lvl w:ilvl="3" w:tplc="A5CAC75C">
      <w:start w:val="1"/>
      <w:numFmt w:val="bullet"/>
      <w:lvlText w:val=""/>
      <w:lvlJc w:val="left"/>
      <w:pPr>
        <w:ind w:left="2880" w:hanging="360"/>
      </w:pPr>
      <w:rPr>
        <w:rFonts w:ascii="Symbol" w:hAnsi="Symbol" w:hint="default"/>
      </w:rPr>
    </w:lvl>
    <w:lvl w:ilvl="4" w:tplc="D2EE6EFA">
      <w:start w:val="1"/>
      <w:numFmt w:val="bullet"/>
      <w:lvlText w:val="o"/>
      <w:lvlJc w:val="left"/>
      <w:pPr>
        <w:ind w:left="3600" w:hanging="360"/>
      </w:pPr>
      <w:rPr>
        <w:rFonts w:ascii="Courier New" w:hAnsi="Courier New" w:cs="Courier New" w:hint="default"/>
      </w:rPr>
    </w:lvl>
    <w:lvl w:ilvl="5" w:tplc="C51A06EA">
      <w:start w:val="1"/>
      <w:numFmt w:val="bullet"/>
      <w:lvlText w:val=""/>
      <w:lvlJc w:val="left"/>
      <w:pPr>
        <w:ind w:left="4320" w:hanging="360"/>
      </w:pPr>
      <w:rPr>
        <w:rFonts w:ascii="Wingdings" w:hAnsi="Wingdings" w:hint="default"/>
      </w:rPr>
    </w:lvl>
    <w:lvl w:ilvl="6" w:tplc="8FFE898E">
      <w:start w:val="1"/>
      <w:numFmt w:val="bullet"/>
      <w:lvlText w:val=""/>
      <w:lvlJc w:val="left"/>
      <w:pPr>
        <w:ind w:left="5040" w:hanging="360"/>
      </w:pPr>
      <w:rPr>
        <w:rFonts w:ascii="Symbol" w:hAnsi="Symbol" w:hint="default"/>
      </w:rPr>
    </w:lvl>
    <w:lvl w:ilvl="7" w:tplc="AECA314C">
      <w:start w:val="1"/>
      <w:numFmt w:val="bullet"/>
      <w:lvlText w:val="o"/>
      <w:lvlJc w:val="left"/>
      <w:pPr>
        <w:ind w:left="5760" w:hanging="360"/>
      </w:pPr>
      <w:rPr>
        <w:rFonts w:ascii="Courier New" w:hAnsi="Courier New" w:cs="Courier New" w:hint="default"/>
      </w:rPr>
    </w:lvl>
    <w:lvl w:ilvl="8" w:tplc="97D68A5A">
      <w:start w:val="1"/>
      <w:numFmt w:val="bullet"/>
      <w:lvlText w:val=""/>
      <w:lvlJc w:val="left"/>
      <w:pPr>
        <w:ind w:left="6480" w:hanging="360"/>
      </w:pPr>
      <w:rPr>
        <w:rFonts w:ascii="Wingdings" w:hAnsi="Wingdings" w:hint="default"/>
      </w:rPr>
    </w:lvl>
  </w:abstractNum>
  <w:abstractNum w:abstractNumId="29" w15:restartNumberingAfterBreak="0">
    <w:nsid w:val="278B3D17"/>
    <w:multiLevelType w:val="hybridMultilevel"/>
    <w:tmpl w:val="BFF0CB12"/>
    <w:lvl w:ilvl="0" w:tplc="0D5020DC">
      <w:start w:val="1"/>
      <w:numFmt w:val="bullet"/>
      <w:lvlText w:val="•"/>
      <w:lvlJc w:val="left"/>
      <w:pPr>
        <w:ind w:left="720" w:hanging="360"/>
      </w:pPr>
      <w:rPr>
        <w:rFonts w:ascii="Calibri" w:hAnsi="Calibri" w:hint="default"/>
        <w:b w:val="0"/>
        <w:i w:val="0"/>
        <w:sz w:val="22"/>
      </w:rPr>
    </w:lvl>
    <w:lvl w:ilvl="1" w:tplc="03AE657C">
      <w:start w:val="1"/>
      <w:numFmt w:val="bullet"/>
      <w:lvlText w:val="o"/>
      <w:lvlJc w:val="left"/>
      <w:pPr>
        <w:ind w:left="1440" w:hanging="360"/>
      </w:pPr>
      <w:rPr>
        <w:rFonts w:ascii="Courier New" w:hAnsi="Courier New" w:cs="Courier New" w:hint="default"/>
      </w:rPr>
    </w:lvl>
    <w:lvl w:ilvl="2" w:tplc="A16668C8">
      <w:start w:val="1"/>
      <w:numFmt w:val="bullet"/>
      <w:lvlText w:val=""/>
      <w:lvlJc w:val="left"/>
      <w:pPr>
        <w:ind w:left="2160" w:hanging="360"/>
      </w:pPr>
      <w:rPr>
        <w:rFonts w:ascii="Wingdings" w:hAnsi="Wingdings" w:hint="default"/>
      </w:rPr>
    </w:lvl>
    <w:lvl w:ilvl="3" w:tplc="23E6B01A">
      <w:start w:val="1"/>
      <w:numFmt w:val="bullet"/>
      <w:lvlText w:val=""/>
      <w:lvlJc w:val="left"/>
      <w:pPr>
        <w:ind w:left="2880" w:hanging="360"/>
      </w:pPr>
      <w:rPr>
        <w:rFonts w:ascii="Symbol" w:hAnsi="Symbol" w:hint="default"/>
      </w:rPr>
    </w:lvl>
    <w:lvl w:ilvl="4" w:tplc="4DE23812">
      <w:start w:val="1"/>
      <w:numFmt w:val="bullet"/>
      <w:lvlText w:val="o"/>
      <w:lvlJc w:val="left"/>
      <w:pPr>
        <w:ind w:left="3600" w:hanging="360"/>
      </w:pPr>
      <w:rPr>
        <w:rFonts w:ascii="Courier New" w:hAnsi="Courier New" w:cs="Courier New" w:hint="default"/>
      </w:rPr>
    </w:lvl>
    <w:lvl w:ilvl="5" w:tplc="780CE3BA">
      <w:start w:val="1"/>
      <w:numFmt w:val="bullet"/>
      <w:lvlText w:val=""/>
      <w:lvlJc w:val="left"/>
      <w:pPr>
        <w:ind w:left="4320" w:hanging="360"/>
      </w:pPr>
      <w:rPr>
        <w:rFonts w:ascii="Wingdings" w:hAnsi="Wingdings" w:hint="default"/>
      </w:rPr>
    </w:lvl>
    <w:lvl w:ilvl="6" w:tplc="FC5AB8E2">
      <w:start w:val="1"/>
      <w:numFmt w:val="bullet"/>
      <w:lvlText w:val=""/>
      <w:lvlJc w:val="left"/>
      <w:pPr>
        <w:ind w:left="5040" w:hanging="360"/>
      </w:pPr>
      <w:rPr>
        <w:rFonts w:ascii="Symbol" w:hAnsi="Symbol" w:hint="default"/>
      </w:rPr>
    </w:lvl>
    <w:lvl w:ilvl="7" w:tplc="26CA7C9A">
      <w:start w:val="1"/>
      <w:numFmt w:val="bullet"/>
      <w:lvlText w:val="o"/>
      <w:lvlJc w:val="left"/>
      <w:pPr>
        <w:ind w:left="5760" w:hanging="360"/>
      </w:pPr>
      <w:rPr>
        <w:rFonts w:ascii="Courier New" w:hAnsi="Courier New" w:cs="Courier New" w:hint="default"/>
      </w:rPr>
    </w:lvl>
    <w:lvl w:ilvl="8" w:tplc="B3F2C8FC">
      <w:start w:val="1"/>
      <w:numFmt w:val="bullet"/>
      <w:lvlText w:val=""/>
      <w:lvlJc w:val="left"/>
      <w:pPr>
        <w:ind w:left="6480" w:hanging="360"/>
      </w:pPr>
      <w:rPr>
        <w:rFonts w:ascii="Wingdings" w:hAnsi="Wingdings" w:hint="default"/>
      </w:rPr>
    </w:lvl>
  </w:abstractNum>
  <w:abstractNum w:abstractNumId="30" w15:restartNumberingAfterBreak="0">
    <w:nsid w:val="27966AFB"/>
    <w:multiLevelType w:val="hybridMultilevel"/>
    <w:tmpl w:val="EAA417BC"/>
    <w:lvl w:ilvl="0" w:tplc="D9EA8810">
      <w:start w:val="1"/>
      <w:numFmt w:val="bullet"/>
      <w:lvlText w:val=""/>
      <w:lvlJc w:val="left"/>
      <w:pPr>
        <w:ind w:left="720" w:hanging="360"/>
      </w:pPr>
      <w:rPr>
        <w:rFonts w:ascii="Symbol" w:hAnsi="Symbol" w:hint="default"/>
      </w:rPr>
    </w:lvl>
    <w:lvl w:ilvl="1" w:tplc="41664680">
      <w:start w:val="1"/>
      <w:numFmt w:val="bullet"/>
      <w:lvlText w:val="o"/>
      <w:lvlJc w:val="left"/>
      <w:pPr>
        <w:ind w:left="1440" w:hanging="360"/>
      </w:pPr>
      <w:rPr>
        <w:rFonts w:ascii="Courier New" w:hAnsi="Courier New" w:cs="Courier New" w:hint="default"/>
      </w:rPr>
    </w:lvl>
    <w:lvl w:ilvl="2" w:tplc="253CCA0C">
      <w:start w:val="1"/>
      <w:numFmt w:val="bullet"/>
      <w:lvlText w:val=""/>
      <w:lvlJc w:val="left"/>
      <w:pPr>
        <w:ind w:left="2160" w:hanging="360"/>
      </w:pPr>
      <w:rPr>
        <w:rFonts w:ascii="Wingdings" w:hAnsi="Wingdings" w:hint="default"/>
      </w:rPr>
    </w:lvl>
    <w:lvl w:ilvl="3" w:tplc="E4EE0086">
      <w:start w:val="1"/>
      <w:numFmt w:val="bullet"/>
      <w:lvlText w:val=""/>
      <w:lvlJc w:val="left"/>
      <w:pPr>
        <w:ind w:left="2880" w:hanging="360"/>
      </w:pPr>
      <w:rPr>
        <w:rFonts w:ascii="Symbol" w:hAnsi="Symbol" w:hint="default"/>
      </w:rPr>
    </w:lvl>
    <w:lvl w:ilvl="4" w:tplc="554CAC86">
      <w:start w:val="1"/>
      <w:numFmt w:val="bullet"/>
      <w:lvlText w:val="o"/>
      <w:lvlJc w:val="left"/>
      <w:pPr>
        <w:ind w:left="3600" w:hanging="360"/>
      </w:pPr>
      <w:rPr>
        <w:rFonts w:ascii="Courier New" w:hAnsi="Courier New" w:cs="Courier New" w:hint="default"/>
      </w:rPr>
    </w:lvl>
    <w:lvl w:ilvl="5" w:tplc="2AB4C5E2">
      <w:start w:val="1"/>
      <w:numFmt w:val="bullet"/>
      <w:lvlText w:val=""/>
      <w:lvlJc w:val="left"/>
      <w:pPr>
        <w:ind w:left="4320" w:hanging="360"/>
      </w:pPr>
      <w:rPr>
        <w:rFonts w:ascii="Wingdings" w:hAnsi="Wingdings" w:hint="default"/>
      </w:rPr>
    </w:lvl>
    <w:lvl w:ilvl="6" w:tplc="F0B6FFAA">
      <w:start w:val="1"/>
      <w:numFmt w:val="bullet"/>
      <w:lvlText w:val=""/>
      <w:lvlJc w:val="left"/>
      <w:pPr>
        <w:ind w:left="5040" w:hanging="360"/>
      </w:pPr>
      <w:rPr>
        <w:rFonts w:ascii="Symbol" w:hAnsi="Symbol" w:hint="default"/>
      </w:rPr>
    </w:lvl>
    <w:lvl w:ilvl="7" w:tplc="C53C0300">
      <w:start w:val="1"/>
      <w:numFmt w:val="bullet"/>
      <w:lvlText w:val="o"/>
      <w:lvlJc w:val="left"/>
      <w:pPr>
        <w:ind w:left="5760" w:hanging="360"/>
      </w:pPr>
      <w:rPr>
        <w:rFonts w:ascii="Courier New" w:hAnsi="Courier New" w:cs="Courier New" w:hint="default"/>
      </w:rPr>
    </w:lvl>
    <w:lvl w:ilvl="8" w:tplc="7E8E9546">
      <w:start w:val="1"/>
      <w:numFmt w:val="bullet"/>
      <w:lvlText w:val=""/>
      <w:lvlJc w:val="left"/>
      <w:pPr>
        <w:ind w:left="6480" w:hanging="360"/>
      </w:pPr>
      <w:rPr>
        <w:rFonts w:ascii="Wingdings" w:hAnsi="Wingdings" w:hint="default"/>
      </w:rPr>
    </w:lvl>
  </w:abstractNum>
  <w:abstractNum w:abstractNumId="31" w15:restartNumberingAfterBreak="0">
    <w:nsid w:val="28143BC6"/>
    <w:multiLevelType w:val="hybridMultilevel"/>
    <w:tmpl w:val="90906570"/>
    <w:lvl w:ilvl="0" w:tplc="EA3E0DDA">
      <w:start w:val="1"/>
      <w:numFmt w:val="bullet"/>
      <w:lvlText w:val="•"/>
      <w:lvlJc w:val="left"/>
      <w:pPr>
        <w:ind w:left="720" w:hanging="360"/>
      </w:pPr>
      <w:rPr>
        <w:rFonts w:ascii="Calibri" w:hAnsi="Calibri" w:hint="default"/>
        <w:b w:val="0"/>
        <w:i w:val="0"/>
        <w:sz w:val="22"/>
      </w:rPr>
    </w:lvl>
    <w:lvl w:ilvl="1" w:tplc="BD804F78">
      <w:start w:val="1"/>
      <w:numFmt w:val="bullet"/>
      <w:lvlText w:val="o"/>
      <w:lvlJc w:val="left"/>
      <w:pPr>
        <w:ind w:left="1440" w:hanging="360"/>
      </w:pPr>
      <w:rPr>
        <w:rFonts w:ascii="Courier New" w:hAnsi="Courier New" w:cs="Courier New" w:hint="default"/>
      </w:rPr>
    </w:lvl>
    <w:lvl w:ilvl="2" w:tplc="4822A71E">
      <w:start w:val="1"/>
      <w:numFmt w:val="bullet"/>
      <w:lvlText w:val=""/>
      <w:lvlJc w:val="left"/>
      <w:pPr>
        <w:ind w:left="2160" w:hanging="360"/>
      </w:pPr>
      <w:rPr>
        <w:rFonts w:ascii="Wingdings" w:hAnsi="Wingdings" w:hint="default"/>
      </w:rPr>
    </w:lvl>
    <w:lvl w:ilvl="3" w:tplc="C3B454C0">
      <w:start w:val="1"/>
      <w:numFmt w:val="bullet"/>
      <w:lvlText w:val=""/>
      <w:lvlJc w:val="left"/>
      <w:pPr>
        <w:ind w:left="2880" w:hanging="360"/>
      </w:pPr>
      <w:rPr>
        <w:rFonts w:ascii="Symbol" w:hAnsi="Symbol" w:hint="default"/>
      </w:rPr>
    </w:lvl>
    <w:lvl w:ilvl="4" w:tplc="B590C3C2">
      <w:start w:val="1"/>
      <w:numFmt w:val="bullet"/>
      <w:lvlText w:val="o"/>
      <w:lvlJc w:val="left"/>
      <w:pPr>
        <w:ind w:left="3600" w:hanging="360"/>
      </w:pPr>
      <w:rPr>
        <w:rFonts w:ascii="Courier New" w:hAnsi="Courier New" w:cs="Courier New" w:hint="default"/>
      </w:rPr>
    </w:lvl>
    <w:lvl w:ilvl="5" w:tplc="62E67550">
      <w:start w:val="1"/>
      <w:numFmt w:val="bullet"/>
      <w:lvlText w:val=""/>
      <w:lvlJc w:val="left"/>
      <w:pPr>
        <w:ind w:left="4320" w:hanging="360"/>
      </w:pPr>
      <w:rPr>
        <w:rFonts w:ascii="Wingdings" w:hAnsi="Wingdings" w:hint="default"/>
      </w:rPr>
    </w:lvl>
    <w:lvl w:ilvl="6" w:tplc="0F00F41C">
      <w:start w:val="1"/>
      <w:numFmt w:val="bullet"/>
      <w:lvlText w:val=""/>
      <w:lvlJc w:val="left"/>
      <w:pPr>
        <w:ind w:left="5040" w:hanging="360"/>
      </w:pPr>
      <w:rPr>
        <w:rFonts w:ascii="Symbol" w:hAnsi="Symbol" w:hint="default"/>
      </w:rPr>
    </w:lvl>
    <w:lvl w:ilvl="7" w:tplc="5B227EA8">
      <w:start w:val="1"/>
      <w:numFmt w:val="bullet"/>
      <w:lvlText w:val="o"/>
      <w:lvlJc w:val="left"/>
      <w:pPr>
        <w:ind w:left="5760" w:hanging="360"/>
      </w:pPr>
      <w:rPr>
        <w:rFonts w:ascii="Courier New" w:hAnsi="Courier New" w:cs="Courier New" w:hint="default"/>
      </w:rPr>
    </w:lvl>
    <w:lvl w:ilvl="8" w:tplc="5C7EA87E">
      <w:start w:val="1"/>
      <w:numFmt w:val="bullet"/>
      <w:lvlText w:val=""/>
      <w:lvlJc w:val="left"/>
      <w:pPr>
        <w:ind w:left="6480" w:hanging="360"/>
      </w:pPr>
      <w:rPr>
        <w:rFonts w:ascii="Wingdings" w:hAnsi="Wingdings" w:hint="default"/>
      </w:rPr>
    </w:lvl>
  </w:abstractNum>
  <w:abstractNum w:abstractNumId="32" w15:restartNumberingAfterBreak="0">
    <w:nsid w:val="2B0809D9"/>
    <w:multiLevelType w:val="hybridMultilevel"/>
    <w:tmpl w:val="03D20FD8"/>
    <w:lvl w:ilvl="0" w:tplc="1FE01A42">
      <w:start w:val="1"/>
      <w:numFmt w:val="bullet"/>
      <w:lvlText w:val="•"/>
      <w:lvlJc w:val="left"/>
      <w:pPr>
        <w:ind w:left="720" w:hanging="360"/>
      </w:pPr>
      <w:rPr>
        <w:rFonts w:ascii="Calibri" w:hAnsi="Calibri" w:hint="default"/>
        <w:b w:val="0"/>
        <w:i w:val="0"/>
        <w:sz w:val="22"/>
      </w:rPr>
    </w:lvl>
    <w:lvl w:ilvl="1" w:tplc="C79EAD5A">
      <w:start w:val="1"/>
      <w:numFmt w:val="bullet"/>
      <w:lvlText w:val="o"/>
      <w:lvlJc w:val="left"/>
      <w:pPr>
        <w:ind w:left="1440" w:hanging="360"/>
      </w:pPr>
      <w:rPr>
        <w:rFonts w:ascii="Courier New" w:hAnsi="Courier New" w:cs="Courier New" w:hint="default"/>
      </w:rPr>
    </w:lvl>
    <w:lvl w:ilvl="2" w:tplc="C6346216">
      <w:start w:val="1"/>
      <w:numFmt w:val="bullet"/>
      <w:lvlText w:val=""/>
      <w:lvlJc w:val="left"/>
      <w:pPr>
        <w:ind w:left="2160" w:hanging="360"/>
      </w:pPr>
      <w:rPr>
        <w:rFonts w:ascii="Wingdings" w:hAnsi="Wingdings" w:hint="default"/>
      </w:rPr>
    </w:lvl>
    <w:lvl w:ilvl="3" w:tplc="71124920">
      <w:start w:val="1"/>
      <w:numFmt w:val="bullet"/>
      <w:lvlText w:val=""/>
      <w:lvlJc w:val="left"/>
      <w:pPr>
        <w:ind w:left="2880" w:hanging="360"/>
      </w:pPr>
      <w:rPr>
        <w:rFonts w:ascii="Symbol" w:hAnsi="Symbol" w:hint="default"/>
      </w:rPr>
    </w:lvl>
    <w:lvl w:ilvl="4" w:tplc="A9EA128C">
      <w:start w:val="1"/>
      <w:numFmt w:val="bullet"/>
      <w:lvlText w:val="o"/>
      <w:lvlJc w:val="left"/>
      <w:pPr>
        <w:ind w:left="3600" w:hanging="360"/>
      </w:pPr>
      <w:rPr>
        <w:rFonts w:ascii="Courier New" w:hAnsi="Courier New" w:cs="Courier New" w:hint="default"/>
      </w:rPr>
    </w:lvl>
    <w:lvl w:ilvl="5" w:tplc="E5301810">
      <w:start w:val="1"/>
      <w:numFmt w:val="bullet"/>
      <w:lvlText w:val=""/>
      <w:lvlJc w:val="left"/>
      <w:pPr>
        <w:ind w:left="4320" w:hanging="360"/>
      </w:pPr>
      <w:rPr>
        <w:rFonts w:ascii="Wingdings" w:hAnsi="Wingdings" w:hint="default"/>
      </w:rPr>
    </w:lvl>
    <w:lvl w:ilvl="6" w:tplc="830CF03E">
      <w:start w:val="1"/>
      <w:numFmt w:val="bullet"/>
      <w:lvlText w:val=""/>
      <w:lvlJc w:val="left"/>
      <w:pPr>
        <w:ind w:left="5040" w:hanging="360"/>
      </w:pPr>
      <w:rPr>
        <w:rFonts w:ascii="Symbol" w:hAnsi="Symbol" w:hint="default"/>
      </w:rPr>
    </w:lvl>
    <w:lvl w:ilvl="7" w:tplc="0F0ED5F2">
      <w:start w:val="1"/>
      <w:numFmt w:val="bullet"/>
      <w:lvlText w:val="o"/>
      <w:lvlJc w:val="left"/>
      <w:pPr>
        <w:ind w:left="5760" w:hanging="360"/>
      </w:pPr>
      <w:rPr>
        <w:rFonts w:ascii="Courier New" w:hAnsi="Courier New" w:cs="Courier New" w:hint="default"/>
      </w:rPr>
    </w:lvl>
    <w:lvl w:ilvl="8" w:tplc="3FC27C76">
      <w:start w:val="1"/>
      <w:numFmt w:val="bullet"/>
      <w:lvlText w:val=""/>
      <w:lvlJc w:val="left"/>
      <w:pPr>
        <w:ind w:left="6480" w:hanging="360"/>
      </w:pPr>
      <w:rPr>
        <w:rFonts w:ascii="Wingdings" w:hAnsi="Wingdings" w:hint="default"/>
      </w:rPr>
    </w:lvl>
  </w:abstractNum>
  <w:abstractNum w:abstractNumId="33" w15:restartNumberingAfterBreak="0">
    <w:nsid w:val="2B924E3E"/>
    <w:multiLevelType w:val="hybridMultilevel"/>
    <w:tmpl w:val="C04E1468"/>
    <w:lvl w:ilvl="0" w:tplc="300484F8">
      <w:start w:val="1"/>
      <w:numFmt w:val="bullet"/>
      <w:lvlText w:val="•"/>
      <w:lvlJc w:val="left"/>
      <w:pPr>
        <w:ind w:left="720" w:hanging="360"/>
      </w:pPr>
      <w:rPr>
        <w:rFonts w:ascii="Calibri" w:hAnsi="Calibri" w:hint="default"/>
        <w:b w:val="0"/>
        <w:i w:val="0"/>
        <w:sz w:val="22"/>
      </w:rPr>
    </w:lvl>
    <w:lvl w:ilvl="1" w:tplc="B6960C6E">
      <w:start w:val="1"/>
      <w:numFmt w:val="bullet"/>
      <w:lvlText w:val="o"/>
      <w:lvlJc w:val="left"/>
      <w:pPr>
        <w:ind w:left="1440" w:hanging="360"/>
      </w:pPr>
      <w:rPr>
        <w:rFonts w:ascii="Courier New" w:hAnsi="Courier New" w:cs="Courier New" w:hint="default"/>
      </w:rPr>
    </w:lvl>
    <w:lvl w:ilvl="2" w:tplc="5D98220E">
      <w:start w:val="1"/>
      <w:numFmt w:val="bullet"/>
      <w:lvlText w:val=""/>
      <w:lvlJc w:val="left"/>
      <w:pPr>
        <w:ind w:left="2160" w:hanging="360"/>
      </w:pPr>
      <w:rPr>
        <w:rFonts w:ascii="Wingdings" w:hAnsi="Wingdings" w:hint="default"/>
      </w:rPr>
    </w:lvl>
    <w:lvl w:ilvl="3" w:tplc="DC58AE20">
      <w:start w:val="1"/>
      <w:numFmt w:val="bullet"/>
      <w:lvlText w:val=""/>
      <w:lvlJc w:val="left"/>
      <w:pPr>
        <w:ind w:left="2880" w:hanging="360"/>
      </w:pPr>
      <w:rPr>
        <w:rFonts w:ascii="Symbol" w:hAnsi="Symbol" w:hint="default"/>
      </w:rPr>
    </w:lvl>
    <w:lvl w:ilvl="4" w:tplc="95AC7B58">
      <w:start w:val="1"/>
      <w:numFmt w:val="bullet"/>
      <w:lvlText w:val="o"/>
      <w:lvlJc w:val="left"/>
      <w:pPr>
        <w:ind w:left="3600" w:hanging="360"/>
      </w:pPr>
      <w:rPr>
        <w:rFonts w:ascii="Courier New" w:hAnsi="Courier New" w:cs="Courier New" w:hint="default"/>
      </w:rPr>
    </w:lvl>
    <w:lvl w:ilvl="5" w:tplc="813C67F4">
      <w:start w:val="1"/>
      <w:numFmt w:val="bullet"/>
      <w:lvlText w:val=""/>
      <w:lvlJc w:val="left"/>
      <w:pPr>
        <w:ind w:left="4320" w:hanging="360"/>
      </w:pPr>
      <w:rPr>
        <w:rFonts w:ascii="Wingdings" w:hAnsi="Wingdings" w:hint="default"/>
      </w:rPr>
    </w:lvl>
    <w:lvl w:ilvl="6" w:tplc="7E68B80A">
      <w:start w:val="1"/>
      <w:numFmt w:val="bullet"/>
      <w:lvlText w:val=""/>
      <w:lvlJc w:val="left"/>
      <w:pPr>
        <w:ind w:left="5040" w:hanging="360"/>
      </w:pPr>
      <w:rPr>
        <w:rFonts w:ascii="Symbol" w:hAnsi="Symbol" w:hint="default"/>
      </w:rPr>
    </w:lvl>
    <w:lvl w:ilvl="7" w:tplc="DF3C8E9A">
      <w:start w:val="1"/>
      <w:numFmt w:val="bullet"/>
      <w:lvlText w:val="o"/>
      <w:lvlJc w:val="left"/>
      <w:pPr>
        <w:ind w:left="5760" w:hanging="360"/>
      </w:pPr>
      <w:rPr>
        <w:rFonts w:ascii="Courier New" w:hAnsi="Courier New" w:cs="Courier New" w:hint="default"/>
      </w:rPr>
    </w:lvl>
    <w:lvl w:ilvl="8" w:tplc="444A5DC2">
      <w:start w:val="1"/>
      <w:numFmt w:val="bullet"/>
      <w:lvlText w:val=""/>
      <w:lvlJc w:val="left"/>
      <w:pPr>
        <w:ind w:left="6480" w:hanging="360"/>
      </w:pPr>
      <w:rPr>
        <w:rFonts w:ascii="Wingdings" w:hAnsi="Wingdings" w:hint="default"/>
      </w:rPr>
    </w:lvl>
  </w:abstractNum>
  <w:abstractNum w:abstractNumId="34" w15:restartNumberingAfterBreak="0">
    <w:nsid w:val="2DEC6EB4"/>
    <w:multiLevelType w:val="hybridMultilevel"/>
    <w:tmpl w:val="93F8F41E"/>
    <w:lvl w:ilvl="0" w:tplc="BF8CD3DA">
      <w:start w:val="1"/>
      <w:numFmt w:val="bullet"/>
      <w:lvlText w:val="•"/>
      <w:lvlJc w:val="left"/>
      <w:pPr>
        <w:ind w:left="720" w:hanging="360"/>
      </w:pPr>
      <w:rPr>
        <w:rFonts w:ascii="Calibri" w:hAnsi="Calibri" w:hint="default"/>
        <w:b w:val="0"/>
        <w:i w:val="0"/>
        <w:sz w:val="22"/>
      </w:rPr>
    </w:lvl>
    <w:lvl w:ilvl="1" w:tplc="F2AA0F42">
      <w:start w:val="1"/>
      <w:numFmt w:val="bullet"/>
      <w:lvlText w:val="o"/>
      <w:lvlJc w:val="left"/>
      <w:pPr>
        <w:ind w:left="1440" w:hanging="360"/>
      </w:pPr>
      <w:rPr>
        <w:rFonts w:ascii="Courier New" w:hAnsi="Courier New" w:cs="Courier New" w:hint="default"/>
      </w:rPr>
    </w:lvl>
    <w:lvl w:ilvl="2" w:tplc="C08664DC">
      <w:start w:val="1"/>
      <w:numFmt w:val="bullet"/>
      <w:lvlText w:val=""/>
      <w:lvlJc w:val="left"/>
      <w:pPr>
        <w:ind w:left="2160" w:hanging="360"/>
      </w:pPr>
      <w:rPr>
        <w:rFonts w:ascii="Wingdings" w:hAnsi="Wingdings" w:hint="default"/>
      </w:rPr>
    </w:lvl>
    <w:lvl w:ilvl="3" w:tplc="B4720604">
      <w:start w:val="1"/>
      <w:numFmt w:val="bullet"/>
      <w:lvlText w:val=""/>
      <w:lvlJc w:val="left"/>
      <w:pPr>
        <w:ind w:left="2880" w:hanging="360"/>
      </w:pPr>
      <w:rPr>
        <w:rFonts w:ascii="Symbol" w:hAnsi="Symbol" w:hint="default"/>
      </w:rPr>
    </w:lvl>
    <w:lvl w:ilvl="4" w:tplc="2B1060CE">
      <w:start w:val="1"/>
      <w:numFmt w:val="bullet"/>
      <w:lvlText w:val="o"/>
      <w:lvlJc w:val="left"/>
      <w:pPr>
        <w:ind w:left="3600" w:hanging="360"/>
      </w:pPr>
      <w:rPr>
        <w:rFonts w:ascii="Courier New" w:hAnsi="Courier New" w:cs="Courier New" w:hint="default"/>
      </w:rPr>
    </w:lvl>
    <w:lvl w:ilvl="5" w:tplc="48623D84">
      <w:start w:val="1"/>
      <w:numFmt w:val="bullet"/>
      <w:lvlText w:val=""/>
      <w:lvlJc w:val="left"/>
      <w:pPr>
        <w:ind w:left="4320" w:hanging="360"/>
      </w:pPr>
      <w:rPr>
        <w:rFonts w:ascii="Wingdings" w:hAnsi="Wingdings" w:hint="default"/>
      </w:rPr>
    </w:lvl>
    <w:lvl w:ilvl="6" w:tplc="64E891E6">
      <w:start w:val="1"/>
      <w:numFmt w:val="bullet"/>
      <w:lvlText w:val=""/>
      <w:lvlJc w:val="left"/>
      <w:pPr>
        <w:ind w:left="5040" w:hanging="360"/>
      </w:pPr>
      <w:rPr>
        <w:rFonts w:ascii="Symbol" w:hAnsi="Symbol" w:hint="default"/>
      </w:rPr>
    </w:lvl>
    <w:lvl w:ilvl="7" w:tplc="95460D82">
      <w:start w:val="1"/>
      <w:numFmt w:val="bullet"/>
      <w:lvlText w:val="o"/>
      <w:lvlJc w:val="left"/>
      <w:pPr>
        <w:ind w:left="5760" w:hanging="360"/>
      </w:pPr>
      <w:rPr>
        <w:rFonts w:ascii="Courier New" w:hAnsi="Courier New" w:cs="Courier New" w:hint="default"/>
      </w:rPr>
    </w:lvl>
    <w:lvl w:ilvl="8" w:tplc="825C6A7E">
      <w:start w:val="1"/>
      <w:numFmt w:val="bullet"/>
      <w:lvlText w:val=""/>
      <w:lvlJc w:val="left"/>
      <w:pPr>
        <w:ind w:left="6480" w:hanging="360"/>
      </w:pPr>
      <w:rPr>
        <w:rFonts w:ascii="Wingdings" w:hAnsi="Wingdings" w:hint="default"/>
      </w:rPr>
    </w:lvl>
  </w:abstractNum>
  <w:abstractNum w:abstractNumId="35" w15:restartNumberingAfterBreak="0">
    <w:nsid w:val="2F0B7FF1"/>
    <w:multiLevelType w:val="hybridMultilevel"/>
    <w:tmpl w:val="211EE94C"/>
    <w:lvl w:ilvl="0" w:tplc="98EC17AE">
      <w:start w:val="1"/>
      <w:numFmt w:val="bullet"/>
      <w:lvlText w:val="•"/>
      <w:lvlJc w:val="left"/>
      <w:pPr>
        <w:ind w:left="720" w:hanging="360"/>
      </w:pPr>
      <w:rPr>
        <w:rFonts w:ascii="Calibri" w:hAnsi="Calibri" w:hint="default"/>
        <w:b w:val="0"/>
        <w:i w:val="0"/>
        <w:sz w:val="22"/>
      </w:rPr>
    </w:lvl>
    <w:lvl w:ilvl="1" w:tplc="C7EE930E">
      <w:start w:val="1"/>
      <w:numFmt w:val="bullet"/>
      <w:lvlText w:val="o"/>
      <w:lvlJc w:val="left"/>
      <w:pPr>
        <w:ind w:left="1440" w:hanging="360"/>
      </w:pPr>
      <w:rPr>
        <w:rFonts w:ascii="Courier New" w:hAnsi="Courier New" w:cs="Courier New" w:hint="default"/>
      </w:rPr>
    </w:lvl>
    <w:lvl w:ilvl="2" w:tplc="E3FCE94A">
      <w:start w:val="1"/>
      <w:numFmt w:val="bullet"/>
      <w:lvlText w:val=""/>
      <w:lvlJc w:val="left"/>
      <w:pPr>
        <w:ind w:left="2160" w:hanging="360"/>
      </w:pPr>
      <w:rPr>
        <w:rFonts w:ascii="Wingdings" w:hAnsi="Wingdings" w:hint="default"/>
      </w:rPr>
    </w:lvl>
    <w:lvl w:ilvl="3" w:tplc="3DE29084">
      <w:start w:val="1"/>
      <w:numFmt w:val="bullet"/>
      <w:lvlText w:val=""/>
      <w:lvlJc w:val="left"/>
      <w:pPr>
        <w:ind w:left="2880" w:hanging="360"/>
      </w:pPr>
      <w:rPr>
        <w:rFonts w:ascii="Symbol" w:hAnsi="Symbol" w:hint="default"/>
      </w:rPr>
    </w:lvl>
    <w:lvl w:ilvl="4" w:tplc="A9AE2444">
      <w:start w:val="1"/>
      <w:numFmt w:val="bullet"/>
      <w:lvlText w:val="o"/>
      <w:lvlJc w:val="left"/>
      <w:pPr>
        <w:ind w:left="3600" w:hanging="360"/>
      </w:pPr>
      <w:rPr>
        <w:rFonts w:ascii="Courier New" w:hAnsi="Courier New" w:cs="Courier New" w:hint="default"/>
      </w:rPr>
    </w:lvl>
    <w:lvl w:ilvl="5" w:tplc="D00E481E">
      <w:start w:val="1"/>
      <w:numFmt w:val="bullet"/>
      <w:lvlText w:val=""/>
      <w:lvlJc w:val="left"/>
      <w:pPr>
        <w:ind w:left="4320" w:hanging="360"/>
      </w:pPr>
      <w:rPr>
        <w:rFonts w:ascii="Wingdings" w:hAnsi="Wingdings" w:hint="default"/>
      </w:rPr>
    </w:lvl>
    <w:lvl w:ilvl="6" w:tplc="0876E35E">
      <w:start w:val="1"/>
      <w:numFmt w:val="bullet"/>
      <w:lvlText w:val=""/>
      <w:lvlJc w:val="left"/>
      <w:pPr>
        <w:ind w:left="5040" w:hanging="360"/>
      </w:pPr>
      <w:rPr>
        <w:rFonts w:ascii="Symbol" w:hAnsi="Symbol" w:hint="default"/>
      </w:rPr>
    </w:lvl>
    <w:lvl w:ilvl="7" w:tplc="380218CA">
      <w:start w:val="1"/>
      <w:numFmt w:val="bullet"/>
      <w:lvlText w:val="o"/>
      <w:lvlJc w:val="left"/>
      <w:pPr>
        <w:ind w:left="5760" w:hanging="360"/>
      </w:pPr>
      <w:rPr>
        <w:rFonts w:ascii="Courier New" w:hAnsi="Courier New" w:cs="Courier New" w:hint="default"/>
      </w:rPr>
    </w:lvl>
    <w:lvl w:ilvl="8" w:tplc="87681890">
      <w:start w:val="1"/>
      <w:numFmt w:val="bullet"/>
      <w:lvlText w:val=""/>
      <w:lvlJc w:val="left"/>
      <w:pPr>
        <w:ind w:left="6480" w:hanging="360"/>
      </w:pPr>
      <w:rPr>
        <w:rFonts w:ascii="Wingdings" w:hAnsi="Wingdings" w:hint="default"/>
      </w:rPr>
    </w:lvl>
  </w:abstractNum>
  <w:abstractNum w:abstractNumId="36" w15:restartNumberingAfterBreak="0">
    <w:nsid w:val="2F7D0331"/>
    <w:multiLevelType w:val="hybridMultilevel"/>
    <w:tmpl w:val="48A2D80A"/>
    <w:lvl w:ilvl="0" w:tplc="94F04F16">
      <w:start w:val="1"/>
      <w:numFmt w:val="bullet"/>
      <w:lvlText w:val=""/>
      <w:lvlJc w:val="left"/>
      <w:pPr>
        <w:ind w:left="720" w:hanging="360"/>
      </w:pPr>
      <w:rPr>
        <w:rFonts w:ascii="Symbol" w:hAnsi="Symbol" w:hint="default"/>
      </w:rPr>
    </w:lvl>
    <w:lvl w:ilvl="1" w:tplc="80407D18">
      <w:start w:val="1"/>
      <w:numFmt w:val="bullet"/>
      <w:lvlText w:val="o"/>
      <w:lvlJc w:val="left"/>
      <w:pPr>
        <w:ind w:left="1440" w:hanging="360"/>
      </w:pPr>
      <w:rPr>
        <w:rFonts w:ascii="Courier New" w:hAnsi="Courier New" w:cs="Courier New" w:hint="default"/>
      </w:rPr>
    </w:lvl>
    <w:lvl w:ilvl="2" w:tplc="8B5A78DC">
      <w:start w:val="1"/>
      <w:numFmt w:val="bullet"/>
      <w:lvlText w:val=""/>
      <w:lvlJc w:val="left"/>
      <w:pPr>
        <w:ind w:left="2160" w:hanging="360"/>
      </w:pPr>
      <w:rPr>
        <w:rFonts w:ascii="Wingdings" w:hAnsi="Wingdings" w:hint="default"/>
      </w:rPr>
    </w:lvl>
    <w:lvl w:ilvl="3" w:tplc="165E7C44">
      <w:start w:val="1"/>
      <w:numFmt w:val="bullet"/>
      <w:lvlText w:val=""/>
      <w:lvlJc w:val="left"/>
      <w:pPr>
        <w:ind w:left="2880" w:hanging="360"/>
      </w:pPr>
      <w:rPr>
        <w:rFonts w:ascii="Symbol" w:hAnsi="Symbol" w:hint="default"/>
      </w:rPr>
    </w:lvl>
    <w:lvl w:ilvl="4" w:tplc="E418154E">
      <w:start w:val="1"/>
      <w:numFmt w:val="bullet"/>
      <w:lvlText w:val="o"/>
      <w:lvlJc w:val="left"/>
      <w:pPr>
        <w:ind w:left="3600" w:hanging="360"/>
      </w:pPr>
      <w:rPr>
        <w:rFonts w:ascii="Courier New" w:hAnsi="Courier New" w:cs="Courier New" w:hint="default"/>
      </w:rPr>
    </w:lvl>
    <w:lvl w:ilvl="5" w:tplc="9AF2DA64">
      <w:start w:val="1"/>
      <w:numFmt w:val="bullet"/>
      <w:lvlText w:val=""/>
      <w:lvlJc w:val="left"/>
      <w:pPr>
        <w:ind w:left="4320" w:hanging="360"/>
      </w:pPr>
      <w:rPr>
        <w:rFonts w:ascii="Wingdings" w:hAnsi="Wingdings" w:hint="default"/>
      </w:rPr>
    </w:lvl>
    <w:lvl w:ilvl="6" w:tplc="F0023804">
      <w:start w:val="1"/>
      <w:numFmt w:val="bullet"/>
      <w:lvlText w:val=""/>
      <w:lvlJc w:val="left"/>
      <w:pPr>
        <w:ind w:left="5040" w:hanging="360"/>
      </w:pPr>
      <w:rPr>
        <w:rFonts w:ascii="Symbol" w:hAnsi="Symbol" w:hint="default"/>
      </w:rPr>
    </w:lvl>
    <w:lvl w:ilvl="7" w:tplc="398E8DFA">
      <w:start w:val="1"/>
      <w:numFmt w:val="bullet"/>
      <w:lvlText w:val="o"/>
      <w:lvlJc w:val="left"/>
      <w:pPr>
        <w:ind w:left="5760" w:hanging="360"/>
      </w:pPr>
      <w:rPr>
        <w:rFonts w:ascii="Courier New" w:hAnsi="Courier New" w:cs="Courier New" w:hint="default"/>
      </w:rPr>
    </w:lvl>
    <w:lvl w:ilvl="8" w:tplc="3B8A6AC0">
      <w:start w:val="1"/>
      <w:numFmt w:val="bullet"/>
      <w:lvlText w:val=""/>
      <w:lvlJc w:val="left"/>
      <w:pPr>
        <w:ind w:left="6480" w:hanging="360"/>
      </w:pPr>
      <w:rPr>
        <w:rFonts w:ascii="Wingdings" w:hAnsi="Wingdings" w:hint="default"/>
      </w:rPr>
    </w:lvl>
  </w:abstractNum>
  <w:abstractNum w:abstractNumId="37" w15:restartNumberingAfterBreak="0">
    <w:nsid w:val="306F61C6"/>
    <w:multiLevelType w:val="hybridMultilevel"/>
    <w:tmpl w:val="50CC0FB0"/>
    <w:lvl w:ilvl="0" w:tplc="454CF4B4">
      <w:start w:val="1"/>
      <w:numFmt w:val="bullet"/>
      <w:lvlText w:val="•"/>
      <w:lvlJc w:val="left"/>
      <w:pPr>
        <w:ind w:left="720" w:hanging="360"/>
      </w:pPr>
      <w:rPr>
        <w:rFonts w:ascii="Calibri" w:hAnsi="Calibri" w:hint="default"/>
        <w:b w:val="0"/>
        <w:i w:val="0"/>
        <w:sz w:val="22"/>
      </w:rPr>
    </w:lvl>
    <w:lvl w:ilvl="1" w:tplc="1E04F1C0">
      <w:start w:val="1"/>
      <w:numFmt w:val="bullet"/>
      <w:lvlText w:val="o"/>
      <w:lvlJc w:val="left"/>
      <w:pPr>
        <w:ind w:left="1440" w:hanging="360"/>
      </w:pPr>
      <w:rPr>
        <w:rFonts w:ascii="Courier New" w:hAnsi="Courier New" w:cs="Courier New" w:hint="default"/>
      </w:rPr>
    </w:lvl>
    <w:lvl w:ilvl="2" w:tplc="F184D50A">
      <w:start w:val="1"/>
      <w:numFmt w:val="bullet"/>
      <w:lvlText w:val=""/>
      <w:lvlJc w:val="left"/>
      <w:pPr>
        <w:ind w:left="2160" w:hanging="360"/>
      </w:pPr>
      <w:rPr>
        <w:rFonts w:ascii="Wingdings" w:hAnsi="Wingdings" w:hint="default"/>
      </w:rPr>
    </w:lvl>
    <w:lvl w:ilvl="3" w:tplc="5CEAF4FC">
      <w:start w:val="1"/>
      <w:numFmt w:val="bullet"/>
      <w:lvlText w:val=""/>
      <w:lvlJc w:val="left"/>
      <w:pPr>
        <w:ind w:left="2880" w:hanging="360"/>
      </w:pPr>
      <w:rPr>
        <w:rFonts w:ascii="Symbol" w:hAnsi="Symbol" w:hint="default"/>
      </w:rPr>
    </w:lvl>
    <w:lvl w:ilvl="4" w:tplc="EB827B40">
      <w:start w:val="1"/>
      <w:numFmt w:val="bullet"/>
      <w:lvlText w:val="o"/>
      <w:lvlJc w:val="left"/>
      <w:pPr>
        <w:ind w:left="3600" w:hanging="360"/>
      </w:pPr>
      <w:rPr>
        <w:rFonts w:ascii="Courier New" w:hAnsi="Courier New" w:cs="Courier New" w:hint="default"/>
      </w:rPr>
    </w:lvl>
    <w:lvl w:ilvl="5" w:tplc="D786CC98">
      <w:start w:val="1"/>
      <w:numFmt w:val="bullet"/>
      <w:lvlText w:val=""/>
      <w:lvlJc w:val="left"/>
      <w:pPr>
        <w:ind w:left="4320" w:hanging="360"/>
      </w:pPr>
      <w:rPr>
        <w:rFonts w:ascii="Wingdings" w:hAnsi="Wingdings" w:hint="default"/>
      </w:rPr>
    </w:lvl>
    <w:lvl w:ilvl="6" w:tplc="74323F76">
      <w:start w:val="1"/>
      <w:numFmt w:val="bullet"/>
      <w:lvlText w:val=""/>
      <w:lvlJc w:val="left"/>
      <w:pPr>
        <w:ind w:left="5040" w:hanging="360"/>
      </w:pPr>
      <w:rPr>
        <w:rFonts w:ascii="Symbol" w:hAnsi="Symbol" w:hint="default"/>
      </w:rPr>
    </w:lvl>
    <w:lvl w:ilvl="7" w:tplc="EF623982">
      <w:start w:val="1"/>
      <w:numFmt w:val="bullet"/>
      <w:lvlText w:val="o"/>
      <w:lvlJc w:val="left"/>
      <w:pPr>
        <w:ind w:left="5760" w:hanging="360"/>
      </w:pPr>
      <w:rPr>
        <w:rFonts w:ascii="Courier New" w:hAnsi="Courier New" w:cs="Courier New" w:hint="default"/>
      </w:rPr>
    </w:lvl>
    <w:lvl w:ilvl="8" w:tplc="A5262C84">
      <w:start w:val="1"/>
      <w:numFmt w:val="bullet"/>
      <w:lvlText w:val=""/>
      <w:lvlJc w:val="left"/>
      <w:pPr>
        <w:ind w:left="6480" w:hanging="360"/>
      </w:pPr>
      <w:rPr>
        <w:rFonts w:ascii="Wingdings" w:hAnsi="Wingdings" w:hint="default"/>
      </w:rPr>
    </w:lvl>
  </w:abstractNum>
  <w:abstractNum w:abstractNumId="38" w15:restartNumberingAfterBreak="0">
    <w:nsid w:val="34A4357E"/>
    <w:multiLevelType w:val="multilevel"/>
    <w:tmpl w:val="95E4CE46"/>
    <w:lvl w:ilvl="0">
      <w:start w:val="1"/>
      <w:numFmt w:val="upperRoman"/>
      <w:pStyle w:val="Naslov4"/>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15:restartNumberingAfterBreak="0">
    <w:nsid w:val="36B61ABA"/>
    <w:multiLevelType w:val="hybridMultilevel"/>
    <w:tmpl w:val="182A805A"/>
    <w:lvl w:ilvl="0" w:tplc="60CA9B72">
      <w:start w:val="1"/>
      <w:numFmt w:val="bullet"/>
      <w:lvlText w:val="•"/>
      <w:lvlJc w:val="left"/>
      <w:pPr>
        <w:ind w:left="720" w:hanging="360"/>
      </w:pPr>
      <w:rPr>
        <w:rFonts w:ascii="Calibri" w:hAnsi="Calibri" w:hint="default"/>
        <w:b w:val="0"/>
        <w:i w:val="0"/>
        <w:sz w:val="22"/>
      </w:rPr>
    </w:lvl>
    <w:lvl w:ilvl="1" w:tplc="D33EACF4">
      <w:start w:val="1"/>
      <w:numFmt w:val="bullet"/>
      <w:lvlText w:val="o"/>
      <w:lvlJc w:val="left"/>
      <w:pPr>
        <w:ind w:left="1440" w:hanging="360"/>
      </w:pPr>
      <w:rPr>
        <w:rFonts w:ascii="Courier New" w:hAnsi="Courier New" w:cs="Courier New" w:hint="default"/>
      </w:rPr>
    </w:lvl>
    <w:lvl w:ilvl="2" w:tplc="AF060C90">
      <w:start w:val="1"/>
      <w:numFmt w:val="bullet"/>
      <w:lvlText w:val=""/>
      <w:lvlJc w:val="left"/>
      <w:pPr>
        <w:ind w:left="2160" w:hanging="360"/>
      </w:pPr>
      <w:rPr>
        <w:rFonts w:ascii="Wingdings" w:hAnsi="Wingdings" w:hint="default"/>
      </w:rPr>
    </w:lvl>
    <w:lvl w:ilvl="3" w:tplc="373EA014">
      <w:start w:val="1"/>
      <w:numFmt w:val="bullet"/>
      <w:lvlText w:val=""/>
      <w:lvlJc w:val="left"/>
      <w:pPr>
        <w:ind w:left="2880" w:hanging="360"/>
      </w:pPr>
      <w:rPr>
        <w:rFonts w:ascii="Symbol" w:hAnsi="Symbol" w:hint="default"/>
      </w:rPr>
    </w:lvl>
    <w:lvl w:ilvl="4" w:tplc="8ED053D4">
      <w:start w:val="1"/>
      <w:numFmt w:val="bullet"/>
      <w:lvlText w:val="o"/>
      <w:lvlJc w:val="left"/>
      <w:pPr>
        <w:ind w:left="3600" w:hanging="360"/>
      </w:pPr>
      <w:rPr>
        <w:rFonts w:ascii="Courier New" w:hAnsi="Courier New" w:cs="Courier New" w:hint="default"/>
      </w:rPr>
    </w:lvl>
    <w:lvl w:ilvl="5" w:tplc="5F2EDAFC">
      <w:start w:val="1"/>
      <w:numFmt w:val="bullet"/>
      <w:lvlText w:val=""/>
      <w:lvlJc w:val="left"/>
      <w:pPr>
        <w:ind w:left="4320" w:hanging="360"/>
      </w:pPr>
      <w:rPr>
        <w:rFonts w:ascii="Wingdings" w:hAnsi="Wingdings" w:hint="default"/>
      </w:rPr>
    </w:lvl>
    <w:lvl w:ilvl="6" w:tplc="8098CC9C">
      <w:start w:val="1"/>
      <w:numFmt w:val="bullet"/>
      <w:lvlText w:val=""/>
      <w:lvlJc w:val="left"/>
      <w:pPr>
        <w:ind w:left="5040" w:hanging="360"/>
      </w:pPr>
      <w:rPr>
        <w:rFonts w:ascii="Symbol" w:hAnsi="Symbol" w:hint="default"/>
      </w:rPr>
    </w:lvl>
    <w:lvl w:ilvl="7" w:tplc="05D03BBE">
      <w:start w:val="1"/>
      <w:numFmt w:val="bullet"/>
      <w:lvlText w:val="o"/>
      <w:lvlJc w:val="left"/>
      <w:pPr>
        <w:ind w:left="5760" w:hanging="360"/>
      </w:pPr>
      <w:rPr>
        <w:rFonts w:ascii="Courier New" w:hAnsi="Courier New" w:cs="Courier New" w:hint="default"/>
      </w:rPr>
    </w:lvl>
    <w:lvl w:ilvl="8" w:tplc="656C4862">
      <w:start w:val="1"/>
      <w:numFmt w:val="bullet"/>
      <w:lvlText w:val=""/>
      <w:lvlJc w:val="left"/>
      <w:pPr>
        <w:ind w:left="6480" w:hanging="360"/>
      </w:pPr>
      <w:rPr>
        <w:rFonts w:ascii="Wingdings" w:hAnsi="Wingdings" w:hint="default"/>
      </w:rPr>
    </w:lvl>
  </w:abstractNum>
  <w:abstractNum w:abstractNumId="40" w15:restartNumberingAfterBreak="0">
    <w:nsid w:val="37F57864"/>
    <w:multiLevelType w:val="hybridMultilevel"/>
    <w:tmpl w:val="D320330C"/>
    <w:lvl w:ilvl="0" w:tplc="AA2E59D6">
      <w:start w:val="1"/>
      <w:numFmt w:val="bullet"/>
      <w:lvlText w:val="•"/>
      <w:lvlJc w:val="left"/>
      <w:pPr>
        <w:ind w:left="720" w:hanging="360"/>
      </w:pPr>
      <w:rPr>
        <w:rFonts w:ascii="Calibri" w:hAnsi="Calibri" w:hint="default"/>
        <w:b w:val="0"/>
        <w:i w:val="0"/>
        <w:sz w:val="22"/>
      </w:rPr>
    </w:lvl>
    <w:lvl w:ilvl="1" w:tplc="BFE65B28">
      <w:start w:val="1"/>
      <w:numFmt w:val="bullet"/>
      <w:lvlText w:val="•"/>
      <w:lvlJc w:val="left"/>
      <w:pPr>
        <w:ind w:left="1440" w:hanging="360"/>
      </w:pPr>
      <w:rPr>
        <w:rFonts w:ascii="Calibri" w:hAnsi="Calibri" w:hint="default"/>
        <w:b w:val="0"/>
        <w:i w:val="0"/>
        <w:color w:val="auto"/>
        <w:sz w:val="22"/>
      </w:rPr>
    </w:lvl>
    <w:lvl w:ilvl="2" w:tplc="A52058A0">
      <w:start w:val="1"/>
      <w:numFmt w:val="bullet"/>
      <w:lvlText w:val=""/>
      <w:lvlJc w:val="left"/>
      <w:pPr>
        <w:ind w:left="2160" w:hanging="360"/>
      </w:pPr>
      <w:rPr>
        <w:rFonts w:ascii="Wingdings" w:hAnsi="Wingdings" w:hint="default"/>
      </w:rPr>
    </w:lvl>
    <w:lvl w:ilvl="3" w:tplc="881E6D74">
      <w:start w:val="1"/>
      <w:numFmt w:val="bullet"/>
      <w:lvlText w:val=""/>
      <w:lvlJc w:val="left"/>
      <w:pPr>
        <w:ind w:left="2880" w:hanging="360"/>
      </w:pPr>
      <w:rPr>
        <w:rFonts w:ascii="Symbol" w:hAnsi="Symbol" w:hint="default"/>
      </w:rPr>
    </w:lvl>
    <w:lvl w:ilvl="4" w:tplc="95D82C7A">
      <w:start w:val="1"/>
      <w:numFmt w:val="bullet"/>
      <w:lvlText w:val="o"/>
      <w:lvlJc w:val="left"/>
      <w:pPr>
        <w:ind w:left="3600" w:hanging="360"/>
      </w:pPr>
      <w:rPr>
        <w:rFonts w:ascii="Courier New" w:hAnsi="Courier New" w:cs="Courier New" w:hint="default"/>
      </w:rPr>
    </w:lvl>
    <w:lvl w:ilvl="5" w:tplc="9ABCC67C">
      <w:start w:val="1"/>
      <w:numFmt w:val="bullet"/>
      <w:lvlText w:val=""/>
      <w:lvlJc w:val="left"/>
      <w:pPr>
        <w:ind w:left="4320" w:hanging="360"/>
      </w:pPr>
      <w:rPr>
        <w:rFonts w:ascii="Wingdings" w:hAnsi="Wingdings" w:hint="default"/>
      </w:rPr>
    </w:lvl>
    <w:lvl w:ilvl="6" w:tplc="1592F75C">
      <w:start w:val="1"/>
      <w:numFmt w:val="bullet"/>
      <w:lvlText w:val=""/>
      <w:lvlJc w:val="left"/>
      <w:pPr>
        <w:ind w:left="5040" w:hanging="360"/>
      </w:pPr>
      <w:rPr>
        <w:rFonts w:ascii="Symbol" w:hAnsi="Symbol" w:hint="default"/>
      </w:rPr>
    </w:lvl>
    <w:lvl w:ilvl="7" w:tplc="1D92BD56">
      <w:start w:val="1"/>
      <w:numFmt w:val="bullet"/>
      <w:lvlText w:val="o"/>
      <w:lvlJc w:val="left"/>
      <w:pPr>
        <w:ind w:left="5760" w:hanging="360"/>
      </w:pPr>
      <w:rPr>
        <w:rFonts w:ascii="Courier New" w:hAnsi="Courier New" w:cs="Courier New" w:hint="default"/>
      </w:rPr>
    </w:lvl>
    <w:lvl w:ilvl="8" w:tplc="1B841E8E">
      <w:start w:val="1"/>
      <w:numFmt w:val="bullet"/>
      <w:lvlText w:val=""/>
      <w:lvlJc w:val="left"/>
      <w:pPr>
        <w:ind w:left="6480" w:hanging="360"/>
      </w:pPr>
      <w:rPr>
        <w:rFonts w:ascii="Wingdings" w:hAnsi="Wingdings" w:hint="default"/>
      </w:rPr>
    </w:lvl>
  </w:abstractNum>
  <w:abstractNum w:abstractNumId="41" w15:restartNumberingAfterBreak="0">
    <w:nsid w:val="39552814"/>
    <w:multiLevelType w:val="hybridMultilevel"/>
    <w:tmpl w:val="95869BC8"/>
    <w:lvl w:ilvl="0" w:tplc="B3A67480">
      <w:start w:val="1"/>
      <w:numFmt w:val="bullet"/>
      <w:lvlText w:val="•"/>
      <w:lvlJc w:val="left"/>
      <w:pPr>
        <w:ind w:left="720" w:hanging="360"/>
      </w:pPr>
      <w:rPr>
        <w:rFonts w:ascii="Calibri" w:hAnsi="Calibri" w:hint="default"/>
        <w:b w:val="0"/>
        <w:i w:val="0"/>
        <w:sz w:val="22"/>
      </w:rPr>
    </w:lvl>
    <w:lvl w:ilvl="1" w:tplc="B79EB770">
      <w:start w:val="1"/>
      <w:numFmt w:val="bullet"/>
      <w:lvlText w:val="o"/>
      <w:lvlJc w:val="left"/>
      <w:pPr>
        <w:ind w:left="1440" w:hanging="360"/>
      </w:pPr>
      <w:rPr>
        <w:rFonts w:ascii="Courier New" w:hAnsi="Courier New" w:cs="Courier New" w:hint="default"/>
      </w:rPr>
    </w:lvl>
    <w:lvl w:ilvl="2" w:tplc="D5A25618">
      <w:start w:val="1"/>
      <w:numFmt w:val="bullet"/>
      <w:lvlText w:val=""/>
      <w:lvlJc w:val="left"/>
      <w:pPr>
        <w:ind w:left="2160" w:hanging="360"/>
      </w:pPr>
      <w:rPr>
        <w:rFonts w:ascii="Wingdings" w:hAnsi="Wingdings" w:hint="default"/>
      </w:rPr>
    </w:lvl>
    <w:lvl w:ilvl="3" w:tplc="31F873E2">
      <w:start w:val="1"/>
      <w:numFmt w:val="bullet"/>
      <w:lvlText w:val=""/>
      <w:lvlJc w:val="left"/>
      <w:pPr>
        <w:ind w:left="2880" w:hanging="360"/>
      </w:pPr>
      <w:rPr>
        <w:rFonts w:ascii="Symbol" w:hAnsi="Symbol" w:hint="default"/>
      </w:rPr>
    </w:lvl>
    <w:lvl w:ilvl="4" w:tplc="216470E4">
      <w:start w:val="1"/>
      <w:numFmt w:val="bullet"/>
      <w:lvlText w:val="o"/>
      <w:lvlJc w:val="left"/>
      <w:pPr>
        <w:ind w:left="3600" w:hanging="360"/>
      </w:pPr>
      <w:rPr>
        <w:rFonts w:ascii="Courier New" w:hAnsi="Courier New" w:cs="Courier New" w:hint="default"/>
      </w:rPr>
    </w:lvl>
    <w:lvl w:ilvl="5" w:tplc="3AFE9F7A">
      <w:start w:val="1"/>
      <w:numFmt w:val="bullet"/>
      <w:lvlText w:val=""/>
      <w:lvlJc w:val="left"/>
      <w:pPr>
        <w:ind w:left="4320" w:hanging="360"/>
      </w:pPr>
      <w:rPr>
        <w:rFonts w:ascii="Wingdings" w:hAnsi="Wingdings" w:hint="default"/>
      </w:rPr>
    </w:lvl>
    <w:lvl w:ilvl="6" w:tplc="7B4EEDD6">
      <w:start w:val="1"/>
      <w:numFmt w:val="bullet"/>
      <w:lvlText w:val=""/>
      <w:lvlJc w:val="left"/>
      <w:pPr>
        <w:ind w:left="5040" w:hanging="360"/>
      </w:pPr>
      <w:rPr>
        <w:rFonts w:ascii="Symbol" w:hAnsi="Symbol" w:hint="default"/>
      </w:rPr>
    </w:lvl>
    <w:lvl w:ilvl="7" w:tplc="ABA2F594">
      <w:start w:val="1"/>
      <w:numFmt w:val="bullet"/>
      <w:lvlText w:val="o"/>
      <w:lvlJc w:val="left"/>
      <w:pPr>
        <w:ind w:left="5760" w:hanging="360"/>
      </w:pPr>
      <w:rPr>
        <w:rFonts w:ascii="Courier New" w:hAnsi="Courier New" w:cs="Courier New" w:hint="default"/>
      </w:rPr>
    </w:lvl>
    <w:lvl w:ilvl="8" w:tplc="E2F6ACA8">
      <w:start w:val="1"/>
      <w:numFmt w:val="bullet"/>
      <w:lvlText w:val=""/>
      <w:lvlJc w:val="left"/>
      <w:pPr>
        <w:ind w:left="6480" w:hanging="360"/>
      </w:pPr>
      <w:rPr>
        <w:rFonts w:ascii="Wingdings" w:hAnsi="Wingdings" w:hint="default"/>
      </w:rPr>
    </w:lvl>
  </w:abstractNum>
  <w:abstractNum w:abstractNumId="42" w15:restartNumberingAfterBreak="0">
    <w:nsid w:val="39E24E2B"/>
    <w:multiLevelType w:val="hybridMultilevel"/>
    <w:tmpl w:val="F46209F8"/>
    <w:lvl w:ilvl="0" w:tplc="F2A42ED0">
      <w:start w:val="1"/>
      <w:numFmt w:val="bullet"/>
      <w:lvlText w:val=""/>
      <w:lvlJc w:val="left"/>
      <w:pPr>
        <w:ind w:left="720" w:hanging="360"/>
      </w:pPr>
      <w:rPr>
        <w:rFonts w:ascii="Symbol" w:hAnsi="Symbol" w:hint="default"/>
      </w:rPr>
    </w:lvl>
    <w:lvl w:ilvl="1" w:tplc="685048CC">
      <w:start w:val="1"/>
      <w:numFmt w:val="bullet"/>
      <w:lvlText w:val="•"/>
      <w:lvlJc w:val="left"/>
      <w:pPr>
        <w:ind w:left="1440" w:hanging="360"/>
      </w:pPr>
      <w:rPr>
        <w:rFonts w:ascii="Calibri" w:hAnsi="Calibri" w:hint="default"/>
        <w:b w:val="0"/>
        <w:i w:val="0"/>
        <w:sz w:val="22"/>
      </w:rPr>
    </w:lvl>
    <w:lvl w:ilvl="2" w:tplc="368ACA5E">
      <w:start w:val="1"/>
      <w:numFmt w:val="bullet"/>
      <w:lvlText w:val=""/>
      <w:lvlJc w:val="left"/>
      <w:pPr>
        <w:ind w:left="2160" w:hanging="360"/>
      </w:pPr>
      <w:rPr>
        <w:rFonts w:ascii="Wingdings" w:hAnsi="Wingdings" w:hint="default"/>
      </w:rPr>
    </w:lvl>
    <w:lvl w:ilvl="3" w:tplc="EDF2DB24">
      <w:start w:val="1"/>
      <w:numFmt w:val="bullet"/>
      <w:lvlText w:val=""/>
      <w:lvlJc w:val="left"/>
      <w:pPr>
        <w:ind w:left="2880" w:hanging="360"/>
      </w:pPr>
      <w:rPr>
        <w:rFonts w:ascii="Symbol" w:hAnsi="Symbol" w:hint="default"/>
      </w:rPr>
    </w:lvl>
    <w:lvl w:ilvl="4" w:tplc="7318F298">
      <w:start w:val="1"/>
      <w:numFmt w:val="bullet"/>
      <w:lvlText w:val="o"/>
      <w:lvlJc w:val="left"/>
      <w:pPr>
        <w:ind w:left="3600" w:hanging="360"/>
      </w:pPr>
      <w:rPr>
        <w:rFonts w:ascii="Courier New" w:hAnsi="Courier New" w:cs="Courier New" w:hint="default"/>
      </w:rPr>
    </w:lvl>
    <w:lvl w:ilvl="5" w:tplc="4BF45E52">
      <w:start w:val="1"/>
      <w:numFmt w:val="bullet"/>
      <w:lvlText w:val=""/>
      <w:lvlJc w:val="left"/>
      <w:pPr>
        <w:ind w:left="4320" w:hanging="360"/>
      </w:pPr>
      <w:rPr>
        <w:rFonts w:ascii="Wingdings" w:hAnsi="Wingdings" w:hint="default"/>
      </w:rPr>
    </w:lvl>
    <w:lvl w:ilvl="6" w:tplc="DB9804C0">
      <w:start w:val="1"/>
      <w:numFmt w:val="bullet"/>
      <w:lvlText w:val=""/>
      <w:lvlJc w:val="left"/>
      <w:pPr>
        <w:ind w:left="5040" w:hanging="360"/>
      </w:pPr>
      <w:rPr>
        <w:rFonts w:ascii="Symbol" w:hAnsi="Symbol" w:hint="default"/>
      </w:rPr>
    </w:lvl>
    <w:lvl w:ilvl="7" w:tplc="990A81E0">
      <w:start w:val="1"/>
      <w:numFmt w:val="bullet"/>
      <w:lvlText w:val="o"/>
      <w:lvlJc w:val="left"/>
      <w:pPr>
        <w:ind w:left="5760" w:hanging="360"/>
      </w:pPr>
      <w:rPr>
        <w:rFonts w:ascii="Courier New" w:hAnsi="Courier New" w:cs="Courier New" w:hint="default"/>
      </w:rPr>
    </w:lvl>
    <w:lvl w:ilvl="8" w:tplc="D8421F12">
      <w:start w:val="1"/>
      <w:numFmt w:val="bullet"/>
      <w:lvlText w:val=""/>
      <w:lvlJc w:val="left"/>
      <w:pPr>
        <w:ind w:left="6480" w:hanging="360"/>
      </w:pPr>
      <w:rPr>
        <w:rFonts w:ascii="Wingdings" w:hAnsi="Wingdings" w:hint="default"/>
      </w:rPr>
    </w:lvl>
  </w:abstractNum>
  <w:abstractNum w:abstractNumId="43" w15:restartNumberingAfterBreak="0">
    <w:nsid w:val="3B35137D"/>
    <w:multiLevelType w:val="hybridMultilevel"/>
    <w:tmpl w:val="AD761B18"/>
    <w:lvl w:ilvl="0" w:tplc="C85607B6">
      <w:start w:val="1"/>
      <w:numFmt w:val="bullet"/>
      <w:lvlText w:val="•"/>
      <w:lvlJc w:val="left"/>
      <w:pPr>
        <w:ind w:left="720" w:hanging="360"/>
      </w:pPr>
      <w:rPr>
        <w:rFonts w:ascii="Calibri" w:hAnsi="Calibri" w:hint="default"/>
        <w:b w:val="0"/>
        <w:i w:val="0"/>
        <w:sz w:val="22"/>
      </w:rPr>
    </w:lvl>
    <w:lvl w:ilvl="1" w:tplc="26EEE6EA">
      <w:start w:val="1"/>
      <w:numFmt w:val="bullet"/>
      <w:lvlText w:val="o"/>
      <w:lvlJc w:val="left"/>
      <w:pPr>
        <w:ind w:left="1440" w:hanging="360"/>
      </w:pPr>
      <w:rPr>
        <w:rFonts w:ascii="Courier New" w:hAnsi="Courier New" w:cs="Courier New" w:hint="default"/>
      </w:rPr>
    </w:lvl>
    <w:lvl w:ilvl="2" w:tplc="4A7E460E">
      <w:start w:val="1"/>
      <w:numFmt w:val="bullet"/>
      <w:lvlText w:val=""/>
      <w:lvlJc w:val="left"/>
      <w:pPr>
        <w:ind w:left="2160" w:hanging="360"/>
      </w:pPr>
      <w:rPr>
        <w:rFonts w:ascii="Wingdings" w:hAnsi="Wingdings" w:hint="default"/>
      </w:rPr>
    </w:lvl>
    <w:lvl w:ilvl="3" w:tplc="E8E42B4C">
      <w:start w:val="1"/>
      <w:numFmt w:val="bullet"/>
      <w:lvlText w:val=""/>
      <w:lvlJc w:val="left"/>
      <w:pPr>
        <w:ind w:left="2880" w:hanging="360"/>
      </w:pPr>
      <w:rPr>
        <w:rFonts w:ascii="Symbol" w:hAnsi="Symbol" w:hint="default"/>
      </w:rPr>
    </w:lvl>
    <w:lvl w:ilvl="4" w:tplc="5298E1F0">
      <w:start w:val="1"/>
      <w:numFmt w:val="bullet"/>
      <w:lvlText w:val="o"/>
      <w:lvlJc w:val="left"/>
      <w:pPr>
        <w:ind w:left="3600" w:hanging="360"/>
      </w:pPr>
      <w:rPr>
        <w:rFonts w:ascii="Courier New" w:hAnsi="Courier New" w:cs="Courier New" w:hint="default"/>
      </w:rPr>
    </w:lvl>
    <w:lvl w:ilvl="5" w:tplc="4D5E9542">
      <w:start w:val="1"/>
      <w:numFmt w:val="bullet"/>
      <w:lvlText w:val=""/>
      <w:lvlJc w:val="left"/>
      <w:pPr>
        <w:ind w:left="4320" w:hanging="360"/>
      </w:pPr>
      <w:rPr>
        <w:rFonts w:ascii="Wingdings" w:hAnsi="Wingdings" w:hint="default"/>
      </w:rPr>
    </w:lvl>
    <w:lvl w:ilvl="6" w:tplc="871478C2">
      <w:start w:val="1"/>
      <w:numFmt w:val="bullet"/>
      <w:lvlText w:val=""/>
      <w:lvlJc w:val="left"/>
      <w:pPr>
        <w:ind w:left="5040" w:hanging="360"/>
      </w:pPr>
      <w:rPr>
        <w:rFonts w:ascii="Symbol" w:hAnsi="Symbol" w:hint="default"/>
      </w:rPr>
    </w:lvl>
    <w:lvl w:ilvl="7" w:tplc="3F760110">
      <w:start w:val="1"/>
      <w:numFmt w:val="bullet"/>
      <w:lvlText w:val="o"/>
      <w:lvlJc w:val="left"/>
      <w:pPr>
        <w:ind w:left="5760" w:hanging="360"/>
      </w:pPr>
      <w:rPr>
        <w:rFonts w:ascii="Courier New" w:hAnsi="Courier New" w:cs="Courier New" w:hint="default"/>
      </w:rPr>
    </w:lvl>
    <w:lvl w:ilvl="8" w:tplc="0B5AF4DC">
      <w:start w:val="1"/>
      <w:numFmt w:val="bullet"/>
      <w:lvlText w:val=""/>
      <w:lvlJc w:val="left"/>
      <w:pPr>
        <w:ind w:left="6480" w:hanging="360"/>
      </w:pPr>
      <w:rPr>
        <w:rFonts w:ascii="Wingdings" w:hAnsi="Wingdings" w:hint="default"/>
      </w:rPr>
    </w:lvl>
  </w:abstractNum>
  <w:abstractNum w:abstractNumId="44" w15:restartNumberingAfterBreak="0">
    <w:nsid w:val="3BE33DF7"/>
    <w:multiLevelType w:val="hybridMultilevel"/>
    <w:tmpl w:val="E2A0B9C8"/>
    <w:lvl w:ilvl="0" w:tplc="A2C015DA">
      <w:start w:val="1"/>
      <w:numFmt w:val="decimal"/>
      <w:lvlText w:val="%1."/>
      <w:lvlJc w:val="left"/>
      <w:pPr>
        <w:ind w:left="720" w:hanging="360"/>
      </w:pPr>
    </w:lvl>
    <w:lvl w:ilvl="1" w:tplc="A692B716">
      <w:start w:val="1"/>
      <w:numFmt w:val="lowerLetter"/>
      <w:lvlText w:val="%2."/>
      <w:lvlJc w:val="left"/>
      <w:pPr>
        <w:ind w:left="1440" w:hanging="360"/>
      </w:pPr>
    </w:lvl>
    <w:lvl w:ilvl="2" w:tplc="34923698">
      <w:start w:val="1"/>
      <w:numFmt w:val="lowerRoman"/>
      <w:lvlText w:val="%3."/>
      <w:lvlJc w:val="right"/>
      <w:pPr>
        <w:ind w:left="2160" w:hanging="180"/>
      </w:pPr>
    </w:lvl>
    <w:lvl w:ilvl="3" w:tplc="C05878F8">
      <w:start w:val="1"/>
      <w:numFmt w:val="decimal"/>
      <w:lvlText w:val="%4."/>
      <w:lvlJc w:val="left"/>
      <w:pPr>
        <w:ind w:left="2880" w:hanging="360"/>
      </w:pPr>
    </w:lvl>
    <w:lvl w:ilvl="4" w:tplc="1F06B1FA">
      <w:start w:val="1"/>
      <w:numFmt w:val="lowerLetter"/>
      <w:lvlText w:val="%5."/>
      <w:lvlJc w:val="left"/>
      <w:pPr>
        <w:ind w:left="3600" w:hanging="360"/>
      </w:pPr>
    </w:lvl>
    <w:lvl w:ilvl="5" w:tplc="71460500">
      <w:start w:val="1"/>
      <w:numFmt w:val="lowerRoman"/>
      <w:lvlText w:val="%6."/>
      <w:lvlJc w:val="right"/>
      <w:pPr>
        <w:ind w:left="4320" w:hanging="180"/>
      </w:pPr>
    </w:lvl>
    <w:lvl w:ilvl="6" w:tplc="43DE1E4E">
      <w:start w:val="1"/>
      <w:numFmt w:val="decimal"/>
      <w:lvlText w:val="%7."/>
      <w:lvlJc w:val="left"/>
      <w:pPr>
        <w:ind w:left="5040" w:hanging="360"/>
      </w:pPr>
    </w:lvl>
    <w:lvl w:ilvl="7" w:tplc="FA648BE4">
      <w:start w:val="1"/>
      <w:numFmt w:val="lowerLetter"/>
      <w:lvlText w:val="%8."/>
      <w:lvlJc w:val="left"/>
      <w:pPr>
        <w:ind w:left="5760" w:hanging="360"/>
      </w:pPr>
    </w:lvl>
    <w:lvl w:ilvl="8" w:tplc="3716ACA2">
      <w:start w:val="1"/>
      <w:numFmt w:val="lowerRoman"/>
      <w:lvlText w:val="%9."/>
      <w:lvlJc w:val="right"/>
      <w:pPr>
        <w:ind w:left="6480" w:hanging="180"/>
      </w:pPr>
    </w:lvl>
  </w:abstractNum>
  <w:abstractNum w:abstractNumId="45" w15:restartNumberingAfterBreak="0">
    <w:nsid w:val="3EC42739"/>
    <w:multiLevelType w:val="hybridMultilevel"/>
    <w:tmpl w:val="C8143AA8"/>
    <w:lvl w:ilvl="0" w:tplc="A52E65B6">
      <w:start w:val="1"/>
      <w:numFmt w:val="bullet"/>
      <w:lvlText w:val="•"/>
      <w:lvlJc w:val="left"/>
      <w:pPr>
        <w:ind w:left="720" w:hanging="360"/>
      </w:pPr>
      <w:rPr>
        <w:rFonts w:ascii="Calibri" w:hAnsi="Calibri" w:hint="default"/>
        <w:b w:val="0"/>
        <w:i w:val="0"/>
        <w:sz w:val="22"/>
      </w:rPr>
    </w:lvl>
    <w:lvl w:ilvl="1" w:tplc="812ABA22">
      <w:start w:val="1"/>
      <w:numFmt w:val="bullet"/>
      <w:lvlText w:val="o"/>
      <w:lvlJc w:val="left"/>
      <w:pPr>
        <w:ind w:left="1440" w:hanging="360"/>
      </w:pPr>
      <w:rPr>
        <w:rFonts w:ascii="Courier New" w:hAnsi="Courier New" w:cs="Courier New" w:hint="default"/>
      </w:rPr>
    </w:lvl>
    <w:lvl w:ilvl="2" w:tplc="21F0806A">
      <w:start w:val="1"/>
      <w:numFmt w:val="bullet"/>
      <w:lvlText w:val=""/>
      <w:lvlJc w:val="left"/>
      <w:pPr>
        <w:ind w:left="2160" w:hanging="360"/>
      </w:pPr>
      <w:rPr>
        <w:rFonts w:ascii="Wingdings" w:hAnsi="Wingdings" w:hint="default"/>
      </w:rPr>
    </w:lvl>
    <w:lvl w:ilvl="3" w:tplc="F9164930">
      <w:start w:val="1"/>
      <w:numFmt w:val="bullet"/>
      <w:lvlText w:val=""/>
      <w:lvlJc w:val="left"/>
      <w:pPr>
        <w:ind w:left="2880" w:hanging="360"/>
      </w:pPr>
      <w:rPr>
        <w:rFonts w:ascii="Symbol" w:hAnsi="Symbol" w:hint="default"/>
      </w:rPr>
    </w:lvl>
    <w:lvl w:ilvl="4" w:tplc="3F005296">
      <w:start w:val="1"/>
      <w:numFmt w:val="bullet"/>
      <w:lvlText w:val="o"/>
      <w:lvlJc w:val="left"/>
      <w:pPr>
        <w:ind w:left="3600" w:hanging="360"/>
      </w:pPr>
      <w:rPr>
        <w:rFonts w:ascii="Courier New" w:hAnsi="Courier New" w:cs="Courier New" w:hint="default"/>
      </w:rPr>
    </w:lvl>
    <w:lvl w:ilvl="5" w:tplc="AF749892">
      <w:start w:val="1"/>
      <w:numFmt w:val="bullet"/>
      <w:lvlText w:val=""/>
      <w:lvlJc w:val="left"/>
      <w:pPr>
        <w:ind w:left="4320" w:hanging="360"/>
      </w:pPr>
      <w:rPr>
        <w:rFonts w:ascii="Wingdings" w:hAnsi="Wingdings" w:hint="default"/>
      </w:rPr>
    </w:lvl>
    <w:lvl w:ilvl="6" w:tplc="A128F01A">
      <w:start w:val="1"/>
      <w:numFmt w:val="bullet"/>
      <w:lvlText w:val=""/>
      <w:lvlJc w:val="left"/>
      <w:pPr>
        <w:ind w:left="5040" w:hanging="360"/>
      </w:pPr>
      <w:rPr>
        <w:rFonts w:ascii="Symbol" w:hAnsi="Symbol" w:hint="default"/>
      </w:rPr>
    </w:lvl>
    <w:lvl w:ilvl="7" w:tplc="BB72A6D6">
      <w:start w:val="1"/>
      <w:numFmt w:val="bullet"/>
      <w:lvlText w:val="o"/>
      <w:lvlJc w:val="left"/>
      <w:pPr>
        <w:ind w:left="5760" w:hanging="360"/>
      </w:pPr>
      <w:rPr>
        <w:rFonts w:ascii="Courier New" w:hAnsi="Courier New" w:cs="Courier New" w:hint="default"/>
      </w:rPr>
    </w:lvl>
    <w:lvl w:ilvl="8" w:tplc="F5625CBC">
      <w:start w:val="1"/>
      <w:numFmt w:val="bullet"/>
      <w:lvlText w:val=""/>
      <w:lvlJc w:val="left"/>
      <w:pPr>
        <w:ind w:left="6480" w:hanging="360"/>
      </w:pPr>
      <w:rPr>
        <w:rFonts w:ascii="Wingdings" w:hAnsi="Wingdings" w:hint="default"/>
      </w:rPr>
    </w:lvl>
  </w:abstractNum>
  <w:abstractNum w:abstractNumId="46" w15:restartNumberingAfterBreak="0">
    <w:nsid w:val="3F834B38"/>
    <w:multiLevelType w:val="hybridMultilevel"/>
    <w:tmpl w:val="B78292FC"/>
    <w:lvl w:ilvl="0" w:tplc="31807E8A">
      <w:start w:val="1"/>
      <w:numFmt w:val="bullet"/>
      <w:lvlText w:val="•"/>
      <w:lvlJc w:val="left"/>
      <w:pPr>
        <w:ind w:left="720" w:hanging="360"/>
      </w:pPr>
      <w:rPr>
        <w:rFonts w:ascii="Calibri" w:hAnsi="Calibri" w:hint="default"/>
        <w:b w:val="0"/>
        <w:i w:val="0"/>
        <w:sz w:val="22"/>
      </w:rPr>
    </w:lvl>
    <w:lvl w:ilvl="1" w:tplc="DB5E5A42">
      <w:start w:val="1"/>
      <w:numFmt w:val="bullet"/>
      <w:lvlText w:val="o"/>
      <w:lvlJc w:val="left"/>
      <w:pPr>
        <w:ind w:left="1440" w:hanging="360"/>
      </w:pPr>
      <w:rPr>
        <w:rFonts w:ascii="Courier New" w:hAnsi="Courier New" w:cs="Courier New" w:hint="default"/>
        <w:b w:val="0"/>
        <w:i w:val="0"/>
        <w:sz w:val="22"/>
      </w:rPr>
    </w:lvl>
    <w:lvl w:ilvl="2" w:tplc="335A4F96">
      <w:start w:val="1"/>
      <w:numFmt w:val="bullet"/>
      <w:lvlText w:val=""/>
      <w:lvlJc w:val="left"/>
      <w:pPr>
        <w:ind w:left="2160" w:hanging="360"/>
      </w:pPr>
      <w:rPr>
        <w:rFonts w:ascii="Wingdings" w:hAnsi="Wingdings" w:hint="default"/>
      </w:rPr>
    </w:lvl>
    <w:lvl w:ilvl="3" w:tplc="BEEC03E4">
      <w:start w:val="1"/>
      <w:numFmt w:val="bullet"/>
      <w:lvlText w:val=""/>
      <w:lvlJc w:val="left"/>
      <w:pPr>
        <w:ind w:left="2880" w:hanging="360"/>
      </w:pPr>
      <w:rPr>
        <w:rFonts w:ascii="Symbol" w:hAnsi="Symbol" w:hint="default"/>
      </w:rPr>
    </w:lvl>
    <w:lvl w:ilvl="4" w:tplc="7EF894E4">
      <w:start w:val="1"/>
      <w:numFmt w:val="bullet"/>
      <w:lvlText w:val="o"/>
      <w:lvlJc w:val="left"/>
      <w:pPr>
        <w:ind w:left="3600" w:hanging="360"/>
      </w:pPr>
      <w:rPr>
        <w:rFonts w:ascii="Courier New" w:hAnsi="Courier New" w:cs="Courier New" w:hint="default"/>
      </w:rPr>
    </w:lvl>
    <w:lvl w:ilvl="5" w:tplc="98124F6E">
      <w:start w:val="1"/>
      <w:numFmt w:val="bullet"/>
      <w:lvlText w:val=""/>
      <w:lvlJc w:val="left"/>
      <w:pPr>
        <w:ind w:left="4320" w:hanging="360"/>
      </w:pPr>
      <w:rPr>
        <w:rFonts w:ascii="Wingdings" w:hAnsi="Wingdings" w:hint="default"/>
      </w:rPr>
    </w:lvl>
    <w:lvl w:ilvl="6" w:tplc="9C029986">
      <w:start w:val="1"/>
      <w:numFmt w:val="bullet"/>
      <w:lvlText w:val=""/>
      <w:lvlJc w:val="left"/>
      <w:pPr>
        <w:ind w:left="5040" w:hanging="360"/>
      </w:pPr>
      <w:rPr>
        <w:rFonts w:ascii="Symbol" w:hAnsi="Symbol" w:hint="default"/>
      </w:rPr>
    </w:lvl>
    <w:lvl w:ilvl="7" w:tplc="25CA2F38">
      <w:start w:val="1"/>
      <w:numFmt w:val="bullet"/>
      <w:lvlText w:val="o"/>
      <w:lvlJc w:val="left"/>
      <w:pPr>
        <w:ind w:left="5760" w:hanging="360"/>
      </w:pPr>
      <w:rPr>
        <w:rFonts w:ascii="Courier New" w:hAnsi="Courier New" w:cs="Courier New" w:hint="default"/>
      </w:rPr>
    </w:lvl>
    <w:lvl w:ilvl="8" w:tplc="EE1407F4">
      <w:start w:val="1"/>
      <w:numFmt w:val="bullet"/>
      <w:lvlText w:val=""/>
      <w:lvlJc w:val="left"/>
      <w:pPr>
        <w:ind w:left="6480" w:hanging="360"/>
      </w:pPr>
      <w:rPr>
        <w:rFonts w:ascii="Wingdings" w:hAnsi="Wingdings" w:hint="default"/>
      </w:rPr>
    </w:lvl>
  </w:abstractNum>
  <w:abstractNum w:abstractNumId="47" w15:restartNumberingAfterBreak="0">
    <w:nsid w:val="3FD22A39"/>
    <w:multiLevelType w:val="hybridMultilevel"/>
    <w:tmpl w:val="1684335A"/>
    <w:lvl w:ilvl="0" w:tplc="884EB810">
      <w:start w:val="1"/>
      <w:numFmt w:val="bullet"/>
      <w:lvlText w:val="•"/>
      <w:lvlJc w:val="left"/>
      <w:pPr>
        <w:ind w:left="720" w:hanging="360"/>
      </w:pPr>
      <w:rPr>
        <w:rFonts w:ascii="Calibri" w:hAnsi="Calibri" w:hint="default"/>
        <w:b w:val="0"/>
        <w:i w:val="0"/>
        <w:sz w:val="22"/>
      </w:rPr>
    </w:lvl>
    <w:lvl w:ilvl="1" w:tplc="BD8AF6B4">
      <w:start w:val="1"/>
      <w:numFmt w:val="bullet"/>
      <w:lvlText w:val="o"/>
      <w:lvlJc w:val="left"/>
      <w:pPr>
        <w:ind w:left="1440" w:hanging="360"/>
      </w:pPr>
      <w:rPr>
        <w:rFonts w:ascii="Courier New" w:hAnsi="Courier New" w:cs="Courier New" w:hint="default"/>
      </w:rPr>
    </w:lvl>
    <w:lvl w:ilvl="2" w:tplc="FD846FAE">
      <w:start w:val="1"/>
      <w:numFmt w:val="bullet"/>
      <w:lvlText w:val=""/>
      <w:lvlJc w:val="left"/>
      <w:pPr>
        <w:ind w:left="2160" w:hanging="360"/>
      </w:pPr>
      <w:rPr>
        <w:rFonts w:ascii="Wingdings" w:hAnsi="Wingdings" w:hint="default"/>
      </w:rPr>
    </w:lvl>
    <w:lvl w:ilvl="3" w:tplc="FBA6B96C">
      <w:start w:val="1"/>
      <w:numFmt w:val="bullet"/>
      <w:lvlText w:val=""/>
      <w:lvlJc w:val="left"/>
      <w:pPr>
        <w:ind w:left="2880" w:hanging="360"/>
      </w:pPr>
      <w:rPr>
        <w:rFonts w:ascii="Symbol" w:hAnsi="Symbol" w:hint="default"/>
      </w:rPr>
    </w:lvl>
    <w:lvl w:ilvl="4" w:tplc="08340E44">
      <w:start w:val="1"/>
      <w:numFmt w:val="bullet"/>
      <w:lvlText w:val="o"/>
      <w:lvlJc w:val="left"/>
      <w:pPr>
        <w:ind w:left="3600" w:hanging="360"/>
      </w:pPr>
      <w:rPr>
        <w:rFonts w:ascii="Courier New" w:hAnsi="Courier New" w:cs="Courier New" w:hint="default"/>
      </w:rPr>
    </w:lvl>
    <w:lvl w:ilvl="5" w:tplc="AB009FE4">
      <w:start w:val="1"/>
      <w:numFmt w:val="bullet"/>
      <w:lvlText w:val=""/>
      <w:lvlJc w:val="left"/>
      <w:pPr>
        <w:ind w:left="4320" w:hanging="360"/>
      </w:pPr>
      <w:rPr>
        <w:rFonts w:ascii="Wingdings" w:hAnsi="Wingdings" w:hint="default"/>
      </w:rPr>
    </w:lvl>
    <w:lvl w:ilvl="6" w:tplc="8D08FBC8">
      <w:start w:val="1"/>
      <w:numFmt w:val="bullet"/>
      <w:lvlText w:val=""/>
      <w:lvlJc w:val="left"/>
      <w:pPr>
        <w:ind w:left="5040" w:hanging="360"/>
      </w:pPr>
      <w:rPr>
        <w:rFonts w:ascii="Symbol" w:hAnsi="Symbol" w:hint="default"/>
      </w:rPr>
    </w:lvl>
    <w:lvl w:ilvl="7" w:tplc="E62CE2DC">
      <w:start w:val="1"/>
      <w:numFmt w:val="bullet"/>
      <w:lvlText w:val="o"/>
      <w:lvlJc w:val="left"/>
      <w:pPr>
        <w:ind w:left="5760" w:hanging="360"/>
      </w:pPr>
      <w:rPr>
        <w:rFonts w:ascii="Courier New" w:hAnsi="Courier New" w:cs="Courier New" w:hint="default"/>
      </w:rPr>
    </w:lvl>
    <w:lvl w:ilvl="8" w:tplc="CC8252A0">
      <w:start w:val="1"/>
      <w:numFmt w:val="bullet"/>
      <w:lvlText w:val=""/>
      <w:lvlJc w:val="left"/>
      <w:pPr>
        <w:ind w:left="6480" w:hanging="360"/>
      </w:pPr>
      <w:rPr>
        <w:rFonts w:ascii="Wingdings" w:hAnsi="Wingdings" w:hint="default"/>
      </w:rPr>
    </w:lvl>
  </w:abstractNum>
  <w:abstractNum w:abstractNumId="48" w15:restartNumberingAfterBreak="0">
    <w:nsid w:val="40F402B4"/>
    <w:multiLevelType w:val="hybridMultilevel"/>
    <w:tmpl w:val="B41892E2"/>
    <w:lvl w:ilvl="0" w:tplc="76062B48">
      <w:start w:val="1"/>
      <w:numFmt w:val="bullet"/>
      <w:lvlText w:val="•"/>
      <w:lvlJc w:val="left"/>
      <w:pPr>
        <w:ind w:left="720" w:hanging="360"/>
      </w:pPr>
      <w:rPr>
        <w:rFonts w:ascii="Calibri" w:hAnsi="Calibri" w:hint="default"/>
        <w:b w:val="0"/>
        <w:i w:val="0"/>
        <w:sz w:val="22"/>
      </w:rPr>
    </w:lvl>
    <w:lvl w:ilvl="1" w:tplc="CD109C4C">
      <w:start w:val="1"/>
      <w:numFmt w:val="bullet"/>
      <w:lvlText w:val="o"/>
      <w:lvlJc w:val="left"/>
      <w:pPr>
        <w:ind w:left="1440" w:hanging="360"/>
      </w:pPr>
      <w:rPr>
        <w:rFonts w:ascii="Courier New" w:hAnsi="Courier New" w:cs="Courier New" w:hint="default"/>
      </w:rPr>
    </w:lvl>
    <w:lvl w:ilvl="2" w:tplc="839A202A">
      <w:start w:val="1"/>
      <w:numFmt w:val="bullet"/>
      <w:lvlText w:val=""/>
      <w:lvlJc w:val="left"/>
      <w:pPr>
        <w:ind w:left="2160" w:hanging="360"/>
      </w:pPr>
      <w:rPr>
        <w:rFonts w:ascii="Wingdings" w:hAnsi="Wingdings" w:hint="default"/>
      </w:rPr>
    </w:lvl>
    <w:lvl w:ilvl="3" w:tplc="3CD404C6">
      <w:start w:val="1"/>
      <w:numFmt w:val="bullet"/>
      <w:lvlText w:val=""/>
      <w:lvlJc w:val="left"/>
      <w:pPr>
        <w:ind w:left="2880" w:hanging="360"/>
      </w:pPr>
      <w:rPr>
        <w:rFonts w:ascii="Symbol" w:hAnsi="Symbol" w:hint="default"/>
      </w:rPr>
    </w:lvl>
    <w:lvl w:ilvl="4" w:tplc="9940CF54">
      <w:start w:val="1"/>
      <w:numFmt w:val="bullet"/>
      <w:lvlText w:val="o"/>
      <w:lvlJc w:val="left"/>
      <w:pPr>
        <w:ind w:left="3600" w:hanging="360"/>
      </w:pPr>
      <w:rPr>
        <w:rFonts w:ascii="Courier New" w:hAnsi="Courier New" w:cs="Courier New" w:hint="default"/>
      </w:rPr>
    </w:lvl>
    <w:lvl w:ilvl="5" w:tplc="81D8E3D4">
      <w:start w:val="1"/>
      <w:numFmt w:val="bullet"/>
      <w:lvlText w:val=""/>
      <w:lvlJc w:val="left"/>
      <w:pPr>
        <w:ind w:left="4320" w:hanging="360"/>
      </w:pPr>
      <w:rPr>
        <w:rFonts w:ascii="Wingdings" w:hAnsi="Wingdings" w:hint="default"/>
      </w:rPr>
    </w:lvl>
    <w:lvl w:ilvl="6" w:tplc="FC527156">
      <w:start w:val="1"/>
      <w:numFmt w:val="bullet"/>
      <w:lvlText w:val=""/>
      <w:lvlJc w:val="left"/>
      <w:pPr>
        <w:ind w:left="5040" w:hanging="360"/>
      </w:pPr>
      <w:rPr>
        <w:rFonts w:ascii="Symbol" w:hAnsi="Symbol" w:hint="default"/>
      </w:rPr>
    </w:lvl>
    <w:lvl w:ilvl="7" w:tplc="5450DFCE">
      <w:start w:val="1"/>
      <w:numFmt w:val="bullet"/>
      <w:lvlText w:val="o"/>
      <w:lvlJc w:val="left"/>
      <w:pPr>
        <w:ind w:left="5760" w:hanging="360"/>
      </w:pPr>
      <w:rPr>
        <w:rFonts w:ascii="Courier New" w:hAnsi="Courier New" w:cs="Courier New" w:hint="default"/>
      </w:rPr>
    </w:lvl>
    <w:lvl w:ilvl="8" w:tplc="8692F4D0">
      <w:start w:val="1"/>
      <w:numFmt w:val="bullet"/>
      <w:lvlText w:val=""/>
      <w:lvlJc w:val="left"/>
      <w:pPr>
        <w:ind w:left="6480" w:hanging="360"/>
      </w:pPr>
      <w:rPr>
        <w:rFonts w:ascii="Wingdings" w:hAnsi="Wingdings" w:hint="default"/>
      </w:rPr>
    </w:lvl>
  </w:abstractNum>
  <w:abstractNum w:abstractNumId="49" w15:restartNumberingAfterBreak="0">
    <w:nsid w:val="4313702E"/>
    <w:multiLevelType w:val="hybridMultilevel"/>
    <w:tmpl w:val="E1E81C9A"/>
    <w:lvl w:ilvl="0" w:tplc="ABC4206C">
      <w:start w:val="1"/>
      <w:numFmt w:val="bullet"/>
      <w:lvlText w:val="•"/>
      <w:lvlJc w:val="left"/>
      <w:pPr>
        <w:ind w:left="720" w:hanging="360"/>
      </w:pPr>
      <w:rPr>
        <w:rFonts w:ascii="Calibri" w:hAnsi="Calibri" w:hint="default"/>
        <w:b w:val="0"/>
        <w:i w:val="0"/>
        <w:sz w:val="22"/>
      </w:rPr>
    </w:lvl>
    <w:lvl w:ilvl="1" w:tplc="3DDEC3BC">
      <w:start w:val="1"/>
      <w:numFmt w:val="bullet"/>
      <w:lvlText w:val="o"/>
      <w:lvlJc w:val="left"/>
      <w:pPr>
        <w:ind w:left="1440" w:hanging="360"/>
      </w:pPr>
      <w:rPr>
        <w:rFonts w:ascii="Courier New" w:hAnsi="Courier New" w:cs="Courier New" w:hint="default"/>
      </w:rPr>
    </w:lvl>
    <w:lvl w:ilvl="2" w:tplc="79EE13CE">
      <w:start w:val="1"/>
      <w:numFmt w:val="bullet"/>
      <w:lvlText w:val=""/>
      <w:lvlJc w:val="left"/>
      <w:pPr>
        <w:ind w:left="2160" w:hanging="360"/>
      </w:pPr>
      <w:rPr>
        <w:rFonts w:ascii="Wingdings" w:hAnsi="Wingdings" w:hint="default"/>
      </w:rPr>
    </w:lvl>
    <w:lvl w:ilvl="3" w:tplc="21A29780">
      <w:start w:val="1"/>
      <w:numFmt w:val="bullet"/>
      <w:lvlText w:val=""/>
      <w:lvlJc w:val="left"/>
      <w:pPr>
        <w:ind w:left="2880" w:hanging="360"/>
      </w:pPr>
      <w:rPr>
        <w:rFonts w:ascii="Symbol" w:hAnsi="Symbol" w:hint="default"/>
      </w:rPr>
    </w:lvl>
    <w:lvl w:ilvl="4" w:tplc="7ABAB00C">
      <w:start w:val="1"/>
      <w:numFmt w:val="bullet"/>
      <w:lvlText w:val="o"/>
      <w:lvlJc w:val="left"/>
      <w:pPr>
        <w:ind w:left="3600" w:hanging="360"/>
      </w:pPr>
      <w:rPr>
        <w:rFonts w:ascii="Courier New" w:hAnsi="Courier New" w:cs="Courier New" w:hint="default"/>
      </w:rPr>
    </w:lvl>
    <w:lvl w:ilvl="5" w:tplc="4AD8CD2C">
      <w:start w:val="1"/>
      <w:numFmt w:val="bullet"/>
      <w:lvlText w:val=""/>
      <w:lvlJc w:val="left"/>
      <w:pPr>
        <w:ind w:left="4320" w:hanging="360"/>
      </w:pPr>
      <w:rPr>
        <w:rFonts w:ascii="Wingdings" w:hAnsi="Wingdings" w:hint="default"/>
      </w:rPr>
    </w:lvl>
    <w:lvl w:ilvl="6" w:tplc="CBC6E1D6">
      <w:start w:val="1"/>
      <w:numFmt w:val="bullet"/>
      <w:lvlText w:val=""/>
      <w:lvlJc w:val="left"/>
      <w:pPr>
        <w:ind w:left="5040" w:hanging="360"/>
      </w:pPr>
      <w:rPr>
        <w:rFonts w:ascii="Symbol" w:hAnsi="Symbol" w:hint="default"/>
      </w:rPr>
    </w:lvl>
    <w:lvl w:ilvl="7" w:tplc="92CE64FE">
      <w:start w:val="1"/>
      <w:numFmt w:val="bullet"/>
      <w:lvlText w:val="o"/>
      <w:lvlJc w:val="left"/>
      <w:pPr>
        <w:ind w:left="5760" w:hanging="360"/>
      </w:pPr>
      <w:rPr>
        <w:rFonts w:ascii="Courier New" w:hAnsi="Courier New" w:cs="Courier New" w:hint="default"/>
      </w:rPr>
    </w:lvl>
    <w:lvl w:ilvl="8" w:tplc="D2164792">
      <w:start w:val="1"/>
      <w:numFmt w:val="bullet"/>
      <w:lvlText w:val=""/>
      <w:lvlJc w:val="left"/>
      <w:pPr>
        <w:ind w:left="6480" w:hanging="360"/>
      </w:pPr>
      <w:rPr>
        <w:rFonts w:ascii="Wingdings" w:hAnsi="Wingdings" w:hint="default"/>
      </w:rPr>
    </w:lvl>
  </w:abstractNum>
  <w:abstractNum w:abstractNumId="50" w15:restartNumberingAfterBreak="0">
    <w:nsid w:val="43BC344A"/>
    <w:multiLevelType w:val="hybridMultilevel"/>
    <w:tmpl w:val="633A30C6"/>
    <w:lvl w:ilvl="0" w:tplc="A68E22FC">
      <w:start w:val="1"/>
      <w:numFmt w:val="bullet"/>
      <w:lvlText w:val="•"/>
      <w:lvlJc w:val="left"/>
      <w:pPr>
        <w:ind w:left="720" w:hanging="360"/>
      </w:pPr>
      <w:rPr>
        <w:rFonts w:ascii="Calibri" w:hAnsi="Calibri" w:hint="default"/>
        <w:b w:val="0"/>
        <w:i w:val="0"/>
        <w:sz w:val="22"/>
      </w:rPr>
    </w:lvl>
    <w:lvl w:ilvl="1" w:tplc="821C0F48">
      <w:start w:val="1"/>
      <w:numFmt w:val="bullet"/>
      <w:lvlText w:val="o"/>
      <w:lvlJc w:val="left"/>
      <w:pPr>
        <w:ind w:left="1440" w:hanging="360"/>
      </w:pPr>
      <w:rPr>
        <w:rFonts w:ascii="Courier New" w:hAnsi="Courier New" w:cs="Courier New" w:hint="default"/>
      </w:rPr>
    </w:lvl>
    <w:lvl w:ilvl="2" w:tplc="B9905350">
      <w:start w:val="1"/>
      <w:numFmt w:val="bullet"/>
      <w:lvlText w:val=""/>
      <w:lvlJc w:val="left"/>
      <w:pPr>
        <w:ind w:left="2160" w:hanging="360"/>
      </w:pPr>
      <w:rPr>
        <w:rFonts w:ascii="Wingdings" w:hAnsi="Wingdings" w:hint="default"/>
      </w:rPr>
    </w:lvl>
    <w:lvl w:ilvl="3" w:tplc="80082FC2">
      <w:start w:val="1"/>
      <w:numFmt w:val="bullet"/>
      <w:lvlText w:val=""/>
      <w:lvlJc w:val="left"/>
      <w:pPr>
        <w:ind w:left="2880" w:hanging="360"/>
      </w:pPr>
      <w:rPr>
        <w:rFonts w:ascii="Symbol" w:hAnsi="Symbol" w:hint="default"/>
      </w:rPr>
    </w:lvl>
    <w:lvl w:ilvl="4" w:tplc="9E78DA64">
      <w:start w:val="1"/>
      <w:numFmt w:val="bullet"/>
      <w:lvlText w:val="o"/>
      <w:lvlJc w:val="left"/>
      <w:pPr>
        <w:ind w:left="3600" w:hanging="360"/>
      </w:pPr>
      <w:rPr>
        <w:rFonts w:ascii="Courier New" w:hAnsi="Courier New" w:cs="Courier New" w:hint="default"/>
      </w:rPr>
    </w:lvl>
    <w:lvl w:ilvl="5" w:tplc="E2486D78">
      <w:start w:val="1"/>
      <w:numFmt w:val="bullet"/>
      <w:lvlText w:val=""/>
      <w:lvlJc w:val="left"/>
      <w:pPr>
        <w:ind w:left="4320" w:hanging="360"/>
      </w:pPr>
      <w:rPr>
        <w:rFonts w:ascii="Wingdings" w:hAnsi="Wingdings" w:hint="default"/>
      </w:rPr>
    </w:lvl>
    <w:lvl w:ilvl="6" w:tplc="124064F4">
      <w:start w:val="1"/>
      <w:numFmt w:val="bullet"/>
      <w:lvlText w:val=""/>
      <w:lvlJc w:val="left"/>
      <w:pPr>
        <w:ind w:left="5040" w:hanging="360"/>
      </w:pPr>
      <w:rPr>
        <w:rFonts w:ascii="Symbol" w:hAnsi="Symbol" w:hint="default"/>
      </w:rPr>
    </w:lvl>
    <w:lvl w:ilvl="7" w:tplc="742C19D8">
      <w:start w:val="1"/>
      <w:numFmt w:val="bullet"/>
      <w:lvlText w:val="o"/>
      <w:lvlJc w:val="left"/>
      <w:pPr>
        <w:ind w:left="5760" w:hanging="360"/>
      </w:pPr>
      <w:rPr>
        <w:rFonts w:ascii="Courier New" w:hAnsi="Courier New" w:cs="Courier New" w:hint="default"/>
      </w:rPr>
    </w:lvl>
    <w:lvl w:ilvl="8" w:tplc="BCC0A526">
      <w:start w:val="1"/>
      <w:numFmt w:val="bullet"/>
      <w:lvlText w:val=""/>
      <w:lvlJc w:val="left"/>
      <w:pPr>
        <w:ind w:left="6480" w:hanging="360"/>
      </w:pPr>
      <w:rPr>
        <w:rFonts w:ascii="Wingdings" w:hAnsi="Wingdings" w:hint="default"/>
      </w:rPr>
    </w:lvl>
  </w:abstractNum>
  <w:abstractNum w:abstractNumId="51" w15:restartNumberingAfterBreak="0">
    <w:nsid w:val="43CE0449"/>
    <w:multiLevelType w:val="hybridMultilevel"/>
    <w:tmpl w:val="14EE2C56"/>
    <w:lvl w:ilvl="0" w:tplc="3308393E">
      <w:start w:val="1"/>
      <w:numFmt w:val="bullet"/>
      <w:lvlText w:val="•"/>
      <w:lvlJc w:val="left"/>
      <w:pPr>
        <w:ind w:left="720" w:hanging="360"/>
      </w:pPr>
      <w:rPr>
        <w:rFonts w:ascii="Calibri" w:hAnsi="Calibri" w:hint="default"/>
        <w:b w:val="0"/>
        <w:i w:val="0"/>
        <w:sz w:val="22"/>
      </w:rPr>
    </w:lvl>
    <w:lvl w:ilvl="1" w:tplc="6A083DC4">
      <w:start w:val="1"/>
      <w:numFmt w:val="bullet"/>
      <w:lvlText w:val="o"/>
      <w:lvlJc w:val="left"/>
      <w:pPr>
        <w:ind w:left="1440" w:hanging="360"/>
      </w:pPr>
      <w:rPr>
        <w:rFonts w:ascii="Courier New" w:hAnsi="Courier New" w:cs="Courier New" w:hint="default"/>
      </w:rPr>
    </w:lvl>
    <w:lvl w:ilvl="2" w:tplc="0CE869A8">
      <w:start w:val="1"/>
      <w:numFmt w:val="bullet"/>
      <w:lvlText w:val=""/>
      <w:lvlJc w:val="left"/>
      <w:pPr>
        <w:ind w:left="2160" w:hanging="360"/>
      </w:pPr>
      <w:rPr>
        <w:rFonts w:ascii="Wingdings" w:hAnsi="Wingdings" w:hint="default"/>
      </w:rPr>
    </w:lvl>
    <w:lvl w:ilvl="3" w:tplc="D0447060">
      <w:start w:val="1"/>
      <w:numFmt w:val="bullet"/>
      <w:lvlText w:val=""/>
      <w:lvlJc w:val="left"/>
      <w:pPr>
        <w:ind w:left="2880" w:hanging="360"/>
      </w:pPr>
      <w:rPr>
        <w:rFonts w:ascii="Symbol" w:hAnsi="Symbol" w:hint="default"/>
      </w:rPr>
    </w:lvl>
    <w:lvl w:ilvl="4" w:tplc="705AA6FC">
      <w:start w:val="1"/>
      <w:numFmt w:val="bullet"/>
      <w:lvlText w:val="o"/>
      <w:lvlJc w:val="left"/>
      <w:pPr>
        <w:ind w:left="3600" w:hanging="360"/>
      </w:pPr>
      <w:rPr>
        <w:rFonts w:ascii="Courier New" w:hAnsi="Courier New" w:cs="Courier New" w:hint="default"/>
      </w:rPr>
    </w:lvl>
    <w:lvl w:ilvl="5" w:tplc="BF828B92">
      <w:start w:val="1"/>
      <w:numFmt w:val="bullet"/>
      <w:lvlText w:val=""/>
      <w:lvlJc w:val="left"/>
      <w:pPr>
        <w:ind w:left="4320" w:hanging="360"/>
      </w:pPr>
      <w:rPr>
        <w:rFonts w:ascii="Wingdings" w:hAnsi="Wingdings" w:hint="default"/>
      </w:rPr>
    </w:lvl>
    <w:lvl w:ilvl="6" w:tplc="DFCE61E8">
      <w:start w:val="1"/>
      <w:numFmt w:val="bullet"/>
      <w:lvlText w:val=""/>
      <w:lvlJc w:val="left"/>
      <w:pPr>
        <w:ind w:left="5040" w:hanging="360"/>
      </w:pPr>
      <w:rPr>
        <w:rFonts w:ascii="Symbol" w:hAnsi="Symbol" w:hint="default"/>
      </w:rPr>
    </w:lvl>
    <w:lvl w:ilvl="7" w:tplc="60BC6F3C">
      <w:start w:val="1"/>
      <w:numFmt w:val="bullet"/>
      <w:lvlText w:val="o"/>
      <w:lvlJc w:val="left"/>
      <w:pPr>
        <w:ind w:left="5760" w:hanging="360"/>
      </w:pPr>
      <w:rPr>
        <w:rFonts w:ascii="Courier New" w:hAnsi="Courier New" w:cs="Courier New" w:hint="default"/>
      </w:rPr>
    </w:lvl>
    <w:lvl w:ilvl="8" w:tplc="F32220C2">
      <w:start w:val="1"/>
      <w:numFmt w:val="bullet"/>
      <w:lvlText w:val=""/>
      <w:lvlJc w:val="left"/>
      <w:pPr>
        <w:ind w:left="6480" w:hanging="360"/>
      </w:pPr>
      <w:rPr>
        <w:rFonts w:ascii="Wingdings" w:hAnsi="Wingdings" w:hint="default"/>
      </w:rPr>
    </w:lvl>
  </w:abstractNum>
  <w:abstractNum w:abstractNumId="52" w15:restartNumberingAfterBreak="0">
    <w:nsid w:val="44BA5474"/>
    <w:multiLevelType w:val="hybridMultilevel"/>
    <w:tmpl w:val="5934877A"/>
    <w:lvl w:ilvl="0" w:tplc="F3F24832">
      <w:start w:val="1"/>
      <w:numFmt w:val="bullet"/>
      <w:lvlText w:val="•"/>
      <w:lvlJc w:val="left"/>
      <w:pPr>
        <w:ind w:left="720" w:hanging="360"/>
      </w:pPr>
      <w:rPr>
        <w:rFonts w:ascii="Calibri" w:hAnsi="Calibri" w:hint="default"/>
        <w:b w:val="0"/>
        <w:i w:val="0"/>
        <w:sz w:val="22"/>
      </w:rPr>
    </w:lvl>
    <w:lvl w:ilvl="1" w:tplc="3C387E0C">
      <w:start w:val="1"/>
      <w:numFmt w:val="bullet"/>
      <w:lvlText w:val="o"/>
      <w:lvlJc w:val="left"/>
      <w:pPr>
        <w:ind w:left="1440" w:hanging="360"/>
      </w:pPr>
      <w:rPr>
        <w:rFonts w:ascii="Courier New" w:hAnsi="Courier New" w:cs="Courier New" w:hint="default"/>
      </w:rPr>
    </w:lvl>
    <w:lvl w:ilvl="2" w:tplc="FAE488F6">
      <w:start w:val="1"/>
      <w:numFmt w:val="bullet"/>
      <w:lvlText w:val=""/>
      <w:lvlJc w:val="left"/>
      <w:pPr>
        <w:ind w:left="2160" w:hanging="360"/>
      </w:pPr>
      <w:rPr>
        <w:rFonts w:ascii="Wingdings" w:hAnsi="Wingdings" w:hint="default"/>
      </w:rPr>
    </w:lvl>
    <w:lvl w:ilvl="3" w:tplc="E528C1BA">
      <w:start w:val="1"/>
      <w:numFmt w:val="bullet"/>
      <w:lvlText w:val=""/>
      <w:lvlJc w:val="left"/>
      <w:pPr>
        <w:ind w:left="2880" w:hanging="360"/>
      </w:pPr>
      <w:rPr>
        <w:rFonts w:ascii="Symbol" w:hAnsi="Symbol" w:hint="default"/>
      </w:rPr>
    </w:lvl>
    <w:lvl w:ilvl="4" w:tplc="6E3C92AA">
      <w:start w:val="1"/>
      <w:numFmt w:val="bullet"/>
      <w:lvlText w:val="o"/>
      <w:lvlJc w:val="left"/>
      <w:pPr>
        <w:ind w:left="3600" w:hanging="360"/>
      </w:pPr>
      <w:rPr>
        <w:rFonts w:ascii="Courier New" w:hAnsi="Courier New" w:cs="Courier New" w:hint="default"/>
      </w:rPr>
    </w:lvl>
    <w:lvl w:ilvl="5" w:tplc="1B1EA6BC">
      <w:start w:val="1"/>
      <w:numFmt w:val="bullet"/>
      <w:lvlText w:val=""/>
      <w:lvlJc w:val="left"/>
      <w:pPr>
        <w:ind w:left="4320" w:hanging="360"/>
      </w:pPr>
      <w:rPr>
        <w:rFonts w:ascii="Wingdings" w:hAnsi="Wingdings" w:hint="default"/>
      </w:rPr>
    </w:lvl>
    <w:lvl w:ilvl="6" w:tplc="E378FA4C">
      <w:start w:val="1"/>
      <w:numFmt w:val="bullet"/>
      <w:lvlText w:val=""/>
      <w:lvlJc w:val="left"/>
      <w:pPr>
        <w:ind w:left="5040" w:hanging="360"/>
      </w:pPr>
      <w:rPr>
        <w:rFonts w:ascii="Symbol" w:hAnsi="Symbol" w:hint="default"/>
      </w:rPr>
    </w:lvl>
    <w:lvl w:ilvl="7" w:tplc="DA9E7346">
      <w:start w:val="1"/>
      <w:numFmt w:val="bullet"/>
      <w:lvlText w:val="o"/>
      <w:lvlJc w:val="left"/>
      <w:pPr>
        <w:ind w:left="5760" w:hanging="360"/>
      </w:pPr>
      <w:rPr>
        <w:rFonts w:ascii="Courier New" w:hAnsi="Courier New" w:cs="Courier New" w:hint="default"/>
      </w:rPr>
    </w:lvl>
    <w:lvl w:ilvl="8" w:tplc="DC44DC54">
      <w:start w:val="1"/>
      <w:numFmt w:val="bullet"/>
      <w:lvlText w:val=""/>
      <w:lvlJc w:val="left"/>
      <w:pPr>
        <w:ind w:left="6480" w:hanging="360"/>
      </w:pPr>
      <w:rPr>
        <w:rFonts w:ascii="Wingdings" w:hAnsi="Wingdings" w:hint="default"/>
      </w:rPr>
    </w:lvl>
  </w:abstractNum>
  <w:abstractNum w:abstractNumId="53" w15:restartNumberingAfterBreak="0">
    <w:nsid w:val="460B5C10"/>
    <w:multiLevelType w:val="hybridMultilevel"/>
    <w:tmpl w:val="1AE42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8446CC"/>
    <w:multiLevelType w:val="hybridMultilevel"/>
    <w:tmpl w:val="84EA940E"/>
    <w:lvl w:ilvl="0" w:tplc="7AAED13E">
      <w:start w:val="1"/>
      <w:numFmt w:val="bullet"/>
      <w:lvlText w:val="•"/>
      <w:lvlJc w:val="left"/>
      <w:pPr>
        <w:ind w:left="1080" w:hanging="360"/>
      </w:pPr>
      <w:rPr>
        <w:rFonts w:ascii="Calibri" w:hAnsi="Calibri" w:hint="default"/>
        <w:b w:val="0"/>
        <w:i w:val="0"/>
        <w:sz w:val="22"/>
      </w:rPr>
    </w:lvl>
    <w:lvl w:ilvl="1" w:tplc="C50C17D6">
      <w:start w:val="1"/>
      <w:numFmt w:val="bullet"/>
      <w:lvlText w:val="o"/>
      <w:lvlJc w:val="left"/>
      <w:pPr>
        <w:ind w:left="1800" w:hanging="360"/>
      </w:pPr>
      <w:rPr>
        <w:rFonts w:ascii="Courier New" w:hAnsi="Courier New" w:cs="Courier New" w:hint="default"/>
      </w:rPr>
    </w:lvl>
    <w:lvl w:ilvl="2" w:tplc="C9007D72">
      <w:start w:val="1"/>
      <w:numFmt w:val="bullet"/>
      <w:lvlText w:val=""/>
      <w:lvlJc w:val="left"/>
      <w:pPr>
        <w:ind w:left="2520" w:hanging="360"/>
      </w:pPr>
      <w:rPr>
        <w:rFonts w:ascii="Wingdings" w:hAnsi="Wingdings" w:hint="default"/>
      </w:rPr>
    </w:lvl>
    <w:lvl w:ilvl="3" w:tplc="F66E64AA">
      <w:start w:val="1"/>
      <w:numFmt w:val="bullet"/>
      <w:lvlText w:val=""/>
      <w:lvlJc w:val="left"/>
      <w:pPr>
        <w:ind w:left="3240" w:hanging="360"/>
      </w:pPr>
      <w:rPr>
        <w:rFonts w:ascii="Symbol" w:hAnsi="Symbol" w:hint="default"/>
      </w:rPr>
    </w:lvl>
    <w:lvl w:ilvl="4" w:tplc="3C6A043E">
      <w:start w:val="1"/>
      <w:numFmt w:val="bullet"/>
      <w:lvlText w:val="o"/>
      <w:lvlJc w:val="left"/>
      <w:pPr>
        <w:ind w:left="3960" w:hanging="360"/>
      </w:pPr>
      <w:rPr>
        <w:rFonts w:ascii="Courier New" w:hAnsi="Courier New" w:cs="Courier New" w:hint="default"/>
      </w:rPr>
    </w:lvl>
    <w:lvl w:ilvl="5" w:tplc="14EE6DE8">
      <w:start w:val="1"/>
      <w:numFmt w:val="bullet"/>
      <w:lvlText w:val=""/>
      <w:lvlJc w:val="left"/>
      <w:pPr>
        <w:ind w:left="4680" w:hanging="360"/>
      </w:pPr>
      <w:rPr>
        <w:rFonts w:ascii="Wingdings" w:hAnsi="Wingdings" w:hint="default"/>
      </w:rPr>
    </w:lvl>
    <w:lvl w:ilvl="6" w:tplc="CACA3890">
      <w:start w:val="1"/>
      <w:numFmt w:val="bullet"/>
      <w:lvlText w:val=""/>
      <w:lvlJc w:val="left"/>
      <w:pPr>
        <w:ind w:left="5400" w:hanging="360"/>
      </w:pPr>
      <w:rPr>
        <w:rFonts w:ascii="Symbol" w:hAnsi="Symbol" w:hint="default"/>
      </w:rPr>
    </w:lvl>
    <w:lvl w:ilvl="7" w:tplc="4E3241DA">
      <w:start w:val="1"/>
      <w:numFmt w:val="bullet"/>
      <w:lvlText w:val="o"/>
      <w:lvlJc w:val="left"/>
      <w:pPr>
        <w:ind w:left="6120" w:hanging="360"/>
      </w:pPr>
      <w:rPr>
        <w:rFonts w:ascii="Courier New" w:hAnsi="Courier New" w:cs="Courier New" w:hint="default"/>
      </w:rPr>
    </w:lvl>
    <w:lvl w:ilvl="8" w:tplc="9236B466">
      <w:start w:val="1"/>
      <w:numFmt w:val="bullet"/>
      <w:lvlText w:val=""/>
      <w:lvlJc w:val="left"/>
      <w:pPr>
        <w:ind w:left="6840" w:hanging="360"/>
      </w:pPr>
      <w:rPr>
        <w:rFonts w:ascii="Wingdings" w:hAnsi="Wingdings" w:hint="default"/>
      </w:rPr>
    </w:lvl>
  </w:abstractNum>
  <w:abstractNum w:abstractNumId="55" w15:restartNumberingAfterBreak="0">
    <w:nsid w:val="49AF091D"/>
    <w:multiLevelType w:val="hybridMultilevel"/>
    <w:tmpl w:val="B88ED8A2"/>
    <w:lvl w:ilvl="0" w:tplc="4182902A">
      <w:start w:val="1"/>
      <w:numFmt w:val="bullet"/>
      <w:lvlText w:val="•"/>
      <w:lvlJc w:val="left"/>
      <w:pPr>
        <w:ind w:left="720" w:hanging="360"/>
      </w:pPr>
      <w:rPr>
        <w:rFonts w:ascii="Calibri" w:hAnsi="Calibri" w:hint="default"/>
        <w:b w:val="0"/>
        <w:i w:val="0"/>
        <w:sz w:val="22"/>
      </w:rPr>
    </w:lvl>
    <w:lvl w:ilvl="1" w:tplc="FFB0B466">
      <w:start w:val="1"/>
      <w:numFmt w:val="bullet"/>
      <w:lvlText w:val="o"/>
      <w:lvlJc w:val="left"/>
      <w:pPr>
        <w:ind w:left="1440" w:hanging="360"/>
      </w:pPr>
      <w:rPr>
        <w:rFonts w:ascii="Courier New" w:hAnsi="Courier New" w:cs="Courier New" w:hint="default"/>
      </w:rPr>
    </w:lvl>
    <w:lvl w:ilvl="2" w:tplc="47B2DE82">
      <w:start w:val="1"/>
      <w:numFmt w:val="bullet"/>
      <w:lvlText w:val=""/>
      <w:lvlJc w:val="left"/>
      <w:pPr>
        <w:ind w:left="2160" w:hanging="360"/>
      </w:pPr>
      <w:rPr>
        <w:rFonts w:ascii="Wingdings" w:hAnsi="Wingdings" w:hint="default"/>
      </w:rPr>
    </w:lvl>
    <w:lvl w:ilvl="3" w:tplc="9EDE4BAA">
      <w:start w:val="1"/>
      <w:numFmt w:val="bullet"/>
      <w:lvlText w:val=""/>
      <w:lvlJc w:val="left"/>
      <w:pPr>
        <w:ind w:left="2880" w:hanging="360"/>
      </w:pPr>
      <w:rPr>
        <w:rFonts w:ascii="Symbol" w:hAnsi="Symbol" w:hint="default"/>
      </w:rPr>
    </w:lvl>
    <w:lvl w:ilvl="4" w:tplc="503444F0">
      <w:start w:val="1"/>
      <w:numFmt w:val="bullet"/>
      <w:lvlText w:val="o"/>
      <w:lvlJc w:val="left"/>
      <w:pPr>
        <w:ind w:left="3600" w:hanging="360"/>
      </w:pPr>
      <w:rPr>
        <w:rFonts w:ascii="Courier New" w:hAnsi="Courier New" w:cs="Courier New" w:hint="default"/>
      </w:rPr>
    </w:lvl>
    <w:lvl w:ilvl="5" w:tplc="148220E2">
      <w:start w:val="1"/>
      <w:numFmt w:val="bullet"/>
      <w:lvlText w:val=""/>
      <w:lvlJc w:val="left"/>
      <w:pPr>
        <w:ind w:left="4320" w:hanging="360"/>
      </w:pPr>
      <w:rPr>
        <w:rFonts w:ascii="Wingdings" w:hAnsi="Wingdings" w:hint="default"/>
      </w:rPr>
    </w:lvl>
    <w:lvl w:ilvl="6" w:tplc="F7EA81E4">
      <w:start w:val="1"/>
      <w:numFmt w:val="bullet"/>
      <w:lvlText w:val=""/>
      <w:lvlJc w:val="left"/>
      <w:pPr>
        <w:ind w:left="5040" w:hanging="360"/>
      </w:pPr>
      <w:rPr>
        <w:rFonts w:ascii="Symbol" w:hAnsi="Symbol" w:hint="default"/>
      </w:rPr>
    </w:lvl>
    <w:lvl w:ilvl="7" w:tplc="9710C1FC">
      <w:start w:val="1"/>
      <w:numFmt w:val="bullet"/>
      <w:lvlText w:val="o"/>
      <w:lvlJc w:val="left"/>
      <w:pPr>
        <w:ind w:left="5760" w:hanging="360"/>
      </w:pPr>
      <w:rPr>
        <w:rFonts w:ascii="Courier New" w:hAnsi="Courier New" w:cs="Courier New" w:hint="default"/>
      </w:rPr>
    </w:lvl>
    <w:lvl w:ilvl="8" w:tplc="79E015FA">
      <w:start w:val="1"/>
      <w:numFmt w:val="bullet"/>
      <w:lvlText w:val=""/>
      <w:lvlJc w:val="left"/>
      <w:pPr>
        <w:ind w:left="6480" w:hanging="360"/>
      </w:pPr>
      <w:rPr>
        <w:rFonts w:ascii="Wingdings" w:hAnsi="Wingdings" w:hint="default"/>
      </w:rPr>
    </w:lvl>
  </w:abstractNum>
  <w:abstractNum w:abstractNumId="56" w15:restartNumberingAfterBreak="0">
    <w:nsid w:val="4A70657A"/>
    <w:multiLevelType w:val="hybridMultilevel"/>
    <w:tmpl w:val="822E85D4"/>
    <w:lvl w:ilvl="0" w:tplc="811C93FC">
      <w:start w:val="1"/>
      <w:numFmt w:val="bullet"/>
      <w:lvlText w:val="•"/>
      <w:lvlJc w:val="left"/>
      <w:pPr>
        <w:ind w:left="720" w:hanging="360"/>
      </w:pPr>
      <w:rPr>
        <w:rFonts w:ascii="Calibri" w:hAnsi="Calibri" w:hint="default"/>
        <w:b w:val="0"/>
        <w:i w:val="0"/>
        <w:sz w:val="22"/>
      </w:rPr>
    </w:lvl>
    <w:lvl w:ilvl="1" w:tplc="D6DA2974">
      <w:start w:val="1"/>
      <w:numFmt w:val="bullet"/>
      <w:lvlText w:val="o"/>
      <w:lvlJc w:val="left"/>
      <w:pPr>
        <w:ind w:left="1440" w:hanging="360"/>
      </w:pPr>
      <w:rPr>
        <w:rFonts w:ascii="Courier New" w:hAnsi="Courier New" w:cs="Courier New" w:hint="default"/>
      </w:rPr>
    </w:lvl>
    <w:lvl w:ilvl="2" w:tplc="CF6279AE">
      <w:start w:val="1"/>
      <w:numFmt w:val="bullet"/>
      <w:lvlText w:val=""/>
      <w:lvlJc w:val="left"/>
      <w:pPr>
        <w:ind w:left="2160" w:hanging="360"/>
      </w:pPr>
      <w:rPr>
        <w:rFonts w:ascii="Wingdings" w:hAnsi="Wingdings" w:hint="default"/>
      </w:rPr>
    </w:lvl>
    <w:lvl w:ilvl="3" w:tplc="7CF4FCD6">
      <w:start w:val="1"/>
      <w:numFmt w:val="bullet"/>
      <w:lvlText w:val=""/>
      <w:lvlJc w:val="left"/>
      <w:pPr>
        <w:ind w:left="2880" w:hanging="360"/>
      </w:pPr>
      <w:rPr>
        <w:rFonts w:ascii="Symbol" w:hAnsi="Symbol" w:hint="default"/>
      </w:rPr>
    </w:lvl>
    <w:lvl w:ilvl="4" w:tplc="647C4AFA">
      <w:start w:val="1"/>
      <w:numFmt w:val="bullet"/>
      <w:lvlText w:val="o"/>
      <w:lvlJc w:val="left"/>
      <w:pPr>
        <w:ind w:left="3600" w:hanging="360"/>
      </w:pPr>
      <w:rPr>
        <w:rFonts w:ascii="Courier New" w:hAnsi="Courier New" w:cs="Courier New" w:hint="default"/>
      </w:rPr>
    </w:lvl>
    <w:lvl w:ilvl="5" w:tplc="B91AB698">
      <w:start w:val="1"/>
      <w:numFmt w:val="bullet"/>
      <w:lvlText w:val=""/>
      <w:lvlJc w:val="left"/>
      <w:pPr>
        <w:ind w:left="4320" w:hanging="360"/>
      </w:pPr>
      <w:rPr>
        <w:rFonts w:ascii="Wingdings" w:hAnsi="Wingdings" w:hint="default"/>
      </w:rPr>
    </w:lvl>
    <w:lvl w:ilvl="6" w:tplc="5832D5E2">
      <w:start w:val="1"/>
      <w:numFmt w:val="bullet"/>
      <w:lvlText w:val=""/>
      <w:lvlJc w:val="left"/>
      <w:pPr>
        <w:ind w:left="5040" w:hanging="360"/>
      </w:pPr>
      <w:rPr>
        <w:rFonts w:ascii="Symbol" w:hAnsi="Symbol" w:hint="default"/>
      </w:rPr>
    </w:lvl>
    <w:lvl w:ilvl="7" w:tplc="EFA40E54">
      <w:start w:val="1"/>
      <w:numFmt w:val="bullet"/>
      <w:lvlText w:val="o"/>
      <w:lvlJc w:val="left"/>
      <w:pPr>
        <w:ind w:left="5760" w:hanging="360"/>
      </w:pPr>
      <w:rPr>
        <w:rFonts w:ascii="Courier New" w:hAnsi="Courier New" w:cs="Courier New" w:hint="default"/>
      </w:rPr>
    </w:lvl>
    <w:lvl w:ilvl="8" w:tplc="26609004">
      <w:start w:val="1"/>
      <w:numFmt w:val="bullet"/>
      <w:lvlText w:val=""/>
      <w:lvlJc w:val="left"/>
      <w:pPr>
        <w:ind w:left="6480" w:hanging="360"/>
      </w:pPr>
      <w:rPr>
        <w:rFonts w:ascii="Wingdings" w:hAnsi="Wingdings" w:hint="default"/>
      </w:rPr>
    </w:lvl>
  </w:abstractNum>
  <w:abstractNum w:abstractNumId="57" w15:restartNumberingAfterBreak="0">
    <w:nsid w:val="4BC92FA0"/>
    <w:multiLevelType w:val="hybridMultilevel"/>
    <w:tmpl w:val="750CACA2"/>
    <w:lvl w:ilvl="0" w:tplc="5D9234D6">
      <w:start w:val="1"/>
      <w:numFmt w:val="bullet"/>
      <w:lvlText w:val=""/>
      <w:lvlJc w:val="left"/>
      <w:pPr>
        <w:ind w:left="720" w:hanging="360"/>
      </w:pPr>
      <w:rPr>
        <w:rFonts w:ascii="Symbol" w:hAnsi="Symbol" w:hint="default"/>
      </w:rPr>
    </w:lvl>
    <w:lvl w:ilvl="1" w:tplc="77B4AEDA">
      <w:start w:val="1"/>
      <w:numFmt w:val="bullet"/>
      <w:lvlText w:val="•"/>
      <w:lvlJc w:val="left"/>
      <w:pPr>
        <w:ind w:left="1440" w:hanging="360"/>
      </w:pPr>
      <w:rPr>
        <w:rFonts w:ascii="Calibri" w:hAnsi="Calibri" w:hint="default"/>
        <w:b w:val="0"/>
        <w:i w:val="0"/>
        <w:sz w:val="22"/>
      </w:rPr>
    </w:lvl>
    <w:lvl w:ilvl="2" w:tplc="538EF51A">
      <w:start w:val="1"/>
      <w:numFmt w:val="bullet"/>
      <w:lvlText w:val=""/>
      <w:lvlJc w:val="left"/>
      <w:pPr>
        <w:ind w:left="2160" w:hanging="360"/>
      </w:pPr>
      <w:rPr>
        <w:rFonts w:ascii="Wingdings" w:hAnsi="Wingdings" w:hint="default"/>
      </w:rPr>
    </w:lvl>
    <w:lvl w:ilvl="3" w:tplc="6F2A278E">
      <w:start w:val="1"/>
      <w:numFmt w:val="bullet"/>
      <w:lvlText w:val=""/>
      <w:lvlJc w:val="left"/>
      <w:pPr>
        <w:ind w:left="2880" w:hanging="360"/>
      </w:pPr>
      <w:rPr>
        <w:rFonts w:ascii="Symbol" w:hAnsi="Symbol" w:hint="default"/>
      </w:rPr>
    </w:lvl>
    <w:lvl w:ilvl="4" w:tplc="F2D2FDBA">
      <w:start w:val="1"/>
      <w:numFmt w:val="bullet"/>
      <w:lvlText w:val="o"/>
      <w:lvlJc w:val="left"/>
      <w:pPr>
        <w:ind w:left="3600" w:hanging="360"/>
      </w:pPr>
      <w:rPr>
        <w:rFonts w:ascii="Courier New" w:hAnsi="Courier New" w:cs="Courier New" w:hint="default"/>
      </w:rPr>
    </w:lvl>
    <w:lvl w:ilvl="5" w:tplc="70DE96D6">
      <w:start w:val="1"/>
      <w:numFmt w:val="bullet"/>
      <w:lvlText w:val=""/>
      <w:lvlJc w:val="left"/>
      <w:pPr>
        <w:ind w:left="4320" w:hanging="360"/>
      </w:pPr>
      <w:rPr>
        <w:rFonts w:ascii="Wingdings" w:hAnsi="Wingdings" w:hint="default"/>
      </w:rPr>
    </w:lvl>
    <w:lvl w:ilvl="6" w:tplc="17046EF4">
      <w:start w:val="1"/>
      <w:numFmt w:val="bullet"/>
      <w:lvlText w:val=""/>
      <w:lvlJc w:val="left"/>
      <w:pPr>
        <w:ind w:left="5040" w:hanging="360"/>
      </w:pPr>
      <w:rPr>
        <w:rFonts w:ascii="Symbol" w:hAnsi="Symbol" w:hint="default"/>
      </w:rPr>
    </w:lvl>
    <w:lvl w:ilvl="7" w:tplc="FE8CC702">
      <w:start w:val="1"/>
      <w:numFmt w:val="bullet"/>
      <w:lvlText w:val="o"/>
      <w:lvlJc w:val="left"/>
      <w:pPr>
        <w:ind w:left="5760" w:hanging="360"/>
      </w:pPr>
      <w:rPr>
        <w:rFonts w:ascii="Courier New" w:hAnsi="Courier New" w:cs="Courier New" w:hint="default"/>
      </w:rPr>
    </w:lvl>
    <w:lvl w:ilvl="8" w:tplc="3796CD0A">
      <w:start w:val="1"/>
      <w:numFmt w:val="bullet"/>
      <w:lvlText w:val=""/>
      <w:lvlJc w:val="left"/>
      <w:pPr>
        <w:ind w:left="6480" w:hanging="360"/>
      </w:pPr>
      <w:rPr>
        <w:rFonts w:ascii="Wingdings" w:hAnsi="Wingdings" w:hint="default"/>
      </w:rPr>
    </w:lvl>
  </w:abstractNum>
  <w:abstractNum w:abstractNumId="58" w15:restartNumberingAfterBreak="0">
    <w:nsid w:val="4C2F712C"/>
    <w:multiLevelType w:val="hybridMultilevel"/>
    <w:tmpl w:val="F09E6F0E"/>
    <w:lvl w:ilvl="0" w:tplc="C7CC7914">
      <w:start w:val="1"/>
      <w:numFmt w:val="bullet"/>
      <w:lvlText w:val=""/>
      <w:lvlJc w:val="left"/>
      <w:pPr>
        <w:ind w:left="720" w:hanging="360"/>
      </w:pPr>
      <w:rPr>
        <w:rFonts w:ascii="Symbol" w:hAnsi="Symbol" w:hint="default"/>
      </w:rPr>
    </w:lvl>
    <w:lvl w:ilvl="1" w:tplc="94388CC2">
      <w:start w:val="1"/>
      <w:numFmt w:val="bullet"/>
      <w:lvlText w:val="–"/>
      <w:lvlJc w:val="left"/>
      <w:pPr>
        <w:ind w:left="1785" w:hanging="705"/>
      </w:pPr>
      <w:rPr>
        <w:rFonts w:ascii="Times New Roman" w:eastAsia="Calibri" w:hAnsi="Times New Roman" w:cs="Times New Roman" w:hint="default"/>
      </w:rPr>
    </w:lvl>
    <w:lvl w:ilvl="2" w:tplc="62C0DA0C">
      <w:start w:val="1"/>
      <w:numFmt w:val="bullet"/>
      <w:lvlText w:val=""/>
      <w:lvlJc w:val="left"/>
      <w:pPr>
        <w:ind w:left="2160" w:hanging="360"/>
      </w:pPr>
      <w:rPr>
        <w:rFonts w:ascii="Wingdings" w:hAnsi="Wingdings" w:hint="default"/>
      </w:rPr>
    </w:lvl>
    <w:lvl w:ilvl="3" w:tplc="8976D8F6">
      <w:start w:val="1"/>
      <w:numFmt w:val="bullet"/>
      <w:lvlText w:val=""/>
      <w:lvlJc w:val="left"/>
      <w:pPr>
        <w:ind w:left="2880" w:hanging="360"/>
      </w:pPr>
      <w:rPr>
        <w:rFonts w:ascii="Symbol" w:hAnsi="Symbol" w:hint="default"/>
      </w:rPr>
    </w:lvl>
    <w:lvl w:ilvl="4" w:tplc="D6681524">
      <w:start w:val="1"/>
      <w:numFmt w:val="bullet"/>
      <w:lvlText w:val="o"/>
      <w:lvlJc w:val="left"/>
      <w:pPr>
        <w:ind w:left="3600" w:hanging="360"/>
      </w:pPr>
      <w:rPr>
        <w:rFonts w:ascii="Courier New" w:hAnsi="Courier New" w:cs="Courier New" w:hint="default"/>
      </w:rPr>
    </w:lvl>
    <w:lvl w:ilvl="5" w:tplc="44783706">
      <w:start w:val="1"/>
      <w:numFmt w:val="bullet"/>
      <w:lvlText w:val=""/>
      <w:lvlJc w:val="left"/>
      <w:pPr>
        <w:ind w:left="4320" w:hanging="360"/>
      </w:pPr>
      <w:rPr>
        <w:rFonts w:ascii="Wingdings" w:hAnsi="Wingdings" w:hint="default"/>
      </w:rPr>
    </w:lvl>
    <w:lvl w:ilvl="6" w:tplc="3DD0C4F2">
      <w:start w:val="1"/>
      <w:numFmt w:val="bullet"/>
      <w:lvlText w:val=""/>
      <w:lvlJc w:val="left"/>
      <w:pPr>
        <w:ind w:left="5040" w:hanging="360"/>
      </w:pPr>
      <w:rPr>
        <w:rFonts w:ascii="Symbol" w:hAnsi="Symbol" w:hint="default"/>
      </w:rPr>
    </w:lvl>
    <w:lvl w:ilvl="7" w:tplc="1CB4876E">
      <w:start w:val="1"/>
      <w:numFmt w:val="bullet"/>
      <w:lvlText w:val="o"/>
      <w:lvlJc w:val="left"/>
      <w:pPr>
        <w:ind w:left="5760" w:hanging="360"/>
      </w:pPr>
      <w:rPr>
        <w:rFonts w:ascii="Courier New" w:hAnsi="Courier New" w:cs="Courier New" w:hint="default"/>
      </w:rPr>
    </w:lvl>
    <w:lvl w:ilvl="8" w:tplc="1ADE1D14">
      <w:start w:val="1"/>
      <w:numFmt w:val="bullet"/>
      <w:lvlText w:val=""/>
      <w:lvlJc w:val="left"/>
      <w:pPr>
        <w:ind w:left="6480" w:hanging="360"/>
      </w:pPr>
      <w:rPr>
        <w:rFonts w:ascii="Wingdings" w:hAnsi="Wingdings" w:hint="default"/>
      </w:rPr>
    </w:lvl>
  </w:abstractNum>
  <w:abstractNum w:abstractNumId="59" w15:restartNumberingAfterBreak="0">
    <w:nsid w:val="4F2220DB"/>
    <w:multiLevelType w:val="hybridMultilevel"/>
    <w:tmpl w:val="41E2F68E"/>
    <w:lvl w:ilvl="0" w:tplc="6B4EE99E">
      <w:start w:val="1"/>
      <w:numFmt w:val="bullet"/>
      <w:lvlText w:val="•"/>
      <w:lvlJc w:val="left"/>
      <w:pPr>
        <w:ind w:left="720" w:hanging="360"/>
      </w:pPr>
      <w:rPr>
        <w:rFonts w:ascii="Calibri" w:hAnsi="Calibri" w:hint="default"/>
        <w:b w:val="0"/>
        <w:i w:val="0"/>
        <w:sz w:val="22"/>
      </w:rPr>
    </w:lvl>
    <w:lvl w:ilvl="1" w:tplc="E4B6996A">
      <w:start w:val="1"/>
      <w:numFmt w:val="bullet"/>
      <w:lvlText w:val="o"/>
      <w:lvlJc w:val="left"/>
      <w:pPr>
        <w:ind w:left="1440" w:hanging="360"/>
      </w:pPr>
      <w:rPr>
        <w:rFonts w:ascii="Courier New" w:hAnsi="Courier New" w:cs="Courier New" w:hint="default"/>
      </w:rPr>
    </w:lvl>
    <w:lvl w:ilvl="2" w:tplc="074C5DE6">
      <w:start w:val="1"/>
      <w:numFmt w:val="bullet"/>
      <w:lvlText w:val=""/>
      <w:lvlJc w:val="left"/>
      <w:pPr>
        <w:ind w:left="2160" w:hanging="360"/>
      </w:pPr>
      <w:rPr>
        <w:rFonts w:ascii="Wingdings" w:hAnsi="Wingdings" w:hint="default"/>
      </w:rPr>
    </w:lvl>
    <w:lvl w:ilvl="3" w:tplc="955A0E3A">
      <w:start w:val="1"/>
      <w:numFmt w:val="bullet"/>
      <w:lvlText w:val=""/>
      <w:lvlJc w:val="left"/>
      <w:pPr>
        <w:ind w:left="2880" w:hanging="360"/>
      </w:pPr>
      <w:rPr>
        <w:rFonts w:ascii="Symbol" w:hAnsi="Symbol" w:hint="default"/>
      </w:rPr>
    </w:lvl>
    <w:lvl w:ilvl="4" w:tplc="05D4F828">
      <w:start w:val="1"/>
      <w:numFmt w:val="bullet"/>
      <w:lvlText w:val="o"/>
      <w:lvlJc w:val="left"/>
      <w:pPr>
        <w:ind w:left="3600" w:hanging="360"/>
      </w:pPr>
      <w:rPr>
        <w:rFonts w:ascii="Courier New" w:hAnsi="Courier New" w:cs="Courier New" w:hint="default"/>
      </w:rPr>
    </w:lvl>
    <w:lvl w:ilvl="5" w:tplc="AA2CC5A2">
      <w:start w:val="1"/>
      <w:numFmt w:val="bullet"/>
      <w:lvlText w:val=""/>
      <w:lvlJc w:val="left"/>
      <w:pPr>
        <w:ind w:left="4320" w:hanging="360"/>
      </w:pPr>
      <w:rPr>
        <w:rFonts w:ascii="Wingdings" w:hAnsi="Wingdings" w:hint="default"/>
      </w:rPr>
    </w:lvl>
    <w:lvl w:ilvl="6" w:tplc="5378AB52">
      <w:start w:val="1"/>
      <w:numFmt w:val="bullet"/>
      <w:lvlText w:val=""/>
      <w:lvlJc w:val="left"/>
      <w:pPr>
        <w:ind w:left="5040" w:hanging="360"/>
      </w:pPr>
      <w:rPr>
        <w:rFonts w:ascii="Symbol" w:hAnsi="Symbol" w:hint="default"/>
      </w:rPr>
    </w:lvl>
    <w:lvl w:ilvl="7" w:tplc="0FE06FC6">
      <w:start w:val="1"/>
      <w:numFmt w:val="bullet"/>
      <w:lvlText w:val="o"/>
      <w:lvlJc w:val="left"/>
      <w:pPr>
        <w:ind w:left="5760" w:hanging="360"/>
      </w:pPr>
      <w:rPr>
        <w:rFonts w:ascii="Courier New" w:hAnsi="Courier New" w:cs="Courier New" w:hint="default"/>
      </w:rPr>
    </w:lvl>
    <w:lvl w:ilvl="8" w:tplc="572464A0">
      <w:start w:val="1"/>
      <w:numFmt w:val="bullet"/>
      <w:lvlText w:val=""/>
      <w:lvlJc w:val="left"/>
      <w:pPr>
        <w:ind w:left="6480" w:hanging="360"/>
      </w:pPr>
      <w:rPr>
        <w:rFonts w:ascii="Wingdings" w:hAnsi="Wingdings" w:hint="default"/>
      </w:rPr>
    </w:lvl>
  </w:abstractNum>
  <w:abstractNum w:abstractNumId="60" w15:restartNumberingAfterBreak="0">
    <w:nsid w:val="508C42B0"/>
    <w:multiLevelType w:val="hybridMultilevel"/>
    <w:tmpl w:val="1E46B882"/>
    <w:lvl w:ilvl="0" w:tplc="04545F42">
      <w:start w:val="1"/>
      <w:numFmt w:val="bullet"/>
      <w:lvlText w:val=""/>
      <w:lvlJc w:val="left"/>
      <w:pPr>
        <w:ind w:left="720" w:hanging="360"/>
      </w:pPr>
      <w:rPr>
        <w:rFonts w:ascii="Symbol" w:hAnsi="Symbol" w:hint="default"/>
      </w:rPr>
    </w:lvl>
    <w:lvl w:ilvl="1" w:tplc="F1B6679A">
      <w:start w:val="1"/>
      <w:numFmt w:val="bullet"/>
      <w:lvlText w:val="o"/>
      <w:lvlJc w:val="left"/>
      <w:pPr>
        <w:ind w:left="1440" w:hanging="360"/>
      </w:pPr>
      <w:rPr>
        <w:rFonts w:ascii="Courier New" w:hAnsi="Courier New" w:cs="Courier New" w:hint="default"/>
      </w:rPr>
    </w:lvl>
    <w:lvl w:ilvl="2" w:tplc="F7F4FD24">
      <w:start w:val="1"/>
      <w:numFmt w:val="bullet"/>
      <w:lvlText w:val=""/>
      <w:lvlJc w:val="left"/>
      <w:pPr>
        <w:ind w:left="2160" w:hanging="360"/>
      </w:pPr>
      <w:rPr>
        <w:rFonts w:ascii="Wingdings" w:hAnsi="Wingdings" w:hint="default"/>
      </w:rPr>
    </w:lvl>
    <w:lvl w:ilvl="3" w:tplc="DD660C08">
      <w:start w:val="1"/>
      <w:numFmt w:val="bullet"/>
      <w:lvlText w:val=""/>
      <w:lvlJc w:val="left"/>
      <w:pPr>
        <w:ind w:left="2880" w:hanging="360"/>
      </w:pPr>
      <w:rPr>
        <w:rFonts w:ascii="Symbol" w:hAnsi="Symbol" w:hint="default"/>
      </w:rPr>
    </w:lvl>
    <w:lvl w:ilvl="4" w:tplc="FC366D50">
      <w:start w:val="1"/>
      <w:numFmt w:val="bullet"/>
      <w:lvlText w:val="o"/>
      <w:lvlJc w:val="left"/>
      <w:pPr>
        <w:ind w:left="3600" w:hanging="360"/>
      </w:pPr>
      <w:rPr>
        <w:rFonts w:ascii="Courier New" w:hAnsi="Courier New" w:cs="Courier New" w:hint="default"/>
      </w:rPr>
    </w:lvl>
    <w:lvl w:ilvl="5" w:tplc="11F426C0">
      <w:start w:val="1"/>
      <w:numFmt w:val="bullet"/>
      <w:lvlText w:val=""/>
      <w:lvlJc w:val="left"/>
      <w:pPr>
        <w:ind w:left="4320" w:hanging="360"/>
      </w:pPr>
      <w:rPr>
        <w:rFonts w:ascii="Wingdings" w:hAnsi="Wingdings" w:hint="default"/>
      </w:rPr>
    </w:lvl>
    <w:lvl w:ilvl="6" w:tplc="22043B48">
      <w:start w:val="1"/>
      <w:numFmt w:val="bullet"/>
      <w:lvlText w:val=""/>
      <w:lvlJc w:val="left"/>
      <w:pPr>
        <w:ind w:left="5040" w:hanging="360"/>
      </w:pPr>
      <w:rPr>
        <w:rFonts w:ascii="Symbol" w:hAnsi="Symbol" w:hint="default"/>
      </w:rPr>
    </w:lvl>
    <w:lvl w:ilvl="7" w:tplc="C42C3F04">
      <w:start w:val="1"/>
      <w:numFmt w:val="bullet"/>
      <w:lvlText w:val="o"/>
      <w:lvlJc w:val="left"/>
      <w:pPr>
        <w:ind w:left="5760" w:hanging="360"/>
      </w:pPr>
      <w:rPr>
        <w:rFonts w:ascii="Courier New" w:hAnsi="Courier New" w:cs="Courier New" w:hint="default"/>
      </w:rPr>
    </w:lvl>
    <w:lvl w:ilvl="8" w:tplc="F7865DEA">
      <w:start w:val="1"/>
      <w:numFmt w:val="bullet"/>
      <w:lvlText w:val=""/>
      <w:lvlJc w:val="left"/>
      <w:pPr>
        <w:ind w:left="6480" w:hanging="360"/>
      </w:pPr>
      <w:rPr>
        <w:rFonts w:ascii="Wingdings" w:hAnsi="Wingdings" w:hint="default"/>
      </w:rPr>
    </w:lvl>
  </w:abstractNum>
  <w:abstractNum w:abstractNumId="61" w15:restartNumberingAfterBreak="0">
    <w:nsid w:val="51D17BAB"/>
    <w:multiLevelType w:val="hybridMultilevel"/>
    <w:tmpl w:val="5A44405C"/>
    <w:lvl w:ilvl="0" w:tplc="62EEE248">
      <w:start w:val="1"/>
      <w:numFmt w:val="bullet"/>
      <w:lvlText w:val="•"/>
      <w:lvlJc w:val="left"/>
      <w:pPr>
        <w:ind w:left="720" w:hanging="360"/>
      </w:pPr>
      <w:rPr>
        <w:rFonts w:ascii="Calibri" w:hAnsi="Calibri" w:hint="default"/>
        <w:b w:val="0"/>
        <w:i w:val="0"/>
        <w:sz w:val="22"/>
      </w:rPr>
    </w:lvl>
    <w:lvl w:ilvl="1" w:tplc="62AA7D46">
      <w:start w:val="1"/>
      <w:numFmt w:val="bullet"/>
      <w:lvlText w:val="o"/>
      <w:lvlJc w:val="left"/>
      <w:pPr>
        <w:ind w:left="1440" w:hanging="360"/>
      </w:pPr>
      <w:rPr>
        <w:rFonts w:ascii="Courier New" w:hAnsi="Courier New" w:cs="Courier New" w:hint="default"/>
      </w:rPr>
    </w:lvl>
    <w:lvl w:ilvl="2" w:tplc="4748E818">
      <w:start w:val="1"/>
      <w:numFmt w:val="bullet"/>
      <w:lvlText w:val=""/>
      <w:lvlJc w:val="left"/>
      <w:pPr>
        <w:ind w:left="2160" w:hanging="360"/>
      </w:pPr>
      <w:rPr>
        <w:rFonts w:ascii="Wingdings" w:hAnsi="Wingdings" w:hint="default"/>
      </w:rPr>
    </w:lvl>
    <w:lvl w:ilvl="3" w:tplc="8580ED2A">
      <w:start w:val="1"/>
      <w:numFmt w:val="bullet"/>
      <w:lvlText w:val=""/>
      <w:lvlJc w:val="left"/>
      <w:pPr>
        <w:ind w:left="2880" w:hanging="360"/>
      </w:pPr>
      <w:rPr>
        <w:rFonts w:ascii="Symbol" w:hAnsi="Symbol" w:hint="default"/>
      </w:rPr>
    </w:lvl>
    <w:lvl w:ilvl="4" w:tplc="EBD866BA">
      <w:start w:val="1"/>
      <w:numFmt w:val="bullet"/>
      <w:lvlText w:val="o"/>
      <w:lvlJc w:val="left"/>
      <w:pPr>
        <w:ind w:left="3600" w:hanging="360"/>
      </w:pPr>
      <w:rPr>
        <w:rFonts w:ascii="Courier New" w:hAnsi="Courier New" w:cs="Courier New" w:hint="default"/>
      </w:rPr>
    </w:lvl>
    <w:lvl w:ilvl="5" w:tplc="4B50C2BE">
      <w:start w:val="1"/>
      <w:numFmt w:val="bullet"/>
      <w:lvlText w:val=""/>
      <w:lvlJc w:val="left"/>
      <w:pPr>
        <w:ind w:left="4320" w:hanging="360"/>
      </w:pPr>
      <w:rPr>
        <w:rFonts w:ascii="Wingdings" w:hAnsi="Wingdings" w:hint="default"/>
      </w:rPr>
    </w:lvl>
    <w:lvl w:ilvl="6" w:tplc="7D803AD8">
      <w:start w:val="1"/>
      <w:numFmt w:val="bullet"/>
      <w:lvlText w:val=""/>
      <w:lvlJc w:val="left"/>
      <w:pPr>
        <w:ind w:left="5040" w:hanging="360"/>
      </w:pPr>
      <w:rPr>
        <w:rFonts w:ascii="Symbol" w:hAnsi="Symbol" w:hint="default"/>
      </w:rPr>
    </w:lvl>
    <w:lvl w:ilvl="7" w:tplc="FF3E8F12">
      <w:start w:val="1"/>
      <w:numFmt w:val="bullet"/>
      <w:lvlText w:val="o"/>
      <w:lvlJc w:val="left"/>
      <w:pPr>
        <w:ind w:left="5760" w:hanging="360"/>
      </w:pPr>
      <w:rPr>
        <w:rFonts w:ascii="Courier New" w:hAnsi="Courier New" w:cs="Courier New" w:hint="default"/>
      </w:rPr>
    </w:lvl>
    <w:lvl w:ilvl="8" w:tplc="0D6C6B6E">
      <w:start w:val="1"/>
      <w:numFmt w:val="bullet"/>
      <w:lvlText w:val=""/>
      <w:lvlJc w:val="left"/>
      <w:pPr>
        <w:ind w:left="6480" w:hanging="360"/>
      </w:pPr>
      <w:rPr>
        <w:rFonts w:ascii="Wingdings" w:hAnsi="Wingdings" w:hint="default"/>
      </w:rPr>
    </w:lvl>
  </w:abstractNum>
  <w:abstractNum w:abstractNumId="62" w15:restartNumberingAfterBreak="0">
    <w:nsid w:val="532C741F"/>
    <w:multiLevelType w:val="hybridMultilevel"/>
    <w:tmpl w:val="56FC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71429E"/>
    <w:multiLevelType w:val="hybridMultilevel"/>
    <w:tmpl w:val="EC507CB8"/>
    <w:lvl w:ilvl="0" w:tplc="4288B51C">
      <w:start w:val="1"/>
      <w:numFmt w:val="bullet"/>
      <w:lvlText w:val="•"/>
      <w:lvlJc w:val="left"/>
      <w:pPr>
        <w:ind w:left="720" w:hanging="360"/>
      </w:pPr>
      <w:rPr>
        <w:rFonts w:ascii="Calibri" w:hAnsi="Calibri" w:hint="default"/>
        <w:b w:val="0"/>
        <w:i w:val="0"/>
        <w:sz w:val="22"/>
      </w:rPr>
    </w:lvl>
    <w:lvl w:ilvl="1" w:tplc="64C685B6">
      <w:start w:val="1"/>
      <w:numFmt w:val="bullet"/>
      <w:lvlText w:val="o"/>
      <w:lvlJc w:val="left"/>
      <w:pPr>
        <w:ind w:left="1440" w:hanging="360"/>
      </w:pPr>
      <w:rPr>
        <w:rFonts w:ascii="Courier New" w:hAnsi="Courier New" w:cs="Courier New" w:hint="default"/>
      </w:rPr>
    </w:lvl>
    <w:lvl w:ilvl="2" w:tplc="1180B9EA">
      <w:start w:val="1"/>
      <w:numFmt w:val="bullet"/>
      <w:lvlText w:val=""/>
      <w:lvlJc w:val="left"/>
      <w:pPr>
        <w:ind w:left="2160" w:hanging="360"/>
      </w:pPr>
      <w:rPr>
        <w:rFonts w:ascii="Wingdings" w:hAnsi="Wingdings" w:hint="default"/>
      </w:rPr>
    </w:lvl>
    <w:lvl w:ilvl="3" w:tplc="EFB475B0">
      <w:start w:val="1"/>
      <w:numFmt w:val="bullet"/>
      <w:lvlText w:val=""/>
      <w:lvlJc w:val="left"/>
      <w:pPr>
        <w:ind w:left="2880" w:hanging="360"/>
      </w:pPr>
      <w:rPr>
        <w:rFonts w:ascii="Symbol" w:hAnsi="Symbol" w:hint="default"/>
      </w:rPr>
    </w:lvl>
    <w:lvl w:ilvl="4" w:tplc="5F84ABBE">
      <w:start w:val="1"/>
      <w:numFmt w:val="bullet"/>
      <w:lvlText w:val="o"/>
      <w:lvlJc w:val="left"/>
      <w:pPr>
        <w:ind w:left="3600" w:hanging="360"/>
      </w:pPr>
      <w:rPr>
        <w:rFonts w:ascii="Courier New" w:hAnsi="Courier New" w:cs="Courier New" w:hint="default"/>
      </w:rPr>
    </w:lvl>
    <w:lvl w:ilvl="5" w:tplc="220CAA0E">
      <w:start w:val="1"/>
      <w:numFmt w:val="bullet"/>
      <w:lvlText w:val=""/>
      <w:lvlJc w:val="left"/>
      <w:pPr>
        <w:ind w:left="4320" w:hanging="360"/>
      </w:pPr>
      <w:rPr>
        <w:rFonts w:ascii="Wingdings" w:hAnsi="Wingdings" w:hint="default"/>
      </w:rPr>
    </w:lvl>
    <w:lvl w:ilvl="6" w:tplc="826287B8">
      <w:start w:val="1"/>
      <w:numFmt w:val="bullet"/>
      <w:lvlText w:val=""/>
      <w:lvlJc w:val="left"/>
      <w:pPr>
        <w:ind w:left="5040" w:hanging="360"/>
      </w:pPr>
      <w:rPr>
        <w:rFonts w:ascii="Symbol" w:hAnsi="Symbol" w:hint="default"/>
      </w:rPr>
    </w:lvl>
    <w:lvl w:ilvl="7" w:tplc="39BA1AF6">
      <w:start w:val="1"/>
      <w:numFmt w:val="bullet"/>
      <w:lvlText w:val="o"/>
      <w:lvlJc w:val="left"/>
      <w:pPr>
        <w:ind w:left="5760" w:hanging="360"/>
      </w:pPr>
      <w:rPr>
        <w:rFonts w:ascii="Courier New" w:hAnsi="Courier New" w:cs="Courier New" w:hint="default"/>
      </w:rPr>
    </w:lvl>
    <w:lvl w:ilvl="8" w:tplc="9BB0530E">
      <w:start w:val="1"/>
      <w:numFmt w:val="bullet"/>
      <w:lvlText w:val=""/>
      <w:lvlJc w:val="left"/>
      <w:pPr>
        <w:ind w:left="6480" w:hanging="360"/>
      </w:pPr>
      <w:rPr>
        <w:rFonts w:ascii="Wingdings" w:hAnsi="Wingdings" w:hint="default"/>
      </w:rPr>
    </w:lvl>
  </w:abstractNum>
  <w:abstractNum w:abstractNumId="64" w15:restartNumberingAfterBreak="0">
    <w:nsid w:val="55E86482"/>
    <w:multiLevelType w:val="hybridMultilevel"/>
    <w:tmpl w:val="3A9C0278"/>
    <w:lvl w:ilvl="0" w:tplc="1EF62DD0">
      <w:start w:val="1"/>
      <w:numFmt w:val="bullet"/>
      <w:lvlText w:val=""/>
      <w:lvlJc w:val="left"/>
      <w:pPr>
        <w:ind w:left="720" w:hanging="360"/>
      </w:pPr>
      <w:rPr>
        <w:rFonts w:ascii="Symbol" w:hAnsi="Symbol" w:hint="default"/>
      </w:rPr>
    </w:lvl>
    <w:lvl w:ilvl="1" w:tplc="03DA428A">
      <w:start w:val="1"/>
      <w:numFmt w:val="bullet"/>
      <w:lvlText w:val="o"/>
      <w:lvlJc w:val="left"/>
      <w:pPr>
        <w:ind w:left="1440" w:hanging="360"/>
      </w:pPr>
      <w:rPr>
        <w:rFonts w:ascii="Courier New" w:hAnsi="Courier New" w:cs="Courier New" w:hint="default"/>
      </w:rPr>
    </w:lvl>
    <w:lvl w:ilvl="2" w:tplc="FB769AEE">
      <w:start w:val="1"/>
      <w:numFmt w:val="bullet"/>
      <w:lvlText w:val=""/>
      <w:lvlJc w:val="left"/>
      <w:pPr>
        <w:ind w:left="2160" w:hanging="360"/>
      </w:pPr>
      <w:rPr>
        <w:rFonts w:ascii="Wingdings" w:hAnsi="Wingdings" w:hint="default"/>
      </w:rPr>
    </w:lvl>
    <w:lvl w:ilvl="3" w:tplc="47FC21E0">
      <w:start w:val="1"/>
      <w:numFmt w:val="bullet"/>
      <w:lvlText w:val=""/>
      <w:lvlJc w:val="left"/>
      <w:pPr>
        <w:ind w:left="2880" w:hanging="360"/>
      </w:pPr>
      <w:rPr>
        <w:rFonts w:ascii="Symbol" w:hAnsi="Symbol" w:hint="default"/>
      </w:rPr>
    </w:lvl>
    <w:lvl w:ilvl="4" w:tplc="DBF49B5E">
      <w:start w:val="1"/>
      <w:numFmt w:val="bullet"/>
      <w:lvlText w:val="o"/>
      <w:lvlJc w:val="left"/>
      <w:pPr>
        <w:ind w:left="3600" w:hanging="360"/>
      </w:pPr>
      <w:rPr>
        <w:rFonts w:ascii="Courier New" w:hAnsi="Courier New" w:cs="Courier New" w:hint="default"/>
      </w:rPr>
    </w:lvl>
    <w:lvl w:ilvl="5" w:tplc="CF767754">
      <w:start w:val="1"/>
      <w:numFmt w:val="bullet"/>
      <w:lvlText w:val=""/>
      <w:lvlJc w:val="left"/>
      <w:pPr>
        <w:ind w:left="4320" w:hanging="360"/>
      </w:pPr>
      <w:rPr>
        <w:rFonts w:ascii="Wingdings" w:hAnsi="Wingdings" w:hint="default"/>
      </w:rPr>
    </w:lvl>
    <w:lvl w:ilvl="6" w:tplc="38CA0408">
      <w:start w:val="1"/>
      <w:numFmt w:val="bullet"/>
      <w:lvlText w:val=""/>
      <w:lvlJc w:val="left"/>
      <w:pPr>
        <w:ind w:left="5040" w:hanging="360"/>
      </w:pPr>
      <w:rPr>
        <w:rFonts w:ascii="Symbol" w:hAnsi="Symbol" w:hint="default"/>
      </w:rPr>
    </w:lvl>
    <w:lvl w:ilvl="7" w:tplc="1EB2D634">
      <w:start w:val="1"/>
      <w:numFmt w:val="bullet"/>
      <w:lvlText w:val="o"/>
      <w:lvlJc w:val="left"/>
      <w:pPr>
        <w:ind w:left="5760" w:hanging="360"/>
      </w:pPr>
      <w:rPr>
        <w:rFonts w:ascii="Courier New" w:hAnsi="Courier New" w:cs="Courier New" w:hint="default"/>
      </w:rPr>
    </w:lvl>
    <w:lvl w:ilvl="8" w:tplc="3CF4A864">
      <w:start w:val="1"/>
      <w:numFmt w:val="bullet"/>
      <w:lvlText w:val=""/>
      <w:lvlJc w:val="left"/>
      <w:pPr>
        <w:ind w:left="6480" w:hanging="360"/>
      </w:pPr>
      <w:rPr>
        <w:rFonts w:ascii="Wingdings" w:hAnsi="Wingdings" w:hint="default"/>
      </w:rPr>
    </w:lvl>
  </w:abstractNum>
  <w:abstractNum w:abstractNumId="65" w15:restartNumberingAfterBreak="0">
    <w:nsid w:val="5CFF59B2"/>
    <w:multiLevelType w:val="hybridMultilevel"/>
    <w:tmpl w:val="9502D6F0"/>
    <w:lvl w:ilvl="0" w:tplc="5C22FCA6">
      <w:start w:val="1"/>
      <w:numFmt w:val="bullet"/>
      <w:lvlText w:val="•"/>
      <w:lvlJc w:val="left"/>
      <w:pPr>
        <w:ind w:left="720" w:hanging="360"/>
      </w:pPr>
      <w:rPr>
        <w:rFonts w:ascii="Calibri" w:hAnsi="Calibri" w:hint="default"/>
        <w:b w:val="0"/>
        <w:i w:val="0"/>
        <w:sz w:val="22"/>
      </w:rPr>
    </w:lvl>
    <w:lvl w:ilvl="1" w:tplc="268AC7E0">
      <w:start w:val="1"/>
      <w:numFmt w:val="bullet"/>
      <w:lvlText w:val="o"/>
      <w:lvlJc w:val="left"/>
      <w:pPr>
        <w:ind w:left="1440" w:hanging="360"/>
      </w:pPr>
      <w:rPr>
        <w:rFonts w:ascii="Courier New" w:hAnsi="Courier New" w:cs="Courier New" w:hint="default"/>
      </w:rPr>
    </w:lvl>
    <w:lvl w:ilvl="2" w:tplc="5EA40DCA">
      <w:start w:val="1"/>
      <w:numFmt w:val="bullet"/>
      <w:lvlText w:val=""/>
      <w:lvlJc w:val="left"/>
      <w:pPr>
        <w:ind w:left="2160" w:hanging="360"/>
      </w:pPr>
      <w:rPr>
        <w:rFonts w:ascii="Wingdings" w:hAnsi="Wingdings" w:hint="default"/>
      </w:rPr>
    </w:lvl>
    <w:lvl w:ilvl="3" w:tplc="4DF6707C">
      <w:start w:val="1"/>
      <w:numFmt w:val="bullet"/>
      <w:lvlText w:val=""/>
      <w:lvlJc w:val="left"/>
      <w:pPr>
        <w:ind w:left="2880" w:hanging="360"/>
      </w:pPr>
      <w:rPr>
        <w:rFonts w:ascii="Symbol" w:hAnsi="Symbol" w:hint="default"/>
      </w:rPr>
    </w:lvl>
    <w:lvl w:ilvl="4" w:tplc="B600A83E">
      <w:start w:val="1"/>
      <w:numFmt w:val="bullet"/>
      <w:lvlText w:val="o"/>
      <w:lvlJc w:val="left"/>
      <w:pPr>
        <w:ind w:left="3600" w:hanging="360"/>
      </w:pPr>
      <w:rPr>
        <w:rFonts w:ascii="Courier New" w:hAnsi="Courier New" w:cs="Courier New" w:hint="default"/>
      </w:rPr>
    </w:lvl>
    <w:lvl w:ilvl="5" w:tplc="F5BAAB6A">
      <w:start w:val="1"/>
      <w:numFmt w:val="bullet"/>
      <w:lvlText w:val=""/>
      <w:lvlJc w:val="left"/>
      <w:pPr>
        <w:ind w:left="4320" w:hanging="360"/>
      </w:pPr>
      <w:rPr>
        <w:rFonts w:ascii="Wingdings" w:hAnsi="Wingdings" w:hint="default"/>
      </w:rPr>
    </w:lvl>
    <w:lvl w:ilvl="6" w:tplc="8D50B5D6">
      <w:start w:val="1"/>
      <w:numFmt w:val="bullet"/>
      <w:lvlText w:val=""/>
      <w:lvlJc w:val="left"/>
      <w:pPr>
        <w:ind w:left="5040" w:hanging="360"/>
      </w:pPr>
      <w:rPr>
        <w:rFonts w:ascii="Symbol" w:hAnsi="Symbol" w:hint="default"/>
      </w:rPr>
    </w:lvl>
    <w:lvl w:ilvl="7" w:tplc="453697CA">
      <w:start w:val="1"/>
      <w:numFmt w:val="bullet"/>
      <w:lvlText w:val="o"/>
      <w:lvlJc w:val="left"/>
      <w:pPr>
        <w:ind w:left="5760" w:hanging="360"/>
      </w:pPr>
      <w:rPr>
        <w:rFonts w:ascii="Courier New" w:hAnsi="Courier New" w:cs="Courier New" w:hint="default"/>
      </w:rPr>
    </w:lvl>
    <w:lvl w:ilvl="8" w:tplc="BB38EF28">
      <w:start w:val="1"/>
      <w:numFmt w:val="bullet"/>
      <w:lvlText w:val=""/>
      <w:lvlJc w:val="left"/>
      <w:pPr>
        <w:ind w:left="6480" w:hanging="360"/>
      </w:pPr>
      <w:rPr>
        <w:rFonts w:ascii="Wingdings" w:hAnsi="Wingdings" w:hint="default"/>
      </w:rPr>
    </w:lvl>
  </w:abstractNum>
  <w:abstractNum w:abstractNumId="66" w15:restartNumberingAfterBreak="0">
    <w:nsid w:val="5DE45053"/>
    <w:multiLevelType w:val="hybridMultilevel"/>
    <w:tmpl w:val="701A0DDC"/>
    <w:lvl w:ilvl="0" w:tplc="188E78D6">
      <w:start w:val="1"/>
      <w:numFmt w:val="bullet"/>
      <w:lvlText w:val="•"/>
      <w:lvlJc w:val="left"/>
      <w:pPr>
        <w:ind w:left="720" w:hanging="360"/>
      </w:pPr>
      <w:rPr>
        <w:rFonts w:ascii="Calibri" w:hAnsi="Calibri" w:hint="default"/>
        <w:b w:val="0"/>
        <w:i w:val="0"/>
        <w:sz w:val="22"/>
      </w:rPr>
    </w:lvl>
    <w:lvl w:ilvl="1" w:tplc="2FC855B0">
      <w:start w:val="1"/>
      <w:numFmt w:val="bullet"/>
      <w:lvlText w:val="•"/>
      <w:lvlJc w:val="left"/>
      <w:pPr>
        <w:ind w:left="1440" w:hanging="360"/>
      </w:pPr>
      <w:rPr>
        <w:rFonts w:ascii="Calibri" w:hAnsi="Calibri" w:hint="default"/>
        <w:b w:val="0"/>
        <w:i w:val="0"/>
        <w:sz w:val="22"/>
      </w:rPr>
    </w:lvl>
    <w:lvl w:ilvl="2" w:tplc="D942633E">
      <w:start w:val="1"/>
      <w:numFmt w:val="bullet"/>
      <w:lvlText w:val=""/>
      <w:lvlJc w:val="left"/>
      <w:pPr>
        <w:ind w:left="2160" w:hanging="360"/>
      </w:pPr>
      <w:rPr>
        <w:rFonts w:ascii="Wingdings" w:hAnsi="Wingdings" w:hint="default"/>
      </w:rPr>
    </w:lvl>
    <w:lvl w:ilvl="3" w:tplc="C7242948">
      <w:start w:val="1"/>
      <w:numFmt w:val="bullet"/>
      <w:lvlText w:val=""/>
      <w:lvlJc w:val="left"/>
      <w:pPr>
        <w:ind w:left="2880" w:hanging="360"/>
      </w:pPr>
      <w:rPr>
        <w:rFonts w:ascii="Symbol" w:hAnsi="Symbol" w:hint="default"/>
      </w:rPr>
    </w:lvl>
    <w:lvl w:ilvl="4" w:tplc="2C10EA16">
      <w:start w:val="1"/>
      <w:numFmt w:val="bullet"/>
      <w:lvlText w:val="o"/>
      <w:lvlJc w:val="left"/>
      <w:pPr>
        <w:ind w:left="3600" w:hanging="360"/>
      </w:pPr>
      <w:rPr>
        <w:rFonts w:ascii="Courier New" w:hAnsi="Courier New" w:cs="Courier New" w:hint="default"/>
      </w:rPr>
    </w:lvl>
    <w:lvl w:ilvl="5" w:tplc="0F9E9634">
      <w:start w:val="1"/>
      <w:numFmt w:val="bullet"/>
      <w:lvlText w:val=""/>
      <w:lvlJc w:val="left"/>
      <w:pPr>
        <w:ind w:left="4320" w:hanging="360"/>
      </w:pPr>
      <w:rPr>
        <w:rFonts w:ascii="Wingdings" w:hAnsi="Wingdings" w:hint="default"/>
      </w:rPr>
    </w:lvl>
    <w:lvl w:ilvl="6" w:tplc="D5A808FC">
      <w:start w:val="1"/>
      <w:numFmt w:val="bullet"/>
      <w:lvlText w:val=""/>
      <w:lvlJc w:val="left"/>
      <w:pPr>
        <w:ind w:left="5040" w:hanging="360"/>
      </w:pPr>
      <w:rPr>
        <w:rFonts w:ascii="Symbol" w:hAnsi="Symbol" w:hint="default"/>
      </w:rPr>
    </w:lvl>
    <w:lvl w:ilvl="7" w:tplc="F2BE21D2">
      <w:start w:val="1"/>
      <w:numFmt w:val="bullet"/>
      <w:lvlText w:val="o"/>
      <w:lvlJc w:val="left"/>
      <w:pPr>
        <w:ind w:left="5760" w:hanging="360"/>
      </w:pPr>
      <w:rPr>
        <w:rFonts w:ascii="Courier New" w:hAnsi="Courier New" w:cs="Courier New" w:hint="default"/>
      </w:rPr>
    </w:lvl>
    <w:lvl w:ilvl="8" w:tplc="C32C0220">
      <w:start w:val="1"/>
      <w:numFmt w:val="bullet"/>
      <w:lvlText w:val=""/>
      <w:lvlJc w:val="left"/>
      <w:pPr>
        <w:ind w:left="6480" w:hanging="360"/>
      </w:pPr>
      <w:rPr>
        <w:rFonts w:ascii="Wingdings" w:hAnsi="Wingdings" w:hint="default"/>
      </w:rPr>
    </w:lvl>
  </w:abstractNum>
  <w:abstractNum w:abstractNumId="67" w15:restartNumberingAfterBreak="0">
    <w:nsid w:val="604173E1"/>
    <w:multiLevelType w:val="hybridMultilevel"/>
    <w:tmpl w:val="AEEC4496"/>
    <w:lvl w:ilvl="0" w:tplc="B808BF62">
      <w:start w:val="1"/>
      <w:numFmt w:val="bullet"/>
      <w:lvlText w:val="•"/>
      <w:lvlJc w:val="left"/>
      <w:pPr>
        <w:ind w:left="720" w:hanging="360"/>
      </w:pPr>
      <w:rPr>
        <w:rFonts w:ascii="Calibri" w:hAnsi="Calibri" w:hint="default"/>
        <w:b w:val="0"/>
        <w:i w:val="0"/>
        <w:sz w:val="22"/>
      </w:rPr>
    </w:lvl>
    <w:lvl w:ilvl="1" w:tplc="BCEC1D12">
      <w:start w:val="1"/>
      <w:numFmt w:val="bullet"/>
      <w:lvlText w:val="o"/>
      <w:lvlJc w:val="left"/>
      <w:pPr>
        <w:ind w:left="1440" w:hanging="360"/>
      </w:pPr>
      <w:rPr>
        <w:rFonts w:ascii="Courier New" w:hAnsi="Courier New" w:cs="Courier New" w:hint="default"/>
      </w:rPr>
    </w:lvl>
    <w:lvl w:ilvl="2" w:tplc="94782D8C">
      <w:start w:val="1"/>
      <w:numFmt w:val="bullet"/>
      <w:lvlText w:val=""/>
      <w:lvlJc w:val="left"/>
      <w:pPr>
        <w:ind w:left="2160" w:hanging="360"/>
      </w:pPr>
      <w:rPr>
        <w:rFonts w:ascii="Wingdings" w:hAnsi="Wingdings" w:hint="default"/>
      </w:rPr>
    </w:lvl>
    <w:lvl w:ilvl="3" w:tplc="C30E8152">
      <w:start w:val="1"/>
      <w:numFmt w:val="bullet"/>
      <w:lvlText w:val=""/>
      <w:lvlJc w:val="left"/>
      <w:pPr>
        <w:ind w:left="2880" w:hanging="360"/>
      </w:pPr>
      <w:rPr>
        <w:rFonts w:ascii="Symbol" w:hAnsi="Symbol" w:hint="default"/>
      </w:rPr>
    </w:lvl>
    <w:lvl w:ilvl="4" w:tplc="8BFEF0F0">
      <w:start w:val="1"/>
      <w:numFmt w:val="bullet"/>
      <w:lvlText w:val="o"/>
      <w:lvlJc w:val="left"/>
      <w:pPr>
        <w:ind w:left="3600" w:hanging="360"/>
      </w:pPr>
      <w:rPr>
        <w:rFonts w:ascii="Courier New" w:hAnsi="Courier New" w:cs="Courier New" w:hint="default"/>
      </w:rPr>
    </w:lvl>
    <w:lvl w:ilvl="5" w:tplc="A8A09984">
      <w:start w:val="1"/>
      <w:numFmt w:val="bullet"/>
      <w:lvlText w:val=""/>
      <w:lvlJc w:val="left"/>
      <w:pPr>
        <w:ind w:left="4320" w:hanging="360"/>
      </w:pPr>
      <w:rPr>
        <w:rFonts w:ascii="Wingdings" w:hAnsi="Wingdings" w:hint="default"/>
      </w:rPr>
    </w:lvl>
    <w:lvl w:ilvl="6" w:tplc="CEA8A88C">
      <w:start w:val="1"/>
      <w:numFmt w:val="bullet"/>
      <w:lvlText w:val=""/>
      <w:lvlJc w:val="left"/>
      <w:pPr>
        <w:ind w:left="5040" w:hanging="360"/>
      </w:pPr>
      <w:rPr>
        <w:rFonts w:ascii="Symbol" w:hAnsi="Symbol" w:hint="default"/>
      </w:rPr>
    </w:lvl>
    <w:lvl w:ilvl="7" w:tplc="8E5CE3F6">
      <w:start w:val="1"/>
      <w:numFmt w:val="bullet"/>
      <w:lvlText w:val="o"/>
      <w:lvlJc w:val="left"/>
      <w:pPr>
        <w:ind w:left="5760" w:hanging="360"/>
      </w:pPr>
      <w:rPr>
        <w:rFonts w:ascii="Courier New" w:hAnsi="Courier New" w:cs="Courier New" w:hint="default"/>
      </w:rPr>
    </w:lvl>
    <w:lvl w:ilvl="8" w:tplc="F3721968">
      <w:start w:val="1"/>
      <w:numFmt w:val="bullet"/>
      <w:lvlText w:val=""/>
      <w:lvlJc w:val="left"/>
      <w:pPr>
        <w:ind w:left="6480" w:hanging="360"/>
      </w:pPr>
      <w:rPr>
        <w:rFonts w:ascii="Wingdings" w:hAnsi="Wingdings" w:hint="default"/>
      </w:rPr>
    </w:lvl>
  </w:abstractNum>
  <w:abstractNum w:abstractNumId="68" w15:restartNumberingAfterBreak="0">
    <w:nsid w:val="60D509C6"/>
    <w:multiLevelType w:val="hybridMultilevel"/>
    <w:tmpl w:val="3E661D84"/>
    <w:lvl w:ilvl="0" w:tplc="BA4A267A">
      <w:start w:val="1"/>
      <w:numFmt w:val="bullet"/>
      <w:lvlText w:val="•"/>
      <w:lvlJc w:val="left"/>
      <w:pPr>
        <w:ind w:left="720" w:hanging="360"/>
      </w:pPr>
      <w:rPr>
        <w:rFonts w:ascii="Calibri" w:hAnsi="Calibri" w:hint="default"/>
        <w:b w:val="0"/>
        <w:i w:val="0"/>
        <w:sz w:val="22"/>
      </w:rPr>
    </w:lvl>
    <w:lvl w:ilvl="1" w:tplc="5A06FC34">
      <w:start w:val="1"/>
      <w:numFmt w:val="bullet"/>
      <w:lvlText w:val="o"/>
      <w:lvlJc w:val="left"/>
      <w:pPr>
        <w:ind w:left="1440" w:hanging="360"/>
      </w:pPr>
      <w:rPr>
        <w:rFonts w:ascii="Courier New" w:hAnsi="Courier New" w:cs="Courier New" w:hint="default"/>
      </w:rPr>
    </w:lvl>
    <w:lvl w:ilvl="2" w:tplc="096CAD44">
      <w:start w:val="1"/>
      <w:numFmt w:val="bullet"/>
      <w:lvlText w:val=""/>
      <w:lvlJc w:val="left"/>
      <w:pPr>
        <w:ind w:left="2160" w:hanging="360"/>
      </w:pPr>
      <w:rPr>
        <w:rFonts w:ascii="Wingdings" w:hAnsi="Wingdings" w:hint="default"/>
      </w:rPr>
    </w:lvl>
    <w:lvl w:ilvl="3" w:tplc="A8E27C28">
      <w:start w:val="1"/>
      <w:numFmt w:val="bullet"/>
      <w:lvlText w:val=""/>
      <w:lvlJc w:val="left"/>
      <w:pPr>
        <w:ind w:left="2880" w:hanging="360"/>
      </w:pPr>
      <w:rPr>
        <w:rFonts w:ascii="Symbol" w:hAnsi="Symbol" w:hint="default"/>
      </w:rPr>
    </w:lvl>
    <w:lvl w:ilvl="4" w:tplc="75BE692C">
      <w:start w:val="1"/>
      <w:numFmt w:val="bullet"/>
      <w:lvlText w:val="o"/>
      <w:lvlJc w:val="left"/>
      <w:pPr>
        <w:ind w:left="3600" w:hanging="360"/>
      </w:pPr>
      <w:rPr>
        <w:rFonts w:ascii="Courier New" w:hAnsi="Courier New" w:cs="Courier New" w:hint="default"/>
      </w:rPr>
    </w:lvl>
    <w:lvl w:ilvl="5" w:tplc="240EB33A">
      <w:start w:val="1"/>
      <w:numFmt w:val="bullet"/>
      <w:lvlText w:val=""/>
      <w:lvlJc w:val="left"/>
      <w:pPr>
        <w:ind w:left="4320" w:hanging="360"/>
      </w:pPr>
      <w:rPr>
        <w:rFonts w:ascii="Wingdings" w:hAnsi="Wingdings" w:hint="default"/>
      </w:rPr>
    </w:lvl>
    <w:lvl w:ilvl="6" w:tplc="6CA67498">
      <w:start w:val="1"/>
      <w:numFmt w:val="bullet"/>
      <w:lvlText w:val=""/>
      <w:lvlJc w:val="left"/>
      <w:pPr>
        <w:ind w:left="5040" w:hanging="360"/>
      </w:pPr>
      <w:rPr>
        <w:rFonts w:ascii="Symbol" w:hAnsi="Symbol" w:hint="default"/>
      </w:rPr>
    </w:lvl>
    <w:lvl w:ilvl="7" w:tplc="610A1718">
      <w:start w:val="1"/>
      <w:numFmt w:val="bullet"/>
      <w:lvlText w:val="o"/>
      <w:lvlJc w:val="left"/>
      <w:pPr>
        <w:ind w:left="5760" w:hanging="360"/>
      </w:pPr>
      <w:rPr>
        <w:rFonts w:ascii="Courier New" w:hAnsi="Courier New" w:cs="Courier New" w:hint="default"/>
      </w:rPr>
    </w:lvl>
    <w:lvl w:ilvl="8" w:tplc="4C805130">
      <w:start w:val="1"/>
      <w:numFmt w:val="bullet"/>
      <w:lvlText w:val=""/>
      <w:lvlJc w:val="left"/>
      <w:pPr>
        <w:ind w:left="6480" w:hanging="360"/>
      </w:pPr>
      <w:rPr>
        <w:rFonts w:ascii="Wingdings" w:hAnsi="Wingdings" w:hint="default"/>
      </w:rPr>
    </w:lvl>
  </w:abstractNum>
  <w:abstractNum w:abstractNumId="69" w15:restartNumberingAfterBreak="0">
    <w:nsid w:val="63B55A0D"/>
    <w:multiLevelType w:val="hybridMultilevel"/>
    <w:tmpl w:val="F3BC1834"/>
    <w:lvl w:ilvl="0" w:tplc="E862BDFA">
      <w:start w:val="1"/>
      <w:numFmt w:val="bullet"/>
      <w:lvlText w:val="–"/>
      <w:lvlJc w:val="left"/>
      <w:pPr>
        <w:ind w:left="1080" w:hanging="360"/>
      </w:pPr>
      <w:rPr>
        <w:rFonts w:ascii="Times New Roman" w:hAnsi="Times New Roman" w:cs="Times New Roman" w:hint="default"/>
      </w:rPr>
    </w:lvl>
    <w:lvl w:ilvl="1" w:tplc="C76E81BC">
      <w:start w:val="1"/>
      <w:numFmt w:val="bullet"/>
      <w:lvlText w:val="o"/>
      <w:lvlJc w:val="left"/>
      <w:pPr>
        <w:ind w:left="1800" w:hanging="360"/>
      </w:pPr>
      <w:rPr>
        <w:rFonts w:ascii="Courier New" w:hAnsi="Courier New" w:cs="Courier New" w:hint="default"/>
      </w:rPr>
    </w:lvl>
    <w:lvl w:ilvl="2" w:tplc="97088A20">
      <w:start w:val="1"/>
      <w:numFmt w:val="bullet"/>
      <w:lvlText w:val=""/>
      <w:lvlJc w:val="left"/>
      <w:pPr>
        <w:ind w:left="2520" w:hanging="360"/>
      </w:pPr>
      <w:rPr>
        <w:rFonts w:ascii="Wingdings" w:hAnsi="Wingdings" w:hint="default"/>
      </w:rPr>
    </w:lvl>
    <w:lvl w:ilvl="3" w:tplc="60CABFB0">
      <w:start w:val="1"/>
      <w:numFmt w:val="bullet"/>
      <w:lvlText w:val=""/>
      <w:lvlJc w:val="left"/>
      <w:pPr>
        <w:ind w:left="3240" w:hanging="360"/>
      </w:pPr>
      <w:rPr>
        <w:rFonts w:ascii="Symbol" w:hAnsi="Symbol" w:hint="default"/>
      </w:rPr>
    </w:lvl>
    <w:lvl w:ilvl="4" w:tplc="442A7CDA">
      <w:start w:val="1"/>
      <w:numFmt w:val="bullet"/>
      <w:lvlText w:val="o"/>
      <w:lvlJc w:val="left"/>
      <w:pPr>
        <w:ind w:left="3960" w:hanging="360"/>
      </w:pPr>
      <w:rPr>
        <w:rFonts w:ascii="Courier New" w:hAnsi="Courier New" w:cs="Courier New" w:hint="default"/>
      </w:rPr>
    </w:lvl>
    <w:lvl w:ilvl="5" w:tplc="1A127922">
      <w:start w:val="1"/>
      <w:numFmt w:val="bullet"/>
      <w:lvlText w:val=""/>
      <w:lvlJc w:val="left"/>
      <w:pPr>
        <w:ind w:left="4680" w:hanging="360"/>
      </w:pPr>
      <w:rPr>
        <w:rFonts w:ascii="Wingdings" w:hAnsi="Wingdings" w:hint="default"/>
      </w:rPr>
    </w:lvl>
    <w:lvl w:ilvl="6" w:tplc="7CD0B1C4">
      <w:start w:val="1"/>
      <w:numFmt w:val="bullet"/>
      <w:lvlText w:val=""/>
      <w:lvlJc w:val="left"/>
      <w:pPr>
        <w:ind w:left="5400" w:hanging="360"/>
      </w:pPr>
      <w:rPr>
        <w:rFonts w:ascii="Symbol" w:hAnsi="Symbol" w:hint="default"/>
      </w:rPr>
    </w:lvl>
    <w:lvl w:ilvl="7" w:tplc="34A2B7FE">
      <w:start w:val="1"/>
      <w:numFmt w:val="bullet"/>
      <w:lvlText w:val="o"/>
      <w:lvlJc w:val="left"/>
      <w:pPr>
        <w:ind w:left="6120" w:hanging="360"/>
      </w:pPr>
      <w:rPr>
        <w:rFonts w:ascii="Courier New" w:hAnsi="Courier New" w:cs="Courier New" w:hint="default"/>
      </w:rPr>
    </w:lvl>
    <w:lvl w:ilvl="8" w:tplc="1700DDA4">
      <w:start w:val="1"/>
      <w:numFmt w:val="bullet"/>
      <w:lvlText w:val=""/>
      <w:lvlJc w:val="left"/>
      <w:pPr>
        <w:ind w:left="6840" w:hanging="360"/>
      </w:pPr>
      <w:rPr>
        <w:rFonts w:ascii="Wingdings" w:hAnsi="Wingdings" w:hint="default"/>
      </w:rPr>
    </w:lvl>
  </w:abstractNum>
  <w:abstractNum w:abstractNumId="70" w15:restartNumberingAfterBreak="0">
    <w:nsid w:val="685F49BB"/>
    <w:multiLevelType w:val="hybridMultilevel"/>
    <w:tmpl w:val="A77264A4"/>
    <w:lvl w:ilvl="0" w:tplc="70A26F72">
      <w:start w:val="1"/>
      <w:numFmt w:val="bullet"/>
      <w:lvlText w:val="•"/>
      <w:lvlJc w:val="left"/>
      <w:pPr>
        <w:ind w:left="720" w:hanging="360"/>
      </w:pPr>
      <w:rPr>
        <w:rFonts w:ascii="Calibri" w:hAnsi="Calibri" w:hint="default"/>
        <w:b w:val="0"/>
        <w:i w:val="0"/>
        <w:sz w:val="22"/>
      </w:rPr>
    </w:lvl>
    <w:lvl w:ilvl="1" w:tplc="E18A2080">
      <w:start w:val="1"/>
      <w:numFmt w:val="bullet"/>
      <w:lvlText w:val="o"/>
      <w:lvlJc w:val="left"/>
      <w:pPr>
        <w:ind w:left="1440" w:hanging="360"/>
      </w:pPr>
      <w:rPr>
        <w:rFonts w:ascii="Courier New" w:hAnsi="Courier New" w:cs="Courier New" w:hint="default"/>
      </w:rPr>
    </w:lvl>
    <w:lvl w:ilvl="2" w:tplc="2FA64A7A">
      <w:start w:val="1"/>
      <w:numFmt w:val="bullet"/>
      <w:lvlText w:val=""/>
      <w:lvlJc w:val="left"/>
      <w:pPr>
        <w:ind w:left="2160" w:hanging="360"/>
      </w:pPr>
      <w:rPr>
        <w:rFonts w:ascii="Wingdings" w:hAnsi="Wingdings" w:hint="default"/>
      </w:rPr>
    </w:lvl>
    <w:lvl w:ilvl="3" w:tplc="7DEEA488">
      <w:start w:val="1"/>
      <w:numFmt w:val="bullet"/>
      <w:lvlText w:val=""/>
      <w:lvlJc w:val="left"/>
      <w:pPr>
        <w:ind w:left="2880" w:hanging="360"/>
      </w:pPr>
      <w:rPr>
        <w:rFonts w:ascii="Symbol" w:hAnsi="Symbol" w:hint="default"/>
      </w:rPr>
    </w:lvl>
    <w:lvl w:ilvl="4" w:tplc="76DAE9C0">
      <w:start w:val="1"/>
      <w:numFmt w:val="bullet"/>
      <w:lvlText w:val="o"/>
      <w:lvlJc w:val="left"/>
      <w:pPr>
        <w:ind w:left="3600" w:hanging="360"/>
      </w:pPr>
      <w:rPr>
        <w:rFonts w:ascii="Courier New" w:hAnsi="Courier New" w:cs="Courier New" w:hint="default"/>
      </w:rPr>
    </w:lvl>
    <w:lvl w:ilvl="5" w:tplc="0CF0D5D4">
      <w:start w:val="1"/>
      <w:numFmt w:val="bullet"/>
      <w:lvlText w:val=""/>
      <w:lvlJc w:val="left"/>
      <w:pPr>
        <w:ind w:left="4320" w:hanging="360"/>
      </w:pPr>
      <w:rPr>
        <w:rFonts w:ascii="Wingdings" w:hAnsi="Wingdings" w:hint="default"/>
      </w:rPr>
    </w:lvl>
    <w:lvl w:ilvl="6" w:tplc="E2102ACA">
      <w:start w:val="1"/>
      <w:numFmt w:val="bullet"/>
      <w:lvlText w:val=""/>
      <w:lvlJc w:val="left"/>
      <w:pPr>
        <w:ind w:left="5040" w:hanging="360"/>
      </w:pPr>
      <w:rPr>
        <w:rFonts w:ascii="Symbol" w:hAnsi="Symbol" w:hint="default"/>
      </w:rPr>
    </w:lvl>
    <w:lvl w:ilvl="7" w:tplc="0408E774">
      <w:start w:val="1"/>
      <w:numFmt w:val="bullet"/>
      <w:lvlText w:val="o"/>
      <w:lvlJc w:val="left"/>
      <w:pPr>
        <w:ind w:left="5760" w:hanging="360"/>
      </w:pPr>
      <w:rPr>
        <w:rFonts w:ascii="Courier New" w:hAnsi="Courier New" w:cs="Courier New" w:hint="default"/>
      </w:rPr>
    </w:lvl>
    <w:lvl w:ilvl="8" w:tplc="DAB4B6FE">
      <w:start w:val="1"/>
      <w:numFmt w:val="bullet"/>
      <w:lvlText w:val=""/>
      <w:lvlJc w:val="left"/>
      <w:pPr>
        <w:ind w:left="6480" w:hanging="360"/>
      </w:pPr>
      <w:rPr>
        <w:rFonts w:ascii="Wingdings" w:hAnsi="Wingdings" w:hint="default"/>
      </w:rPr>
    </w:lvl>
  </w:abstractNum>
  <w:abstractNum w:abstractNumId="71" w15:restartNumberingAfterBreak="0">
    <w:nsid w:val="689C03E3"/>
    <w:multiLevelType w:val="hybridMultilevel"/>
    <w:tmpl w:val="9B4055D0"/>
    <w:lvl w:ilvl="0" w:tplc="827C33AE">
      <w:start w:val="1"/>
      <w:numFmt w:val="bullet"/>
      <w:lvlText w:val="•"/>
      <w:lvlJc w:val="left"/>
      <w:pPr>
        <w:ind w:left="720" w:hanging="360"/>
      </w:pPr>
      <w:rPr>
        <w:rFonts w:ascii="Calibri" w:hAnsi="Calibri" w:hint="default"/>
        <w:b w:val="0"/>
        <w:i w:val="0"/>
        <w:sz w:val="22"/>
      </w:rPr>
    </w:lvl>
    <w:lvl w:ilvl="1" w:tplc="2954D4B2">
      <w:start w:val="1"/>
      <w:numFmt w:val="bullet"/>
      <w:lvlText w:val="o"/>
      <w:lvlJc w:val="left"/>
      <w:pPr>
        <w:ind w:left="1440" w:hanging="360"/>
      </w:pPr>
      <w:rPr>
        <w:rFonts w:ascii="Courier New" w:hAnsi="Courier New" w:cs="Courier New" w:hint="default"/>
      </w:rPr>
    </w:lvl>
    <w:lvl w:ilvl="2" w:tplc="26AC1D88">
      <w:start w:val="1"/>
      <w:numFmt w:val="bullet"/>
      <w:lvlText w:val=""/>
      <w:lvlJc w:val="left"/>
      <w:pPr>
        <w:ind w:left="2160" w:hanging="360"/>
      </w:pPr>
      <w:rPr>
        <w:rFonts w:ascii="Wingdings" w:hAnsi="Wingdings" w:hint="default"/>
      </w:rPr>
    </w:lvl>
    <w:lvl w:ilvl="3" w:tplc="621E7E88">
      <w:start w:val="1"/>
      <w:numFmt w:val="bullet"/>
      <w:lvlText w:val=""/>
      <w:lvlJc w:val="left"/>
      <w:pPr>
        <w:ind w:left="2880" w:hanging="360"/>
      </w:pPr>
      <w:rPr>
        <w:rFonts w:ascii="Symbol" w:hAnsi="Symbol" w:hint="default"/>
      </w:rPr>
    </w:lvl>
    <w:lvl w:ilvl="4" w:tplc="B492BA56">
      <w:start w:val="1"/>
      <w:numFmt w:val="bullet"/>
      <w:lvlText w:val="o"/>
      <w:lvlJc w:val="left"/>
      <w:pPr>
        <w:ind w:left="3600" w:hanging="360"/>
      </w:pPr>
      <w:rPr>
        <w:rFonts w:ascii="Courier New" w:hAnsi="Courier New" w:cs="Courier New" w:hint="default"/>
      </w:rPr>
    </w:lvl>
    <w:lvl w:ilvl="5" w:tplc="F42CD3C4">
      <w:start w:val="1"/>
      <w:numFmt w:val="bullet"/>
      <w:lvlText w:val=""/>
      <w:lvlJc w:val="left"/>
      <w:pPr>
        <w:ind w:left="4320" w:hanging="360"/>
      </w:pPr>
      <w:rPr>
        <w:rFonts w:ascii="Wingdings" w:hAnsi="Wingdings" w:hint="default"/>
      </w:rPr>
    </w:lvl>
    <w:lvl w:ilvl="6" w:tplc="BDBA1B50">
      <w:start w:val="1"/>
      <w:numFmt w:val="bullet"/>
      <w:lvlText w:val=""/>
      <w:lvlJc w:val="left"/>
      <w:pPr>
        <w:ind w:left="5040" w:hanging="360"/>
      </w:pPr>
      <w:rPr>
        <w:rFonts w:ascii="Symbol" w:hAnsi="Symbol" w:hint="default"/>
      </w:rPr>
    </w:lvl>
    <w:lvl w:ilvl="7" w:tplc="10C6DCBC">
      <w:start w:val="1"/>
      <w:numFmt w:val="bullet"/>
      <w:lvlText w:val="o"/>
      <w:lvlJc w:val="left"/>
      <w:pPr>
        <w:ind w:left="5760" w:hanging="360"/>
      </w:pPr>
      <w:rPr>
        <w:rFonts w:ascii="Courier New" w:hAnsi="Courier New" w:cs="Courier New" w:hint="default"/>
      </w:rPr>
    </w:lvl>
    <w:lvl w:ilvl="8" w:tplc="B16E4972">
      <w:start w:val="1"/>
      <w:numFmt w:val="bullet"/>
      <w:lvlText w:val=""/>
      <w:lvlJc w:val="left"/>
      <w:pPr>
        <w:ind w:left="6480" w:hanging="360"/>
      </w:pPr>
      <w:rPr>
        <w:rFonts w:ascii="Wingdings" w:hAnsi="Wingdings" w:hint="default"/>
      </w:rPr>
    </w:lvl>
  </w:abstractNum>
  <w:abstractNum w:abstractNumId="72" w15:restartNumberingAfterBreak="0">
    <w:nsid w:val="6C1120C7"/>
    <w:multiLevelType w:val="hybridMultilevel"/>
    <w:tmpl w:val="53347B1E"/>
    <w:lvl w:ilvl="0" w:tplc="954E6A48">
      <w:start w:val="1"/>
      <w:numFmt w:val="bullet"/>
      <w:lvlText w:val=""/>
      <w:lvlJc w:val="left"/>
      <w:pPr>
        <w:ind w:left="720" w:hanging="360"/>
      </w:pPr>
      <w:rPr>
        <w:rFonts w:ascii="Symbol" w:hAnsi="Symbol" w:hint="default"/>
      </w:rPr>
    </w:lvl>
    <w:lvl w:ilvl="1" w:tplc="D9287BF4">
      <w:start w:val="1"/>
      <w:numFmt w:val="bullet"/>
      <w:lvlText w:val="o"/>
      <w:lvlJc w:val="left"/>
      <w:pPr>
        <w:ind w:left="1440" w:hanging="360"/>
      </w:pPr>
      <w:rPr>
        <w:rFonts w:ascii="Courier New" w:hAnsi="Courier New" w:cs="Courier New" w:hint="default"/>
      </w:rPr>
    </w:lvl>
    <w:lvl w:ilvl="2" w:tplc="C5EC807C">
      <w:start w:val="1"/>
      <w:numFmt w:val="bullet"/>
      <w:lvlText w:val=""/>
      <w:lvlJc w:val="left"/>
      <w:pPr>
        <w:ind w:left="2160" w:hanging="360"/>
      </w:pPr>
      <w:rPr>
        <w:rFonts w:ascii="Wingdings" w:hAnsi="Wingdings" w:hint="default"/>
      </w:rPr>
    </w:lvl>
    <w:lvl w:ilvl="3" w:tplc="7DDE52AA">
      <w:start w:val="1"/>
      <w:numFmt w:val="bullet"/>
      <w:lvlText w:val=""/>
      <w:lvlJc w:val="left"/>
      <w:pPr>
        <w:ind w:left="2880" w:hanging="360"/>
      </w:pPr>
      <w:rPr>
        <w:rFonts w:ascii="Symbol" w:hAnsi="Symbol" w:hint="default"/>
      </w:rPr>
    </w:lvl>
    <w:lvl w:ilvl="4" w:tplc="B008976E">
      <w:start w:val="1"/>
      <w:numFmt w:val="bullet"/>
      <w:lvlText w:val="o"/>
      <w:lvlJc w:val="left"/>
      <w:pPr>
        <w:ind w:left="3600" w:hanging="360"/>
      </w:pPr>
      <w:rPr>
        <w:rFonts w:ascii="Courier New" w:hAnsi="Courier New" w:cs="Courier New" w:hint="default"/>
      </w:rPr>
    </w:lvl>
    <w:lvl w:ilvl="5" w:tplc="BF78D9D6">
      <w:start w:val="1"/>
      <w:numFmt w:val="bullet"/>
      <w:lvlText w:val=""/>
      <w:lvlJc w:val="left"/>
      <w:pPr>
        <w:ind w:left="4320" w:hanging="360"/>
      </w:pPr>
      <w:rPr>
        <w:rFonts w:ascii="Wingdings" w:hAnsi="Wingdings" w:hint="default"/>
      </w:rPr>
    </w:lvl>
    <w:lvl w:ilvl="6" w:tplc="77CC6D52">
      <w:start w:val="1"/>
      <w:numFmt w:val="bullet"/>
      <w:lvlText w:val=""/>
      <w:lvlJc w:val="left"/>
      <w:pPr>
        <w:ind w:left="5040" w:hanging="360"/>
      </w:pPr>
      <w:rPr>
        <w:rFonts w:ascii="Symbol" w:hAnsi="Symbol" w:hint="default"/>
      </w:rPr>
    </w:lvl>
    <w:lvl w:ilvl="7" w:tplc="741486DE">
      <w:start w:val="1"/>
      <w:numFmt w:val="bullet"/>
      <w:lvlText w:val="o"/>
      <w:lvlJc w:val="left"/>
      <w:pPr>
        <w:ind w:left="5760" w:hanging="360"/>
      </w:pPr>
      <w:rPr>
        <w:rFonts w:ascii="Courier New" w:hAnsi="Courier New" w:cs="Courier New" w:hint="default"/>
      </w:rPr>
    </w:lvl>
    <w:lvl w:ilvl="8" w:tplc="6D8E6C7A">
      <w:start w:val="1"/>
      <w:numFmt w:val="bullet"/>
      <w:lvlText w:val=""/>
      <w:lvlJc w:val="left"/>
      <w:pPr>
        <w:ind w:left="6480" w:hanging="360"/>
      </w:pPr>
      <w:rPr>
        <w:rFonts w:ascii="Wingdings" w:hAnsi="Wingdings" w:hint="default"/>
      </w:rPr>
    </w:lvl>
  </w:abstractNum>
  <w:abstractNum w:abstractNumId="73" w15:restartNumberingAfterBreak="0">
    <w:nsid w:val="6C2C1D82"/>
    <w:multiLevelType w:val="hybridMultilevel"/>
    <w:tmpl w:val="7F9268E6"/>
    <w:lvl w:ilvl="0" w:tplc="DB864270">
      <w:start w:val="1"/>
      <w:numFmt w:val="bullet"/>
      <w:lvlText w:val="•"/>
      <w:lvlJc w:val="left"/>
      <w:pPr>
        <w:ind w:left="720" w:hanging="360"/>
      </w:pPr>
      <w:rPr>
        <w:rFonts w:ascii="Calibri" w:hAnsi="Calibri" w:hint="default"/>
        <w:b w:val="0"/>
        <w:i w:val="0"/>
        <w:sz w:val="22"/>
      </w:rPr>
    </w:lvl>
    <w:lvl w:ilvl="1" w:tplc="591C0162">
      <w:start w:val="1"/>
      <w:numFmt w:val="bullet"/>
      <w:lvlText w:val="o"/>
      <w:lvlJc w:val="left"/>
      <w:pPr>
        <w:ind w:left="1440" w:hanging="360"/>
      </w:pPr>
      <w:rPr>
        <w:rFonts w:ascii="Courier New" w:hAnsi="Courier New" w:cs="Courier New" w:hint="default"/>
      </w:rPr>
    </w:lvl>
    <w:lvl w:ilvl="2" w:tplc="58866AA8">
      <w:start w:val="1"/>
      <w:numFmt w:val="bullet"/>
      <w:lvlText w:val=""/>
      <w:lvlJc w:val="left"/>
      <w:pPr>
        <w:ind w:left="2160" w:hanging="360"/>
      </w:pPr>
      <w:rPr>
        <w:rFonts w:ascii="Wingdings" w:hAnsi="Wingdings" w:hint="default"/>
      </w:rPr>
    </w:lvl>
    <w:lvl w:ilvl="3" w:tplc="1F8206B4">
      <w:start w:val="1"/>
      <w:numFmt w:val="bullet"/>
      <w:lvlText w:val=""/>
      <w:lvlJc w:val="left"/>
      <w:pPr>
        <w:ind w:left="2880" w:hanging="360"/>
      </w:pPr>
      <w:rPr>
        <w:rFonts w:ascii="Symbol" w:hAnsi="Symbol" w:hint="default"/>
      </w:rPr>
    </w:lvl>
    <w:lvl w:ilvl="4" w:tplc="7A429B0A">
      <w:start w:val="1"/>
      <w:numFmt w:val="bullet"/>
      <w:lvlText w:val="o"/>
      <w:lvlJc w:val="left"/>
      <w:pPr>
        <w:ind w:left="3600" w:hanging="360"/>
      </w:pPr>
      <w:rPr>
        <w:rFonts w:ascii="Courier New" w:hAnsi="Courier New" w:cs="Courier New" w:hint="default"/>
      </w:rPr>
    </w:lvl>
    <w:lvl w:ilvl="5" w:tplc="7820BFD0">
      <w:start w:val="1"/>
      <w:numFmt w:val="bullet"/>
      <w:lvlText w:val=""/>
      <w:lvlJc w:val="left"/>
      <w:pPr>
        <w:ind w:left="4320" w:hanging="360"/>
      </w:pPr>
      <w:rPr>
        <w:rFonts w:ascii="Wingdings" w:hAnsi="Wingdings" w:hint="default"/>
      </w:rPr>
    </w:lvl>
    <w:lvl w:ilvl="6" w:tplc="459000B4">
      <w:start w:val="1"/>
      <w:numFmt w:val="bullet"/>
      <w:lvlText w:val=""/>
      <w:lvlJc w:val="left"/>
      <w:pPr>
        <w:ind w:left="5040" w:hanging="360"/>
      </w:pPr>
      <w:rPr>
        <w:rFonts w:ascii="Symbol" w:hAnsi="Symbol" w:hint="default"/>
      </w:rPr>
    </w:lvl>
    <w:lvl w:ilvl="7" w:tplc="3F02A620">
      <w:start w:val="1"/>
      <w:numFmt w:val="bullet"/>
      <w:lvlText w:val="o"/>
      <w:lvlJc w:val="left"/>
      <w:pPr>
        <w:ind w:left="5760" w:hanging="360"/>
      </w:pPr>
      <w:rPr>
        <w:rFonts w:ascii="Courier New" w:hAnsi="Courier New" w:cs="Courier New" w:hint="default"/>
      </w:rPr>
    </w:lvl>
    <w:lvl w:ilvl="8" w:tplc="868E77F4">
      <w:start w:val="1"/>
      <w:numFmt w:val="bullet"/>
      <w:lvlText w:val=""/>
      <w:lvlJc w:val="left"/>
      <w:pPr>
        <w:ind w:left="6480" w:hanging="360"/>
      </w:pPr>
      <w:rPr>
        <w:rFonts w:ascii="Wingdings" w:hAnsi="Wingdings" w:hint="default"/>
      </w:rPr>
    </w:lvl>
  </w:abstractNum>
  <w:abstractNum w:abstractNumId="74" w15:restartNumberingAfterBreak="0">
    <w:nsid w:val="6C611382"/>
    <w:multiLevelType w:val="hybridMultilevel"/>
    <w:tmpl w:val="24B82CAC"/>
    <w:lvl w:ilvl="0" w:tplc="4EB4D39C">
      <w:start w:val="1"/>
      <w:numFmt w:val="bullet"/>
      <w:lvlText w:val=""/>
      <w:lvlJc w:val="left"/>
      <w:pPr>
        <w:ind w:left="720" w:hanging="360"/>
      </w:pPr>
      <w:rPr>
        <w:rFonts w:ascii="Symbol" w:hAnsi="Symbol" w:hint="default"/>
      </w:rPr>
    </w:lvl>
    <w:lvl w:ilvl="1" w:tplc="ADB68E2E">
      <w:start w:val="1"/>
      <w:numFmt w:val="bullet"/>
      <w:lvlText w:val="•"/>
      <w:lvlJc w:val="left"/>
      <w:pPr>
        <w:ind w:left="1440" w:hanging="360"/>
      </w:pPr>
      <w:rPr>
        <w:rFonts w:ascii="Calibri" w:hAnsi="Calibri" w:hint="default"/>
        <w:b w:val="0"/>
        <w:i w:val="0"/>
        <w:sz w:val="22"/>
      </w:rPr>
    </w:lvl>
    <w:lvl w:ilvl="2" w:tplc="1248C8A6">
      <w:start w:val="1"/>
      <w:numFmt w:val="bullet"/>
      <w:lvlText w:val=""/>
      <w:lvlJc w:val="left"/>
      <w:pPr>
        <w:ind w:left="2160" w:hanging="360"/>
      </w:pPr>
      <w:rPr>
        <w:rFonts w:ascii="Wingdings" w:hAnsi="Wingdings" w:hint="default"/>
      </w:rPr>
    </w:lvl>
    <w:lvl w:ilvl="3" w:tplc="2D02119E">
      <w:start w:val="1"/>
      <w:numFmt w:val="bullet"/>
      <w:lvlText w:val=""/>
      <w:lvlJc w:val="left"/>
      <w:pPr>
        <w:ind w:left="2880" w:hanging="360"/>
      </w:pPr>
      <w:rPr>
        <w:rFonts w:ascii="Symbol" w:hAnsi="Symbol" w:hint="default"/>
      </w:rPr>
    </w:lvl>
    <w:lvl w:ilvl="4" w:tplc="5C3A7DDE">
      <w:start w:val="1"/>
      <w:numFmt w:val="bullet"/>
      <w:lvlText w:val="o"/>
      <w:lvlJc w:val="left"/>
      <w:pPr>
        <w:ind w:left="3600" w:hanging="360"/>
      </w:pPr>
      <w:rPr>
        <w:rFonts w:ascii="Courier New" w:hAnsi="Courier New" w:cs="Courier New" w:hint="default"/>
      </w:rPr>
    </w:lvl>
    <w:lvl w:ilvl="5" w:tplc="2368A894">
      <w:start w:val="1"/>
      <w:numFmt w:val="bullet"/>
      <w:lvlText w:val=""/>
      <w:lvlJc w:val="left"/>
      <w:pPr>
        <w:ind w:left="4320" w:hanging="360"/>
      </w:pPr>
      <w:rPr>
        <w:rFonts w:ascii="Wingdings" w:hAnsi="Wingdings" w:hint="default"/>
      </w:rPr>
    </w:lvl>
    <w:lvl w:ilvl="6" w:tplc="D3D0533C">
      <w:start w:val="1"/>
      <w:numFmt w:val="bullet"/>
      <w:lvlText w:val=""/>
      <w:lvlJc w:val="left"/>
      <w:pPr>
        <w:ind w:left="5040" w:hanging="360"/>
      </w:pPr>
      <w:rPr>
        <w:rFonts w:ascii="Symbol" w:hAnsi="Symbol" w:hint="default"/>
      </w:rPr>
    </w:lvl>
    <w:lvl w:ilvl="7" w:tplc="BFFA6370">
      <w:start w:val="1"/>
      <w:numFmt w:val="bullet"/>
      <w:lvlText w:val="o"/>
      <w:lvlJc w:val="left"/>
      <w:pPr>
        <w:ind w:left="5760" w:hanging="360"/>
      </w:pPr>
      <w:rPr>
        <w:rFonts w:ascii="Courier New" w:hAnsi="Courier New" w:cs="Courier New" w:hint="default"/>
      </w:rPr>
    </w:lvl>
    <w:lvl w:ilvl="8" w:tplc="5A08487E">
      <w:start w:val="1"/>
      <w:numFmt w:val="bullet"/>
      <w:lvlText w:val=""/>
      <w:lvlJc w:val="left"/>
      <w:pPr>
        <w:ind w:left="6480" w:hanging="360"/>
      </w:pPr>
      <w:rPr>
        <w:rFonts w:ascii="Wingdings" w:hAnsi="Wingdings" w:hint="default"/>
      </w:rPr>
    </w:lvl>
  </w:abstractNum>
  <w:abstractNum w:abstractNumId="75" w15:restartNumberingAfterBreak="0">
    <w:nsid w:val="6ECC5B5A"/>
    <w:multiLevelType w:val="hybridMultilevel"/>
    <w:tmpl w:val="CAE0876C"/>
    <w:lvl w:ilvl="0" w:tplc="181C65D6">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2E34B2"/>
    <w:multiLevelType w:val="hybridMultilevel"/>
    <w:tmpl w:val="AE22E924"/>
    <w:styleLink w:val="popis"/>
    <w:lvl w:ilvl="0" w:tplc="A034903C">
      <w:start w:val="1"/>
      <w:numFmt w:val="decimal"/>
      <w:pStyle w:val="popis"/>
      <w:lvlText w:val="%1."/>
      <w:lvlJc w:val="left"/>
      <w:pPr>
        <w:ind w:left="567" w:hanging="567"/>
      </w:pPr>
      <w:rPr>
        <w:caps w:val="0"/>
        <w:smallCaps w:val="0"/>
        <w:strike w:val="0"/>
        <w:dstrike w:val="0"/>
        <w:vanish w:val="0"/>
        <w:vertAlign w:val="baseline"/>
      </w:rPr>
    </w:lvl>
    <w:lvl w:ilvl="1" w:tplc="B5EE0486">
      <w:start w:val="1"/>
      <w:numFmt w:val="none"/>
      <w:lvlText w:val=""/>
      <w:lvlJc w:val="left"/>
      <w:pPr>
        <w:ind w:left="720" w:hanging="360"/>
      </w:pPr>
      <w:rPr>
        <w:rFonts w:hint="default"/>
      </w:rPr>
    </w:lvl>
    <w:lvl w:ilvl="2" w:tplc="0A8C0AA4">
      <w:start w:val="1"/>
      <w:numFmt w:val="none"/>
      <w:lvlText w:val=""/>
      <w:lvlJc w:val="left"/>
      <w:pPr>
        <w:ind w:left="1080" w:hanging="360"/>
      </w:pPr>
      <w:rPr>
        <w:rFonts w:hint="default"/>
      </w:rPr>
    </w:lvl>
    <w:lvl w:ilvl="3" w:tplc="815E6654">
      <w:start w:val="1"/>
      <w:numFmt w:val="none"/>
      <w:lvlText w:val=""/>
      <w:lvlJc w:val="left"/>
      <w:pPr>
        <w:ind w:left="1440" w:hanging="360"/>
      </w:pPr>
      <w:rPr>
        <w:rFonts w:hint="default"/>
      </w:rPr>
    </w:lvl>
    <w:lvl w:ilvl="4" w:tplc="023E41C6">
      <w:start w:val="1"/>
      <w:numFmt w:val="none"/>
      <w:lvlRestart w:val="0"/>
      <w:lvlText w:val=""/>
      <w:lvlJc w:val="left"/>
      <w:pPr>
        <w:ind w:left="1800" w:hanging="360"/>
      </w:pPr>
      <w:rPr>
        <w:rFonts w:hint="default"/>
      </w:rPr>
    </w:lvl>
    <w:lvl w:ilvl="5" w:tplc="D1C88C30">
      <w:start w:val="1"/>
      <w:numFmt w:val="none"/>
      <w:lvlText w:val=""/>
      <w:lvlJc w:val="left"/>
      <w:pPr>
        <w:ind w:left="2160" w:hanging="360"/>
      </w:pPr>
      <w:rPr>
        <w:rFonts w:hint="default"/>
      </w:rPr>
    </w:lvl>
    <w:lvl w:ilvl="6" w:tplc="911C6C1A">
      <w:start w:val="1"/>
      <w:numFmt w:val="none"/>
      <w:lvlText w:val=""/>
      <w:lvlJc w:val="left"/>
      <w:pPr>
        <w:ind w:left="2520" w:hanging="360"/>
      </w:pPr>
      <w:rPr>
        <w:rFonts w:hint="default"/>
      </w:rPr>
    </w:lvl>
    <w:lvl w:ilvl="7" w:tplc="AE020228">
      <w:start w:val="1"/>
      <w:numFmt w:val="none"/>
      <w:lvlText w:val=""/>
      <w:lvlJc w:val="left"/>
      <w:pPr>
        <w:ind w:left="2880" w:hanging="360"/>
      </w:pPr>
      <w:rPr>
        <w:rFonts w:hint="default"/>
      </w:rPr>
    </w:lvl>
    <w:lvl w:ilvl="8" w:tplc="3B349262">
      <w:start w:val="1"/>
      <w:numFmt w:val="none"/>
      <w:lvlText w:val=""/>
      <w:lvlJc w:val="left"/>
      <w:pPr>
        <w:ind w:left="3240" w:hanging="360"/>
      </w:pPr>
      <w:rPr>
        <w:rFonts w:hint="default"/>
      </w:rPr>
    </w:lvl>
  </w:abstractNum>
  <w:abstractNum w:abstractNumId="77" w15:restartNumberingAfterBreak="0">
    <w:nsid w:val="7444353B"/>
    <w:multiLevelType w:val="hybridMultilevel"/>
    <w:tmpl w:val="9328D0B0"/>
    <w:lvl w:ilvl="0" w:tplc="A7AAD4A6">
      <w:start w:val="1"/>
      <w:numFmt w:val="bullet"/>
      <w:lvlText w:val=""/>
      <w:lvlJc w:val="left"/>
      <w:pPr>
        <w:ind w:left="720" w:hanging="360"/>
      </w:pPr>
      <w:rPr>
        <w:rFonts w:ascii="Symbol" w:hAnsi="Symbol" w:hint="default"/>
      </w:rPr>
    </w:lvl>
    <w:lvl w:ilvl="1" w:tplc="867AA0B2">
      <w:start w:val="1"/>
      <w:numFmt w:val="bullet"/>
      <w:lvlText w:val="o"/>
      <w:lvlJc w:val="left"/>
      <w:pPr>
        <w:ind w:left="1440" w:hanging="360"/>
      </w:pPr>
      <w:rPr>
        <w:rFonts w:ascii="Courier New" w:hAnsi="Courier New" w:cs="Courier New" w:hint="default"/>
      </w:rPr>
    </w:lvl>
    <w:lvl w:ilvl="2" w:tplc="66CC22DE">
      <w:start w:val="1"/>
      <w:numFmt w:val="bullet"/>
      <w:lvlText w:val=""/>
      <w:lvlJc w:val="left"/>
      <w:pPr>
        <w:ind w:left="2160" w:hanging="360"/>
      </w:pPr>
      <w:rPr>
        <w:rFonts w:ascii="Wingdings" w:hAnsi="Wingdings" w:hint="default"/>
      </w:rPr>
    </w:lvl>
    <w:lvl w:ilvl="3" w:tplc="2108A3D2">
      <w:start w:val="1"/>
      <w:numFmt w:val="bullet"/>
      <w:lvlText w:val=""/>
      <w:lvlJc w:val="left"/>
      <w:pPr>
        <w:ind w:left="2880" w:hanging="360"/>
      </w:pPr>
      <w:rPr>
        <w:rFonts w:ascii="Symbol" w:hAnsi="Symbol" w:hint="default"/>
      </w:rPr>
    </w:lvl>
    <w:lvl w:ilvl="4" w:tplc="3A16CE36">
      <w:start w:val="1"/>
      <w:numFmt w:val="bullet"/>
      <w:lvlText w:val="o"/>
      <w:lvlJc w:val="left"/>
      <w:pPr>
        <w:ind w:left="3600" w:hanging="360"/>
      </w:pPr>
      <w:rPr>
        <w:rFonts w:ascii="Courier New" w:hAnsi="Courier New" w:cs="Courier New" w:hint="default"/>
      </w:rPr>
    </w:lvl>
    <w:lvl w:ilvl="5" w:tplc="738412D0">
      <w:start w:val="1"/>
      <w:numFmt w:val="bullet"/>
      <w:lvlText w:val=""/>
      <w:lvlJc w:val="left"/>
      <w:pPr>
        <w:ind w:left="4320" w:hanging="360"/>
      </w:pPr>
      <w:rPr>
        <w:rFonts w:ascii="Wingdings" w:hAnsi="Wingdings" w:hint="default"/>
      </w:rPr>
    </w:lvl>
    <w:lvl w:ilvl="6" w:tplc="15AA7446">
      <w:start w:val="1"/>
      <w:numFmt w:val="bullet"/>
      <w:lvlText w:val=""/>
      <w:lvlJc w:val="left"/>
      <w:pPr>
        <w:ind w:left="5040" w:hanging="360"/>
      </w:pPr>
      <w:rPr>
        <w:rFonts w:ascii="Symbol" w:hAnsi="Symbol" w:hint="default"/>
      </w:rPr>
    </w:lvl>
    <w:lvl w:ilvl="7" w:tplc="06BCDC48">
      <w:start w:val="1"/>
      <w:numFmt w:val="bullet"/>
      <w:lvlText w:val="o"/>
      <w:lvlJc w:val="left"/>
      <w:pPr>
        <w:ind w:left="5760" w:hanging="360"/>
      </w:pPr>
      <w:rPr>
        <w:rFonts w:ascii="Courier New" w:hAnsi="Courier New" w:cs="Courier New" w:hint="default"/>
      </w:rPr>
    </w:lvl>
    <w:lvl w:ilvl="8" w:tplc="3488A35C">
      <w:start w:val="1"/>
      <w:numFmt w:val="bullet"/>
      <w:lvlText w:val=""/>
      <w:lvlJc w:val="left"/>
      <w:pPr>
        <w:ind w:left="6480" w:hanging="360"/>
      </w:pPr>
      <w:rPr>
        <w:rFonts w:ascii="Wingdings" w:hAnsi="Wingdings" w:hint="default"/>
      </w:rPr>
    </w:lvl>
  </w:abstractNum>
  <w:abstractNum w:abstractNumId="78" w15:restartNumberingAfterBreak="0">
    <w:nsid w:val="747F7AA2"/>
    <w:multiLevelType w:val="hybridMultilevel"/>
    <w:tmpl w:val="E4F2DCA8"/>
    <w:lvl w:ilvl="0" w:tplc="CE949B92">
      <w:start w:val="1"/>
      <w:numFmt w:val="bullet"/>
      <w:lvlText w:val="•"/>
      <w:lvlJc w:val="left"/>
      <w:pPr>
        <w:ind w:left="720" w:hanging="360"/>
      </w:pPr>
      <w:rPr>
        <w:rFonts w:ascii="Calibri" w:hAnsi="Calibri" w:hint="default"/>
        <w:b w:val="0"/>
        <w:i w:val="0"/>
        <w:sz w:val="22"/>
      </w:rPr>
    </w:lvl>
    <w:lvl w:ilvl="1" w:tplc="D97C10F8">
      <w:start w:val="1"/>
      <w:numFmt w:val="bullet"/>
      <w:lvlText w:val="o"/>
      <w:lvlJc w:val="left"/>
      <w:pPr>
        <w:ind w:left="1440" w:hanging="360"/>
      </w:pPr>
      <w:rPr>
        <w:rFonts w:ascii="Courier New" w:hAnsi="Courier New" w:cs="Courier New" w:hint="default"/>
      </w:rPr>
    </w:lvl>
    <w:lvl w:ilvl="2" w:tplc="71CAB1D8">
      <w:start w:val="1"/>
      <w:numFmt w:val="bullet"/>
      <w:lvlText w:val=""/>
      <w:lvlJc w:val="left"/>
      <w:pPr>
        <w:ind w:left="2160" w:hanging="360"/>
      </w:pPr>
      <w:rPr>
        <w:rFonts w:ascii="Wingdings" w:hAnsi="Wingdings" w:hint="default"/>
      </w:rPr>
    </w:lvl>
    <w:lvl w:ilvl="3" w:tplc="3F9A6300">
      <w:start w:val="1"/>
      <w:numFmt w:val="bullet"/>
      <w:lvlText w:val=""/>
      <w:lvlJc w:val="left"/>
      <w:pPr>
        <w:ind w:left="2880" w:hanging="360"/>
      </w:pPr>
      <w:rPr>
        <w:rFonts w:ascii="Symbol" w:hAnsi="Symbol" w:hint="default"/>
      </w:rPr>
    </w:lvl>
    <w:lvl w:ilvl="4" w:tplc="7F242B02">
      <w:start w:val="1"/>
      <w:numFmt w:val="bullet"/>
      <w:lvlText w:val="o"/>
      <w:lvlJc w:val="left"/>
      <w:pPr>
        <w:ind w:left="3600" w:hanging="360"/>
      </w:pPr>
      <w:rPr>
        <w:rFonts w:ascii="Courier New" w:hAnsi="Courier New" w:cs="Courier New" w:hint="default"/>
      </w:rPr>
    </w:lvl>
    <w:lvl w:ilvl="5" w:tplc="6D9C7638">
      <w:start w:val="1"/>
      <w:numFmt w:val="bullet"/>
      <w:lvlText w:val=""/>
      <w:lvlJc w:val="left"/>
      <w:pPr>
        <w:ind w:left="4320" w:hanging="360"/>
      </w:pPr>
      <w:rPr>
        <w:rFonts w:ascii="Wingdings" w:hAnsi="Wingdings" w:hint="default"/>
      </w:rPr>
    </w:lvl>
    <w:lvl w:ilvl="6" w:tplc="CEA2B2C8">
      <w:start w:val="1"/>
      <w:numFmt w:val="bullet"/>
      <w:lvlText w:val=""/>
      <w:lvlJc w:val="left"/>
      <w:pPr>
        <w:ind w:left="5040" w:hanging="360"/>
      </w:pPr>
      <w:rPr>
        <w:rFonts w:ascii="Symbol" w:hAnsi="Symbol" w:hint="default"/>
      </w:rPr>
    </w:lvl>
    <w:lvl w:ilvl="7" w:tplc="3AB48C5C">
      <w:start w:val="1"/>
      <w:numFmt w:val="bullet"/>
      <w:lvlText w:val="o"/>
      <w:lvlJc w:val="left"/>
      <w:pPr>
        <w:ind w:left="5760" w:hanging="360"/>
      </w:pPr>
      <w:rPr>
        <w:rFonts w:ascii="Courier New" w:hAnsi="Courier New" w:cs="Courier New" w:hint="default"/>
      </w:rPr>
    </w:lvl>
    <w:lvl w:ilvl="8" w:tplc="1EAE4390">
      <w:start w:val="1"/>
      <w:numFmt w:val="bullet"/>
      <w:lvlText w:val=""/>
      <w:lvlJc w:val="left"/>
      <w:pPr>
        <w:ind w:left="6480" w:hanging="360"/>
      </w:pPr>
      <w:rPr>
        <w:rFonts w:ascii="Wingdings" w:hAnsi="Wingdings" w:hint="default"/>
      </w:rPr>
    </w:lvl>
  </w:abstractNum>
  <w:abstractNum w:abstractNumId="79" w15:restartNumberingAfterBreak="0">
    <w:nsid w:val="758B3212"/>
    <w:multiLevelType w:val="hybridMultilevel"/>
    <w:tmpl w:val="541AFF3C"/>
    <w:lvl w:ilvl="0" w:tplc="3AD8B9A8">
      <w:start w:val="1"/>
      <w:numFmt w:val="bullet"/>
      <w:lvlText w:val="•"/>
      <w:lvlJc w:val="left"/>
      <w:pPr>
        <w:ind w:left="720" w:hanging="360"/>
      </w:pPr>
      <w:rPr>
        <w:rFonts w:ascii="Calibri" w:hAnsi="Calibri" w:hint="default"/>
        <w:b w:val="0"/>
        <w:i w:val="0"/>
        <w:sz w:val="22"/>
      </w:rPr>
    </w:lvl>
    <w:lvl w:ilvl="1" w:tplc="0D2CCA16">
      <w:start w:val="1"/>
      <w:numFmt w:val="bullet"/>
      <w:lvlText w:val="o"/>
      <w:lvlJc w:val="left"/>
      <w:pPr>
        <w:ind w:left="1440" w:hanging="360"/>
      </w:pPr>
      <w:rPr>
        <w:rFonts w:ascii="Courier New" w:hAnsi="Courier New" w:cs="Courier New" w:hint="default"/>
      </w:rPr>
    </w:lvl>
    <w:lvl w:ilvl="2" w:tplc="3814CDA0">
      <w:start w:val="1"/>
      <w:numFmt w:val="bullet"/>
      <w:lvlText w:val=""/>
      <w:lvlJc w:val="left"/>
      <w:pPr>
        <w:ind w:left="2160" w:hanging="360"/>
      </w:pPr>
      <w:rPr>
        <w:rFonts w:ascii="Wingdings" w:hAnsi="Wingdings" w:hint="default"/>
      </w:rPr>
    </w:lvl>
    <w:lvl w:ilvl="3" w:tplc="2368AD4A">
      <w:start w:val="1"/>
      <w:numFmt w:val="bullet"/>
      <w:lvlText w:val=""/>
      <w:lvlJc w:val="left"/>
      <w:pPr>
        <w:ind w:left="2880" w:hanging="360"/>
      </w:pPr>
      <w:rPr>
        <w:rFonts w:ascii="Symbol" w:hAnsi="Symbol" w:hint="default"/>
      </w:rPr>
    </w:lvl>
    <w:lvl w:ilvl="4" w:tplc="94B0B3C8">
      <w:start w:val="1"/>
      <w:numFmt w:val="bullet"/>
      <w:lvlText w:val="o"/>
      <w:lvlJc w:val="left"/>
      <w:pPr>
        <w:ind w:left="3600" w:hanging="360"/>
      </w:pPr>
      <w:rPr>
        <w:rFonts w:ascii="Courier New" w:hAnsi="Courier New" w:cs="Courier New" w:hint="default"/>
      </w:rPr>
    </w:lvl>
    <w:lvl w:ilvl="5" w:tplc="B1AED4FA">
      <w:start w:val="1"/>
      <w:numFmt w:val="bullet"/>
      <w:lvlText w:val=""/>
      <w:lvlJc w:val="left"/>
      <w:pPr>
        <w:ind w:left="4320" w:hanging="360"/>
      </w:pPr>
      <w:rPr>
        <w:rFonts w:ascii="Wingdings" w:hAnsi="Wingdings" w:hint="default"/>
      </w:rPr>
    </w:lvl>
    <w:lvl w:ilvl="6" w:tplc="2AEE685A">
      <w:start w:val="1"/>
      <w:numFmt w:val="bullet"/>
      <w:lvlText w:val=""/>
      <w:lvlJc w:val="left"/>
      <w:pPr>
        <w:ind w:left="5040" w:hanging="360"/>
      </w:pPr>
      <w:rPr>
        <w:rFonts w:ascii="Symbol" w:hAnsi="Symbol" w:hint="default"/>
      </w:rPr>
    </w:lvl>
    <w:lvl w:ilvl="7" w:tplc="CB4497D6">
      <w:start w:val="1"/>
      <w:numFmt w:val="bullet"/>
      <w:lvlText w:val="o"/>
      <w:lvlJc w:val="left"/>
      <w:pPr>
        <w:ind w:left="5760" w:hanging="360"/>
      </w:pPr>
      <w:rPr>
        <w:rFonts w:ascii="Courier New" w:hAnsi="Courier New" w:cs="Courier New" w:hint="default"/>
      </w:rPr>
    </w:lvl>
    <w:lvl w:ilvl="8" w:tplc="697C4812">
      <w:start w:val="1"/>
      <w:numFmt w:val="bullet"/>
      <w:lvlText w:val=""/>
      <w:lvlJc w:val="left"/>
      <w:pPr>
        <w:ind w:left="6480" w:hanging="360"/>
      </w:pPr>
      <w:rPr>
        <w:rFonts w:ascii="Wingdings" w:hAnsi="Wingdings" w:hint="default"/>
      </w:rPr>
    </w:lvl>
  </w:abstractNum>
  <w:abstractNum w:abstractNumId="80" w15:restartNumberingAfterBreak="0">
    <w:nsid w:val="75A46A44"/>
    <w:multiLevelType w:val="hybridMultilevel"/>
    <w:tmpl w:val="0B16C900"/>
    <w:lvl w:ilvl="0" w:tplc="B4501998">
      <w:start w:val="1"/>
      <w:numFmt w:val="bullet"/>
      <w:lvlText w:val=""/>
      <w:lvlJc w:val="left"/>
      <w:pPr>
        <w:ind w:left="720" w:hanging="360"/>
      </w:pPr>
      <w:rPr>
        <w:rFonts w:ascii="Symbol" w:hAnsi="Symbol" w:hint="default"/>
      </w:rPr>
    </w:lvl>
    <w:lvl w:ilvl="1" w:tplc="546663C8">
      <w:start w:val="1"/>
      <w:numFmt w:val="bullet"/>
      <w:lvlText w:val="o"/>
      <w:lvlJc w:val="left"/>
      <w:pPr>
        <w:ind w:left="1440" w:hanging="360"/>
      </w:pPr>
      <w:rPr>
        <w:rFonts w:ascii="Courier New" w:hAnsi="Courier New" w:cs="Courier New" w:hint="default"/>
      </w:rPr>
    </w:lvl>
    <w:lvl w:ilvl="2" w:tplc="5D0E48D0">
      <w:start w:val="1"/>
      <w:numFmt w:val="bullet"/>
      <w:lvlText w:val=""/>
      <w:lvlJc w:val="left"/>
      <w:pPr>
        <w:ind w:left="2160" w:hanging="360"/>
      </w:pPr>
      <w:rPr>
        <w:rFonts w:ascii="Wingdings" w:hAnsi="Wingdings" w:hint="default"/>
      </w:rPr>
    </w:lvl>
    <w:lvl w:ilvl="3" w:tplc="AA32E284">
      <w:start w:val="1"/>
      <w:numFmt w:val="bullet"/>
      <w:lvlText w:val=""/>
      <w:lvlJc w:val="left"/>
      <w:pPr>
        <w:ind w:left="2880" w:hanging="360"/>
      </w:pPr>
      <w:rPr>
        <w:rFonts w:ascii="Symbol" w:hAnsi="Symbol" w:hint="default"/>
      </w:rPr>
    </w:lvl>
    <w:lvl w:ilvl="4" w:tplc="822AF1CC">
      <w:start w:val="1"/>
      <w:numFmt w:val="bullet"/>
      <w:lvlText w:val="o"/>
      <w:lvlJc w:val="left"/>
      <w:pPr>
        <w:ind w:left="3600" w:hanging="360"/>
      </w:pPr>
      <w:rPr>
        <w:rFonts w:ascii="Courier New" w:hAnsi="Courier New" w:cs="Courier New" w:hint="default"/>
      </w:rPr>
    </w:lvl>
    <w:lvl w:ilvl="5" w:tplc="E8824AF2">
      <w:start w:val="1"/>
      <w:numFmt w:val="bullet"/>
      <w:lvlText w:val=""/>
      <w:lvlJc w:val="left"/>
      <w:pPr>
        <w:ind w:left="4320" w:hanging="360"/>
      </w:pPr>
      <w:rPr>
        <w:rFonts w:ascii="Wingdings" w:hAnsi="Wingdings" w:hint="default"/>
      </w:rPr>
    </w:lvl>
    <w:lvl w:ilvl="6" w:tplc="A7B448C2">
      <w:start w:val="1"/>
      <w:numFmt w:val="bullet"/>
      <w:lvlText w:val=""/>
      <w:lvlJc w:val="left"/>
      <w:pPr>
        <w:ind w:left="5040" w:hanging="360"/>
      </w:pPr>
      <w:rPr>
        <w:rFonts w:ascii="Symbol" w:hAnsi="Symbol" w:hint="default"/>
      </w:rPr>
    </w:lvl>
    <w:lvl w:ilvl="7" w:tplc="CBD89F46">
      <w:start w:val="1"/>
      <w:numFmt w:val="bullet"/>
      <w:lvlText w:val="o"/>
      <w:lvlJc w:val="left"/>
      <w:pPr>
        <w:ind w:left="5760" w:hanging="360"/>
      </w:pPr>
      <w:rPr>
        <w:rFonts w:ascii="Courier New" w:hAnsi="Courier New" w:cs="Courier New" w:hint="default"/>
      </w:rPr>
    </w:lvl>
    <w:lvl w:ilvl="8" w:tplc="C992A07C">
      <w:start w:val="1"/>
      <w:numFmt w:val="bullet"/>
      <w:lvlText w:val=""/>
      <w:lvlJc w:val="left"/>
      <w:pPr>
        <w:ind w:left="6480" w:hanging="360"/>
      </w:pPr>
      <w:rPr>
        <w:rFonts w:ascii="Wingdings" w:hAnsi="Wingdings" w:hint="default"/>
      </w:rPr>
    </w:lvl>
  </w:abstractNum>
  <w:abstractNum w:abstractNumId="81" w15:restartNumberingAfterBreak="0">
    <w:nsid w:val="76002D37"/>
    <w:multiLevelType w:val="hybridMultilevel"/>
    <w:tmpl w:val="9B4419E2"/>
    <w:lvl w:ilvl="0" w:tplc="4DECAC6C">
      <w:start w:val="1"/>
      <w:numFmt w:val="bullet"/>
      <w:lvlText w:val="•"/>
      <w:lvlJc w:val="left"/>
      <w:pPr>
        <w:ind w:left="720" w:hanging="360"/>
      </w:pPr>
      <w:rPr>
        <w:rFonts w:ascii="Calibri" w:hAnsi="Calibri" w:hint="default"/>
        <w:b w:val="0"/>
        <w:i w:val="0"/>
        <w:sz w:val="22"/>
      </w:rPr>
    </w:lvl>
    <w:lvl w:ilvl="1" w:tplc="526EDB8A">
      <w:start w:val="1"/>
      <w:numFmt w:val="bullet"/>
      <w:lvlText w:val="o"/>
      <w:lvlJc w:val="left"/>
      <w:pPr>
        <w:ind w:left="1440" w:hanging="360"/>
      </w:pPr>
      <w:rPr>
        <w:rFonts w:ascii="Courier New" w:hAnsi="Courier New" w:cs="Courier New" w:hint="default"/>
      </w:rPr>
    </w:lvl>
    <w:lvl w:ilvl="2" w:tplc="E2FCA06E">
      <w:start w:val="1"/>
      <w:numFmt w:val="bullet"/>
      <w:lvlText w:val=""/>
      <w:lvlJc w:val="left"/>
      <w:pPr>
        <w:ind w:left="2160" w:hanging="360"/>
      </w:pPr>
      <w:rPr>
        <w:rFonts w:ascii="Wingdings" w:hAnsi="Wingdings" w:hint="default"/>
      </w:rPr>
    </w:lvl>
    <w:lvl w:ilvl="3" w:tplc="23503E88">
      <w:start w:val="1"/>
      <w:numFmt w:val="bullet"/>
      <w:lvlText w:val=""/>
      <w:lvlJc w:val="left"/>
      <w:pPr>
        <w:ind w:left="2880" w:hanging="360"/>
      </w:pPr>
      <w:rPr>
        <w:rFonts w:ascii="Symbol" w:hAnsi="Symbol" w:hint="default"/>
      </w:rPr>
    </w:lvl>
    <w:lvl w:ilvl="4" w:tplc="4C966BB0">
      <w:start w:val="1"/>
      <w:numFmt w:val="bullet"/>
      <w:lvlText w:val="o"/>
      <w:lvlJc w:val="left"/>
      <w:pPr>
        <w:ind w:left="3600" w:hanging="360"/>
      </w:pPr>
      <w:rPr>
        <w:rFonts w:ascii="Courier New" w:hAnsi="Courier New" w:cs="Courier New" w:hint="default"/>
      </w:rPr>
    </w:lvl>
    <w:lvl w:ilvl="5" w:tplc="C6C864B0">
      <w:start w:val="1"/>
      <w:numFmt w:val="bullet"/>
      <w:lvlText w:val=""/>
      <w:lvlJc w:val="left"/>
      <w:pPr>
        <w:ind w:left="4320" w:hanging="360"/>
      </w:pPr>
      <w:rPr>
        <w:rFonts w:ascii="Wingdings" w:hAnsi="Wingdings" w:hint="default"/>
      </w:rPr>
    </w:lvl>
    <w:lvl w:ilvl="6" w:tplc="1C58C16C">
      <w:start w:val="1"/>
      <w:numFmt w:val="bullet"/>
      <w:lvlText w:val=""/>
      <w:lvlJc w:val="left"/>
      <w:pPr>
        <w:ind w:left="5040" w:hanging="360"/>
      </w:pPr>
      <w:rPr>
        <w:rFonts w:ascii="Symbol" w:hAnsi="Symbol" w:hint="default"/>
      </w:rPr>
    </w:lvl>
    <w:lvl w:ilvl="7" w:tplc="EAF41F2E">
      <w:start w:val="1"/>
      <w:numFmt w:val="bullet"/>
      <w:lvlText w:val="o"/>
      <w:lvlJc w:val="left"/>
      <w:pPr>
        <w:ind w:left="5760" w:hanging="360"/>
      </w:pPr>
      <w:rPr>
        <w:rFonts w:ascii="Courier New" w:hAnsi="Courier New" w:cs="Courier New" w:hint="default"/>
      </w:rPr>
    </w:lvl>
    <w:lvl w:ilvl="8" w:tplc="B35A1220">
      <w:start w:val="1"/>
      <w:numFmt w:val="bullet"/>
      <w:lvlText w:val=""/>
      <w:lvlJc w:val="left"/>
      <w:pPr>
        <w:ind w:left="6480" w:hanging="360"/>
      </w:pPr>
      <w:rPr>
        <w:rFonts w:ascii="Wingdings" w:hAnsi="Wingdings" w:hint="default"/>
      </w:rPr>
    </w:lvl>
  </w:abstractNum>
  <w:abstractNum w:abstractNumId="82" w15:restartNumberingAfterBreak="0">
    <w:nsid w:val="776A6D98"/>
    <w:multiLevelType w:val="hybridMultilevel"/>
    <w:tmpl w:val="72BC2142"/>
    <w:lvl w:ilvl="0" w:tplc="41C8E9C0">
      <w:start w:val="1"/>
      <w:numFmt w:val="bullet"/>
      <w:lvlText w:val="•"/>
      <w:lvlJc w:val="left"/>
      <w:pPr>
        <w:ind w:left="720" w:hanging="360"/>
      </w:pPr>
      <w:rPr>
        <w:rFonts w:ascii="Calibri" w:hAnsi="Calibri" w:hint="default"/>
        <w:b w:val="0"/>
        <w:i w:val="0"/>
        <w:sz w:val="22"/>
      </w:rPr>
    </w:lvl>
    <w:lvl w:ilvl="1" w:tplc="28D852DA">
      <w:start w:val="1"/>
      <w:numFmt w:val="bullet"/>
      <w:lvlText w:val="o"/>
      <w:lvlJc w:val="left"/>
      <w:pPr>
        <w:ind w:left="1440" w:hanging="360"/>
      </w:pPr>
      <w:rPr>
        <w:rFonts w:ascii="Courier New" w:hAnsi="Courier New" w:cs="Courier New" w:hint="default"/>
      </w:rPr>
    </w:lvl>
    <w:lvl w:ilvl="2" w:tplc="EDBE5A16">
      <w:start w:val="1"/>
      <w:numFmt w:val="bullet"/>
      <w:lvlText w:val=""/>
      <w:lvlJc w:val="left"/>
      <w:pPr>
        <w:ind w:left="2160" w:hanging="360"/>
      </w:pPr>
      <w:rPr>
        <w:rFonts w:ascii="Wingdings" w:hAnsi="Wingdings" w:hint="default"/>
      </w:rPr>
    </w:lvl>
    <w:lvl w:ilvl="3" w:tplc="5008C2F8">
      <w:start w:val="1"/>
      <w:numFmt w:val="bullet"/>
      <w:lvlText w:val=""/>
      <w:lvlJc w:val="left"/>
      <w:pPr>
        <w:ind w:left="2880" w:hanging="360"/>
      </w:pPr>
      <w:rPr>
        <w:rFonts w:ascii="Symbol" w:hAnsi="Symbol" w:hint="default"/>
      </w:rPr>
    </w:lvl>
    <w:lvl w:ilvl="4" w:tplc="29F62DD8">
      <w:start w:val="1"/>
      <w:numFmt w:val="bullet"/>
      <w:lvlText w:val="o"/>
      <w:lvlJc w:val="left"/>
      <w:pPr>
        <w:ind w:left="3600" w:hanging="360"/>
      </w:pPr>
      <w:rPr>
        <w:rFonts w:ascii="Courier New" w:hAnsi="Courier New" w:cs="Courier New" w:hint="default"/>
      </w:rPr>
    </w:lvl>
    <w:lvl w:ilvl="5" w:tplc="3A48398C">
      <w:start w:val="1"/>
      <w:numFmt w:val="bullet"/>
      <w:lvlText w:val=""/>
      <w:lvlJc w:val="left"/>
      <w:pPr>
        <w:ind w:left="4320" w:hanging="360"/>
      </w:pPr>
      <w:rPr>
        <w:rFonts w:ascii="Wingdings" w:hAnsi="Wingdings" w:hint="default"/>
      </w:rPr>
    </w:lvl>
    <w:lvl w:ilvl="6" w:tplc="2D62599C">
      <w:start w:val="1"/>
      <w:numFmt w:val="bullet"/>
      <w:lvlText w:val=""/>
      <w:lvlJc w:val="left"/>
      <w:pPr>
        <w:ind w:left="5040" w:hanging="360"/>
      </w:pPr>
      <w:rPr>
        <w:rFonts w:ascii="Symbol" w:hAnsi="Symbol" w:hint="default"/>
      </w:rPr>
    </w:lvl>
    <w:lvl w:ilvl="7" w:tplc="0EF072C4">
      <w:start w:val="1"/>
      <w:numFmt w:val="bullet"/>
      <w:lvlText w:val="o"/>
      <w:lvlJc w:val="left"/>
      <w:pPr>
        <w:ind w:left="5760" w:hanging="360"/>
      </w:pPr>
      <w:rPr>
        <w:rFonts w:ascii="Courier New" w:hAnsi="Courier New" w:cs="Courier New" w:hint="default"/>
      </w:rPr>
    </w:lvl>
    <w:lvl w:ilvl="8" w:tplc="52EA4960">
      <w:start w:val="1"/>
      <w:numFmt w:val="bullet"/>
      <w:lvlText w:val=""/>
      <w:lvlJc w:val="left"/>
      <w:pPr>
        <w:ind w:left="6480" w:hanging="360"/>
      </w:pPr>
      <w:rPr>
        <w:rFonts w:ascii="Wingdings" w:hAnsi="Wingdings" w:hint="default"/>
      </w:rPr>
    </w:lvl>
  </w:abstractNum>
  <w:abstractNum w:abstractNumId="83" w15:restartNumberingAfterBreak="0">
    <w:nsid w:val="7853595D"/>
    <w:multiLevelType w:val="hybridMultilevel"/>
    <w:tmpl w:val="30FC7DEC"/>
    <w:lvl w:ilvl="0" w:tplc="6226CEB0">
      <w:start w:val="1"/>
      <w:numFmt w:val="bullet"/>
      <w:lvlText w:val="•"/>
      <w:lvlJc w:val="left"/>
      <w:pPr>
        <w:ind w:left="720" w:hanging="360"/>
      </w:pPr>
      <w:rPr>
        <w:rFonts w:ascii="Calibri" w:hAnsi="Calibri" w:hint="default"/>
        <w:b w:val="0"/>
        <w:i w:val="0"/>
        <w:sz w:val="22"/>
      </w:rPr>
    </w:lvl>
    <w:lvl w:ilvl="1" w:tplc="B3403862">
      <w:start w:val="1"/>
      <w:numFmt w:val="bullet"/>
      <w:lvlText w:val="o"/>
      <w:lvlJc w:val="left"/>
      <w:pPr>
        <w:ind w:left="1440" w:hanging="360"/>
      </w:pPr>
      <w:rPr>
        <w:rFonts w:ascii="Courier New" w:hAnsi="Courier New" w:cs="Courier New" w:hint="default"/>
      </w:rPr>
    </w:lvl>
    <w:lvl w:ilvl="2" w:tplc="5D90B056">
      <w:start w:val="1"/>
      <w:numFmt w:val="bullet"/>
      <w:lvlText w:val=""/>
      <w:lvlJc w:val="left"/>
      <w:pPr>
        <w:ind w:left="2160" w:hanging="360"/>
      </w:pPr>
      <w:rPr>
        <w:rFonts w:ascii="Wingdings" w:hAnsi="Wingdings" w:hint="default"/>
      </w:rPr>
    </w:lvl>
    <w:lvl w:ilvl="3" w:tplc="845660B0">
      <w:start w:val="1"/>
      <w:numFmt w:val="bullet"/>
      <w:lvlText w:val=""/>
      <w:lvlJc w:val="left"/>
      <w:pPr>
        <w:ind w:left="2880" w:hanging="360"/>
      </w:pPr>
      <w:rPr>
        <w:rFonts w:ascii="Symbol" w:hAnsi="Symbol" w:hint="default"/>
      </w:rPr>
    </w:lvl>
    <w:lvl w:ilvl="4" w:tplc="943E75C0">
      <w:start w:val="1"/>
      <w:numFmt w:val="bullet"/>
      <w:lvlText w:val="o"/>
      <w:lvlJc w:val="left"/>
      <w:pPr>
        <w:ind w:left="3600" w:hanging="360"/>
      </w:pPr>
      <w:rPr>
        <w:rFonts w:ascii="Courier New" w:hAnsi="Courier New" w:cs="Courier New" w:hint="default"/>
      </w:rPr>
    </w:lvl>
    <w:lvl w:ilvl="5" w:tplc="A7CCBD18">
      <w:start w:val="1"/>
      <w:numFmt w:val="bullet"/>
      <w:lvlText w:val=""/>
      <w:lvlJc w:val="left"/>
      <w:pPr>
        <w:ind w:left="4320" w:hanging="360"/>
      </w:pPr>
      <w:rPr>
        <w:rFonts w:ascii="Wingdings" w:hAnsi="Wingdings" w:hint="default"/>
      </w:rPr>
    </w:lvl>
    <w:lvl w:ilvl="6" w:tplc="F6BE64F4">
      <w:start w:val="1"/>
      <w:numFmt w:val="bullet"/>
      <w:lvlText w:val=""/>
      <w:lvlJc w:val="left"/>
      <w:pPr>
        <w:ind w:left="5040" w:hanging="360"/>
      </w:pPr>
      <w:rPr>
        <w:rFonts w:ascii="Symbol" w:hAnsi="Symbol" w:hint="default"/>
      </w:rPr>
    </w:lvl>
    <w:lvl w:ilvl="7" w:tplc="839EECBE">
      <w:start w:val="1"/>
      <w:numFmt w:val="bullet"/>
      <w:lvlText w:val="o"/>
      <w:lvlJc w:val="left"/>
      <w:pPr>
        <w:ind w:left="5760" w:hanging="360"/>
      </w:pPr>
      <w:rPr>
        <w:rFonts w:ascii="Courier New" w:hAnsi="Courier New" w:cs="Courier New" w:hint="default"/>
      </w:rPr>
    </w:lvl>
    <w:lvl w:ilvl="8" w:tplc="CD724E56">
      <w:start w:val="1"/>
      <w:numFmt w:val="bullet"/>
      <w:lvlText w:val=""/>
      <w:lvlJc w:val="left"/>
      <w:pPr>
        <w:ind w:left="6480" w:hanging="360"/>
      </w:pPr>
      <w:rPr>
        <w:rFonts w:ascii="Wingdings" w:hAnsi="Wingdings" w:hint="default"/>
      </w:rPr>
    </w:lvl>
  </w:abstractNum>
  <w:abstractNum w:abstractNumId="84" w15:restartNumberingAfterBreak="0">
    <w:nsid w:val="78B874B6"/>
    <w:multiLevelType w:val="hybridMultilevel"/>
    <w:tmpl w:val="8AA20C22"/>
    <w:lvl w:ilvl="0" w:tplc="B30A26FE">
      <w:start w:val="1"/>
      <w:numFmt w:val="bullet"/>
      <w:lvlText w:val="•"/>
      <w:lvlJc w:val="left"/>
      <w:pPr>
        <w:ind w:left="720" w:hanging="360"/>
      </w:pPr>
      <w:rPr>
        <w:rFonts w:ascii="Calibri" w:hAnsi="Calibri" w:hint="default"/>
        <w:b w:val="0"/>
        <w:i w:val="0"/>
        <w:sz w:val="22"/>
      </w:rPr>
    </w:lvl>
    <w:lvl w:ilvl="1" w:tplc="4C467D06">
      <w:start w:val="1"/>
      <w:numFmt w:val="bullet"/>
      <w:lvlText w:val="o"/>
      <w:lvlJc w:val="left"/>
      <w:pPr>
        <w:ind w:left="1440" w:hanging="360"/>
      </w:pPr>
      <w:rPr>
        <w:rFonts w:ascii="Courier New" w:hAnsi="Courier New" w:cs="Courier New" w:hint="default"/>
      </w:rPr>
    </w:lvl>
    <w:lvl w:ilvl="2" w:tplc="E2B6F934">
      <w:start w:val="1"/>
      <w:numFmt w:val="bullet"/>
      <w:lvlText w:val=""/>
      <w:lvlJc w:val="left"/>
      <w:pPr>
        <w:ind w:left="2160" w:hanging="360"/>
      </w:pPr>
      <w:rPr>
        <w:rFonts w:ascii="Wingdings" w:hAnsi="Wingdings" w:hint="default"/>
      </w:rPr>
    </w:lvl>
    <w:lvl w:ilvl="3" w:tplc="C914A47E">
      <w:start w:val="1"/>
      <w:numFmt w:val="bullet"/>
      <w:lvlText w:val=""/>
      <w:lvlJc w:val="left"/>
      <w:pPr>
        <w:ind w:left="2880" w:hanging="360"/>
      </w:pPr>
      <w:rPr>
        <w:rFonts w:ascii="Symbol" w:hAnsi="Symbol" w:hint="default"/>
      </w:rPr>
    </w:lvl>
    <w:lvl w:ilvl="4" w:tplc="E69A4140">
      <w:start w:val="1"/>
      <w:numFmt w:val="bullet"/>
      <w:lvlText w:val="o"/>
      <w:lvlJc w:val="left"/>
      <w:pPr>
        <w:ind w:left="3600" w:hanging="360"/>
      </w:pPr>
      <w:rPr>
        <w:rFonts w:ascii="Courier New" w:hAnsi="Courier New" w:cs="Courier New" w:hint="default"/>
      </w:rPr>
    </w:lvl>
    <w:lvl w:ilvl="5" w:tplc="95A68E90">
      <w:start w:val="1"/>
      <w:numFmt w:val="bullet"/>
      <w:lvlText w:val=""/>
      <w:lvlJc w:val="left"/>
      <w:pPr>
        <w:ind w:left="4320" w:hanging="360"/>
      </w:pPr>
      <w:rPr>
        <w:rFonts w:ascii="Wingdings" w:hAnsi="Wingdings" w:hint="default"/>
      </w:rPr>
    </w:lvl>
    <w:lvl w:ilvl="6" w:tplc="CE94C466">
      <w:start w:val="1"/>
      <w:numFmt w:val="bullet"/>
      <w:lvlText w:val=""/>
      <w:lvlJc w:val="left"/>
      <w:pPr>
        <w:ind w:left="5040" w:hanging="360"/>
      </w:pPr>
      <w:rPr>
        <w:rFonts w:ascii="Symbol" w:hAnsi="Symbol" w:hint="default"/>
      </w:rPr>
    </w:lvl>
    <w:lvl w:ilvl="7" w:tplc="12049378">
      <w:start w:val="1"/>
      <w:numFmt w:val="bullet"/>
      <w:lvlText w:val="o"/>
      <w:lvlJc w:val="left"/>
      <w:pPr>
        <w:ind w:left="5760" w:hanging="360"/>
      </w:pPr>
      <w:rPr>
        <w:rFonts w:ascii="Courier New" w:hAnsi="Courier New" w:cs="Courier New" w:hint="default"/>
      </w:rPr>
    </w:lvl>
    <w:lvl w:ilvl="8" w:tplc="E7508ACA">
      <w:start w:val="1"/>
      <w:numFmt w:val="bullet"/>
      <w:lvlText w:val=""/>
      <w:lvlJc w:val="left"/>
      <w:pPr>
        <w:ind w:left="6480" w:hanging="360"/>
      </w:pPr>
      <w:rPr>
        <w:rFonts w:ascii="Wingdings" w:hAnsi="Wingdings" w:hint="default"/>
      </w:rPr>
    </w:lvl>
  </w:abstractNum>
  <w:abstractNum w:abstractNumId="85" w15:restartNumberingAfterBreak="0">
    <w:nsid w:val="7BE8598C"/>
    <w:multiLevelType w:val="hybridMultilevel"/>
    <w:tmpl w:val="47D40052"/>
    <w:lvl w:ilvl="0" w:tplc="87DC6A62">
      <w:start w:val="1"/>
      <w:numFmt w:val="bullet"/>
      <w:lvlText w:val=""/>
      <w:lvlJc w:val="left"/>
      <w:pPr>
        <w:ind w:left="720" w:hanging="360"/>
      </w:pPr>
      <w:rPr>
        <w:rFonts w:ascii="Symbol" w:hAnsi="Symbol" w:hint="default"/>
      </w:rPr>
    </w:lvl>
    <w:lvl w:ilvl="1" w:tplc="B3703F7A">
      <w:start w:val="1"/>
      <w:numFmt w:val="bullet"/>
      <w:lvlText w:val="o"/>
      <w:lvlJc w:val="left"/>
      <w:pPr>
        <w:ind w:left="1440" w:hanging="360"/>
      </w:pPr>
      <w:rPr>
        <w:rFonts w:ascii="Courier New" w:hAnsi="Courier New" w:cs="Courier New" w:hint="default"/>
      </w:rPr>
    </w:lvl>
    <w:lvl w:ilvl="2" w:tplc="75DE3778">
      <w:start w:val="1"/>
      <w:numFmt w:val="bullet"/>
      <w:lvlText w:val=""/>
      <w:lvlJc w:val="left"/>
      <w:pPr>
        <w:ind w:left="2160" w:hanging="360"/>
      </w:pPr>
      <w:rPr>
        <w:rFonts w:ascii="Wingdings" w:hAnsi="Wingdings" w:hint="default"/>
      </w:rPr>
    </w:lvl>
    <w:lvl w:ilvl="3" w:tplc="6D1C3D28">
      <w:start w:val="1"/>
      <w:numFmt w:val="bullet"/>
      <w:lvlText w:val=""/>
      <w:lvlJc w:val="left"/>
      <w:pPr>
        <w:ind w:left="2880" w:hanging="360"/>
      </w:pPr>
      <w:rPr>
        <w:rFonts w:ascii="Symbol" w:hAnsi="Symbol" w:hint="default"/>
      </w:rPr>
    </w:lvl>
    <w:lvl w:ilvl="4" w:tplc="922082DA">
      <w:start w:val="1"/>
      <w:numFmt w:val="bullet"/>
      <w:lvlText w:val="o"/>
      <w:lvlJc w:val="left"/>
      <w:pPr>
        <w:ind w:left="3600" w:hanging="360"/>
      </w:pPr>
      <w:rPr>
        <w:rFonts w:ascii="Courier New" w:hAnsi="Courier New" w:cs="Courier New" w:hint="default"/>
      </w:rPr>
    </w:lvl>
    <w:lvl w:ilvl="5" w:tplc="65C0D9D4">
      <w:start w:val="1"/>
      <w:numFmt w:val="bullet"/>
      <w:lvlText w:val=""/>
      <w:lvlJc w:val="left"/>
      <w:pPr>
        <w:ind w:left="4320" w:hanging="360"/>
      </w:pPr>
      <w:rPr>
        <w:rFonts w:ascii="Wingdings" w:hAnsi="Wingdings" w:hint="default"/>
      </w:rPr>
    </w:lvl>
    <w:lvl w:ilvl="6" w:tplc="4C10695C">
      <w:start w:val="1"/>
      <w:numFmt w:val="bullet"/>
      <w:lvlText w:val=""/>
      <w:lvlJc w:val="left"/>
      <w:pPr>
        <w:ind w:left="5040" w:hanging="360"/>
      </w:pPr>
      <w:rPr>
        <w:rFonts w:ascii="Symbol" w:hAnsi="Symbol" w:hint="default"/>
      </w:rPr>
    </w:lvl>
    <w:lvl w:ilvl="7" w:tplc="77C41692">
      <w:start w:val="1"/>
      <w:numFmt w:val="bullet"/>
      <w:lvlText w:val="o"/>
      <w:lvlJc w:val="left"/>
      <w:pPr>
        <w:ind w:left="5760" w:hanging="360"/>
      </w:pPr>
      <w:rPr>
        <w:rFonts w:ascii="Courier New" w:hAnsi="Courier New" w:cs="Courier New" w:hint="default"/>
      </w:rPr>
    </w:lvl>
    <w:lvl w:ilvl="8" w:tplc="22BA929A">
      <w:start w:val="1"/>
      <w:numFmt w:val="bullet"/>
      <w:lvlText w:val=""/>
      <w:lvlJc w:val="left"/>
      <w:pPr>
        <w:ind w:left="6480" w:hanging="360"/>
      </w:pPr>
      <w:rPr>
        <w:rFonts w:ascii="Wingdings" w:hAnsi="Wingdings" w:hint="default"/>
      </w:rPr>
    </w:lvl>
  </w:abstractNum>
  <w:num w:numId="1">
    <w:abstractNumId w:val="20"/>
  </w:num>
  <w:num w:numId="2">
    <w:abstractNumId w:val="76"/>
  </w:num>
  <w:num w:numId="3">
    <w:abstractNumId w:val="38"/>
  </w:num>
  <w:num w:numId="4">
    <w:abstractNumId w:val="10"/>
  </w:num>
  <w:num w:numId="5">
    <w:abstractNumId w:val="17"/>
  </w:num>
  <w:num w:numId="6">
    <w:abstractNumId w:val="18"/>
  </w:num>
  <w:num w:numId="7">
    <w:abstractNumId w:val="35"/>
  </w:num>
  <w:num w:numId="8">
    <w:abstractNumId w:val="66"/>
  </w:num>
  <w:num w:numId="9">
    <w:abstractNumId w:val="36"/>
  </w:num>
  <w:num w:numId="10">
    <w:abstractNumId w:val="28"/>
  </w:num>
  <w:num w:numId="11">
    <w:abstractNumId w:val="1"/>
  </w:num>
  <w:num w:numId="12">
    <w:abstractNumId w:val="6"/>
  </w:num>
  <w:num w:numId="13">
    <w:abstractNumId w:val="54"/>
  </w:num>
  <w:num w:numId="14">
    <w:abstractNumId w:val="78"/>
  </w:num>
  <w:num w:numId="15">
    <w:abstractNumId w:val="84"/>
  </w:num>
  <w:num w:numId="16">
    <w:abstractNumId w:val="11"/>
  </w:num>
  <w:num w:numId="17">
    <w:abstractNumId w:val="34"/>
  </w:num>
  <w:num w:numId="18">
    <w:abstractNumId w:val="5"/>
  </w:num>
  <w:num w:numId="19">
    <w:abstractNumId w:val="9"/>
  </w:num>
  <w:num w:numId="20">
    <w:abstractNumId w:val="73"/>
  </w:num>
  <w:num w:numId="21">
    <w:abstractNumId w:val="7"/>
  </w:num>
  <w:num w:numId="22">
    <w:abstractNumId w:val="68"/>
  </w:num>
  <w:num w:numId="23">
    <w:abstractNumId w:val="79"/>
  </w:num>
  <w:num w:numId="24">
    <w:abstractNumId w:val="56"/>
  </w:num>
  <w:num w:numId="25">
    <w:abstractNumId w:val="16"/>
  </w:num>
  <w:num w:numId="26">
    <w:abstractNumId w:val="39"/>
  </w:num>
  <w:num w:numId="27">
    <w:abstractNumId w:val="43"/>
  </w:num>
  <w:num w:numId="28">
    <w:abstractNumId w:val="65"/>
  </w:num>
  <w:num w:numId="29">
    <w:abstractNumId w:val="67"/>
  </w:num>
  <w:num w:numId="30">
    <w:abstractNumId w:val="47"/>
  </w:num>
  <w:num w:numId="31">
    <w:abstractNumId w:val="26"/>
  </w:num>
  <w:num w:numId="32">
    <w:abstractNumId w:val="61"/>
  </w:num>
  <w:num w:numId="33">
    <w:abstractNumId w:val="70"/>
  </w:num>
  <w:num w:numId="34">
    <w:abstractNumId w:val="37"/>
  </w:num>
  <w:num w:numId="35">
    <w:abstractNumId w:val="49"/>
  </w:num>
  <w:num w:numId="36">
    <w:abstractNumId w:val="59"/>
  </w:num>
  <w:num w:numId="37">
    <w:abstractNumId w:val="41"/>
  </w:num>
  <w:num w:numId="38">
    <w:abstractNumId w:val="45"/>
  </w:num>
  <w:num w:numId="39">
    <w:abstractNumId w:val="52"/>
  </w:num>
  <w:num w:numId="40">
    <w:abstractNumId w:val="22"/>
  </w:num>
  <w:num w:numId="41">
    <w:abstractNumId w:val="13"/>
  </w:num>
  <w:num w:numId="42">
    <w:abstractNumId w:val="69"/>
  </w:num>
  <w:num w:numId="43">
    <w:abstractNumId w:val="33"/>
  </w:num>
  <w:num w:numId="44">
    <w:abstractNumId w:val="3"/>
  </w:num>
  <w:num w:numId="45">
    <w:abstractNumId w:val="50"/>
  </w:num>
  <w:num w:numId="46">
    <w:abstractNumId w:val="25"/>
  </w:num>
  <w:num w:numId="47">
    <w:abstractNumId w:val="51"/>
  </w:num>
  <w:num w:numId="48">
    <w:abstractNumId w:val="14"/>
  </w:num>
  <w:num w:numId="49">
    <w:abstractNumId w:val="32"/>
  </w:num>
  <w:num w:numId="50">
    <w:abstractNumId w:val="81"/>
  </w:num>
  <w:num w:numId="51">
    <w:abstractNumId w:val="55"/>
  </w:num>
  <w:num w:numId="52">
    <w:abstractNumId w:val="42"/>
  </w:num>
  <w:num w:numId="53">
    <w:abstractNumId w:val="29"/>
  </w:num>
  <w:num w:numId="54">
    <w:abstractNumId w:val="48"/>
  </w:num>
  <w:num w:numId="55">
    <w:abstractNumId w:val="27"/>
  </w:num>
  <w:num w:numId="56">
    <w:abstractNumId w:val="12"/>
  </w:num>
  <w:num w:numId="57">
    <w:abstractNumId w:val="40"/>
  </w:num>
  <w:num w:numId="58">
    <w:abstractNumId w:val="44"/>
  </w:num>
  <w:num w:numId="59">
    <w:abstractNumId w:val="71"/>
  </w:num>
  <w:num w:numId="60">
    <w:abstractNumId w:val="24"/>
  </w:num>
  <w:num w:numId="61">
    <w:abstractNumId w:val="82"/>
  </w:num>
  <w:num w:numId="62">
    <w:abstractNumId w:val="63"/>
  </w:num>
  <w:num w:numId="63">
    <w:abstractNumId w:val="58"/>
  </w:num>
  <w:num w:numId="64">
    <w:abstractNumId w:val="15"/>
  </w:num>
  <w:num w:numId="65">
    <w:abstractNumId w:val="31"/>
  </w:num>
  <w:num w:numId="66">
    <w:abstractNumId w:val="72"/>
  </w:num>
  <w:num w:numId="67">
    <w:abstractNumId w:val="23"/>
  </w:num>
  <w:num w:numId="68">
    <w:abstractNumId w:val="8"/>
  </w:num>
  <w:num w:numId="69">
    <w:abstractNumId w:val="19"/>
  </w:num>
  <w:num w:numId="70">
    <w:abstractNumId w:val="83"/>
  </w:num>
  <w:num w:numId="71">
    <w:abstractNumId w:val="30"/>
  </w:num>
  <w:num w:numId="72">
    <w:abstractNumId w:val="4"/>
  </w:num>
  <w:num w:numId="73">
    <w:abstractNumId w:val="57"/>
  </w:num>
  <w:num w:numId="74">
    <w:abstractNumId w:val="74"/>
  </w:num>
  <w:num w:numId="75">
    <w:abstractNumId w:val="0"/>
  </w:num>
  <w:num w:numId="76">
    <w:abstractNumId w:val="77"/>
  </w:num>
  <w:num w:numId="77">
    <w:abstractNumId w:val="60"/>
  </w:num>
  <w:num w:numId="78">
    <w:abstractNumId w:val="64"/>
  </w:num>
  <w:num w:numId="79">
    <w:abstractNumId w:val="21"/>
  </w:num>
  <w:num w:numId="80">
    <w:abstractNumId w:val="80"/>
  </w:num>
  <w:num w:numId="81">
    <w:abstractNumId w:val="85"/>
  </w:num>
  <w:num w:numId="82">
    <w:abstractNumId w:val="46"/>
  </w:num>
  <w:num w:numId="83">
    <w:abstractNumId w:val="62"/>
  </w:num>
  <w:num w:numId="84">
    <w:abstractNumId w:val="75"/>
  </w:num>
  <w:num w:numId="85">
    <w:abstractNumId w:val="2"/>
  </w:num>
  <w:num w:numId="86">
    <w:abstractNumId w:val="5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93"/>
    <w:rsid w:val="00006AA2"/>
    <w:rsid w:val="00010426"/>
    <w:rsid w:val="00010D43"/>
    <w:rsid w:val="00020C35"/>
    <w:rsid w:val="00022DD6"/>
    <w:rsid w:val="00023BC3"/>
    <w:rsid w:val="00024392"/>
    <w:rsid w:val="00024989"/>
    <w:rsid w:val="00036ECB"/>
    <w:rsid w:val="000464C7"/>
    <w:rsid w:val="0005019E"/>
    <w:rsid w:val="000517F0"/>
    <w:rsid w:val="00052088"/>
    <w:rsid w:val="00060992"/>
    <w:rsid w:val="00061786"/>
    <w:rsid w:val="00064004"/>
    <w:rsid w:val="0007016A"/>
    <w:rsid w:val="000703AF"/>
    <w:rsid w:val="00073D1D"/>
    <w:rsid w:val="00077CC3"/>
    <w:rsid w:val="000829C7"/>
    <w:rsid w:val="00094609"/>
    <w:rsid w:val="00095E10"/>
    <w:rsid w:val="00096906"/>
    <w:rsid w:val="000A5D59"/>
    <w:rsid w:val="000B46E7"/>
    <w:rsid w:val="000B4934"/>
    <w:rsid w:val="000C2C9A"/>
    <w:rsid w:val="000C2E9C"/>
    <w:rsid w:val="000C668F"/>
    <w:rsid w:val="000C6795"/>
    <w:rsid w:val="000D6FCB"/>
    <w:rsid w:val="000E771A"/>
    <w:rsid w:val="000F2A95"/>
    <w:rsid w:val="000F5374"/>
    <w:rsid w:val="000F5554"/>
    <w:rsid w:val="000F7900"/>
    <w:rsid w:val="0010094F"/>
    <w:rsid w:val="00103630"/>
    <w:rsid w:val="00107DAF"/>
    <w:rsid w:val="00111FED"/>
    <w:rsid w:val="00112B0D"/>
    <w:rsid w:val="00122C40"/>
    <w:rsid w:val="00124CB6"/>
    <w:rsid w:val="00127D8C"/>
    <w:rsid w:val="001320B0"/>
    <w:rsid w:val="001323D0"/>
    <w:rsid w:val="00135DD0"/>
    <w:rsid w:val="001367B3"/>
    <w:rsid w:val="00140D59"/>
    <w:rsid w:val="00142224"/>
    <w:rsid w:val="00142A10"/>
    <w:rsid w:val="0014604B"/>
    <w:rsid w:val="00146AEB"/>
    <w:rsid w:val="00162E24"/>
    <w:rsid w:val="0016799F"/>
    <w:rsid w:val="00173BBF"/>
    <w:rsid w:val="00193A3F"/>
    <w:rsid w:val="00195439"/>
    <w:rsid w:val="001A4008"/>
    <w:rsid w:val="001A48E4"/>
    <w:rsid w:val="001A5D3F"/>
    <w:rsid w:val="001A74D3"/>
    <w:rsid w:val="001B3376"/>
    <w:rsid w:val="001B692F"/>
    <w:rsid w:val="001C0429"/>
    <w:rsid w:val="001C1849"/>
    <w:rsid w:val="001C51F3"/>
    <w:rsid w:val="001C6A8F"/>
    <w:rsid w:val="001D0377"/>
    <w:rsid w:val="001D3DDF"/>
    <w:rsid w:val="001D4792"/>
    <w:rsid w:val="001D7807"/>
    <w:rsid w:val="001E40CE"/>
    <w:rsid w:val="001E5EFB"/>
    <w:rsid w:val="001F4285"/>
    <w:rsid w:val="001F5CFE"/>
    <w:rsid w:val="00204344"/>
    <w:rsid w:val="002128E5"/>
    <w:rsid w:val="0022095A"/>
    <w:rsid w:val="00225860"/>
    <w:rsid w:val="002340F8"/>
    <w:rsid w:val="002409E5"/>
    <w:rsid w:val="002413E3"/>
    <w:rsid w:val="00241E02"/>
    <w:rsid w:val="00247D20"/>
    <w:rsid w:val="00252917"/>
    <w:rsid w:val="00253D34"/>
    <w:rsid w:val="00256EC7"/>
    <w:rsid w:val="002606AA"/>
    <w:rsid w:val="002664F4"/>
    <w:rsid w:val="00270818"/>
    <w:rsid w:val="002723EB"/>
    <w:rsid w:val="002725E5"/>
    <w:rsid w:val="002837DA"/>
    <w:rsid w:val="00286AFC"/>
    <w:rsid w:val="0029043A"/>
    <w:rsid w:val="0029049B"/>
    <w:rsid w:val="002A48C9"/>
    <w:rsid w:val="002B1B53"/>
    <w:rsid w:val="002B3BC1"/>
    <w:rsid w:val="002B5FC1"/>
    <w:rsid w:val="002C10C4"/>
    <w:rsid w:val="002C2075"/>
    <w:rsid w:val="002D2E0A"/>
    <w:rsid w:val="002D69C4"/>
    <w:rsid w:val="002D7110"/>
    <w:rsid w:val="002E16A0"/>
    <w:rsid w:val="002E6471"/>
    <w:rsid w:val="002F0410"/>
    <w:rsid w:val="00315AC1"/>
    <w:rsid w:val="003229E7"/>
    <w:rsid w:val="0033053C"/>
    <w:rsid w:val="00332B66"/>
    <w:rsid w:val="003338D1"/>
    <w:rsid w:val="00336B59"/>
    <w:rsid w:val="003449A6"/>
    <w:rsid w:val="00345739"/>
    <w:rsid w:val="00351624"/>
    <w:rsid w:val="003567BF"/>
    <w:rsid w:val="003617DF"/>
    <w:rsid w:val="00363F7B"/>
    <w:rsid w:val="00365078"/>
    <w:rsid w:val="00367451"/>
    <w:rsid w:val="00371269"/>
    <w:rsid w:val="0037743E"/>
    <w:rsid w:val="00380CA9"/>
    <w:rsid w:val="003810DE"/>
    <w:rsid w:val="00383702"/>
    <w:rsid w:val="00392533"/>
    <w:rsid w:val="003A104C"/>
    <w:rsid w:val="003A3F1B"/>
    <w:rsid w:val="003A606A"/>
    <w:rsid w:val="003A6B35"/>
    <w:rsid w:val="003A7DC8"/>
    <w:rsid w:val="003B2515"/>
    <w:rsid w:val="003B2CAD"/>
    <w:rsid w:val="003B4BD7"/>
    <w:rsid w:val="003D4BC1"/>
    <w:rsid w:val="003D642B"/>
    <w:rsid w:val="003D713A"/>
    <w:rsid w:val="003E4E4A"/>
    <w:rsid w:val="003E4E8F"/>
    <w:rsid w:val="003E7C8C"/>
    <w:rsid w:val="003F0EC0"/>
    <w:rsid w:val="003F1557"/>
    <w:rsid w:val="003F2247"/>
    <w:rsid w:val="004010A3"/>
    <w:rsid w:val="00402EE1"/>
    <w:rsid w:val="00407CE0"/>
    <w:rsid w:val="00414C24"/>
    <w:rsid w:val="0041547A"/>
    <w:rsid w:val="004207E3"/>
    <w:rsid w:val="00421AA7"/>
    <w:rsid w:val="004308A6"/>
    <w:rsid w:val="00430F83"/>
    <w:rsid w:val="004328E1"/>
    <w:rsid w:val="00435C62"/>
    <w:rsid w:val="004434C8"/>
    <w:rsid w:val="004533C1"/>
    <w:rsid w:val="0046571F"/>
    <w:rsid w:val="004703EA"/>
    <w:rsid w:val="0047205B"/>
    <w:rsid w:val="00474596"/>
    <w:rsid w:val="004759C5"/>
    <w:rsid w:val="00476A13"/>
    <w:rsid w:val="00476F3F"/>
    <w:rsid w:val="00477129"/>
    <w:rsid w:val="00480325"/>
    <w:rsid w:val="0048196C"/>
    <w:rsid w:val="00481971"/>
    <w:rsid w:val="00487476"/>
    <w:rsid w:val="0048799C"/>
    <w:rsid w:val="004909E9"/>
    <w:rsid w:val="00492484"/>
    <w:rsid w:val="00495FC6"/>
    <w:rsid w:val="004A5CF0"/>
    <w:rsid w:val="004B17FE"/>
    <w:rsid w:val="004B445A"/>
    <w:rsid w:val="004B5087"/>
    <w:rsid w:val="004B5FE7"/>
    <w:rsid w:val="004C3B41"/>
    <w:rsid w:val="004C5636"/>
    <w:rsid w:val="004C659E"/>
    <w:rsid w:val="004C7797"/>
    <w:rsid w:val="004D5D43"/>
    <w:rsid w:val="004F3B1B"/>
    <w:rsid w:val="004F43C3"/>
    <w:rsid w:val="00500AFE"/>
    <w:rsid w:val="00500C77"/>
    <w:rsid w:val="00500F34"/>
    <w:rsid w:val="00511BD2"/>
    <w:rsid w:val="00515372"/>
    <w:rsid w:val="00523C50"/>
    <w:rsid w:val="005301A7"/>
    <w:rsid w:val="00534C89"/>
    <w:rsid w:val="00535D01"/>
    <w:rsid w:val="00536CCA"/>
    <w:rsid w:val="00536DED"/>
    <w:rsid w:val="00540EA0"/>
    <w:rsid w:val="005443A9"/>
    <w:rsid w:val="00544FAD"/>
    <w:rsid w:val="00555043"/>
    <w:rsid w:val="00565087"/>
    <w:rsid w:val="00565E28"/>
    <w:rsid w:val="00566C24"/>
    <w:rsid w:val="00567E71"/>
    <w:rsid w:val="00572747"/>
    <w:rsid w:val="0057705E"/>
    <w:rsid w:val="00586DE7"/>
    <w:rsid w:val="0058733C"/>
    <w:rsid w:val="005941DA"/>
    <w:rsid w:val="005A09E7"/>
    <w:rsid w:val="005A32E2"/>
    <w:rsid w:val="005A4982"/>
    <w:rsid w:val="005B257B"/>
    <w:rsid w:val="005B355A"/>
    <w:rsid w:val="005B3EE5"/>
    <w:rsid w:val="005B6EC0"/>
    <w:rsid w:val="005C6B5E"/>
    <w:rsid w:val="005D2CB6"/>
    <w:rsid w:val="005D3FE2"/>
    <w:rsid w:val="005D4822"/>
    <w:rsid w:val="005D4D97"/>
    <w:rsid w:val="005D7F58"/>
    <w:rsid w:val="005E11C3"/>
    <w:rsid w:val="005E62A2"/>
    <w:rsid w:val="005E70D9"/>
    <w:rsid w:val="005F1F72"/>
    <w:rsid w:val="005F4074"/>
    <w:rsid w:val="005F5EAC"/>
    <w:rsid w:val="006064C3"/>
    <w:rsid w:val="00612665"/>
    <w:rsid w:val="00615527"/>
    <w:rsid w:val="0061628D"/>
    <w:rsid w:val="00616F44"/>
    <w:rsid w:val="006249D1"/>
    <w:rsid w:val="00630D2B"/>
    <w:rsid w:val="006316D3"/>
    <w:rsid w:val="006328C7"/>
    <w:rsid w:val="006347C0"/>
    <w:rsid w:val="00636D99"/>
    <w:rsid w:val="006375AA"/>
    <w:rsid w:val="00641868"/>
    <w:rsid w:val="006423FC"/>
    <w:rsid w:val="00646C4D"/>
    <w:rsid w:val="0065066D"/>
    <w:rsid w:val="006542E1"/>
    <w:rsid w:val="00654E3B"/>
    <w:rsid w:val="00662E12"/>
    <w:rsid w:val="00666651"/>
    <w:rsid w:val="0066738E"/>
    <w:rsid w:val="00671FB0"/>
    <w:rsid w:val="00674DCC"/>
    <w:rsid w:val="006768D0"/>
    <w:rsid w:val="006774C8"/>
    <w:rsid w:val="00686AFF"/>
    <w:rsid w:val="006957CB"/>
    <w:rsid w:val="00697D3E"/>
    <w:rsid w:val="006B0525"/>
    <w:rsid w:val="006B3F3B"/>
    <w:rsid w:val="006C09E4"/>
    <w:rsid w:val="006C1489"/>
    <w:rsid w:val="006C44E2"/>
    <w:rsid w:val="006C62B1"/>
    <w:rsid w:val="006C7329"/>
    <w:rsid w:val="006D0890"/>
    <w:rsid w:val="006D0D7F"/>
    <w:rsid w:val="006D1000"/>
    <w:rsid w:val="006D11DD"/>
    <w:rsid w:val="006D512D"/>
    <w:rsid w:val="006D58F4"/>
    <w:rsid w:val="006D7577"/>
    <w:rsid w:val="006E47A5"/>
    <w:rsid w:val="006E7EAD"/>
    <w:rsid w:val="006F1C3F"/>
    <w:rsid w:val="006F522B"/>
    <w:rsid w:val="006F55AE"/>
    <w:rsid w:val="006F603D"/>
    <w:rsid w:val="006F7661"/>
    <w:rsid w:val="00701038"/>
    <w:rsid w:val="0071178B"/>
    <w:rsid w:val="00714680"/>
    <w:rsid w:val="00714741"/>
    <w:rsid w:val="00715FD3"/>
    <w:rsid w:val="00724E93"/>
    <w:rsid w:val="0072615A"/>
    <w:rsid w:val="00726324"/>
    <w:rsid w:val="00737AFA"/>
    <w:rsid w:val="00743E58"/>
    <w:rsid w:val="0075068E"/>
    <w:rsid w:val="00755607"/>
    <w:rsid w:val="00756CA8"/>
    <w:rsid w:val="00757219"/>
    <w:rsid w:val="0076137C"/>
    <w:rsid w:val="00775490"/>
    <w:rsid w:val="00777EC2"/>
    <w:rsid w:val="00781BDB"/>
    <w:rsid w:val="007854AC"/>
    <w:rsid w:val="007857C2"/>
    <w:rsid w:val="00786EA7"/>
    <w:rsid w:val="00792758"/>
    <w:rsid w:val="00794618"/>
    <w:rsid w:val="0079744F"/>
    <w:rsid w:val="007B2538"/>
    <w:rsid w:val="007B5692"/>
    <w:rsid w:val="007B7EF1"/>
    <w:rsid w:val="007C1C68"/>
    <w:rsid w:val="007D4A93"/>
    <w:rsid w:val="007D4FCC"/>
    <w:rsid w:val="007D716D"/>
    <w:rsid w:val="007E0AD0"/>
    <w:rsid w:val="007E2370"/>
    <w:rsid w:val="007F0600"/>
    <w:rsid w:val="007F238F"/>
    <w:rsid w:val="007F42B8"/>
    <w:rsid w:val="0080064F"/>
    <w:rsid w:val="00801DB0"/>
    <w:rsid w:val="008061C6"/>
    <w:rsid w:val="00807983"/>
    <w:rsid w:val="0081293A"/>
    <w:rsid w:val="00812C4B"/>
    <w:rsid w:val="0081442D"/>
    <w:rsid w:val="008153C1"/>
    <w:rsid w:val="008165CF"/>
    <w:rsid w:val="00827D0A"/>
    <w:rsid w:val="008300DC"/>
    <w:rsid w:val="00832EE3"/>
    <w:rsid w:val="008467D5"/>
    <w:rsid w:val="00863CF6"/>
    <w:rsid w:val="00867971"/>
    <w:rsid w:val="00875F9C"/>
    <w:rsid w:val="008838A8"/>
    <w:rsid w:val="008A0AA8"/>
    <w:rsid w:val="008A15FF"/>
    <w:rsid w:val="008A3C52"/>
    <w:rsid w:val="008B0313"/>
    <w:rsid w:val="008B4FE1"/>
    <w:rsid w:val="008C6396"/>
    <w:rsid w:val="008C67A5"/>
    <w:rsid w:val="008C7C37"/>
    <w:rsid w:val="008D05DD"/>
    <w:rsid w:val="008D071F"/>
    <w:rsid w:val="008D2392"/>
    <w:rsid w:val="008D54E3"/>
    <w:rsid w:val="008D7D1F"/>
    <w:rsid w:val="008E08A9"/>
    <w:rsid w:val="008E2244"/>
    <w:rsid w:val="008E3717"/>
    <w:rsid w:val="008E6808"/>
    <w:rsid w:val="008F5195"/>
    <w:rsid w:val="008F7C47"/>
    <w:rsid w:val="00903B20"/>
    <w:rsid w:val="009059EA"/>
    <w:rsid w:val="00907BA1"/>
    <w:rsid w:val="00910E0C"/>
    <w:rsid w:val="00911A49"/>
    <w:rsid w:val="00913819"/>
    <w:rsid w:val="009160C6"/>
    <w:rsid w:val="00931F22"/>
    <w:rsid w:val="00944360"/>
    <w:rsid w:val="00947B9F"/>
    <w:rsid w:val="00952A53"/>
    <w:rsid w:val="00953BED"/>
    <w:rsid w:val="009600FB"/>
    <w:rsid w:val="00966DD3"/>
    <w:rsid w:val="009711C3"/>
    <w:rsid w:val="0097190B"/>
    <w:rsid w:val="00972BC4"/>
    <w:rsid w:val="009823B2"/>
    <w:rsid w:val="0098287C"/>
    <w:rsid w:val="00982D90"/>
    <w:rsid w:val="0099480C"/>
    <w:rsid w:val="00995393"/>
    <w:rsid w:val="009A36D5"/>
    <w:rsid w:val="009A69B5"/>
    <w:rsid w:val="009B266E"/>
    <w:rsid w:val="009B28FE"/>
    <w:rsid w:val="009B3927"/>
    <w:rsid w:val="009B6E92"/>
    <w:rsid w:val="009C1047"/>
    <w:rsid w:val="009C633C"/>
    <w:rsid w:val="009D1B4A"/>
    <w:rsid w:val="009D666D"/>
    <w:rsid w:val="009F6651"/>
    <w:rsid w:val="009F6712"/>
    <w:rsid w:val="009F6E6A"/>
    <w:rsid w:val="009F70A3"/>
    <w:rsid w:val="00A01B59"/>
    <w:rsid w:val="00A06221"/>
    <w:rsid w:val="00A10717"/>
    <w:rsid w:val="00A10CCE"/>
    <w:rsid w:val="00A1506E"/>
    <w:rsid w:val="00A21984"/>
    <w:rsid w:val="00A21DCF"/>
    <w:rsid w:val="00A273BE"/>
    <w:rsid w:val="00A33256"/>
    <w:rsid w:val="00A40AA0"/>
    <w:rsid w:val="00A50241"/>
    <w:rsid w:val="00A517AA"/>
    <w:rsid w:val="00A55E2E"/>
    <w:rsid w:val="00A57321"/>
    <w:rsid w:val="00A615A3"/>
    <w:rsid w:val="00A62CB2"/>
    <w:rsid w:val="00A637C8"/>
    <w:rsid w:val="00A70575"/>
    <w:rsid w:val="00A73C7F"/>
    <w:rsid w:val="00A74617"/>
    <w:rsid w:val="00A840AB"/>
    <w:rsid w:val="00A85897"/>
    <w:rsid w:val="00A91D59"/>
    <w:rsid w:val="00A92E6E"/>
    <w:rsid w:val="00A9370E"/>
    <w:rsid w:val="00A9576B"/>
    <w:rsid w:val="00AA3F8B"/>
    <w:rsid w:val="00AA755C"/>
    <w:rsid w:val="00AB3E65"/>
    <w:rsid w:val="00AB40C9"/>
    <w:rsid w:val="00AC6260"/>
    <w:rsid w:val="00AC6410"/>
    <w:rsid w:val="00AC7866"/>
    <w:rsid w:val="00AD07F3"/>
    <w:rsid w:val="00AD0F53"/>
    <w:rsid w:val="00AD2DF6"/>
    <w:rsid w:val="00AD504A"/>
    <w:rsid w:val="00AD591C"/>
    <w:rsid w:val="00AE1AB0"/>
    <w:rsid w:val="00AE3D84"/>
    <w:rsid w:val="00AE3F12"/>
    <w:rsid w:val="00AE6A25"/>
    <w:rsid w:val="00AF1C97"/>
    <w:rsid w:val="00B02930"/>
    <w:rsid w:val="00B06010"/>
    <w:rsid w:val="00B06316"/>
    <w:rsid w:val="00B2469E"/>
    <w:rsid w:val="00B277DE"/>
    <w:rsid w:val="00B31438"/>
    <w:rsid w:val="00B330AE"/>
    <w:rsid w:val="00B34C1F"/>
    <w:rsid w:val="00B356F6"/>
    <w:rsid w:val="00B36701"/>
    <w:rsid w:val="00B36E78"/>
    <w:rsid w:val="00B40652"/>
    <w:rsid w:val="00B47071"/>
    <w:rsid w:val="00B50AE6"/>
    <w:rsid w:val="00B56CB1"/>
    <w:rsid w:val="00B61F0C"/>
    <w:rsid w:val="00B634F3"/>
    <w:rsid w:val="00B638E0"/>
    <w:rsid w:val="00B64585"/>
    <w:rsid w:val="00B64939"/>
    <w:rsid w:val="00B71E69"/>
    <w:rsid w:val="00B741D1"/>
    <w:rsid w:val="00B75C13"/>
    <w:rsid w:val="00B75C99"/>
    <w:rsid w:val="00B83178"/>
    <w:rsid w:val="00B90083"/>
    <w:rsid w:val="00B9204A"/>
    <w:rsid w:val="00B92F63"/>
    <w:rsid w:val="00B95C69"/>
    <w:rsid w:val="00B95D09"/>
    <w:rsid w:val="00B96CF1"/>
    <w:rsid w:val="00B97A5B"/>
    <w:rsid w:val="00BA2FC9"/>
    <w:rsid w:val="00BA35C4"/>
    <w:rsid w:val="00BA731E"/>
    <w:rsid w:val="00BB2664"/>
    <w:rsid w:val="00BB4567"/>
    <w:rsid w:val="00BB5DB6"/>
    <w:rsid w:val="00BC081B"/>
    <w:rsid w:val="00BD3784"/>
    <w:rsid w:val="00BD4CFF"/>
    <w:rsid w:val="00BE062F"/>
    <w:rsid w:val="00BE5597"/>
    <w:rsid w:val="00BE6D78"/>
    <w:rsid w:val="00BF1A86"/>
    <w:rsid w:val="00BF3A2A"/>
    <w:rsid w:val="00BF4CA8"/>
    <w:rsid w:val="00C04ECB"/>
    <w:rsid w:val="00C05AE6"/>
    <w:rsid w:val="00C05B00"/>
    <w:rsid w:val="00C0745C"/>
    <w:rsid w:val="00C10A4B"/>
    <w:rsid w:val="00C16D4C"/>
    <w:rsid w:val="00C16DE3"/>
    <w:rsid w:val="00C17167"/>
    <w:rsid w:val="00C20E02"/>
    <w:rsid w:val="00C25D65"/>
    <w:rsid w:val="00C26392"/>
    <w:rsid w:val="00C30C41"/>
    <w:rsid w:val="00C31465"/>
    <w:rsid w:val="00C340A5"/>
    <w:rsid w:val="00C41AA2"/>
    <w:rsid w:val="00C4656C"/>
    <w:rsid w:val="00C4686D"/>
    <w:rsid w:val="00C46875"/>
    <w:rsid w:val="00C47A72"/>
    <w:rsid w:val="00C47BBA"/>
    <w:rsid w:val="00C47EA6"/>
    <w:rsid w:val="00C52F70"/>
    <w:rsid w:val="00C56B2D"/>
    <w:rsid w:val="00C62974"/>
    <w:rsid w:val="00C64641"/>
    <w:rsid w:val="00C64CC8"/>
    <w:rsid w:val="00C67312"/>
    <w:rsid w:val="00C75AF5"/>
    <w:rsid w:val="00C765B0"/>
    <w:rsid w:val="00C773FB"/>
    <w:rsid w:val="00C84D39"/>
    <w:rsid w:val="00C858B2"/>
    <w:rsid w:val="00C867A6"/>
    <w:rsid w:val="00C87400"/>
    <w:rsid w:val="00C90B04"/>
    <w:rsid w:val="00C93551"/>
    <w:rsid w:val="00CA5433"/>
    <w:rsid w:val="00CA662D"/>
    <w:rsid w:val="00CB1D8E"/>
    <w:rsid w:val="00CB4E40"/>
    <w:rsid w:val="00CC6349"/>
    <w:rsid w:val="00CC70F4"/>
    <w:rsid w:val="00CD0745"/>
    <w:rsid w:val="00CD4778"/>
    <w:rsid w:val="00CE3434"/>
    <w:rsid w:val="00CE4C52"/>
    <w:rsid w:val="00CF3E6D"/>
    <w:rsid w:val="00CF5E00"/>
    <w:rsid w:val="00CF6205"/>
    <w:rsid w:val="00D01148"/>
    <w:rsid w:val="00D063C6"/>
    <w:rsid w:val="00D13CE4"/>
    <w:rsid w:val="00D15819"/>
    <w:rsid w:val="00D16130"/>
    <w:rsid w:val="00D17F7A"/>
    <w:rsid w:val="00D27803"/>
    <w:rsid w:val="00D37E23"/>
    <w:rsid w:val="00D415E5"/>
    <w:rsid w:val="00D50834"/>
    <w:rsid w:val="00D513E6"/>
    <w:rsid w:val="00D54E65"/>
    <w:rsid w:val="00D577C8"/>
    <w:rsid w:val="00D76967"/>
    <w:rsid w:val="00D83427"/>
    <w:rsid w:val="00D84124"/>
    <w:rsid w:val="00D86654"/>
    <w:rsid w:val="00D86A99"/>
    <w:rsid w:val="00D906B5"/>
    <w:rsid w:val="00D943F6"/>
    <w:rsid w:val="00D96CF9"/>
    <w:rsid w:val="00D96E1A"/>
    <w:rsid w:val="00DA2DA8"/>
    <w:rsid w:val="00DA6D78"/>
    <w:rsid w:val="00DB38AD"/>
    <w:rsid w:val="00DB61FC"/>
    <w:rsid w:val="00DC3C3C"/>
    <w:rsid w:val="00DC516B"/>
    <w:rsid w:val="00DD7858"/>
    <w:rsid w:val="00DE1C38"/>
    <w:rsid w:val="00DE41D8"/>
    <w:rsid w:val="00DE7437"/>
    <w:rsid w:val="00DE771D"/>
    <w:rsid w:val="00DF148F"/>
    <w:rsid w:val="00DF1513"/>
    <w:rsid w:val="00DF34E8"/>
    <w:rsid w:val="00DF3C10"/>
    <w:rsid w:val="00E00F6E"/>
    <w:rsid w:val="00E0306C"/>
    <w:rsid w:val="00E05540"/>
    <w:rsid w:val="00E11490"/>
    <w:rsid w:val="00E134FB"/>
    <w:rsid w:val="00E158B5"/>
    <w:rsid w:val="00E15BBD"/>
    <w:rsid w:val="00E15E39"/>
    <w:rsid w:val="00E228EE"/>
    <w:rsid w:val="00E22C18"/>
    <w:rsid w:val="00E30D44"/>
    <w:rsid w:val="00E31826"/>
    <w:rsid w:val="00E40588"/>
    <w:rsid w:val="00E479A2"/>
    <w:rsid w:val="00E523BF"/>
    <w:rsid w:val="00E5258E"/>
    <w:rsid w:val="00E56BCD"/>
    <w:rsid w:val="00E64058"/>
    <w:rsid w:val="00E65BBD"/>
    <w:rsid w:val="00E661FD"/>
    <w:rsid w:val="00E66453"/>
    <w:rsid w:val="00E66472"/>
    <w:rsid w:val="00E703C1"/>
    <w:rsid w:val="00E71777"/>
    <w:rsid w:val="00E73BF9"/>
    <w:rsid w:val="00E7765E"/>
    <w:rsid w:val="00E818B3"/>
    <w:rsid w:val="00E83AC3"/>
    <w:rsid w:val="00E901EB"/>
    <w:rsid w:val="00EA4207"/>
    <w:rsid w:val="00EA6247"/>
    <w:rsid w:val="00EB54EF"/>
    <w:rsid w:val="00EC67B3"/>
    <w:rsid w:val="00ED091A"/>
    <w:rsid w:val="00ED212A"/>
    <w:rsid w:val="00ED3446"/>
    <w:rsid w:val="00EE3970"/>
    <w:rsid w:val="00EE7011"/>
    <w:rsid w:val="00EE7359"/>
    <w:rsid w:val="00EE7A3B"/>
    <w:rsid w:val="00EF0BEB"/>
    <w:rsid w:val="00EF21FF"/>
    <w:rsid w:val="00EF64CD"/>
    <w:rsid w:val="00F01191"/>
    <w:rsid w:val="00F04C5D"/>
    <w:rsid w:val="00F11B9B"/>
    <w:rsid w:val="00F260DE"/>
    <w:rsid w:val="00F36C0E"/>
    <w:rsid w:val="00F42F48"/>
    <w:rsid w:val="00F454AB"/>
    <w:rsid w:val="00F46E9F"/>
    <w:rsid w:val="00F549A1"/>
    <w:rsid w:val="00F557A7"/>
    <w:rsid w:val="00F61577"/>
    <w:rsid w:val="00F626EF"/>
    <w:rsid w:val="00F62F22"/>
    <w:rsid w:val="00F6582E"/>
    <w:rsid w:val="00F711F4"/>
    <w:rsid w:val="00F7719D"/>
    <w:rsid w:val="00F776E4"/>
    <w:rsid w:val="00F86E3B"/>
    <w:rsid w:val="00F91775"/>
    <w:rsid w:val="00F9267F"/>
    <w:rsid w:val="00F93068"/>
    <w:rsid w:val="00FA3294"/>
    <w:rsid w:val="00FB45C0"/>
    <w:rsid w:val="00FB5416"/>
    <w:rsid w:val="00FB7319"/>
    <w:rsid w:val="00FC0189"/>
    <w:rsid w:val="00FC11A8"/>
    <w:rsid w:val="00FC239F"/>
    <w:rsid w:val="00FC43DC"/>
    <w:rsid w:val="00FC5E82"/>
    <w:rsid w:val="00FD0FB7"/>
    <w:rsid w:val="00FD4068"/>
    <w:rsid w:val="00FD65D8"/>
    <w:rsid w:val="00FE19D3"/>
    <w:rsid w:val="00FE3855"/>
    <w:rsid w:val="00FF2C71"/>
    <w:rsid w:val="00FF3472"/>
    <w:rsid w:val="00FF5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A05D7-B6DC-4072-9285-4549DAD9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r-H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191"/>
    <w:rPr>
      <w:rFonts w:ascii="Times New Roman" w:hAnsi="Times New Roman"/>
    </w:rPr>
  </w:style>
  <w:style w:type="paragraph" w:styleId="Heading1">
    <w:name w:val="heading 1"/>
    <w:basedOn w:val="Normal"/>
    <w:next w:val="Normal"/>
    <w:link w:val="Heading1Char"/>
    <w:uiPriority w:val="9"/>
    <w:qFormat/>
    <w:pPr>
      <w:keepNext/>
      <w:keepLines/>
      <w:spacing w:before="320" w:after="40"/>
      <w:outlineLvl w:val="0"/>
    </w:pPr>
    <w:rPr>
      <w:rFonts w:ascii="Calibri Light" w:eastAsia="Calibri Light" w:hAnsi="Calibri Light" w:cs="Calibri Light"/>
      <w:b/>
      <w:bCs/>
      <w:caps/>
      <w:spacing w:val="4"/>
      <w:sz w:val="28"/>
      <w:szCs w:val="28"/>
    </w:rPr>
  </w:style>
  <w:style w:type="paragraph" w:styleId="Heading2">
    <w:name w:val="heading 2"/>
    <w:basedOn w:val="Normal"/>
    <w:next w:val="Normal"/>
    <w:link w:val="Heading2Char"/>
    <w:uiPriority w:val="9"/>
    <w:unhideWhenUsed/>
    <w:qFormat/>
    <w:pPr>
      <w:keepNext/>
      <w:keepLines/>
      <w:spacing w:before="120" w:after="0"/>
      <w:outlineLvl w:val="1"/>
    </w:pPr>
    <w:rPr>
      <w:rFonts w:ascii="Calibri Light" w:eastAsia="Calibri Light" w:hAnsi="Calibri Light" w:cs="Calibri Light"/>
      <w:b/>
      <w:bCs/>
      <w:sz w:val="28"/>
      <w:szCs w:val="28"/>
    </w:rPr>
  </w:style>
  <w:style w:type="paragraph" w:styleId="Heading3">
    <w:name w:val="heading 3"/>
    <w:basedOn w:val="Normal"/>
    <w:next w:val="Normal"/>
    <w:link w:val="Heading3Char"/>
    <w:uiPriority w:val="9"/>
    <w:unhideWhenUsed/>
    <w:qFormat/>
    <w:rsid w:val="009F6651"/>
    <w:pPr>
      <w:keepNext/>
      <w:keepLines/>
      <w:spacing w:before="120" w:after="0"/>
      <w:outlineLvl w:val="2"/>
    </w:pPr>
    <w:rPr>
      <w:rFonts w:eastAsia="Calibri Light" w:cs="Times New Roman"/>
      <w:spacing w:val="4"/>
      <w:sz w:val="24"/>
      <w:szCs w:val="24"/>
    </w:rPr>
  </w:style>
  <w:style w:type="paragraph" w:styleId="Heading4">
    <w:name w:val="heading 4"/>
    <w:basedOn w:val="Normal"/>
    <w:next w:val="Normal"/>
    <w:link w:val="Heading4Char"/>
    <w:uiPriority w:val="9"/>
    <w:unhideWhenUsed/>
    <w:qFormat/>
    <w:pPr>
      <w:keepNext/>
      <w:keepLines/>
      <w:spacing w:before="120" w:after="0"/>
      <w:outlineLvl w:val="3"/>
    </w:pPr>
    <w:rPr>
      <w:rFonts w:ascii="Calibri Light" w:eastAsia="Calibri Light" w:hAnsi="Calibri Light" w:cs="Calibri Light"/>
      <w:i/>
      <w:iCs/>
      <w:sz w:val="24"/>
      <w:szCs w:val="24"/>
    </w:rPr>
  </w:style>
  <w:style w:type="paragraph" w:styleId="Heading5">
    <w:name w:val="heading 5"/>
    <w:basedOn w:val="Normal"/>
    <w:next w:val="Normal"/>
    <w:link w:val="Heading5Char"/>
    <w:uiPriority w:val="9"/>
    <w:unhideWhenUsed/>
    <w:qFormat/>
    <w:pPr>
      <w:keepNext/>
      <w:keepLines/>
      <w:spacing w:before="120" w:after="0"/>
      <w:outlineLvl w:val="4"/>
    </w:pPr>
    <w:rPr>
      <w:rFonts w:ascii="Calibri Light" w:eastAsia="Calibri Light" w:hAnsi="Calibri Light" w:cs="Calibri Light"/>
      <w:b/>
      <w:bCs/>
    </w:rPr>
  </w:style>
  <w:style w:type="paragraph" w:styleId="Heading6">
    <w:name w:val="heading 6"/>
    <w:basedOn w:val="Normal"/>
    <w:next w:val="Normal"/>
    <w:link w:val="Heading6Char"/>
    <w:uiPriority w:val="9"/>
    <w:unhideWhenUsed/>
    <w:qFormat/>
    <w:pPr>
      <w:keepNext/>
      <w:keepLines/>
      <w:spacing w:before="120" w:after="0"/>
      <w:outlineLvl w:val="5"/>
    </w:pPr>
    <w:rPr>
      <w:rFonts w:ascii="Calibri Light" w:eastAsia="Calibri Light" w:hAnsi="Calibri Light" w:cs="Calibri Light"/>
      <w:b/>
      <w:bCs/>
      <w:i/>
      <w:iCs/>
    </w:rPr>
  </w:style>
  <w:style w:type="paragraph" w:styleId="Heading7">
    <w:name w:val="heading 7"/>
    <w:basedOn w:val="Normal"/>
    <w:next w:val="Normal"/>
    <w:link w:val="Heading7Char"/>
    <w:uiPriority w:val="9"/>
    <w:unhideWhenUsed/>
    <w:qFormat/>
    <w:pPr>
      <w:keepNext/>
      <w:keepLines/>
      <w:spacing w:before="120" w:after="0"/>
      <w:outlineLvl w:val="6"/>
    </w:pPr>
    <w:rPr>
      <w:i/>
      <w:iCs/>
    </w:rPr>
  </w:style>
  <w:style w:type="paragraph" w:styleId="Heading8">
    <w:name w:val="heading 8"/>
    <w:basedOn w:val="Normal"/>
    <w:next w:val="Normal"/>
    <w:link w:val="Heading8Char"/>
    <w:uiPriority w:val="9"/>
    <w:unhideWhenUsed/>
    <w:qFormat/>
    <w:pPr>
      <w:keepNext/>
      <w:keepLines/>
      <w:spacing w:before="120" w:after="0"/>
      <w:outlineLvl w:val="7"/>
    </w:pPr>
    <w:rPr>
      <w:b/>
      <w:bCs/>
    </w:rPr>
  </w:style>
  <w:style w:type="paragraph" w:styleId="Heading9">
    <w:name w:val="heading 9"/>
    <w:basedOn w:val="Normal"/>
    <w:next w:val="Normal"/>
    <w:link w:val="Heading9Char"/>
    <w:uiPriority w:val="9"/>
    <w:unhideWhenUsed/>
    <w:qFormat/>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customStyle="1" w:styleId="Naslov1">
    <w:name w:val="Naslov1"/>
    <w:next w:val="Normal"/>
    <w:uiPriority w:val="99"/>
    <w:rPr>
      <w:rFonts w:eastAsia="Calibri Light" w:cs="Calibri Light"/>
      <w:color w:val="003C71"/>
      <w:sz w:val="40"/>
      <w:szCs w:val="32"/>
    </w:rPr>
  </w:style>
  <w:style w:type="character" w:customStyle="1" w:styleId="Heading1Char">
    <w:name w:val="Heading 1 Char"/>
    <w:basedOn w:val="DefaultParagraphFont"/>
    <w:link w:val="Heading1"/>
    <w:uiPriority w:val="9"/>
    <w:rPr>
      <w:rFonts w:ascii="Calibri Light" w:eastAsia="Calibri Light" w:hAnsi="Calibri Light" w:cs="Calibri Light"/>
      <w:b/>
      <w:bCs/>
      <w:caps/>
      <w:spacing w:val="4"/>
      <w:sz w:val="28"/>
      <w:szCs w:val="28"/>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rPr>
      <w:sz w:val="18"/>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hemeColor="background1"/>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E2F3"/>
      </w:tcPr>
    </w:tblStylePr>
  </w:style>
  <w:style w:type="paragraph" w:styleId="ListParagraph">
    <w:name w:val="List Paragraph"/>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rPr>
      <w:rFonts w:ascii="Calibri Light" w:eastAsia="Calibri Light" w:hAnsi="Calibri Light" w:cs="Calibri Light"/>
      <w:b/>
      <w:bCs/>
      <w:sz w:val="28"/>
      <w:szCs w:val="28"/>
    </w:rPr>
  </w:style>
  <w:style w:type="paragraph" w:customStyle="1" w:styleId="Tablicanaslov">
    <w:name w:val="Tablica_naslov"/>
    <w:basedOn w:val="Normal"/>
    <w:uiPriority w:val="99"/>
    <w:pPr>
      <w:ind w:left="794" w:hanging="794"/>
    </w:pPr>
    <w:rPr>
      <w:rFonts w:cs="Segoe UI"/>
      <w:sz w:val="18"/>
      <w:szCs w:val="18"/>
    </w:rPr>
  </w:style>
  <w:style w:type="paragraph" w:styleId="BalloonText">
    <w:name w:val="Balloon Text"/>
    <w:basedOn w:val="Normal"/>
    <w:link w:val="BalloonTextChar"/>
    <w:uiPriority w:val="99"/>
    <w:unhideWhenUsed/>
    <w:rPr>
      <w:rFonts w:cs="Segoe UI"/>
      <w:sz w:val="18"/>
      <w:szCs w:val="18"/>
    </w:rPr>
  </w:style>
  <w:style w:type="character" w:customStyle="1" w:styleId="BalloonTextChar">
    <w:name w:val="Balloon Text Char"/>
    <w:basedOn w:val="DefaultParagraphFont"/>
    <w:link w:val="BalloonText"/>
    <w:uiPriority w:val="99"/>
    <w:rPr>
      <w:rFonts w:eastAsia="Times New Roman" w:cs="Segoe UI"/>
      <w:sz w:val="18"/>
      <w:szCs w:val="18"/>
      <w:lang w:eastAsia="hr-HR"/>
    </w:rPr>
  </w:style>
  <w:style w:type="character" w:customStyle="1" w:styleId="Heading3Char">
    <w:name w:val="Heading 3 Char"/>
    <w:basedOn w:val="DefaultParagraphFont"/>
    <w:link w:val="Heading3"/>
    <w:uiPriority w:val="9"/>
    <w:rsid w:val="009F6651"/>
    <w:rPr>
      <w:rFonts w:ascii="Times New Roman" w:eastAsia="Calibri Light" w:hAnsi="Times New Roman" w:cs="Times New Roman"/>
      <w:spacing w:val="4"/>
      <w:sz w:val="24"/>
      <w:szCs w:val="24"/>
    </w:rPr>
  </w:style>
  <w:style w:type="character" w:customStyle="1" w:styleId="Heading4Char">
    <w:name w:val="Heading 4 Char"/>
    <w:basedOn w:val="DefaultParagraphFont"/>
    <w:link w:val="Heading4"/>
    <w:uiPriority w:val="9"/>
    <w:rPr>
      <w:rFonts w:ascii="Calibri Light" w:eastAsia="Calibri Light" w:hAnsi="Calibri Light" w:cs="Calibri Light"/>
      <w:i/>
      <w:iCs/>
      <w:sz w:val="24"/>
      <w:szCs w:val="24"/>
    </w:rPr>
  </w:style>
  <w:style w:type="character" w:customStyle="1" w:styleId="Heading5Char">
    <w:name w:val="Heading 5 Char"/>
    <w:basedOn w:val="DefaultParagraphFont"/>
    <w:link w:val="Heading5"/>
    <w:uiPriority w:val="9"/>
    <w:rPr>
      <w:rFonts w:ascii="Calibri Light" w:eastAsia="Calibri Light" w:hAnsi="Calibri Light" w:cs="Calibri Light"/>
      <w:b/>
      <w:bCs/>
    </w:rPr>
  </w:style>
  <w:style w:type="character" w:customStyle="1" w:styleId="Heading6Char">
    <w:name w:val="Heading 6 Char"/>
    <w:basedOn w:val="DefaultParagraphFont"/>
    <w:link w:val="Heading6"/>
    <w:uiPriority w:val="9"/>
    <w:rPr>
      <w:rFonts w:ascii="Calibri Light" w:eastAsia="Calibri Light" w:hAnsi="Calibri Light" w:cs="Calibri Light"/>
      <w:b/>
      <w:bCs/>
      <w:i/>
      <w:iCs/>
    </w:rPr>
  </w:style>
  <w:style w:type="character" w:customStyle="1" w:styleId="Heading7Char">
    <w:name w:val="Heading 7 Char"/>
    <w:basedOn w:val="DefaultParagraphFont"/>
    <w:link w:val="Heading7"/>
    <w:uiPriority w:val="9"/>
    <w:rPr>
      <w:i/>
      <w:iCs/>
    </w:rPr>
  </w:style>
  <w:style w:type="character" w:customStyle="1" w:styleId="Heading8Char">
    <w:name w:val="Heading 8 Char"/>
    <w:basedOn w:val="DefaultParagraphFont"/>
    <w:link w:val="Heading8"/>
    <w:uiPriority w:val="9"/>
    <w:rPr>
      <w:b/>
      <w:bCs/>
    </w:rPr>
  </w:style>
  <w:style w:type="character" w:customStyle="1" w:styleId="Heading9Char">
    <w:name w:val="Heading 9 Char"/>
    <w:basedOn w:val="DefaultParagraphFont"/>
    <w:link w:val="Heading9"/>
    <w:uiPriority w:val="9"/>
    <w:rPr>
      <w:i/>
      <w:iCs/>
    </w:rPr>
  </w:style>
  <w:style w:type="paragraph" w:customStyle="1" w:styleId="Naslov10">
    <w:name w:val="Naslov_1"/>
    <w:basedOn w:val="ListParagraph"/>
    <w:link w:val="Naslov1Char"/>
    <w:pPr>
      <w:spacing w:line="240" w:lineRule="auto"/>
      <w:jc w:val="left"/>
      <w:outlineLvl w:val="0"/>
    </w:pPr>
    <w:rPr>
      <w:rFonts w:cs="Times New Roman"/>
      <w:b/>
      <w:color w:val="2F5496" w:themeColor="accent5" w:themeShade="BF"/>
      <w:sz w:val="32"/>
    </w:rPr>
  </w:style>
  <w:style w:type="paragraph" w:customStyle="1" w:styleId="Naslov2">
    <w:name w:val="Naslov_2"/>
    <w:basedOn w:val="ListParagraph"/>
    <w:link w:val="Naslov2Char"/>
    <w:pPr>
      <w:keepNext/>
      <w:spacing w:before="120"/>
      <w:jc w:val="left"/>
      <w:outlineLvl w:val="1"/>
    </w:pPr>
    <w:rPr>
      <w:rFonts w:cs="Times New Roman"/>
      <w:b/>
      <w:sz w:val="28"/>
    </w:rPr>
  </w:style>
  <w:style w:type="character" w:customStyle="1" w:styleId="ListParagraphChar">
    <w:name w:val="List Paragraph Char"/>
    <w:basedOn w:val="DefaultParagraphFont"/>
    <w:link w:val="ListParagraph"/>
    <w:uiPriority w:val="34"/>
  </w:style>
  <w:style w:type="character" w:customStyle="1" w:styleId="Naslov1Char">
    <w:name w:val="Naslov_1 Char"/>
    <w:basedOn w:val="ListParagraphChar"/>
    <w:link w:val="Naslov10"/>
    <w:rPr>
      <w:rFonts w:ascii="Times New Roman" w:eastAsia="Times New Roman" w:hAnsi="Times New Roman" w:cs="Times New Roman"/>
      <w:b/>
      <w:color w:val="2F5496" w:themeColor="accent5" w:themeShade="BF"/>
      <w:sz w:val="32"/>
      <w:szCs w:val="24"/>
      <w:lang w:eastAsia="hr-HR"/>
    </w:rPr>
  </w:style>
  <w:style w:type="paragraph" w:customStyle="1" w:styleId="Naslov3">
    <w:name w:val="Naslov_3"/>
    <w:basedOn w:val="Naslov2"/>
    <w:link w:val="Naslov3Char"/>
    <w:pPr>
      <w:numPr>
        <w:ilvl w:val="2"/>
      </w:numPr>
      <w:ind w:left="851" w:hanging="851"/>
      <w:outlineLvl w:val="2"/>
    </w:pPr>
  </w:style>
  <w:style w:type="character" w:customStyle="1" w:styleId="Naslov2Char">
    <w:name w:val="Naslov_2 Char"/>
    <w:basedOn w:val="ListParagraphChar"/>
    <w:link w:val="Naslov2"/>
    <w:rPr>
      <w:rFonts w:ascii="Times New Roman" w:eastAsia="Times New Roman" w:hAnsi="Times New Roman" w:cs="Times New Roman"/>
      <w:b/>
      <w:color w:val="000000" w:themeColor="text1"/>
      <w:sz w:val="28"/>
      <w:szCs w:val="24"/>
      <w:lang w:eastAsia="hr-HR"/>
    </w:rPr>
  </w:style>
  <w:style w:type="paragraph" w:customStyle="1" w:styleId="Naslov40">
    <w:name w:val="Naslov_4"/>
    <w:basedOn w:val="ListParagraph"/>
    <w:link w:val="Naslov4Char"/>
    <w:pPr>
      <w:spacing w:line="240" w:lineRule="auto"/>
      <w:ind w:left="737" w:hanging="737"/>
      <w:outlineLvl w:val="3"/>
    </w:pPr>
    <w:rPr>
      <w:rFonts w:cs="Times New Roman"/>
      <w:b/>
      <w:sz w:val="28"/>
      <w:szCs w:val="28"/>
      <w:lang w:val="en-GB"/>
    </w:rPr>
  </w:style>
  <w:style w:type="character" w:customStyle="1" w:styleId="Naslov3Char">
    <w:name w:val="Naslov_3 Char"/>
    <w:basedOn w:val="ListParagraphChar"/>
    <w:link w:val="Naslov3"/>
    <w:rPr>
      <w:rFonts w:ascii="Times New Roman" w:eastAsia="Times New Roman" w:hAnsi="Times New Roman" w:cs="Times New Roman"/>
      <w:b/>
      <w:color w:val="000000" w:themeColor="text1"/>
      <w:sz w:val="28"/>
      <w:szCs w:val="24"/>
      <w:lang w:eastAsia="hr-HR"/>
    </w:r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4Char">
    <w:name w:val="Naslov_4 Char"/>
    <w:basedOn w:val="ListParagraphChar"/>
    <w:link w:val="Naslov40"/>
    <w:rPr>
      <w:rFonts w:ascii="Times New Roman" w:eastAsia="Times New Roman" w:hAnsi="Times New Roman" w:cs="Times New Roman"/>
      <w:b/>
      <w:color w:val="000000" w:themeColor="text1"/>
      <w:sz w:val="28"/>
      <w:szCs w:val="28"/>
      <w:lang w:val="en-GB" w:eastAsia="hr-HR"/>
    </w:rPr>
  </w:style>
  <w:style w:type="paragraph" w:styleId="FootnoteText">
    <w:name w:val="footnote text"/>
    <w:basedOn w:val="Normal"/>
    <w:link w:val="FootnoteTextChar"/>
    <w:uiPriority w:val="99"/>
    <w:unhideWhenUsed/>
    <w:pPr>
      <w:ind w:left="113" w:hanging="113"/>
    </w:pPr>
    <w:rPr>
      <w:sz w:val="18"/>
    </w:rPr>
  </w:style>
  <w:style w:type="table" w:customStyle="1" w:styleId="GridTable5Dark-Accent51">
    <w:name w:val="Grid Table 5 Dark - Accent 5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shd w:val="clear" w:color="auto" w:fill="003C7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eastAsia="Times New Roman" w:cs="Times New Roman"/>
      <w:szCs w:val="24"/>
      <w:lang w:eastAsia="hr-HR"/>
    </w:rPr>
  </w:style>
  <w:style w:type="paragraph" w:customStyle="1" w:styleId="Style6">
    <w:name w:val="Style6"/>
    <w:basedOn w:val="NormalWeb"/>
    <w:uiPriority w:val="99"/>
    <w:pPr>
      <w:spacing w:before="100" w:beforeAutospacing="1" w:after="100" w:afterAutospacing="1"/>
      <w:ind w:left="567"/>
    </w:pPr>
    <w:rPr>
      <w:rFonts w:ascii="Segoe UI" w:hAnsi="Segoe UI"/>
      <w:sz w:val="20"/>
    </w:rPr>
  </w:style>
  <w:style w:type="paragraph" w:styleId="NormalWeb">
    <w:name w:val="Normal (Web)"/>
    <w:basedOn w:val="Normal"/>
    <w:link w:val="NormalWebChar"/>
    <w:uiPriority w:val="99"/>
    <w:unhideWhenUsed/>
  </w:style>
  <w:style w:type="paragraph" w:styleId="TOCHeading">
    <w:name w:val="TOC Heading"/>
    <w:basedOn w:val="Heading1"/>
    <w:next w:val="Normal"/>
    <w:uiPriority w:val="39"/>
    <w:unhideWhenUsed/>
    <w:qFormat/>
    <w:pPr>
      <w:outlineLvl w:val="9"/>
    </w:pPr>
  </w:style>
  <w:style w:type="paragraph" w:styleId="TOC9">
    <w:name w:val="toc 9"/>
    <w:basedOn w:val="Normal"/>
    <w:next w:val="Normal"/>
    <w:uiPriority w:val="39"/>
    <w:unhideWhenUsed/>
    <w:pPr>
      <w:spacing w:after="100"/>
      <w:ind w:left="1600"/>
    </w:pPr>
  </w:style>
  <w:style w:type="paragraph" w:styleId="TOC2">
    <w:name w:val="toc 2"/>
    <w:basedOn w:val="Normal"/>
    <w:next w:val="Normal"/>
    <w:uiPriority w:val="39"/>
    <w:unhideWhenUsed/>
    <w:pPr>
      <w:tabs>
        <w:tab w:val="right" w:leader="dot" w:pos="9062"/>
      </w:tabs>
      <w:spacing w:after="100" w:line="259" w:lineRule="auto"/>
      <w:ind w:left="618" w:right="567" w:hanging="397"/>
    </w:pPr>
    <w:rPr>
      <w:lang w:val="en-US"/>
    </w:rPr>
  </w:style>
  <w:style w:type="paragraph" w:styleId="TOC1">
    <w:name w:val="toc 1"/>
    <w:basedOn w:val="Normal"/>
    <w:next w:val="Normal"/>
    <w:uiPriority w:val="39"/>
    <w:unhideWhenUsed/>
    <w:pPr>
      <w:spacing w:after="100" w:line="259" w:lineRule="auto"/>
      <w:ind w:left="340" w:right="-2" w:hanging="340"/>
      <w:jc w:val="left"/>
    </w:pPr>
    <w:rPr>
      <w:szCs w:val="40"/>
      <w:lang w:val="en-US"/>
    </w:rPr>
  </w:style>
  <w:style w:type="paragraph" w:styleId="TOC3">
    <w:name w:val="toc 3"/>
    <w:basedOn w:val="Normal"/>
    <w:next w:val="Normal"/>
    <w:uiPriority w:val="39"/>
    <w:unhideWhenUsed/>
    <w:pPr>
      <w:tabs>
        <w:tab w:val="right" w:leader="dot" w:pos="9062"/>
      </w:tabs>
      <w:spacing w:after="100" w:line="259" w:lineRule="auto"/>
      <w:ind w:left="1128" w:right="567" w:hanging="510"/>
    </w:pPr>
    <w:rPr>
      <w:lang w:val="en-US"/>
    </w:rPr>
  </w:style>
  <w:style w:type="paragraph" w:customStyle="1" w:styleId="sadrzaj">
    <w:name w:val="sadrzaj"/>
    <w:basedOn w:val="Normal"/>
    <w:next w:val="TOC1"/>
    <w:uiPriority w:val="99"/>
  </w:style>
  <w:style w:type="paragraph" w:styleId="TOC8">
    <w:name w:val="toc 8"/>
    <w:basedOn w:val="Normal"/>
    <w:next w:val="Normal"/>
    <w:uiPriority w:val="39"/>
    <w:unhideWhenUsed/>
    <w:pPr>
      <w:spacing w:after="100"/>
      <w:ind w:left="1400"/>
    </w:pPr>
  </w:style>
  <w:style w:type="numbering" w:customStyle="1" w:styleId="naslovimultilvl">
    <w:name w:val="naslovi_multilvl"/>
    <w:uiPriority w:val="99"/>
    <w:pPr>
      <w:numPr>
        <w:numId w:val="1"/>
      </w:numPr>
    </w:pPr>
  </w:style>
  <w:style w:type="character" w:styleId="Strong">
    <w:name w:val="Strong"/>
    <w:basedOn w:val="DefaultParagraphFont"/>
    <w:uiPriority w:val="22"/>
    <w:qFormat/>
    <w:rPr>
      <w:b/>
      <w:bCs/>
      <w:color w:val="auto"/>
    </w:rPr>
  </w:style>
  <w:style w:type="numbering" w:customStyle="1" w:styleId="popis">
    <w:name w:val="popis"/>
    <w:uiPriority w:val="99"/>
    <w:pPr>
      <w:numPr>
        <w:numId w:val="2"/>
      </w:numPr>
    </w:pPr>
  </w:style>
  <w:style w:type="paragraph" w:styleId="Caption">
    <w:name w:val="caption"/>
    <w:basedOn w:val="Normal"/>
    <w:next w:val="Normal"/>
    <w:link w:val="CaptionChar"/>
    <w:uiPriority w:val="35"/>
    <w:unhideWhenUsed/>
    <w:qFormat/>
    <w:rPr>
      <w:b/>
      <w:bCs/>
      <w:sz w:val="18"/>
      <w:szCs w:val="18"/>
    </w:rPr>
  </w:style>
  <w:style w:type="paragraph" w:styleId="EndnoteText">
    <w:name w:val="endnote text"/>
    <w:basedOn w:val="Normal"/>
    <w:link w:val="EndnoteTextChar"/>
    <w:uiPriority w:val="99"/>
    <w:unhideWhenUsed/>
  </w:style>
  <w:style w:type="character" w:customStyle="1" w:styleId="EndnoteTextChar">
    <w:name w:val="Endnote Text Char"/>
    <w:basedOn w:val="DefaultParagraphFont"/>
    <w:link w:val="EndnoteText"/>
    <w:uiPriority w:val="99"/>
    <w:rPr>
      <w:rFonts w:eastAsia="Times New Roman" w:cs="Times New Roman"/>
      <w:color w:val="000000" w:themeColor="text1"/>
      <w:szCs w:val="20"/>
      <w:lang w:eastAsia="hr-HR"/>
    </w:rPr>
  </w:style>
  <w:style w:type="character" w:styleId="EndnoteReference">
    <w:name w:val="endnote reference"/>
    <w:basedOn w:val="DefaultParagraphFont"/>
    <w:unhideWhenUsed/>
    <w:rPr>
      <w:vertAlign w:val="superscript"/>
    </w:rPr>
  </w:style>
  <w:style w:type="paragraph" w:customStyle="1" w:styleId="Tekst">
    <w:name w:val="Tekst"/>
    <w:link w:val="TekstChar"/>
    <w:pPr>
      <w:keepNext/>
      <w:spacing w:after="0" w:line="240" w:lineRule="auto"/>
    </w:pPr>
    <w:rPr>
      <w:rFonts w:eastAsia="Times New Roman" w:cs="Times New Roman"/>
      <w:sz w:val="18"/>
      <w:szCs w:val="18"/>
      <w:lang w:val="en-GB" w:eastAsia="hr-HR"/>
    </w:rPr>
  </w:style>
  <w:style w:type="paragraph" w:customStyle="1" w:styleId="Slikaigrafnaslov">
    <w:name w:val="Slika i graf_naslov"/>
    <w:basedOn w:val="Caption"/>
    <w:link w:val="SlikaigrafnaslovChar"/>
    <w:pPr>
      <w:spacing w:before="120" w:after="0"/>
      <w:jc w:val="center"/>
    </w:pPr>
    <w:rPr>
      <w:b w:val="0"/>
      <w:i/>
      <w:caps/>
      <w:sz w:val="24"/>
    </w:rPr>
  </w:style>
  <w:style w:type="character" w:customStyle="1" w:styleId="CaptionChar">
    <w:name w:val="Caption Char"/>
    <w:basedOn w:val="DefaultParagraphFont"/>
    <w:link w:val="Caption"/>
    <w:uiPriority w:val="35"/>
    <w:rPr>
      <w:b/>
      <w:bCs/>
      <w:sz w:val="18"/>
      <w:szCs w:val="18"/>
    </w:rPr>
  </w:style>
  <w:style w:type="character" w:customStyle="1" w:styleId="SlikaigrafnaslovChar">
    <w:name w:val="Slika i graf_naslov Char"/>
    <w:basedOn w:val="CaptionChar"/>
    <w:link w:val="Slikaigrafnaslov"/>
    <w:rPr>
      <w:rFonts w:ascii="Times New Roman" w:hAnsi="Times New Roman"/>
      <w:b w:val="0"/>
      <w:bCs/>
      <w:i/>
      <w:iCs w:val="0"/>
      <w:caps/>
      <w:sz w:val="24"/>
      <w:szCs w:val="18"/>
    </w:r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TableNormal"/>
    <w:uiPriority w:val="4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one" w:sz="4" w:space="0" w:color="000000"/>
          <w:bottom w:val="single" w:sz="12" w:space="0" w:color="F4B083" w:themeColor="accent2"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F4B083" w:themeColor="accent2"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51">
    <w:name w:val="Grid Table 2 - Accent 51"/>
    <w:basedOn w:val="TableNormal"/>
    <w:uiPriority w:val="4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one" w:sz="4" w:space="0" w:color="000000"/>
          <w:bottom w:val="single" w:sz="12" w:space="0" w:color="8EAADB" w:themeColor="accent5"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8EAADB" w:themeColor="accent5"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one" w:sz="4" w:space="0" w:color="000000"/>
          <w:insideV w:val="none" w:sz="4" w:space="0" w:color="000000"/>
        </w:tcBorders>
        <w:shd w:val="clear" w:color="auto" w:fill="4472C4" w:themeFill="accent5"/>
      </w:tcPr>
    </w:tblStylePr>
    <w:tblStylePr w:type="lastRow">
      <w:rPr>
        <w:b/>
        <w:bCs/>
      </w:rPr>
      <w:tblPr/>
      <w:tcPr>
        <w:tcBorders>
          <w:top w:val="sing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otnoteTextChar">
    <w:name w:val="Footnote Text Char"/>
    <w:basedOn w:val="DefaultParagraphFont"/>
    <w:link w:val="FootnoteText"/>
    <w:uiPriority w:val="99"/>
    <w:rPr>
      <w:sz w:val="18"/>
    </w:rPr>
  </w:style>
  <w:style w:type="table" w:customStyle="1" w:styleId="ListTable3-Accent51">
    <w:name w:val="List Table 3 - Accent 51"/>
    <w:basedOn w:val="TableNormal"/>
    <w:uiPriority w:val="4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single" w:sz="4" w:space="0" w:color="4472C4" w:themeColor="accent5"/>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5"/>
          <w:left w:val="none" w:sz="4" w:space="0" w:color="000000"/>
        </w:tcBorders>
      </w:tcPr>
    </w:tblStylePr>
    <w:tblStylePr w:type="swCell">
      <w:tblPr/>
      <w:tcPr>
        <w:tcBorders>
          <w:top w:val="single" w:sz="4" w:space="0" w:color="4472C4" w:themeColor="accent5"/>
          <w:right w:val="none" w:sz="4" w:space="0" w:color="000000"/>
        </w:tcBorders>
      </w:tcPr>
    </w:tblStyle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sing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one" w:sz="4" w:space="0" w:color="000000"/>
          <w:bottom w:val="single" w:sz="12" w:space="0" w:color="9CC2E5" w:themeColor="accen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9CC2E5" w:themeColor="accen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1">
    <w:name w:val="Grid Table 21"/>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one" w:sz="4" w:space="0" w:color="000000"/>
          <w:bottom w:val="single" w:sz="12" w:space="0" w:color="666666" w:themeColor="tex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666666" w:themeColor="tex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41">
    <w:name w:val="Grid Table 3 - Accent 41"/>
    <w:basedOn w:val="TableNormal"/>
    <w:uiPriority w:val="4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FootnoteReference">
    <w:name w:val="footnote reference"/>
    <w:basedOn w:val="DefaultParagraphFont"/>
    <w:uiPriority w:val="99"/>
    <w:unhideWhenUsed/>
    <w:rPr>
      <w:rFonts w:ascii="Segoe UI" w:hAnsi="Segoe UI"/>
      <w:sz w:val="18"/>
      <w:vertAlign w:val="superscript"/>
    </w:rPr>
  </w:style>
  <w:style w:type="paragraph" w:styleId="TableofFigures">
    <w:name w:val="table of figures"/>
    <w:basedOn w:val="Normal"/>
    <w:next w:val="Normal"/>
    <w:uiPriority w:val="99"/>
    <w:unhideWhenUsed/>
    <w:pPr>
      <w:tabs>
        <w:tab w:val="right" w:leader="dot" w:pos="9060"/>
      </w:tabs>
      <w:spacing w:before="80" w:after="100" w:line="259" w:lineRule="auto"/>
      <w:ind w:right="624"/>
    </w:pPr>
    <w:rPr>
      <w:i/>
    </w:rPr>
  </w:style>
  <w:style w:type="paragraph" w:customStyle="1" w:styleId="TablicaTOF">
    <w:name w:val="Tablica_TOF"/>
    <w:basedOn w:val="TableofFigures"/>
    <w:uiPriority w:val="99"/>
    <w:pPr>
      <w:keepNext/>
      <w:ind w:left="851" w:hanging="851"/>
    </w:pPr>
  </w:style>
  <w:style w:type="paragraph" w:customStyle="1" w:styleId="SlikaTOF">
    <w:name w:val="Slika_TOF"/>
    <w:basedOn w:val="TableofFigures"/>
    <w:uiPriority w:val="99"/>
    <w:pPr>
      <w:ind w:left="658" w:hanging="658"/>
    </w:pPr>
  </w:style>
  <w:style w:type="table" w:customStyle="1" w:styleId="Izvjescetablica1">
    <w:name w:val="Izvjescetablica1"/>
    <w:basedOn w:val="TableNormal"/>
    <w:next w:val="TableGrid"/>
    <w:uiPriority w:val="59"/>
    <w:pPr>
      <w:spacing w:after="0" w:line="240" w:lineRule="auto"/>
    </w:pPr>
    <w:rPr>
      <w:rFonts w:ascii="Times New Roman" w:eastAsia="Times New Roman" w:hAnsi="Times New Roman" w:cs="Times New Roman"/>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ICA">
    <w:name w:val="TABLICA"/>
    <w:basedOn w:val="Normal"/>
    <w:next w:val="Normal"/>
    <w:uiPriority w:val="99"/>
    <w:pPr>
      <w:outlineLvl w:val="6"/>
    </w:pPr>
    <w:rPr>
      <w:rFonts w:ascii="Palatino Linotype" w:eastAsia="Times New Roman" w:hAnsi="Palatino Linotype" w:cs="Times New Roman"/>
    </w:rPr>
  </w:style>
  <w:style w:type="table" w:customStyle="1" w:styleId="TABLICAHAOP3">
    <w:name w:val="TABLICA_HAOP3"/>
    <w:basedOn w:val="TableNormal"/>
    <w:next w:val="TableGrid"/>
    <w:uiPriority w:val="39"/>
    <w:pPr>
      <w:spacing w:after="0" w:line="240" w:lineRule="auto"/>
    </w:pPr>
    <w:rPr>
      <w:sz w:val="18"/>
    </w:rPr>
    <w:tblPr>
      <w:tblStyleRowBandSize w:val="1"/>
      <w:tblBorders>
        <w:top w:val="single" w:sz="4" w:space="0" w:color="DA291C"/>
        <w:left w:val="single" w:sz="4" w:space="0" w:color="DA291C"/>
        <w:bottom w:val="single" w:sz="4" w:space="0" w:color="DA291C"/>
        <w:right w:val="single" w:sz="4" w:space="0" w:color="DA291C"/>
        <w:insideH w:val="single" w:sz="4" w:space="0" w:color="DA291C"/>
        <w:insideV w:val="single" w:sz="4" w:space="0" w:color="DA291C"/>
      </w:tblBorders>
    </w:tblPr>
    <w:tcPr>
      <w:shd w:val="clear" w:color="auto" w:fill="auto"/>
    </w:tcPr>
    <w:tblStylePr w:type="firstRow">
      <w:pPr>
        <w:jc w:val="center"/>
      </w:pPr>
      <w:rPr>
        <w:rFonts w:ascii="Segoe UI" w:hAnsi="Segoe UI"/>
        <w:color w:val="FFFFFF" w:themeColor="background1"/>
        <w:sz w:val="18"/>
      </w:rPr>
      <w:tblPr/>
      <w:tcPr>
        <w:tcBorders>
          <w:top w:val="none" w:sz="4" w:space="0" w:color="000000"/>
          <w:left w:val="none" w:sz="4" w:space="0" w:color="000000"/>
          <w:bottom w:val="none" w:sz="4" w:space="0" w:color="000000"/>
          <w:right w:val="none" w:sz="4" w:space="0" w:color="000000"/>
          <w:insideH w:val="single" w:sz="4" w:space="0" w:color="FFFFFF" w:themeColor="background1"/>
          <w:insideV w:val="single" w:sz="4" w:space="0" w:color="FFFFFF" w:themeColor="background1"/>
        </w:tcBorders>
        <w:shd w:val="clear" w:color="auto" w:fill="DA291C"/>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F8CBC8"/>
      </w:tcPr>
    </w:tblStylePr>
  </w:style>
  <w:style w:type="table" w:customStyle="1" w:styleId="TABLICAHAOP2">
    <w:name w:val="TABLICA_HAOP2"/>
    <w:basedOn w:val="TableNormal"/>
    <w:next w:val="TableGrid"/>
    <w:uiPriority w:val="39"/>
    <w:pPr>
      <w:spacing w:after="0" w:line="240" w:lineRule="auto"/>
    </w:pPr>
    <w:rPr>
      <w:sz w:val="18"/>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hemeColor="background1"/>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E2F3"/>
      </w:tcPr>
    </w:tblStylePr>
  </w:style>
  <w:style w:type="table" w:customStyle="1" w:styleId="TABLICAHAOP35">
    <w:name w:val="TABLICA_HAOP35"/>
    <w:basedOn w:val="TableNormal"/>
    <w:next w:val="TableGrid"/>
    <w:uiPriority w:val="39"/>
    <w:pPr>
      <w:spacing w:after="0" w:line="240" w:lineRule="auto"/>
    </w:pPr>
    <w:rPr>
      <w:sz w:val="18"/>
    </w:rPr>
    <w:tblPr>
      <w:tblStyleRowBandSize w:val="1"/>
      <w:tblBorders>
        <w:top w:val="single" w:sz="4" w:space="0" w:color="F2C75C"/>
        <w:left w:val="single" w:sz="4" w:space="0" w:color="F2C75C"/>
        <w:bottom w:val="single" w:sz="4" w:space="0" w:color="F2C75C"/>
        <w:right w:val="single" w:sz="4" w:space="0" w:color="F2C75C"/>
        <w:insideH w:val="single" w:sz="4" w:space="0" w:color="F2C75C"/>
        <w:insideV w:val="single" w:sz="4" w:space="0" w:color="F2C75C"/>
      </w:tblBorders>
    </w:tblPr>
    <w:tblStylePr w:type="firstRow">
      <w:pPr>
        <w:jc w:val="center"/>
      </w:pPr>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C75C"/>
      </w:tcPr>
    </w:tblStylePr>
    <w:tblStylePr w:type="lastRow">
      <w:rPr>
        <w:b/>
      </w:rPr>
    </w:tblStylePr>
    <w:tblStylePr w:type="firstCol">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41"/>
      </w:tcPr>
    </w:tblStylePr>
    <w:tblStylePr w:type="band1Horz">
      <w:tblPr/>
      <w:tcPr>
        <w:shd w:val="clear" w:color="auto" w:fill="FDF6E3"/>
      </w:tcPr>
    </w:tblStylePr>
  </w:style>
  <w:style w:type="table" w:customStyle="1" w:styleId="TABLICAHAOP21">
    <w:name w:val="TABLICA_HAOP21"/>
    <w:basedOn w:val="TableNormal"/>
    <w:next w:val="TableGrid"/>
    <w:uiPriority w:val="39"/>
    <w:pPr>
      <w:spacing w:after="0" w:line="240" w:lineRule="auto"/>
    </w:pPr>
    <w:rPr>
      <w:sz w:val="18"/>
    </w:rPr>
    <w:tblPr>
      <w:tblStyleRowBandSize w:val="1"/>
      <w:tblBorders>
        <w:top w:val="single" w:sz="4" w:space="0" w:color="64CCC9"/>
        <w:left w:val="single" w:sz="4" w:space="0" w:color="64CCC9"/>
        <w:bottom w:val="single" w:sz="4" w:space="0" w:color="64CCC9"/>
        <w:right w:val="single" w:sz="4" w:space="0" w:color="64CCC9"/>
        <w:insideH w:val="single" w:sz="4" w:space="0" w:color="64CCC9"/>
        <w:insideV w:val="single" w:sz="4" w:space="0" w:color="64CCC9"/>
      </w:tblBorders>
    </w:tblPr>
    <w:tblStylePr w:type="firstRow">
      <w:pPr>
        <w:jc w:val="center"/>
      </w:pPr>
      <w:rPr>
        <w:rFonts w:ascii="Segoe UI" w:hAnsi="Segoe UI"/>
        <w:color w:val="FFFFFF" w:themeColor="background1"/>
        <w:sz w:val="18"/>
      </w:rPr>
      <w:tblPr/>
      <w:tcPr>
        <w:tcBorders>
          <w:insideV w:val="single" w:sz="4" w:space="0" w:color="FFFFFF" w:themeColor="background1"/>
        </w:tcBorders>
        <w:shd w:val="clear" w:color="auto" w:fill="64CCC9"/>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F4F3"/>
      </w:tcPr>
    </w:tblStylePr>
  </w:style>
  <w:style w:type="table" w:customStyle="1" w:styleId="Izvjescetablica2">
    <w:name w:val="Izvjescetablica2"/>
    <w:basedOn w:val="TableNormal"/>
    <w:next w:val="TableGrid"/>
    <w:uiPriority w:val="59"/>
    <w:pPr>
      <w:spacing w:after="0" w:line="240" w:lineRule="auto"/>
    </w:pPr>
    <w:rPr>
      <w:rFonts w:ascii="Times New Roman" w:eastAsia="Times New Roman" w:hAnsi="Times New Roman" w:cs="Times New Roman"/>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ICAHAOP25">
    <w:name w:val="TABLICA_HAOP25"/>
    <w:basedOn w:val="TableNormal"/>
    <w:uiPriority w:val="39"/>
    <w:pPr>
      <w:spacing w:after="0" w:line="240" w:lineRule="auto"/>
    </w:pPr>
    <w:rPr>
      <w:sz w:val="18"/>
    </w:rPr>
    <w:tblPr>
      <w:tblStyleRowBandSize w:val="1"/>
      <w:tblBorders>
        <w:top w:val="single" w:sz="4" w:space="0" w:color="C5B9AC"/>
        <w:left w:val="single" w:sz="4" w:space="0" w:color="C5B9AC"/>
        <w:bottom w:val="single" w:sz="4" w:space="0" w:color="C5B9AC"/>
        <w:right w:val="single" w:sz="4" w:space="0" w:color="C5B9AC"/>
        <w:insideH w:val="single" w:sz="4" w:space="0" w:color="C5B9AC"/>
        <w:insideV w:val="single" w:sz="4" w:space="0" w:color="C5B9AC"/>
      </w:tblBorders>
    </w:tblPr>
    <w:tblStylePr w:type="firstRow">
      <w:pPr>
        <w:jc w:val="center"/>
      </w:pPr>
      <w:rPr>
        <w:rFonts w:ascii="Segoe UI" w:hAnsi="Segoe UI"/>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5B9AC"/>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EEEAE6"/>
      </w:tcPr>
    </w:tblStylePr>
  </w:style>
  <w:style w:type="table" w:customStyle="1" w:styleId="TABLICAHAOP42">
    <w:name w:val="TABLICA_HAOP42"/>
    <w:basedOn w:val="TableNormal"/>
    <w:next w:val="TableGrid"/>
    <w:uiPriority w:val="39"/>
    <w:pPr>
      <w:spacing w:after="0" w:line="240" w:lineRule="auto"/>
    </w:pPr>
    <w:rPr>
      <w:sz w:val="18"/>
    </w:rPr>
    <w:tblPr>
      <w:tblStyleRowBandSize w:val="1"/>
      <w:tblBorders>
        <w:top w:val="single" w:sz="4" w:space="0" w:color="006341"/>
        <w:left w:val="single" w:sz="4" w:space="0" w:color="006341"/>
        <w:bottom w:val="single" w:sz="4" w:space="0" w:color="006341"/>
        <w:right w:val="single" w:sz="4" w:space="0" w:color="006341"/>
        <w:insideH w:val="single" w:sz="4" w:space="0" w:color="006341"/>
        <w:insideV w:val="single" w:sz="4" w:space="0" w:color="006341"/>
      </w:tblBorders>
    </w:tblPr>
    <w:tblStylePr w:type="firstRow">
      <w:pPr>
        <w:jc w:val="center"/>
      </w:pPr>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41"/>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AE2DF"/>
      </w:tcPr>
    </w:tblStylePr>
  </w:style>
  <w:style w:type="paragraph" w:customStyle="1" w:styleId="CharChar1CharCharCharCharCharCharChar">
    <w:name w:val="Char Char1 Char Char Char Char Char Char Char"/>
    <w:basedOn w:val="Normal"/>
    <w:uiPriority w:val="99"/>
    <w:pPr>
      <w:spacing w:line="240" w:lineRule="exact"/>
    </w:pPr>
    <w:rPr>
      <w:rFonts w:ascii="Tahoma" w:eastAsia="Times New Roman" w:hAnsi="Tahoma" w:cs="Times New Roman"/>
      <w:lang w:val="en-US" w:eastAsia="hr-HR"/>
    </w:rPr>
  </w:style>
  <w:style w:type="paragraph" w:customStyle="1" w:styleId="Noparagraphstyle">
    <w:name w:val="[No paragraph style]"/>
    <w:uiPriority w:val="99"/>
    <w:pPr>
      <w:spacing w:after="0" w:line="288" w:lineRule="auto"/>
    </w:pPr>
    <w:rPr>
      <w:rFonts w:ascii="Minion Pro" w:eastAsia="Times New Roman" w:hAnsi="Minion Pro" w:cs="Minion Pro"/>
      <w:color w:val="000000"/>
      <w:sz w:val="24"/>
      <w:szCs w:val="24"/>
      <w:lang w:val="en-US"/>
    </w:rPr>
  </w:style>
  <w:style w:type="paragraph" w:customStyle="1" w:styleId="AZOklasaBOLD">
    <w:name w:val="AZO klasa BOLD"/>
    <w:basedOn w:val="Normal"/>
    <w:uiPriority w:val="99"/>
    <w:rPr>
      <w:rFonts w:ascii="Palatino Linotype" w:eastAsia="Times New Roman" w:hAnsi="Palatino Linotype" w:cs="Arial"/>
      <w:b/>
      <w:bCs/>
      <w:color w:val="000000"/>
      <w:szCs w:val="16"/>
      <w:lang w:eastAsia="hr-HR"/>
    </w:rPr>
  </w:style>
  <w:style w:type="paragraph" w:customStyle="1" w:styleId="AZOklasaROMAN">
    <w:name w:val="AZO klasa ROMAN"/>
    <w:basedOn w:val="Normal"/>
    <w:next w:val="AZOklasaBOLD"/>
    <w:uiPriority w:val="99"/>
    <w:rPr>
      <w:rFonts w:ascii="Palatino Linotype" w:eastAsia="Times New Roman" w:hAnsi="Palatino Linotype" w:cs="Arial"/>
      <w:color w:val="000000"/>
      <w:szCs w:val="16"/>
      <w:lang w:eastAsia="hr-HR"/>
    </w:rPr>
  </w:style>
  <w:style w:type="paragraph" w:customStyle="1" w:styleId="AZOadresa">
    <w:name w:val="AZO adresa"/>
    <w:basedOn w:val="Normal"/>
    <w:uiPriority w:val="99"/>
    <w:rPr>
      <w:rFonts w:ascii="Palatino Linotype" w:eastAsia="Times New Roman" w:hAnsi="Palatino Linotype" w:cs="Arial"/>
      <w:color w:val="000000"/>
      <w:szCs w:val="24"/>
      <w:lang w:eastAsia="hr-HR"/>
    </w:rPr>
  </w:style>
  <w:style w:type="paragraph" w:customStyle="1" w:styleId="AZOnaslov">
    <w:name w:val="AZO naslov"/>
    <w:basedOn w:val="Normal"/>
    <w:uiPriority w:val="99"/>
    <w:pPr>
      <w:spacing w:line="288" w:lineRule="auto"/>
    </w:pPr>
    <w:rPr>
      <w:rFonts w:ascii="Palatino Linotype" w:eastAsia="Times New Roman" w:hAnsi="Palatino Linotype" w:cs="Arial"/>
      <w:color w:val="000000"/>
      <w:spacing w:val="14"/>
      <w:sz w:val="28"/>
      <w:szCs w:val="28"/>
      <w:lang w:eastAsia="hr-HR"/>
    </w:rPr>
  </w:style>
  <w:style w:type="paragraph" w:customStyle="1" w:styleId="AZOtext">
    <w:name w:val="AZO text"/>
    <w:basedOn w:val="Normal"/>
    <w:link w:val="AZOtextChar"/>
    <w:pPr>
      <w:spacing w:line="288" w:lineRule="auto"/>
      <w:ind w:firstLine="170"/>
    </w:pPr>
    <w:rPr>
      <w:rFonts w:ascii="Palatino Linotype" w:eastAsia="Times New Roman" w:hAnsi="Palatino Linotype" w:cs="Arial"/>
      <w:color w:val="000000"/>
      <w:lang w:eastAsia="hr-HR"/>
    </w:rPr>
  </w:style>
  <w:style w:type="paragraph" w:customStyle="1" w:styleId="CharChar1">
    <w:name w:val="Char Char1"/>
    <w:basedOn w:val="Normal"/>
    <w:uiPriority w:val="99"/>
    <w:pPr>
      <w:spacing w:line="240" w:lineRule="exact"/>
    </w:pPr>
    <w:rPr>
      <w:rFonts w:ascii="Tahoma" w:eastAsia="Times New Roman" w:hAnsi="Tahoma" w:cs="Times New Roman"/>
      <w:lang w:val="en-US" w:eastAsia="hr-HR"/>
    </w:rPr>
  </w:style>
  <w:style w:type="paragraph" w:customStyle="1" w:styleId="T-98-2">
    <w:name w:val="T-9/8-2"/>
    <w:uiPriority w:val="99"/>
    <w:pPr>
      <w:widowControl w:val="0"/>
      <w:tabs>
        <w:tab w:val="left" w:pos="2153"/>
      </w:tabs>
      <w:spacing w:after="43" w:line="240" w:lineRule="auto"/>
      <w:ind w:firstLine="342"/>
    </w:pPr>
    <w:rPr>
      <w:rFonts w:ascii="Times-NewRoman" w:eastAsia="Times New Roman" w:hAnsi="Times-NewRoman" w:cs="Times New Roman"/>
      <w:sz w:val="19"/>
      <w:szCs w:val="19"/>
      <w:lang w:eastAsia="hr-HR"/>
    </w:rPr>
  </w:style>
  <w:style w:type="paragraph" w:styleId="PlainText">
    <w:name w:val="Plain Text"/>
    <w:basedOn w:val="Normal"/>
    <w:link w:val="PlainTextChar"/>
    <w:uiPriority w:val="99"/>
    <w:rPr>
      <w:rFonts w:ascii="Courier New" w:eastAsia="Times New Roman" w:hAnsi="Courier New" w:cs="Courier New"/>
      <w:lang w:eastAsia="hr-HR"/>
    </w:rPr>
  </w:style>
  <w:style w:type="character" w:customStyle="1" w:styleId="PlainTextChar">
    <w:name w:val="Plain Text Char"/>
    <w:basedOn w:val="DefaultParagraphFont"/>
    <w:link w:val="PlainText"/>
    <w:uiPriority w:val="99"/>
    <w:rPr>
      <w:rFonts w:ascii="Courier New" w:eastAsia="Times New Roman" w:hAnsi="Courier New" w:cs="Courier New"/>
      <w:lang w:eastAsia="hr-HR"/>
    </w:rPr>
  </w:style>
  <w:style w:type="paragraph" w:customStyle="1" w:styleId="n4">
    <w:name w:val="n4"/>
    <w:basedOn w:val="Normal"/>
    <w:uiPriority w:val="99"/>
    <w:pPr>
      <w:spacing w:before="120"/>
    </w:pPr>
    <w:rPr>
      <w:rFonts w:ascii="Arial" w:eastAsia="Times New Roman" w:hAnsi="Arial" w:cs="Times New Roman"/>
      <w:color w:val="000000"/>
      <w:sz w:val="16"/>
      <w:lang w:val="en-US" w:eastAsia="hr-HR"/>
    </w:rPr>
  </w:style>
  <w:style w:type="paragraph" w:customStyle="1" w:styleId="t-98sredina">
    <w:name w:val="t-98sredina"/>
    <w:basedOn w:val="Normal"/>
    <w:uiPriority w:val="99"/>
    <w:pPr>
      <w:spacing w:before="57" w:after="23"/>
      <w:jc w:val="center"/>
    </w:pPr>
    <w:rPr>
      <w:rFonts w:ascii="Minion Pro Cond" w:eastAsia="Times New Roman" w:hAnsi="Minion Pro Cond" w:cs="Times New Roman"/>
      <w:color w:val="000000"/>
      <w:sz w:val="19"/>
      <w:szCs w:val="19"/>
      <w:lang w:eastAsia="hr-HR"/>
    </w:rPr>
  </w:style>
  <w:style w:type="paragraph" w:customStyle="1" w:styleId="T-98bezuvl">
    <w:name w:val="T-9/8 bez uvl"/>
    <w:basedOn w:val="Normal"/>
    <w:uiPriority w:val="99"/>
    <w:pPr>
      <w:widowControl w:val="0"/>
      <w:spacing w:after="43" w:line="210" w:lineRule="atLeast"/>
    </w:pPr>
    <w:rPr>
      <w:rFonts w:ascii="Minion Pro Cond" w:eastAsia="Times New Roman" w:hAnsi="Minion Pro Cond" w:cs="Minion Pro Cond"/>
      <w:color w:val="000000"/>
      <w:lang w:eastAsia="hr-HR"/>
    </w:rPr>
  </w:style>
  <w:style w:type="paragraph" w:customStyle="1" w:styleId="noparagraphstyle0">
    <w:name w:val="noparagraphstyle"/>
    <w:basedOn w:val="Normal"/>
    <w:uiPriority w:val="99"/>
    <w:pPr>
      <w:spacing w:line="288" w:lineRule="auto"/>
    </w:pPr>
    <w:rPr>
      <w:rFonts w:ascii="Minion Pro Cond" w:eastAsia="Times New Roman" w:hAnsi="Minion Pro Cond" w:cs="Times New Roman"/>
      <w:color w:val="000000"/>
      <w:szCs w:val="24"/>
      <w:lang w:eastAsia="hr-HR"/>
    </w:rPr>
  </w:style>
  <w:style w:type="paragraph" w:customStyle="1" w:styleId="t-87-fusnota">
    <w:name w:val="t-87-fusnota"/>
    <w:basedOn w:val="Normal"/>
    <w:uiPriority w:val="99"/>
    <w:pPr>
      <w:spacing w:after="43" w:line="276" w:lineRule="auto"/>
    </w:pPr>
    <w:rPr>
      <w:rFonts w:ascii="Minion Pro Cond" w:eastAsia="Times New Roman" w:hAnsi="Minion Pro Cond" w:cs="Times New Roman"/>
      <w:color w:val="000000"/>
      <w:sz w:val="17"/>
      <w:szCs w:val="17"/>
      <w:lang w:eastAsia="hr-HR"/>
    </w:rPr>
  </w:style>
  <w:style w:type="character" w:styleId="PageNumber">
    <w:name w:val="page number"/>
    <w:basedOn w:val="DefaultParagraphFont"/>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rFonts w:ascii="Palatino Linotype" w:eastAsia="Times New Roman" w:hAnsi="Palatino Linotype" w:cs="Times New Roman"/>
      <w:lang w:eastAsia="hr-HR"/>
    </w:rPr>
  </w:style>
  <w:style w:type="character" w:customStyle="1" w:styleId="CommentTextChar">
    <w:name w:val="Comment Text Char"/>
    <w:basedOn w:val="DefaultParagraphFont"/>
    <w:link w:val="CommentText"/>
    <w:uiPriority w:val="99"/>
    <w:rPr>
      <w:rFonts w:ascii="Palatino Linotype" w:eastAsia="Times New Roman" w:hAnsi="Palatino Linotype" w:cs="Times New Roman"/>
      <w:lang w:eastAsia="hr-HR"/>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Palatino Linotype" w:eastAsia="Times New Roman" w:hAnsi="Palatino Linotype" w:cs="Times New Roman"/>
      <w:b/>
      <w:bCs/>
      <w:lang w:eastAsia="hr-HR"/>
    </w:rPr>
  </w:style>
  <w:style w:type="character" w:styleId="Emphasis">
    <w:name w:val="Emphasis"/>
    <w:basedOn w:val="DefaultParagraphFont"/>
    <w:uiPriority w:val="20"/>
    <w:qFormat/>
    <w:rPr>
      <w:i/>
      <w:iCs/>
      <w:color w:val="auto"/>
    </w:rPr>
  </w:style>
  <w:style w:type="character" w:customStyle="1" w:styleId="AZOtextChar">
    <w:name w:val="AZO text Char"/>
    <w:link w:val="AZOtext"/>
    <w:rPr>
      <w:rFonts w:ascii="Palatino Linotype" w:eastAsia="Times New Roman" w:hAnsi="Palatino Linotype" w:cs="Arial"/>
      <w:color w:val="000000"/>
      <w:lang w:eastAsia="hr-HR"/>
    </w:rPr>
  </w:style>
  <w:style w:type="paragraph" w:styleId="NoSpacing">
    <w:name w:val="No Spacing"/>
    <w:uiPriority w:val="1"/>
    <w:qFormat/>
    <w:pPr>
      <w:spacing w:after="0" w:line="240" w:lineRule="auto"/>
    </w:pPr>
  </w:style>
  <w:style w:type="paragraph" w:styleId="List">
    <w:name w:val="List"/>
    <w:basedOn w:val="Normal"/>
    <w:uiPriority w:val="99"/>
    <w:pPr>
      <w:ind w:left="283" w:hanging="283"/>
      <w:contextualSpacing/>
    </w:pPr>
    <w:rPr>
      <w:rFonts w:ascii="Palatino Linotype" w:eastAsia="Times New Roman" w:hAnsi="Palatino Linotype" w:cs="Times New Roman"/>
      <w:szCs w:val="24"/>
      <w:lang w:eastAsia="hr-HR"/>
    </w:rPr>
  </w:style>
  <w:style w:type="character" w:customStyle="1" w:styleId="StylePalatinoLinotype10pt1">
    <w:name w:val="Style Palatino Linotype 10 pt1"/>
    <w:uiPriority w:val="99"/>
    <w:rPr>
      <w:rFonts w:ascii="Palatino Linotype" w:hAnsi="Palatino Linotype"/>
      <w:sz w:val="20"/>
    </w:rPr>
  </w:style>
  <w:style w:type="paragraph" w:customStyle="1" w:styleId="Slika">
    <w:name w:val="Slika"/>
    <w:basedOn w:val="Normal"/>
    <w:link w:val="SlikaChar"/>
    <w:rPr>
      <w:rFonts w:ascii="Palatino Linotype" w:eastAsia="Times New Roman" w:hAnsi="Palatino Linotype" w:cs="Times New Roman"/>
    </w:rPr>
  </w:style>
  <w:style w:type="character" w:customStyle="1" w:styleId="SlikaChar">
    <w:name w:val="Slika Char"/>
    <w:link w:val="Slika"/>
    <w:rPr>
      <w:rFonts w:ascii="Palatino Linotype" w:eastAsia="Times New Roman" w:hAnsi="Palatino Linotype" w:cs="Times New Roman"/>
    </w:rPr>
  </w:style>
  <w:style w:type="paragraph" w:customStyle="1" w:styleId="StylePalatinoLinotype10pt">
    <w:name w:val="Style Palatino Linotype 10 pt"/>
    <w:basedOn w:val="Normal"/>
    <w:uiPriority w:val="99"/>
    <w:pPr>
      <w:spacing w:line="281" w:lineRule="auto"/>
    </w:pPr>
    <w:rPr>
      <w:rFonts w:ascii="Palatino Linotype" w:eastAsia="Times New Roman" w:hAnsi="Palatino Linotype" w:cs="Times New Roman"/>
      <w:lang w:eastAsia="hr-HR"/>
    </w:rPr>
  </w:style>
  <w:style w:type="paragraph" w:styleId="TOC4">
    <w:name w:val="toc 4"/>
    <w:basedOn w:val="Normal"/>
    <w:next w:val="Normal"/>
    <w:uiPriority w:val="39"/>
    <w:unhideWhenUsed/>
    <w:pPr>
      <w:ind w:left="660"/>
    </w:pPr>
    <w:rPr>
      <w:rFonts w:eastAsia="Times New Roman" w:cs="Times New Roman"/>
      <w:lang w:eastAsia="hr-HR"/>
    </w:rPr>
  </w:style>
  <w:style w:type="paragraph" w:styleId="TOC5">
    <w:name w:val="toc 5"/>
    <w:basedOn w:val="Normal"/>
    <w:next w:val="Normal"/>
    <w:uiPriority w:val="39"/>
    <w:unhideWhenUsed/>
    <w:pPr>
      <w:ind w:left="880"/>
    </w:pPr>
    <w:rPr>
      <w:rFonts w:eastAsia="Times New Roman" w:cs="Times New Roman"/>
      <w:lang w:eastAsia="hr-HR"/>
    </w:rPr>
  </w:style>
  <w:style w:type="paragraph" w:styleId="TOC6">
    <w:name w:val="toc 6"/>
    <w:basedOn w:val="Normal"/>
    <w:next w:val="Normal"/>
    <w:uiPriority w:val="39"/>
    <w:unhideWhenUsed/>
    <w:pPr>
      <w:ind w:left="1100"/>
    </w:pPr>
    <w:rPr>
      <w:rFonts w:eastAsia="Times New Roman" w:cs="Times New Roman"/>
      <w:lang w:eastAsia="hr-HR"/>
    </w:rPr>
  </w:style>
  <w:style w:type="paragraph" w:styleId="TOC7">
    <w:name w:val="toc 7"/>
    <w:basedOn w:val="Normal"/>
    <w:next w:val="Normal"/>
    <w:uiPriority w:val="39"/>
    <w:unhideWhenUsed/>
    <w:pPr>
      <w:ind w:left="1320"/>
    </w:pPr>
    <w:rPr>
      <w:rFonts w:eastAsia="Times New Roman" w:cs="Times New Roman"/>
      <w:lang w:eastAsia="hr-HR"/>
    </w:rPr>
  </w:style>
  <w:style w:type="paragraph" w:customStyle="1" w:styleId="NASLOV12Char">
    <w:name w:val="NASLOV 12 Char"/>
    <w:basedOn w:val="Normal"/>
    <w:next w:val="Normal"/>
    <w:link w:val="NASLOV12CharChar"/>
    <w:uiPriority w:val="99"/>
    <w:pPr>
      <w:tabs>
        <w:tab w:val="left" w:pos="284"/>
      </w:tabs>
      <w:ind w:left="284"/>
      <w:outlineLvl w:val="1"/>
    </w:pPr>
    <w:rPr>
      <w:rFonts w:ascii="Arial" w:eastAsia="Times New Roman" w:hAnsi="Arial" w:cs="Times New Roman"/>
      <w:b/>
      <w:caps/>
      <w:szCs w:val="24"/>
    </w:rPr>
  </w:style>
  <w:style w:type="character" w:customStyle="1" w:styleId="NASLOV12CharChar">
    <w:name w:val="NASLOV 12 Char Char"/>
    <w:link w:val="NASLOV12Char"/>
    <w:uiPriority w:val="99"/>
    <w:rPr>
      <w:rFonts w:ascii="Arial" w:eastAsia="Times New Roman" w:hAnsi="Arial" w:cs="Times New Roman"/>
      <w:b/>
      <w:caps/>
      <w:sz w:val="22"/>
      <w:szCs w:val="24"/>
    </w:rPr>
  </w:style>
  <w:style w:type="character" w:customStyle="1" w:styleId="osnivac1">
    <w:name w:val="osnivac1"/>
    <w:semiHidden/>
    <w:rPr>
      <w:rFonts w:ascii="Verdana" w:hAnsi="Verdana" w:hint="default"/>
      <w:color w:val="006699"/>
      <w:sz w:val="21"/>
      <w:szCs w:val="21"/>
    </w:rPr>
  </w:style>
  <w:style w:type="paragraph" w:customStyle="1" w:styleId="TABLICAChar">
    <w:name w:val="TABLICA Char"/>
    <w:basedOn w:val="Normal"/>
    <w:link w:val="TABLICACharChar1"/>
    <w:uiPriority w:val="99"/>
    <w:pPr>
      <w:outlineLvl w:val="6"/>
    </w:pPr>
    <w:rPr>
      <w:rFonts w:ascii="Palatino Linotype" w:eastAsia="Times New Roman" w:hAnsi="Palatino Linotype" w:cs="Times New Roman"/>
      <w:i/>
    </w:rPr>
  </w:style>
  <w:style w:type="character" w:customStyle="1" w:styleId="TABLICACharChar1">
    <w:name w:val="TABLICA Char Char1"/>
    <w:link w:val="TABLICAChar"/>
    <w:uiPriority w:val="99"/>
    <w:rPr>
      <w:rFonts w:ascii="Palatino Linotype" w:eastAsia="Times New Roman" w:hAnsi="Palatino Linotype" w:cs="Times New Roman"/>
      <w:i/>
    </w:rPr>
  </w:style>
  <w:style w:type="table" w:customStyle="1" w:styleId="TableGrid1">
    <w:name w:val="Table Grid1"/>
    <w:pPr>
      <w:spacing w:after="0" w:line="240" w:lineRule="auto"/>
    </w:pPr>
    <w:rPr>
      <w:rFonts w:eastAsia="Times New Roman" w:cs="Times New Roman"/>
      <w:lang w:eastAsia="hr-HR"/>
    </w:rPr>
    <w:tblPr>
      <w:tblCellMar>
        <w:top w:w="0" w:type="dxa"/>
        <w:left w:w="0" w:type="dxa"/>
        <w:bottom w:w="0" w:type="dxa"/>
        <w:right w:w="0" w:type="dxa"/>
      </w:tblCellMar>
    </w:tblPr>
  </w:style>
  <w:style w:type="paragraph" w:customStyle="1" w:styleId="Podnaslovxxxx">
    <w:name w:val="Podnaslov x.x.x.x"/>
    <w:basedOn w:val="Normal"/>
    <w:link w:val="PodnaslovxxxxChar"/>
    <w:pPr>
      <w:keepNext/>
      <w:outlineLvl w:val="3"/>
    </w:pPr>
    <w:rPr>
      <w:rFonts w:ascii="Arial" w:eastAsia="Times New Roman" w:hAnsi="Arial" w:cs="Times New Roman"/>
      <w:b/>
    </w:rPr>
  </w:style>
  <w:style w:type="character" w:customStyle="1" w:styleId="PodnaslovxxxxChar">
    <w:name w:val="Podnaslov x.x.x.x Char"/>
    <w:link w:val="Podnaslovxxxx"/>
    <w:rPr>
      <w:rFonts w:ascii="Arial" w:eastAsia="Times New Roman" w:hAnsi="Arial" w:cs="Times New Roman"/>
      <w:b/>
      <w:sz w:val="22"/>
    </w:rPr>
  </w:style>
  <w:style w:type="paragraph" w:customStyle="1" w:styleId="StyleNASLOVPisanoBold11PalatinoLinotype10pt">
    <w:name w:val="Style NASLOV Pisano Bold 11 + Palatino Linotype 10 pt"/>
    <w:basedOn w:val="Normal"/>
    <w:uiPriority w:val="99"/>
    <w:pPr>
      <w:keepNext/>
      <w:outlineLvl w:val="3"/>
    </w:pPr>
    <w:rPr>
      <w:rFonts w:ascii="Palatino Linotype" w:eastAsia="Times New Roman" w:hAnsi="Palatino Linotype" w:cs="Times New Roman"/>
      <w:b/>
      <w:bCs/>
      <w:lang w:val="en-US" w:eastAsia="hr-HR"/>
    </w:rPr>
  </w:style>
  <w:style w:type="character" w:customStyle="1" w:styleId="hps">
    <w:name w:val="hps"/>
  </w:style>
  <w:style w:type="character" w:customStyle="1" w:styleId="BodyText3Char">
    <w:name w:val="Body Text 3 Char"/>
    <w:rPr>
      <w:rFonts w:cs="Times New Roman"/>
      <w:sz w:val="22"/>
      <w:lang w:val="hr-HR" w:eastAsia="hr-HR" w:bidi="ar-SA"/>
    </w:rPr>
  </w:style>
  <w:style w:type="paragraph" w:customStyle="1" w:styleId="NASLOV11">
    <w:name w:val="NASLOV 11"/>
    <w:basedOn w:val="Title"/>
    <w:uiPriority w:val="99"/>
    <w:pPr>
      <w:jc w:val="both"/>
      <w:outlineLvl w:val="2"/>
    </w:pPr>
    <w:rPr>
      <w:rFonts w:ascii="Arial" w:hAnsi="Arial"/>
      <w:bCs w:val="0"/>
      <w:caps/>
      <w:sz w:val="22"/>
      <w:szCs w:val="22"/>
    </w:rPr>
  </w:style>
  <w:style w:type="paragraph" w:styleId="Title">
    <w:name w:val="Title"/>
    <w:basedOn w:val="Normal"/>
    <w:next w:val="Normal"/>
    <w:link w:val="TitleChar"/>
    <w:uiPriority w:val="10"/>
    <w:qFormat/>
    <w:pPr>
      <w:spacing w:after="0" w:line="240" w:lineRule="auto"/>
      <w:contextualSpacing/>
      <w:jc w:val="center"/>
    </w:pPr>
    <w:rPr>
      <w:rFonts w:ascii="Calibri Light" w:eastAsia="Calibri Light" w:hAnsi="Calibri Light" w:cs="Calibri Light"/>
      <w:b/>
      <w:bCs/>
      <w:spacing w:val="-7"/>
      <w:sz w:val="48"/>
      <w:szCs w:val="48"/>
    </w:rPr>
  </w:style>
  <w:style w:type="character" w:customStyle="1" w:styleId="NaslovChar1">
    <w:name w:val="Naslov Char1"/>
    <w:basedOn w:val="DefaultParagraphFont"/>
    <w:uiPriority w:val="99"/>
    <w:rPr>
      <w:rFonts w:ascii="Calibri Light" w:eastAsia="Times New Roman" w:hAnsi="Calibri Light" w:cs="Times New Roman"/>
      <w:b/>
      <w:bCs/>
      <w:sz w:val="32"/>
      <w:szCs w:val="32"/>
      <w:lang w:eastAsia="hr-HR"/>
    </w:rPr>
  </w:style>
  <w:style w:type="paragraph" w:customStyle="1" w:styleId="NASLOVPisanoBold11">
    <w:name w:val="NASLOV Pisano Bold 11"/>
    <w:basedOn w:val="Normal"/>
    <w:link w:val="NASLOVPisanoBold11Char"/>
    <w:pPr>
      <w:keepNext/>
      <w:outlineLvl w:val="3"/>
    </w:pPr>
    <w:rPr>
      <w:rFonts w:ascii="Arial" w:eastAsia="Times New Roman" w:hAnsi="Arial" w:cs="Times New Roman"/>
      <w:b/>
      <w:i/>
    </w:rPr>
  </w:style>
  <w:style w:type="character" w:customStyle="1" w:styleId="NASLOVPisanoBold11Char">
    <w:name w:val="NASLOV Pisano Bold 11 Char"/>
    <w:link w:val="NASLOVPisanoBold11"/>
    <w:rPr>
      <w:rFonts w:ascii="Arial" w:eastAsia="Times New Roman" w:hAnsi="Arial" w:cs="Times New Roman"/>
      <w:b/>
      <w:i/>
      <w:sz w:val="22"/>
    </w:rPr>
  </w:style>
  <w:style w:type="numbering" w:customStyle="1" w:styleId="NoList1">
    <w:name w:val="No List1"/>
    <w:next w:val="NoList"/>
    <w:uiPriority w:val="99"/>
  </w:style>
  <w:style w:type="paragraph" w:styleId="BodyText3">
    <w:name w:val="Body Text 3"/>
    <w:basedOn w:val="Normal"/>
    <w:link w:val="BodyText3Char1"/>
    <w:uiPriority w:val="99"/>
    <w:pPr>
      <w:spacing w:after="120"/>
    </w:pPr>
    <w:rPr>
      <w:rFonts w:ascii="Arial" w:eastAsia="Times New Roman" w:hAnsi="Arial" w:cs="Times New Roman"/>
      <w:sz w:val="16"/>
      <w:szCs w:val="16"/>
      <w:lang w:eastAsia="hr-HR"/>
    </w:rPr>
  </w:style>
  <w:style w:type="character" w:customStyle="1" w:styleId="BodyText3Char1">
    <w:name w:val="Body Text 3 Char1"/>
    <w:basedOn w:val="DefaultParagraphFont"/>
    <w:link w:val="BodyText3"/>
    <w:uiPriority w:val="99"/>
    <w:rPr>
      <w:rFonts w:ascii="Arial" w:eastAsia="Times New Roman" w:hAnsi="Arial" w:cs="Times New Roman"/>
      <w:sz w:val="16"/>
      <w:szCs w:val="16"/>
      <w:lang w:eastAsia="hr-HR"/>
    </w:rPr>
  </w:style>
  <w:style w:type="paragraph" w:styleId="BodyText2">
    <w:name w:val="Body Text 2"/>
    <w:basedOn w:val="Normal"/>
    <w:link w:val="BodyText2Char"/>
    <w:uiPriority w:val="99"/>
    <w:pPr>
      <w:spacing w:after="120" w:line="480" w:lineRule="auto"/>
    </w:pPr>
    <w:rPr>
      <w:rFonts w:ascii="Arial" w:eastAsia="Times New Roman" w:hAnsi="Arial" w:cs="Times New Roman"/>
    </w:rPr>
  </w:style>
  <w:style w:type="character" w:customStyle="1" w:styleId="BodyText2Char">
    <w:name w:val="Body Text 2 Char"/>
    <w:basedOn w:val="DefaultParagraphFont"/>
    <w:link w:val="BodyText2"/>
    <w:uiPriority w:val="99"/>
    <w:rPr>
      <w:rFonts w:ascii="Arial" w:eastAsia="Times New Roman" w:hAnsi="Arial" w:cs="Times New Roman"/>
      <w:sz w:val="22"/>
    </w:rPr>
  </w:style>
  <w:style w:type="paragraph" w:customStyle="1" w:styleId="Style1">
    <w:name w:val="Style1"/>
    <w:basedOn w:val="Normal"/>
    <w:uiPriority w:val="99"/>
    <w:semiHidden/>
    <w:rPr>
      <w:rFonts w:ascii="Univers" w:eastAsia="Times New Roman" w:hAnsi="Univers" w:cs="Times New Roman"/>
      <w:lang w:eastAsia="hr-HR"/>
    </w:rPr>
  </w:style>
  <w:style w:type="paragraph" w:customStyle="1" w:styleId="BodyText1">
    <w:name w:val="Body Text1"/>
    <w:uiPriority w:val="99"/>
    <w:pPr>
      <w:spacing w:after="80" w:line="240" w:lineRule="auto"/>
    </w:pPr>
    <w:rPr>
      <w:rFonts w:ascii="GarmdITC Bk BT" w:eastAsia="Times New Roman" w:hAnsi="GarmdITC Bk BT" w:cs="Times New Roman"/>
      <w:sz w:val="21"/>
      <w:lang w:eastAsia="hr-HR"/>
    </w:rPr>
  </w:style>
  <w:style w:type="paragraph" w:styleId="BodyTextIndent">
    <w:name w:val="Body Text Indent"/>
    <w:basedOn w:val="Normal"/>
    <w:link w:val="BodyTextIndentChar"/>
    <w:uiPriority w:val="99"/>
    <w:pPr>
      <w:keepLines/>
      <w:ind w:left="425" w:hanging="425"/>
    </w:pPr>
    <w:rPr>
      <w:rFonts w:ascii="Palatino Linotype" w:eastAsia="Times New Roman" w:hAnsi="Palatino Linotype" w:cs="Times New Roman"/>
      <w:color w:val="000000"/>
    </w:rPr>
  </w:style>
  <w:style w:type="character" w:customStyle="1" w:styleId="BodyTextIndentChar">
    <w:name w:val="Body Text Indent Char"/>
    <w:basedOn w:val="DefaultParagraphFont"/>
    <w:link w:val="BodyTextIndent"/>
    <w:uiPriority w:val="99"/>
    <w:rPr>
      <w:rFonts w:ascii="Palatino Linotype" w:eastAsia="Times New Roman" w:hAnsi="Palatino Linotype" w:cs="Times New Roman"/>
      <w:color w:val="000000"/>
    </w:rPr>
  </w:style>
  <w:style w:type="paragraph" w:customStyle="1" w:styleId="DefinitionTerm">
    <w:name w:val="Definition Term"/>
    <w:basedOn w:val="Normal"/>
    <w:next w:val="Normal"/>
    <w:uiPriority w:val="99"/>
    <w:semiHidden/>
    <w:rPr>
      <w:rFonts w:ascii="Palatino Linotype" w:eastAsia="Times New Roman" w:hAnsi="Palatino Linotype" w:cs="Times New Roman"/>
    </w:rPr>
  </w:style>
  <w:style w:type="paragraph" w:styleId="Subtitle">
    <w:name w:val="Subtitle"/>
    <w:basedOn w:val="Normal"/>
    <w:next w:val="Normal"/>
    <w:link w:val="SubtitleChar"/>
    <w:uiPriority w:val="11"/>
    <w:qFormat/>
    <w:pPr>
      <w:numPr>
        <w:ilvl w:val="1"/>
      </w:numPr>
      <w:spacing w:after="240"/>
      <w:jc w:val="center"/>
    </w:pPr>
    <w:rPr>
      <w:rFonts w:ascii="Calibri Light" w:eastAsia="Calibri Light" w:hAnsi="Calibri Light" w:cs="Calibri Light"/>
      <w:sz w:val="24"/>
      <w:szCs w:val="24"/>
    </w:rPr>
  </w:style>
  <w:style w:type="character" w:customStyle="1" w:styleId="SubtitleChar">
    <w:name w:val="Subtitle Char"/>
    <w:basedOn w:val="DefaultParagraphFont"/>
    <w:link w:val="Subtitle"/>
    <w:uiPriority w:val="11"/>
    <w:rPr>
      <w:rFonts w:ascii="Calibri Light" w:eastAsia="Calibri Light" w:hAnsi="Calibri Light" w:cs="Calibri Light"/>
      <w:sz w:val="24"/>
      <w:szCs w:val="24"/>
    </w:rPr>
  </w:style>
  <w:style w:type="paragraph" w:customStyle="1" w:styleId="NASLOV14">
    <w:name w:val="NASLOV 14"/>
    <w:basedOn w:val="Normal"/>
    <w:next w:val="BodyText1"/>
    <w:link w:val="NASLOV14Char"/>
    <w:uiPriority w:val="99"/>
    <w:pPr>
      <w:numPr>
        <w:numId w:val="4"/>
      </w:numPr>
      <w:outlineLvl w:val="0"/>
    </w:pPr>
    <w:rPr>
      <w:rFonts w:ascii="Palatino Linotype" w:eastAsia="Times New Roman" w:hAnsi="Palatino Linotype" w:cs="Times New Roman"/>
      <w:b/>
      <w:sz w:val="28"/>
      <w:szCs w:val="28"/>
    </w:rPr>
  </w:style>
  <w:style w:type="character" w:customStyle="1" w:styleId="NASLOV14Char">
    <w:name w:val="NASLOV 14 Char"/>
    <w:link w:val="NASLOV14"/>
    <w:uiPriority w:val="99"/>
    <w:rPr>
      <w:rFonts w:ascii="Palatino Linotype" w:eastAsia="Times New Roman" w:hAnsi="Palatino Linotype" w:cs="Times New Roman"/>
      <w:b/>
      <w:sz w:val="28"/>
      <w:szCs w:val="28"/>
    </w:rPr>
  </w:style>
  <w:style w:type="paragraph" w:styleId="ListBullet2">
    <w:name w:val="List Bullet 2"/>
    <w:basedOn w:val="ListBullet"/>
    <w:uiPriority w:val="99"/>
    <w:pPr>
      <w:tabs>
        <w:tab w:val="clear" w:pos="360"/>
      </w:tabs>
      <w:spacing w:after="20" w:line="240" w:lineRule="exact"/>
      <w:ind w:left="1321" w:hanging="357"/>
    </w:pPr>
    <w:rPr>
      <w:color w:val="000000"/>
      <w:sz w:val="20"/>
    </w:rPr>
  </w:style>
  <w:style w:type="paragraph" w:styleId="ListBullet">
    <w:name w:val="List Bullet"/>
    <w:basedOn w:val="Normal"/>
    <w:uiPriority w:val="99"/>
    <w:pPr>
      <w:tabs>
        <w:tab w:val="left" w:pos="360"/>
      </w:tabs>
      <w:ind w:left="360" w:hanging="360"/>
    </w:pPr>
    <w:rPr>
      <w:rFonts w:ascii="Arial" w:eastAsia="Times New Roman" w:hAnsi="Arial" w:cs="Times New Roman"/>
    </w:rPr>
  </w:style>
  <w:style w:type="paragraph" w:customStyle="1" w:styleId="Text">
    <w:name w:val="Text"/>
    <w:uiPriority w:val="99"/>
    <w:semiHidden/>
    <w:pPr>
      <w:spacing w:before="40" w:after="20" w:line="240" w:lineRule="auto"/>
    </w:pPr>
    <w:rPr>
      <w:rFonts w:ascii="Arial" w:eastAsia="Times New Roman" w:hAnsi="Arial" w:cs="Times New Roman"/>
      <w:lang w:val="en-GB" w:eastAsia="hr-HR"/>
    </w:rPr>
  </w:style>
  <w:style w:type="paragraph" w:customStyle="1" w:styleId="body">
    <w:name w:val="body"/>
    <w:uiPriority w:val="99"/>
    <w:semiHidden/>
    <w:pPr>
      <w:spacing w:before="40" w:after="100" w:line="240" w:lineRule="auto"/>
    </w:pPr>
    <w:rPr>
      <w:rFonts w:ascii="Times New Roman" w:eastAsia="Times New Roman" w:hAnsi="Times New Roman" w:cs="Times New Roman"/>
      <w:lang w:val="en-GB" w:eastAsia="hr-HR"/>
    </w:rPr>
  </w:style>
  <w:style w:type="paragraph" w:customStyle="1" w:styleId="KM">
    <w:name w:val="KM"/>
    <w:basedOn w:val="Heading4"/>
    <w:uiPriority w:val="99"/>
    <w:semiHidden/>
    <w:pPr>
      <w:ind w:left="720"/>
    </w:pPr>
    <w:rPr>
      <w:rFonts w:ascii="Times New Roman Bold" w:eastAsia="Times New Roman" w:hAnsi="Times New Roman Bold"/>
      <w:b/>
      <w:sz w:val="22"/>
    </w:rPr>
  </w:style>
  <w:style w:type="paragraph" w:customStyle="1" w:styleId="EXECUTIVESUMMARY">
    <w:name w:val="EXECUTIVE SUMMARY"/>
    <w:basedOn w:val="NASLOV14"/>
    <w:uiPriority w:val="99"/>
    <w:pPr>
      <w:numPr>
        <w:numId w:val="0"/>
      </w:numPr>
    </w:pPr>
  </w:style>
  <w:style w:type="paragraph" w:customStyle="1" w:styleId="tekst0">
    <w:name w:val="tekst"/>
    <w:basedOn w:val="Normal"/>
    <w:uiPriority w:val="99"/>
    <w:semiHidden/>
    <w:pPr>
      <w:shd w:val="clear" w:color="auto" w:fill="FFFFFF"/>
      <w:spacing w:before="100" w:beforeAutospacing="1" w:after="100" w:afterAutospacing="1"/>
    </w:pPr>
    <w:rPr>
      <w:rFonts w:ascii="Arial" w:eastAsia="Times New Roman" w:hAnsi="Arial" w:cs="Arial"/>
      <w:color w:val="003366"/>
      <w:sz w:val="17"/>
      <w:szCs w:val="17"/>
      <w:lang w:eastAsia="hr-HR"/>
    </w:rPr>
  </w:style>
  <w:style w:type="paragraph" w:customStyle="1" w:styleId="TABLICACharChar">
    <w:name w:val="TABLICA Char Char"/>
    <w:basedOn w:val="Normal"/>
    <w:next w:val="BodyText1"/>
    <w:uiPriority w:val="99"/>
    <w:rPr>
      <w:rFonts w:ascii="Arial" w:eastAsia="Times New Roman" w:hAnsi="Arial" w:cs="Times New Roman"/>
      <w:i/>
    </w:rPr>
  </w:style>
  <w:style w:type="character" w:customStyle="1" w:styleId="TABLICACharCharCharChar">
    <w:name w:val="TABLICA Char Char Char Char"/>
    <w:rPr>
      <w:rFonts w:ascii="Arial" w:hAnsi="Arial"/>
      <w:i/>
      <w:sz w:val="22"/>
      <w:lang w:val="en-GB" w:eastAsia="en-US" w:bidi="ar-SA"/>
    </w:rPr>
  </w:style>
  <w:style w:type="character" w:customStyle="1" w:styleId="TABLICACharCharCharCharChar">
    <w:name w:val="TABLICA Char Char Char Char Char"/>
    <w:rPr>
      <w:rFonts w:ascii="Arial" w:hAnsi="Arial"/>
      <w:i/>
      <w:sz w:val="22"/>
      <w:szCs w:val="22"/>
      <w:lang w:val="en-GB" w:eastAsia="en-US" w:bidi="ar-SA"/>
    </w:rPr>
  </w:style>
  <w:style w:type="paragraph" w:customStyle="1" w:styleId="SLIKAChar0">
    <w:name w:val="SLIKA Char"/>
    <w:basedOn w:val="Normal"/>
    <w:next w:val="BodyText1"/>
    <w:link w:val="SLIKACharChar"/>
    <w:pPr>
      <w:jc w:val="center"/>
    </w:pPr>
    <w:rPr>
      <w:rFonts w:ascii="Arial" w:eastAsia="Times New Roman" w:hAnsi="Arial" w:cs="Times New Roman"/>
      <w:i/>
      <w:lang w:eastAsia="hr-HR"/>
    </w:rPr>
  </w:style>
  <w:style w:type="character" w:customStyle="1" w:styleId="SLIKACharChar">
    <w:name w:val="SLIKA Char Char"/>
    <w:link w:val="SLIKAChar0"/>
    <w:rPr>
      <w:rFonts w:ascii="Arial" w:eastAsia="Times New Roman" w:hAnsi="Arial" w:cs="Times New Roman"/>
      <w:i/>
      <w:sz w:val="22"/>
      <w:lang w:eastAsia="hr-HR"/>
    </w:rPr>
  </w:style>
  <w:style w:type="paragraph" w:customStyle="1" w:styleId="Naslovmala">
    <w:name w:val="Naslov mala"/>
    <w:basedOn w:val="Normal"/>
    <w:next w:val="BodyText1"/>
    <w:uiPriority w:val="99"/>
    <w:semiHidden/>
    <w:rPr>
      <w:rFonts w:ascii="Arial" w:eastAsia="Times New Roman" w:hAnsi="Arial" w:cs="Times New Roman"/>
      <w:b/>
      <w:lang w:eastAsia="hr-HR"/>
    </w:rPr>
  </w:style>
  <w:style w:type="paragraph" w:customStyle="1" w:styleId="JASMINA2">
    <w:name w:val="JASMINA 2"/>
    <w:basedOn w:val="Normal"/>
    <w:uiPriority w:val="99"/>
    <w:semiHidden/>
    <w:rPr>
      <w:rFonts w:ascii="Arial" w:eastAsia="Times New Roman" w:hAnsi="Arial" w:cs="Times New Roman"/>
      <w:lang w:eastAsia="hr-HR"/>
    </w:rPr>
  </w:style>
  <w:style w:type="paragraph" w:customStyle="1" w:styleId="JASMINA3">
    <w:name w:val="JASMINA 3"/>
    <w:basedOn w:val="Normal"/>
    <w:uiPriority w:val="99"/>
    <w:semiHidden/>
    <w:rPr>
      <w:rFonts w:ascii="Arial" w:eastAsia="Times New Roman" w:hAnsi="Arial" w:cs="Times New Roman"/>
      <w:lang w:eastAsia="hr-HR"/>
    </w:rPr>
  </w:style>
  <w:style w:type="paragraph" w:customStyle="1" w:styleId="Jasmina4">
    <w:name w:val="Jasmina 4"/>
    <w:basedOn w:val="Normal"/>
    <w:uiPriority w:val="99"/>
    <w:semiHidden/>
    <w:rPr>
      <w:rFonts w:ascii="Arial" w:eastAsia="Times New Roman" w:hAnsi="Arial" w:cs="Times New Roman"/>
      <w:lang w:eastAsia="hr-HR"/>
    </w:rPr>
  </w:style>
  <w:style w:type="paragraph" w:styleId="Index1">
    <w:name w:val="index 1"/>
    <w:basedOn w:val="Normal"/>
    <w:next w:val="Normal"/>
    <w:uiPriority w:val="99"/>
    <w:pPr>
      <w:ind w:left="220" w:hanging="220"/>
    </w:pPr>
    <w:rPr>
      <w:rFonts w:ascii="Arial" w:eastAsia="Times New Roman" w:hAnsi="Arial" w:cs="Times New Roman"/>
      <w:lang w:eastAsia="hr-HR"/>
    </w:rPr>
  </w:style>
  <w:style w:type="paragraph" w:customStyle="1" w:styleId="ReferencesCitation">
    <w:name w:val="References Citation"/>
    <w:uiPriority w:val="99"/>
    <w:semiHidden/>
    <w:pPr>
      <w:tabs>
        <w:tab w:val="left" w:pos="360"/>
      </w:tabs>
      <w:spacing w:after="0" w:line="240" w:lineRule="auto"/>
      <w:ind w:left="340" w:hanging="340"/>
    </w:pPr>
    <w:rPr>
      <w:rFonts w:ascii="Times New Roman" w:eastAsia="Times New Roman" w:hAnsi="Times New Roman" w:cs="Times New Roman"/>
      <w:lang w:val="en-GB"/>
    </w:rPr>
  </w:style>
  <w:style w:type="paragraph" w:customStyle="1" w:styleId="TABLICACharChar2">
    <w:name w:val="TABLICA Char Char2"/>
    <w:basedOn w:val="Normal"/>
    <w:next w:val="BodyText1"/>
    <w:link w:val="TABLICACharCharChar"/>
    <w:pPr>
      <w:outlineLvl w:val="6"/>
    </w:pPr>
    <w:rPr>
      <w:rFonts w:ascii="Arial" w:eastAsia="Times New Roman" w:hAnsi="Arial" w:cs="Times New Roman"/>
      <w:i/>
    </w:rPr>
  </w:style>
  <w:style w:type="character" w:customStyle="1" w:styleId="TABLICACharCharChar">
    <w:name w:val="TABLICA Char Char Char"/>
    <w:link w:val="TABLICACharChar2"/>
    <w:rPr>
      <w:rFonts w:ascii="Arial" w:eastAsia="Times New Roman" w:hAnsi="Arial" w:cs="Times New Roman"/>
      <w:i/>
      <w:sz w:val="22"/>
    </w:rPr>
  </w:style>
  <w:style w:type="character" w:styleId="FollowedHyperlink">
    <w:name w:val="FollowedHyperlink"/>
    <w:uiPriority w:val="99"/>
    <w:rPr>
      <w:color w:val="800080"/>
      <w:u w:val="single"/>
    </w:rPr>
  </w:style>
  <w:style w:type="paragraph" w:customStyle="1" w:styleId="NASLOVPOGLAVLJA">
    <w:name w:val="NASLOV POGLAVLJA"/>
    <w:basedOn w:val="Normal"/>
    <w:uiPriority w:val="99"/>
    <w:rPr>
      <w:rFonts w:ascii="Arial" w:eastAsia="Times New Roman" w:hAnsi="Arial" w:cs="Times New Roman"/>
      <w:lang w:eastAsia="hr-HR"/>
    </w:rPr>
  </w:style>
  <w:style w:type="paragraph" w:customStyle="1" w:styleId="PRVIPODNASLOVPOGLAVLJA">
    <w:name w:val="PRVI PODNASLOV POGLAVLJA"/>
    <w:basedOn w:val="Normal"/>
    <w:uiPriority w:val="99"/>
    <w:semiHidden/>
    <w:rPr>
      <w:rFonts w:ascii="Arial" w:eastAsia="Times New Roman" w:hAnsi="Arial" w:cs="Times New Roman"/>
      <w:lang w:eastAsia="hr-HR"/>
    </w:rPr>
  </w:style>
  <w:style w:type="paragraph" w:customStyle="1" w:styleId="DRUGIPODNASLOVPOGLAVLJA">
    <w:name w:val="DRUGI PODNASLOV POGLAVLJA"/>
    <w:basedOn w:val="Normal"/>
    <w:uiPriority w:val="99"/>
    <w:semiHidden/>
    <w:rPr>
      <w:rFonts w:ascii="Arial" w:eastAsia="Times New Roman" w:hAnsi="Arial" w:cs="Times New Roman"/>
      <w:lang w:eastAsia="hr-HR"/>
    </w:rPr>
  </w:style>
  <w:style w:type="paragraph" w:customStyle="1" w:styleId="Treipodnaslovpoglavlja">
    <w:name w:val="Treći podnaslov poglavlja"/>
    <w:basedOn w:val="Normal"/>
    <w:uiPriority w:val="99"/>
    <w:semiHidden/>
    <w:rPr>
      <w:rFonts w:ascii="Arial" w:eastAsia="Times New Roman" w:hAnsi="Arial" w:cs="Times New Roman"/>
      <w:lang w:eastAsia="hr-HR"/>
    </w:rPr>
  </w:style>
  <w:style w:type="paragraph" w:customStyle="1" w:styleId="SUMMARY1">
    <w:name w:val="SUMMARY 1"/>
    <w:basedOn w:val="NASLOV14"/>
    <w:next w:val="Normal"/>
    <w:uiPriority w:val="99"/>
    <w:pPr>
      <w:numPr>
        <w:numId w:val="0"/>
      </w:numPr>
    </w:pPr>
  </w:style>
  <w:style w:type="paragraph" w:customStyle="1" w:styleId="SUMMARY2Char">
    <w:name w:val="SUMMARY 2 Char"/>
    <w:basedOn w:val="NASLOV12Char"/>
    <w:next w:val="PlainText"/>
    <w:link w:val="SUMMARY2CharChar"/>
    <w:pPr>
      <w:ind w:left="0"/>
    </w:pPr>
  </w:style>
  <w:style w:type="character" w:customStyle="1" w:styleId="SUMMARY2CharChar">
    <w:name w:val="SUMMARY 2 Char Char"/>
    <w:link w:val="SUMMARY2Char"/>
    <w:rPr>
      <w:rFonts w:ascii="Arial" w:eastAsia="Times New Roman" w:hAnsi="Arial" w:cs="Times New Roman"/>
      <w:b/>
      <w:caps/>
      <w:sz w:val="22"/>
      <w:szCs w:val="24"/>
    </w:rPr>
  </w:style>
  <w:style w:type="paragraph" w:customStyle="1" w:styleId="SUMMARY3">
    <w:name w:val="SUMMARY 3"/>
    <w:basedOn w:val="NASLOV11"/>
    <w:next w:val="PlainText"/>
    <w:uiPriority w:val="99"/>
  </w:style>
  <w:style w:type="paragraph" w:customStyle="1" w:styleId="SUMMARY4">
    <w:name w:val="SUMMARY 4"/>
    <w:basedOn w:val="Heading1"/>
    <w:next w:val="PlainText"/>
    <w:uiPriority w:val="99"/>
    <w:rPr>
      <w:rFonts w:ascii="Arial" w:eastAsia="Times New Roman" w:hAnsi="Arial"/>
      <w:b w:val="0"/>
      <w:sz w:val="24"/>
    </w:rPr>
  </w:style>
  <w:style w:type="paragraph" w:customStyle="1" w:styleId="a">
    <w:name w:val="табл"/>
    <w:basedOn w:val="Normal"/>
    <w:uiPriority w:val="99"/>
    <w:semiHidden/>
    <w:rPr>
      <w:rFonts w:ascii="Palatino Linotype" w:eastAsia="Times New Roman" w:hAnsi="Palatino Linotype" w:cs="Times New Roman"/>
      <w:sz w:val="16"/>
      <w:szCs w:val="16"/>
      <w:lang w:val="en-US" w:eastAsia="ru-RU"/>
    </w:rPr>
  </w:style>
  <w:style w:type="paragraph" w:customStyle="1" w:styleId="10pt">
    <w:name w:val="Стиль табл + 10 pt"/>
    <w:basedOn w:val="a"/>
    <w:uiPriority w:val="99"/>
    <w:semiHidden/>
    <w:rPr>
      <w:sz w:val="20"/>
    </w:rPr>
  </w:style>
  <w:style w:type="paragraph" w:styleId="Index2">
    <w:name w:val="index 2"/>
    <w:basedOn w:val="Normal"/>
    <w:next w:val="Normal"/>
    <w:uiPriority w:val="99"/>
    <w:pPr>
      <w:ind w:left="440" w:hanging="220"/>
    </w:pPr>
    <w:rPr>
      <w:rFonts w:ascii="Arial" w:eastAsia="Times New Roman" w:hAnsi="Arial" w:cs="Times New Roman"/>
      <w:lang w:eastAsia="hr-HR"/>
    </w:rPr>
  </w:style>
  <w:style w:type="paragraph" w:styleId="Index3">
    <w:name w:val="index 3"/>
    <w:basedOn w:val="Normal"/>
    <w:next w:val="Normal"/>
    <w:uiPriority w:val="99"/>
    <w:pPr>
      <w:ind w:left="660" w:hanging="220"/>
    </w:pPr>
    <w:rPr>
      <w:rFonts w:ascii="Arial" w:eastAsia="Times New Roman" w:hAnsi="Arial" w:cs="Times New Roman"/>
      <w:lang w:eastAsia="hr-HR"/>
    </w:rPr>
  </w:style>
  <w:style w:type="paragraph" w:styleId="Index4">
    <w:name w:val="index 4"/>
    <w:basedOn w:val="Normal"/>
    <w:next w:val="Normal"/>
    <w:uiPriority w:val="99"/>
    <w:pPr>
      <w:ind w:left="880" w:hanging="220"/>
    </w:pPr>
    <w:rPr>
      <w:rFonts w:ascii="Arial" w:eastAsia="Times New Roman" w:hAnsi="Arial" w:cs="Times New Roman"/>
      <w:lang w:eastAsia="hr-HR"/>
    </w:rPr>
  </w:style>
  <w:style w:type="paragraph" w:styleId="Index5">
    <w:name w:val="index 5"/>
    <w:basedOn w:val="Normal"/>
    <w:next w:val="Normal"/>
    <w:uiPriority w:val="99"/>
    <w:pPr>
      <w:ind w:left="1100" w:hanging="220"/>
    </w:pPr>
    <w:rPr>
      <w:rFonts w:ascii="Arial" w:eastAsia="Times New Roman" w:hAnsi="Arial" w:cs="Times New Roman"/>
      <w:lang w:eastAsia="hr-HR"/>
    </w:rPr>
  </w:style>
  <w:style w:type="paragraph" w:styleId="Index6">
    <w:name w:val="index 6"/>
    <w:basedOn w:val="Normal"/>
    <w:next w:val="Normal"/>
    <w:uiPriority w:val="99"/>
    <w:pPr>
      <w:ind w:left="1320" w:hanging="220"/>
    </w:pPr>
    <w:rPr>
      <w:rFonts w:ascii="Arial" w:eastAsia="Times New Roman" w:hAnsi="Arial" w:cs="Times New Roman"/>
      <w:lang w:eastAsia="hr-HR"/>
    </w:rPr>
  </w:style>
  <w:style w:type="paragraph" w:styleId="Index7">
    <w:name w:val="index 7"/>
    <w:basedOn w:val="Normal"/>
    <w:next w:val="Normal"/>
    <w:uiPriority w:val="99"/>
    <w:pPr>
      <w:ind w:left="1540" w:hanging="220"/>
    </w:pPr>
    <w:rPr>
      <w:rFonts w:ascii="Arial" w:eastAsia="Times New Roman" w:hAnsi="Arial" w:cs="Times New Roman"/>
      <w:lang w:eastAsia="hr-HR"/>
    </w:rPr>
  </w:style>
  <w:style w:type="paragraph" w:styleId="Index8">
    <w:name w:val="index 8"/>
    <w:basedOn w:val="Normal"/>
    <w:next w:val="Normal"/>
    <w:uiPriority w:val="99"/>
    <w:pPr>
      <w:ind w:left="1760" w:hanging="220"/>
    </w:pPr>
    <w:rPr>
      <w:rFonts w:ascii="Arial" w:eastAsia="Times New Roman" w:hAnsi="Arial" w:cs="Times New Roman"/>
      <w:lang w:eastAsia="hr-HR"/>
    </w:rPr>
  </w:style>
  <w:style w:type="paragraph" w:styleId="Index9">
    <w:name w:val="index 9"/>
    <w:basedOn w:val="Normal"/>
    <w:next w:val="Normal"/>
    <w:uiPriority w:val="99"/>
    <w:pPr>
      <w:ind w:left="1980" w:hanging="220"/>
    </w:pPr>
    <w:rPr>
      <w:rFonts w:ascii="Arial" w:eastAsia="Times New Roman" w:hAnsi="Arial" w:cs="Times New Roman"/>
      <w:lang w:eastAsia="hr-HR"/>
    </w:rPr>
  </w:style>
  <w:style w:type="paragraph" w:styleId="DocumentMap">
    <w:name w:val="Document Map"/>
    <w:basedOn w:val="Normal"/>
    <w:link w:val="DocumentMapChar"/>
    <w:uiPriority w:val="99"/>
    <w:pPr>
      <w:shd w:val="clear" w:color="auto" w:fill="000080"/>
    </w:pPr>
    <w:rPr>
      <w:rFonts w:ascii="Tahoma" w:eastAsia="Times New Roman" w:hAnsi="Tahoma" w:cs="Times New Roman"/>
    </w:rPr>
  </w:style>
  <w:style w:type="character" w:customStyle="1" w:styleId="DocumentMapChar">
    <w:name w:val="Document Map Char"/>
    <w:basedOn w:val="DefaultParagraphFont"/>
    <w:link w:val="DocumentMap"/>
    <w:uiPriority w:val="99"/>
    <w:rPr>
      <w:rFonts w:ascii="Tahoma" w:eastAsia="Times New Roman" w:hAnsi="Tahoma" w:cs="Times New Roman"/>
      <w:sz w:val="22"/>
      <w:shd w:val="clear" w:color="auto" w:fill="000080"/>
    </w:rPr>
  </w:style>
  <w:style w:type="paragraph" w:styleId="IndexHeading">
    <w:name w:val="index heading"/>
    <w:basedOn w:val="Normal"/>
    <w:next w:val="Index1"/>
    <w:uiPriority w:val="99"/>
    <w:rPr>
      <w:rFonts w:ascii="Arial" w:eastAsia="Times New Roman" w:hAnsi="Arial" w:cs="Arial"/>
      <w:b/>
      <w:bCs/>
      <w:lang w:eastAsia="hr-HR"/>
    </w:rPr>
  </w:style>
  <w:style w:type="paragraph" w:styleId="TOAHeading">
    <w:name w:val="toa heading"/>
    <w:basedOn w:val="Normal"/>
    <w:next w:val="Normal"/>
    <w:uiPriority w:val="99"/>
    <w:pPr>
      <w:spacing w:before="120"/>
    </w:pPr>
    <w:rPr>
      <w:rFonts w:ascii="Arial" w:eastAsia="Times New Roman" w:hAnsi="Arial" w:cs="Arial"/>
      <w:b/>
      <w:bCs/>
      <w:szCs w:val="24"/>
      <w:lang w:eastAsia="hr-HR"/>
    </w:rPr>
  </w:style>
  <w:style w:type="paragraph" w:styleId="TableofAuthorities">
    <w:name w:val="table of authorities"/>
    <w:basedOn w:val="Normal"/>
    <w:next w:val="Normal"/>
    <w:uiPriority w:val="99"/>
    <w:pPr>
      <w:ind w:left="220" w:hanging="220"/>
    </w:pPr>
    <w:rPr>
      <w:rFonts w:ascii="Arial" w:eastAsia="Times New Roman" w:hAnsi="Arial" w:cs="Times New Roman"/>
      <w:lang w:eastAsia="hr-HR"/>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lang w:val="en-GB" w:eastAsia="hr-HR"/>
    </w:rPr>
  </w:style>
  <w:style w:type="character" w:customStyle="1" w:styleId="MacroTextChar">
    <w:name w:val="Macro Text Char"/>
    <w:basedOn w:val="DefaultParagraphFont"/>
    <w:link w:val="MacroText"/>
    <w:uiPriority w:val="99"/>
    <w:rPr>
      <w:rFonts w:ascii="Courier New" w:eastAsia="Times New Roman" w:hAnsi="Courier New" w:cs="Courier New"/>
      <w:lang w:val="en-GB" w:eastAsia="hr-HR"/>
    </w:rPr>
  </w:style>
  <w:style w:type="paragraph" w:customStyle="1" w:styleId="SLIKA0">
    <w:name w:val="SLIKA"/>
    <w:basedOn w:val="Normal"/>
    <w:next w:val="BodyText1"/>
    <w:link w:val="SLIKAChar1"/>
    <w:uiPriority w:val="99"/>
    <w:pPr>
      <w:jc w:val="center"/>
    </w:pPr>
    <w:rPr>
      <w:rFonts w:ascii="Arial" w:eastAsia="Times New Roman" w:hAnsi="Arial" w:cs="Times New Roman"/>
      <w:i/>
    </w:rPr>
  </w:style>
  <w:style w:type="character" w:customStyle="1" w:styleId="SLIKAChar1">
    <w:name w:val="SLIKA Char1"/>
    <w:link w:val="SLIKA0"/>
    <w:uiPriority w:val="99"/>
    <w:rPr>
      <w:rFonts w:ascii="Arial" w:eastAsia="Times New Roman" w:hAnsi="Arial" w:cs="Times New Roman"/>
      <w:i/>
      <w:sz w:val="22"/>
    </w:rPr>
  </w:style>
  <w:style w:type="paragraph" w:customStyle="1" w:styleId="ListParagraph1">
    <w:name w:val="List Paragraph1"/>
    <w:basedOn w:val="Normal"/>
    <w:uiPriority w:val="99"/>
    <w:pPr>
      <w:ind w:left="720"/>
    </w:pPr>
    <w:rPr>
      <w:rFonts w:ascii="Arial" w:eastAsia="Times New Roman" w:hAnsi="Arial" w:cs="Times New Roman"/>
      <w:lang w:eastAsia="hr-HR"/>
    </w:rPr>
  </w:style>
  <w:style w:type="paragraph" w:customStyle="1" w:styleId="Slike">
    <w:name w:val="Slike"/>
    <w:basedOn w:val="Normal"/>
    <w:uiPriority w:val="99"/>
    <w:pPr>
      <w:jc w:val="center"/>
    </w:pPr>
    <w:rPr>
      <w:rFonts w:ascii="Arial" w:eastAsia="Times New Roman" w:hAnsi="Arial" w:cs="Times New Roman"/>
      <w:i/>
      <w:color w:val="000000"/>
      <w:lang w:val="pt-PT"/>
    </w:rPr>
  </w:style>
  <w:style w:type="paragraph" w:customStyle="1" w:styleId="RegHead1">
    <w:name w:val="RegHead1"/>
    <w:basedOn w:val="Normal"/>
    <w:next w:val="RegHead2"/>
    <w:uiPriority w:val="99"/>
    <w:pPr>
      <w:keepNext/>
      <w:spacing w:before="180"/>
      <w:jc w:val="center"/>
    </w:pPr>
    <w:rPr>
      <w:rFonts w:ascii="Palatino Linotype" w:eastAsia="Times New Roman" w:hAnsi="Palatino Linotype" w:cs="Times New Roman"/>
      <w:b/>
      <w:sz w:val="28"/>
      <w:lang w:eastAsia="de-DE"/>
    </w:rPr>
  </w:style>
  <w:style w:type="paragraph" w:customStyle="1" w:styleId="RegHead2">
    <w:name w:val="RegHead2"/>
    <w:basedOn w:val="Normal"/>
    <w:next w:val="RegHead3"/>
    <w:uiPriority w:val="99"/>
    <w:pPr>
      <w:keepNext/>
      <w:spacing w:before="180"/>
      <w:jc w:val="center"/>
    </w:pPr>
    <w:rPr>
      <w:rFonts w:ascii="Palatino Linotype" w:eastAsia="Times New Roman" w:hAnsi="Palatino Linotype" w:cs="Times New Roman"/>
      <w:b/>
      <w:lang w:eastAsia="de-DE"/>
    </w:rPr>
  </w:style>
  <w:style w:type="paragraph" w:customStyle="1" w:styleId="RegHead3">
    <w:name w:val="RegHead3"/>
    <w:basedOn w:val="Normal"/>
    <w:next w:val="RegPara"/>
    <w:uiPriority w:val="99"/>
    <w:pPr>
      <w:spacing w:before="180"/>
      <w:jc w:val="center"/>
    </w:pPr>
    <w:rPr>
      <w:rFonts w:ascii="Palatino Linotype" w:eastAsia="Times New Roman" w:hAnsi="Palatino Linotype" w:cs="Times New Roman"/>
      <w:u w:val="single"/>
      <w:lang w:eastAsia="de-DE"/>
    </w:rPr>
  </w:style>
  <w:style w:type="paragraph" w:customStyle="1" w:styleId="RegPara">
    <w:name w:val="RegPara"/>
    <w:basedOn w:val="Normal"/>
    <w:uiPriority w:val="99"/>
    <w:pPr>
      <w:tabs>
        <w:tab w:val="left" w:pos="360"/>
      </w:tabs>
      <w:spacing w:before="180"/>
    </w:pPr>
    <w:rPr>
      <w:rFonts w:ascii="Palatino Linotype" w:eastAsia="Times New Roman" w:hAnsi="Palatino Linotype" w:cs="Times New Roman"/>
      <w:lang w:eastAsia="de-DE"/>
    </w:rPr>
  </w:style>
  <w:style w:type="paragraph" w:customStyle="1" w:styleId="NASLOVSTUDIJE">
    <w:name w:val="NASLOV STUDIJE"/>
    <w:basedOn w:val="Normal"/>
    <w:uiPriority w:val="99"/>
    <w:pPr>
      <w:jc w:val="right"/>
    </w:pPr>
    <w:rPr>
      <w:rFonts w:ascii="Arial" w:eastAsia="MS Mincho" w:hAnsi="Arial" w:cs="Times New Roman"/>
      <w:b/>
      <w:bCs/>
      <w:sz w:val="32"/>
      <w:lang w:eastAsia="ja-JP"/>
    </w:rPr>
  </w:style>
  <w:style w:type="paragraph" w:customStyle="1" w:styleId="NASLOV12">
    <w:name w:val="NASLOV 12"/>
    <w:basedOn w:val="Normal"/>
    <w:next w:val="BodyText"/>
    <w:uiPriority w:val="99"/>
    <w:pPr>
      <w:tabs>
        <w:tab w:val="left" w:pos="284"/>
        <w:tab w:val="left" w:pos="1440"/>
      </w:tabs>
      <w:ind w:left="1440" w:hanging="360"/>
      <w:outlineLvl w:val="1"/>
    </w:pPr>
    <w:rPr>
      <w:rFonts w:ascii="Arial" w:eastAsia="Times New Roman" w:hAnsi="Arial" w:cs="Times New Roman"/>
      <w:b/>
      <w:caps/>
      <w:szCs w:val="24"/>
    </w:rPr>
  </w:style>
  <w:style w:type="character" w:customStyle="1" w:styleId="TABLICACharCharChar1">
    <w:name w:val="TABLICA Char Char Char1"/>
    <w:rPr>
      <w:rFonts w:ascii="Arial" w:hAnsi="Arial"/>
      <w:i/>
      <w:sz w:val="22"/>
      <w:lang w:val="en-GB" w:eastAsia="en-US" w:bidi="ar-SA"/>
    </w:rPr>
  </w:style>
  <w:style w:type="paragraph" w:customStyle="1" w:styleId="SUMMARY2">
    <w:name w:val="SUMMARY 2"/>
    <w:basedOn w:val="NASLOV12"/>
    <w:next w:val="PlainText"/>
    <w:uiPriority w:val="99"/>
    <w:pPr>
      <w:tabs>
        <w:tab w:val="clear" w:pos="1440"/>
      </w:tabs>
      <w:ind w:left="0" w:firstLine="0"/>
    </w:pPr>
    <w:rPr>
      <w:lang w:eastAsia="hr-HR"/>
    </w:rPr>
  </w:style>
  <w:style w:type="paragraph" w:customStyle="1" w:styleId="CharChar1CharChar1">
    <w:name w:val="Char Char1 Char Char1"/>
    <w:basedOn w:val="Normal"/>
    <w:next w:val="Normal"/>
    <w:uiPriority w:val="99"/>
    <w:semiHidden/>
    <w:pPr>
      <w:spacing w:line="240" w:lineRule="exact"/>
    </w:pPr>
    <w:rPr>
      <w:rFonts w:ascii="Tahoma" w:eastAsia="Times New Roman" w:hAnsi="Tahoma" w:cs="Times New Roman"/>
      <w:lang w:val="en-US"/>
    </w:rPr>
  </w:style>
  <w:style w:type="paragraph" w:customStyle="1" w:styleId="CharCharCharCharCharCharCharCharChar">
    <w:name w:val="Char Char Char Char Char Char Char Char Char"/>
    <w:basedOn w:val="Normal"/>
    <w:uiPriority w:val="99"/>
    <w:semiHidden/>
    <w:pPr>
      <w:spacing w:line="240" w:lineRule="exact"/>
    </w:pPr>
    <w:rPr>
      <w:rFonts w:ascii="Tahoma" w:eastAsia="Times New Roman" w:hAnsi="Tahoma" w:cs="Times New Roman"/>
      <w:lang w:val="en-US"/>
    </w:rPr>
  </w:style>
  <w:style w:type="paragraph" w:customStyle="1" w:styleId="CharCharCharCharCharCharChar">
    <w:name w:val="Char Char Char Char Char Char Char"/>
    <w:basedOn w:val="Normal"/>
    <w:uiPriority w:val="99"/>
    <w:semiHidden/>
    <w:pPr>
      <w:spacing w:line="240" w:lineRule="exact"/>
    </w:pPr>
    <w:rPr>
      <w:rFonts w:ascii="Tahoma" w:eastAsia="Times New Roman" w:hAnsi="Tahoma" w:cs="Times New Roman"/>
      <w:lang w:val="en-US"/>
    </w:rPr>
  </w:style>
  <w:style w:type="paragraph" w:customStyle="1" w:styleId="Odlomak">
    <w:name w:val="Odlomak"/>
    <w:basedOn w:val="BodyText"/>
    <w:link w:val="OdlomakChar"/>
    <w:pPr>
      <w:numPr>
        <w:ilvl w:val="1"/>
      </w:numPr>
      <w:tabs>
        <w:tab w:val="left" w:pos="360"/>
        <w:tab w:val="left" w:pos="412"/>
      </w:tabs>
    </w:pPr>
    <w:rPr>
      <w:rFonts w:ascii="Arial" w:eastAsia="Times New Roman" w:hAnsi="Arial" w:cs="Times New Roman"/>
    </w:rPr>
  </w:style>
  <w:style w:type="character" w:customStyle="1" w:styleId="OdlomakChar">
    <w:name w:val="Odlomak Char"/>
    <w:link w:val="Odlomak"/>
    <w:rPr>
      <w:rFonts w:ascii="Arial" w:eastAsia="Times New Roman" w:hAnsi="Arial" w:cs="Times New Roman"/>
      <w:sz w:val="22"/>
      <w:szCs w:val="22"/>
    </w:rPr>
  </w:style>
  <w:style w:type="table" w:styleId="LightList-Accent5">
    <w:name w:val="Light List Accent 5"/>
    <w:basedOn w:val="TableNormal"/>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PlaceholderText">
    <w:name w:val="Placeholder Text"/>
    <w:uiPriority w:val="99"/>
    <w:semiHidden/>
    <w:rPr>
      <w:color w:val="808080"/>
    </w:rPr>
  </w:style>
  <w:style w:type="paragraph" w:customStyle="1" w:styleId="Default">
    <w:name w:val="Default"/>
    <w:pPr>
      <w:spacing w:after="0" w:line="240" w:lineRule="auto"/>
    </w:pPr>
    <w:rPr>
      <w:rFonts w:ascii="Verdana" w:eastAsia="Times New Roman" w:hAnsi="Verdana" w:cs="Verdana"/>
      <w:color w:val="000000"/>
      <w:sz w:val="24"/>
      <w:szCs w:val="24"/>
      <w:lang w:eastAsia="hr-HR"/>
    </w:rPr>
  </w:style>
  <w:style w:type="paragraph" w:customStyle="1" w:styleId="Podnaslovxx">
    <w:name w:val="Podnaslov x.x"/>
    <w:basedOn w:val="NASLOV12Char"/>
    <w:link w:val="PodnaslovxxChar"/>
    <w:rPr>
      <w:iCs/>
      <w:lang w:val="en-US"/>
    </w:rPr>
  </w:style>
  <w:style w:type="character" w:customStyle="1" w:styleId="PodnaslovxxChar">
    <w:name w:val="Podnaslov x.x Char"/>
    <w:link w:val="Podnaslovxx"/>
    <w:rPr>
      <w:rFonts w:ascii="Arial" w:eastAsia="Times New Roman" w:hAnsi="Arial" w:cs="Times New Roman"/>
      <w:b/>
      <w:iCs/>
      <w:caps/>
      <w:sz w:val="22"/>
      <w:szCs w:val="24"/>
      <w:lang w:val="en-US"/>
    </w:rPr>
  </w:style>
  <w:style w:type="paragraph" w:customStyle="1" w:styleId="Naslov30">
    <w:name w:val="Naslov3"/>
    <w:basedOn w:val="NASLOV14"/>
    <w:uiPriority w:val="99"/>
  </w:style>
  <w:style w:type="character" w:customStyle="1" w:styleId="TitleChar">
    <w:name w:val="Title Char"/>
    <w:basedOn w:val="DefaultParagraphFont"/>
    <w:link w:val="Title"/>
    <w:uiPriority w:val="10"/>
    <w:rPr>
      <w:rFonts w:ascii="Calibri Light" w:eastAsia="Calibri Light" w:hAnsi="Calibri Light" w:cs="Calibri Light"/>
      <w:b/>
      <w:bCs/>
      <w:spacing w:val="-7"/>
      <w:sz w:val="48"/>
      <w:szCs w:val="48"/>
    </w:rPr>
  </w:style>
  <w:style w:type="table" w:styleId="LightShading-Accent3">
    <w:name w:val="Light Shading Accent 3"/>
    <w:basedOn w:val="TableNormal"/>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paragraph" w:styleId="Revision">
    <w:name w:val="Revision"/>
    <w:hidden/>
    <w:uiPriority w:val="99"/>
    <w:semiHidden/>
    <w:pPr>
      <w:spacing w:after="0" w:line="240" w:lineRule="auto"/>
    </w:pPr>
    <w:rPr>
      <w:rFonts w:ascii="Arial" w:eastAsia="Times New Roman" w:hAnsi="Arial" w:cs="Times New Roman"/>
      <w:lang w:val="en-GB" w:eastAsia="hr-HR"/>
    </w:rPr>
  </w:style>
  <w:style w:type="table" w:styleId="MediumShading1-Accent6">
    <w:name w:val="Medium Shading 1 Accent 6"/>
    <w:basedOn w:val="TableNormal"/>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paragraph" w:customStyle="1" w:styleId="mojaSlika">
    <w:name w:val="mojaSlika"/>
    <w:next w:val="Normal"/>
    <w:uiPriority w:val="99"/>
    <w:pPr>
      <w:spacing w:after="0" w:line="300" w:lineRule="atLeast"/>
      <w:jc w:val="center"/>
    </w:pPr>
    <w:rPr>
      <w:rFonts w:ascii="Arial" w:eastAsia="Times New Roman" w:hAnsi="Arial" w:cs="Times New Roman"/>
      <w:i/>
      <w:szCs w:val="24"/>
      <w:lang w:eastAsia="hr-HR"/>
    </w:rPr>
  </w:style>
  <w:style w:type="character" w:customStyle="1" w:styleId="Char23">
    <w:name w:val="Char23"/>
    <w:rPr>
      <w:rFonts w:ascii="Arial" w:hAnsi="Arial"/>
      <w:b/>
      <w:sz w:val="22"/>
      <w:lang w:val="en-US"/>
    </w:rPr>
  </w:style>
  <w:style w:type="character" w:customStyle="1" w:styleId="Char22">
    <w:name w:val="Char22"/>
    <w:rPr>
      <w:rFonts w:ascii="Arial" w:hAnsi="Arial"/>
      <w:b/>
      <w:sz w:val="40"/>
    </w:rPr>
  </w:style>
  <w:style w:type="paragraph" w:customStyle="1" w:styleId="BodyText11">
    <w:name w:val="Body Text11"/>
    <w:uiPriority w:val="99"/>
    <w:pPr>
      <w:spacing w:after="80" w:line="240" w:lineRule="auto"/>
    </w:pPr>
    <w:rPr>
      <w:rFonts w:ascii="GarmdITC Bk BT" w:eastAsia="Times New Roman" w:hAnsi="GarmdITC Bk BT" w:cs="Times New Roman"/>
      <w:sz w:val="21"/>
      <w:lang w:eastAsia="hr-HR"/>
    </w:rPr>
  </w:style>
  <w:style w:type="character" w:customStyle="1" w:styleId="shorttext">
    <w:name w:val="short_text"/>
  </w:style>
  <w:style w:type="character" w:customStyle="1" w:styleId="atn">
    <w:name w:val="atn"/>
  </w:style>
  <w:style w:type="paragraph" w:customStyle="1" w:styleId="Trecipodnaslovpoglavlja">
    <w:name w:val="Treci podnaslov poglavlja"/>
    <w:basedOn w:val="DRUGIPODNASLOVPOGLAVLJA"/>
    <w:uiPriority w:val="99"/>
    <w:pPr>
      <w:spacing w:line="400" w:lineRule="exact"/>
    </w:pPr>
    <w:rPr>
      <w:b/>
    </w:rPr>
  </w:style>
  <w:style w:type="paragraph" w:customStyle="1" w:styleId="Slikeitablica">
    <w:name w:val="Slike i tablica"/>
    <w:basedOn w:val="tekst0"/>
    <w:uiPriority w:val="99"/>
    <w:pPr>
      <w:shd w:val="clear" w:color="auto" w:fill="auto"/>
      <w:spacing w:before="0" w:beforeAutospacing="0" w:after="0" w:afterAutospacing="0" w:line="280" w:lineRule="exact"/>
      <w:jc w:val="center"/>
    </w:pPr>
    <w:rPr>
      <w:rFonts w:cs="Times New Roman"/>
      <w:i/>
      <w:color w:val="auto"/>
      <w:sz w:val="22"/>
      <w:szCs w:val="22"/>
      <w:lang w:val="en-GB"/>
    </w:rPr>
  </w:style>
  <w:style w:type="character" w:customStyle="1" w:styleId="longtext">
    <w:name w:val="long_text"/>
    <w:uiPriority w:val="99"/>
  </w:style>
  <w:style w:type="paragraph" w:customStyle="1" w:styleId="Peruskpl">
    <w:name w:val="Peruskpl"/>
    <w:basedOn w:val="Normal"/>
    <w:uiPriority w:val="99"/>
    <w:pPr>
      <w:tabs>
        <w:tab w:val="left" w:pos="432"/>
        <w:tab w:val="left" w:pos="864"/>
        <w:tab w:val="left" w:pos="2592"/>
        <w:tab w:val="left" w:pos="3024"/>
        <w:tab w:val="left" w:pos="3456"/>
      </w:tabs>
      <w:spacing w:before="240" w:line="240" w:lineRule="atLeast"/>
      <w:ind w:left="2591"/>
    </w:pPr>
    <w:rPr>
      <w:rFonts w:ascii="Palatino Linotype" w:eastAsia="Times New Roman" w:hAnsi="Palatino Linotype" w:cs="Times New Roman"/>
      <w:lang w:eastAsia="fi-FI"/>
    </w:rPr>
  </w:style>
  <w:style w:type="paragraph" w:customStyle="1" w:styleId="CharChar1CharChar11">
    <w:name w:val="Char Char1 Char Char11"/>
    <w:basedOn w:val="Normal"/>
    <w:next w:val="Normal"/>
    <w:uiPriority w:val="99"/>
    <w:semiHidden/>
    <w:pPr>
      <w:spacing w:line="240" w:lineRule="exact"/>
    </w:pPr>
    <w:rPr>
      <w:rFonts w:ascii="Tahoma" w:eastAsia="Times New Roman" w:hAnsi="Tahoma" w:cs="Times New Roman"/>
      <w:lang w:val="en-US"/>
    </w:rPr>
  </w:style>
  <w:style w:type="paragraph" w:customStyle="1" w:styleId="CharCharCharCharCharCharCharCharChar1">
    <w:name w:val="Char Char Char Char Char Char Char Char Char1"/>
    <w:basedOn w:val="Normal"/>
    <w:uiPriority w:val="99"/>
    <w:semiHidden/>
    <w:pPr>
      <w:spacing w:line="240" w:lineRule="exact"/>
    </w:pPr>
    <w:rPr>
      <w:rFonts w:ascii="Tahoma" w:eastAsia="Times New Roman" w:hAnsi="Tahoma" w:cs="Times New Roman"/>
      <w:lang w:val="en-US"/>
    </w:rPr>
  </w:style>
  <w:style w:type="paragraph" w:customStyle="1" w:styleId="CharChar11">
    <w:name w:val="Char Char11"/>
    <w:basedOn w:val="Normal"/>
    <w:uiPriority w:val="99"/>
    <w:semiHidden/>
    <w:pPr>
      <w:spacing w:line="240" w:lineRule="exact"/>
    </w:pPr>
    <w:rPr>
      <w:rFonts w:ascii="Tahoma" w:eastAsia="Times New Roman" w:hAnsi="Tahoma" w:cs="Times New Roman"/>
      <w:lang w:val="en-US"/>
    </w:rPr>
  </w:style>
  <w:style w:type="paragraph" w:customStyle="1" w:styleId="CharCharCharCharCharCharChar1">
    <w:name w:val="Char Char Char Char Char Char Char1"/>
    <w:basedOn w:val="Normal"/>
    <w:uiPriority w:val="99"/>
    <w:semiHidden/>
    <w:pPr>
      <w:spacing w:line="240" w:lineRule="exact"/>
    </w:pPr>
    <w:rPr>
      <w:rFonts w:ascii="Tahoma" w:eastAsia="Times New Roman" w:hAnsi="Tahoma" w:cs="Times New Roman"/>
      <w:lang w:val="en-US"/>
    </w:rPr>
  </w:style>
  <w:style w:type="character" w:customStyle="1" w:styleId="Char231">
    <w:name w:val="Char231"/>
    <w:rPr>
      <w:rFonts w:ascii="Arial" w:hAnsi="Arial"/>
      <w:b/>
      <w:sz w:val="22"/>
      <w:lang w:val="en-US"/>
    </w:rPr>
  </w:style>
  <w:style w:type="character" w:customStyle="1" w:styleId="Char221">
    <w:name w:val="Char221"/>
    <w:rPr>
      <w:rFonts w:ascii="Arial" w:hAnsi="Arial"/>
      <w:b/>
      <w:sz w:val="40"/>
    </w:rPr>
  </w:style>
  <w:style w:type="character" w:customStyle="1" w:styleId="BodyTextChar1">
    <w:name w:val="Body Text Char1"/>
    <w:uiPriority w:val="99"/>
    <w:semiHidden/>
    <w:rPr>
      <w:rFonts w:ascii="Arial" w:eastAsia="Times New Roman" w:hAnsi="Arial" w:cs="Times New Roman"/>
      <w:szCs w:val="20"/>
      <w:lang w:val="en-GB" w:eastAsia="hr-HR"/>
    </w:rPr>
  </w:style>
  <w:style w:type="paragraph" w:customStyle="1" w:styleId="Textkrper1">
    <w:name w:val="Textkörper1"/>
    <w:uiPriority w:val="99"/>
    <w:pPr>
      <w:spacing w:after="80" w:line="240" w:lineRule="auto"/>
    </w:pPr>
    <w:rPr>
      <w:rFonts w:ascii="GarmdITC Bk BT" w:eastAsia="Times New Roman" w:hAnsi="GarmdITC Bk BT" w:cs="Times New Roman"/>
      <w:sz w:val="21"/>
      <w:lang w:eastAsia="hr-HR"/>
    </w:rPr>
  </w:style>
  <w:style w:type="paragraph" w:customStyle="1" w:styleId="Naslov20">
    <w:name w:val="Naslov2"/>
    <w:basedOn w:val="NASLOV14"/>
    <w:uiPriority w:val="99"/>
  </w:style>
  <w:style w:type="character" w:customStyle="1" w:styleId="FootnoteTextChar1">
    <w:name w:val="Footnote Text Char1"/>
    <w:uiPriority w:val="99"/>
    <w:rPr>
      <w:rFonts w:ascii="Arial" w:eastAsia="Times New Roman" w:hAnsi="Arial" w:cs="Times New Roman"/>
      <w:sz w:val="20"/>
      <w:szCs w:val="20"/>
      <w:lang w:val="en-GB" w:eastAsia="hr-HR"/>
    </w:rPr>
  </w:style>
  <w:style w:type="character" w:customStyle="1" w:styleId="alt-edited1">
    <w:name w:val="alt-edited1"/>
    <w:rPr>
      <w:color w:val="4D90F0"/>
    </w:rPr>
  </w:style>
  <w:style w:type="paragraph" w:customStyle="1" w:styleId="Naslov4">
    <w:name w:val="Naslov4"/>
    <w:basedOn w:val="NASLOV14"/>
    <w:uiPriority w:val="99"/>
    <w:pPr>
      <w:numPr>
        <w:numId w:val="3"/>
      </w:numPr>
    </w:pPr>
  </w:style>
  <w:style w:type="character" w:customStyle="1" w:styleId="st1">
    <w:name w:val="st1"/>
  </w:style>
  <w:style w:type="table" w:customStyle="1" w:styleId="TableGrid10">
    <w:name w:val="Table Grid1"/>
    <w:basedOn w:val="TableNormal"/>
    <w:next w:val="TableGrid"/>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style>
  <w:style w:type="paragraph" w:customStyle="1" w:styleId="font5">
    <w:name w:val="font5"/>
    <w:basedOn w:val="Normal"/>
    <w:uiPriority w:val="99"/>
    <w:pPr>
      <w:spacing w:before="100" w:beforeAutospacing="1" w:after="100" w:afterAutospacing="1"/>
    </w:pPr>
    <w:rPr>
      <w:rFonts w:ascii="Palatino Linotype" w:eastAsia="Times New Roman" w:hAnsi="Palatino Linotype" w:cs="Times New Roman"/>
      <w:color w:val="000000"/>
      <w:lang w:eastAsia="hr-HR"/>
    </w:rPr>
  </w:style>
  <w:style w:type="paragraph" w:customStyle="1" w:styleId="xl65">
    <w:name w:val="xl65"/>
    <w:basedOn w:val="Normal"/>
    <w:uiPriority w:val="99"/>
    <w:pPr>
      <w:spacing w:before="100" w:beforeAutospacing="1" w:after="100" w:afterAutospacing="1"/>
    </w:pPr>
    <w:rPr>
      <w:rFonts w:ascii="Palatino Linotype" w:eastAsia="Times New Roman" w:hAnsi="Palatino Linotype" w:cs="Times New Roman"/>
      <w:lang w:eastAsia="hr-HR"/>
    </w:rPr>
  </w:style>
  <w:style w:type="paragraph" w:customStyle="1" w:styleId="xl66">
    <w:name w:val="xl66"/>
    <w:basedOn w:val="Normal"/>
    <w:uiPriority w:val="99"/>
    <w:pPr>
      <w:spacing w:before="100" w:beforeAutospacing="1" w:after="100" w:afterAutospacing="1"/>
    </w:pPr>
    <w:rPr>
      <w:rFonts w:ascii="Palatino Linotype" w:eastAsia="Times New Roman" w:hAnsi="Palatino Linotype" w:cs="Times New Roman"/>
      <w:lang w:eastAsia="hr-HR"/>
    </w:rPr>
  </w:style>
  <w:style w:type="paragraph" w:customStyle="1" w:styleId="xl67">
    <w:name w:val="xl67"/>
    <w:basedOn w:val="Normal"/>
    <w:uiPriority w:val="99"/>
    <w:pPr>
      <w:spacing w:before="100" w:beforeAutospacing="1" w:after="100" w:afterAutospacing="1"/>
    </w:pPr>
    <w:rPr>
      <w:rFonts w:ascii="Palatino Linotype" w:eastAsia="Times New Roman" w:hAnsi="Palatino Linotype" w:cs="Times New Roman"/>
      <w:b/>
      <w:bCs/>
      <w:color w:val="000000"/>
      <w:lang w:eastAsia="hr-HR"/>
    </w:rPr>
  </w:style>
  <w:style w:type="paragraph" w:customStyle="1" w:styleId="xl68">
    <w:name w:val="xl68"/>
    <w:basedOn w:val="Normal"/>
    <w:uiPriority w:val="99"/>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Palatino Linotype" w:eastAsia="Times New Roman" w:hAnsi="Palatino Linotype" w:cs="Times New Roman"/>
      <w:b/>
      <w:bCs/>
      <w:color w:val="000000"/>
      <w:lang w:eastAsia="hr-HR"/>
    </w:rPr>
  </w:style>
  <w:style w:type="paragraph" w:customStyle="1" w:styleId="xl69">
    <w:name w:val="xl69"/>
    <w:basedOn w:val="Normal"/>
    <w:uiPriority w:val="99"/>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Palatino Linotype" w:eastAsia="Times New Roman" w:hAnsi="Palatino Linotype" w:cs="Times New Roman"/>
      <w:b/>
      <w:bCs/>
      <w:i/>
      <w:iCs/>
      <w:color w:val="000000"/>
      <w:lang w:eastAsia="hr-HR"/>
    </w:rPr>
  </w:style>
  <w:style w:type="paragraph" w:customStyle="1" w:styleId="xl70">
    <w:name w:val="xl7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b/>
      <w:bCs/>
      <w:color w:val="000000"/>
      <w:lang w:eastAsia="hr-HR"/>
    </w:rPr>
  </w:style>
  <w:style w:type="paragraph" w:customStyle="1" w:styleId="xl71">
    <w:name w:val="xl7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b/>
      <w:bCs/>
      <w:color w:val="000000"/>
      <w:lang w:eastAsia="hr-HR"/>
    </w:rPr>
  </w:style>
  <w:style w:type="paragraph" w:customStyle="1" w:styleId="xl72">
    <w:name w:val="xl7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i/>
      <w:iCs/>
      <w:color w:val="000000"/>
      <w:lang w:eastAsia="hr-HR"/>
    </w:rPr>
  </w:style>
  <w:style w:type="paragraph" w:customStyle="1" w:styleId="xl73">
    <w:name w:val="xl73"/>
    <w:basedOn w:val="Normal"/>
    <w:uiPriority w:val="99"/>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Palatino Linotype" w:eastAsia="Times New Roman" w:hAnsi="Palatino Linotype" w:cs="Times New Roman"/>
      <w:color w:val="000000"/>
      <w:lang w:eastAsia="hr-HR"/>
    </w:rPr>
  </w:style>
  <w:style w:type="paragraph" w:customStyle="1" w:styleId="xl74">
    <w:name w:val="xl7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b/>
      <w:bCs/>
      <w:color w:val="000000"/>
      <w:lang w:eastAsia="hr-HR"/>
    </w:rPr>
  </w:style>
  <w:style w:type="paragraph" w:customStyle="1" w:styleId="xl75">
    <w:name w:val="xl7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color w:val="000000"/>
      <w:lang w:eastAsia="hr-HR"/>
    </w:rPr>
  </w:style>
  <w:style w:type="paragraph" w:customStyle="1" w:styleId="xl76">
    <w:name w:val="xl7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Palatino Linotype" w:eastAsia="Times New Roman" w:hAnsi="Palatino Linotype" w:cs="Times New Roman"/>
      <w:szCs w:val="24"/>
      <w:lang w:eastAsia="hr-HR"/>
    </w:rPr>
  </w:style>
  <w:style w:type="paragraph" w:customStyle="1" w:styleId="xl77">
    <w:name w:val="xl7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lang w:eastAsia="hr-HR"/>
    </w:rPr>
  </w:style>
  <w:style w:type="paragraph" w:customStyle="1" w:styleId="xl78">
    <w:name w:val="xl78"/>
    <w:basedOn w:val="Normal"/>
    <w:uiPriority w:val="99"/>
    <w:pPr>
      <w:pBdr>
        <w:top w:val="single" w:sz="8" w:space="0" w:color="9BBB59"/>
        <w:left w:val="single" w:sz="8" w:space="0" w:color="FFFFFF"/>
        <w:bottom w:val="single" w:sz="8" w:space="0" w:color="FFFFFF"/>
        <w:right w:val="single" w:sz="8" w:space="0" w:color="9BBB59"/>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79">
    <w:name w:val="xl79"/>
    <w:basedOn w:val="Normal"/>
    <w:uiPriority w:val="99"/>
    <w:pPr>
      <w:pBdr>
        <w:left w:val="single" w:sz="8" w:space="0" w:color="9BBB59"/>
        <w:bottom w:val="single" w:sz="8" w:space="0" w:color="FFFFFF"/>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0">
    <w:name w:val="xl80"/>
    <w:basedOn w:val="Normal"/>
    <w:uiPriority w:val="99"/>
    <w:pPr>
      <w:pBdr>
        <w:top w:val="single" w:sz="8" w:space="0" w:color="FFFFFF"/>
        <w:left w:val="single" w:sz="8" w:space="0" w:color="9BBB59"/>
        <w:bottom w:val="single" w:sz="8" w:space="0" w:color="FFFFFF"/>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1">
    <w:name w:val="xl81"/>
    <w:basedOn w:val="Normal"/>
    <w:uiPriority w:val="99"/>
    <w:pPr>
      <w:pBdr>
        <w:top w:val="single" w:sz="8" w:space="0" w:color="FFFFFF"/>
        <w:left w:val="single" w:sz="8" w:space="0" w:color="9BBB59"/>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2">
    <w:name w:val="xl82"/>
    <w:basedOn w:val="Normal"/>
    <w:uiPriority w:val="99"/>
    <w:pPr>
      <w:pBdr>
        <w:top w:val="single" w:sz="8" w:space="0" w:color="9BBB59"/>
        <w:left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3">
    <w:name w:val="xl83"/>
    <w:basedOn w:val="Normal"/>
    <w:uiPriority w:val="99"/>
    <w:pPr>
      <w:pBdr>
        <w:left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4">
    <w:name w:val="xl84"/>
    <w:basedOn w:val="Normal"/>
    <w:uiPriority w:val="99"/>
    <w:pPr>
      <w:pBdr>
        <w:left w:val="single" w:sz="8" w:space="0" w:color="9BBB59"/>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5">
    <w:name w:val="xl85"/>
    <w:basedOn w:val="Normal"/>
    <w:uiPriority w:val="99"/>
    <w:pPr>
      <w:pBdr>
        <w:top w:val="single" w:sz="8" w:space="0" w:color="9BBB59"/>
        <w:bottom w:val="single" w:sz="8" w:space="0" w:color="FFFFFF"/>
        <w:right w:val="single" w:sz="8" w:space="0" w:color="FFFFFF"/>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6">
    <w:name w:val="xl86"/>
    <w:basedOn w:val="Normal"/>
    <w:uiPriority w:val="99"/>
    <w:pPr>
      <w:pBdr>
        <w:top w:val="single" w:sz="8" w:space="0" w:color="9BBB59"/>
        <w:left w:val="single" w:sz="8" w:space="0" w:color="FFFFFF"/>
        <w:bottom w:val="single" w:sz="8" w:space="0" w:color="FFFFFF"/>
        <w:right w:val="single" w:sz="8" w:space="0" w:color="FFFFFF"/>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7">
    <w:name w:val="xl87"/>
    <w:basedOn w:val="Normal"/>
    <w:uiPriority w:val="99"/>
    <w:pPr>
      <w:pBdr>
        <w:top w:val="single" w:sz="8" w:space="0" w:color="9BBB59"/>
        <w:left w:val="single" w:sz="8" w:space="0" w:color="FFFFFF"/>
        <w:bottom w:val="single" w:sz="8" w:space="0" w:color="FFFFFF"/>
        <w:right w:val="single" w:sz="8" w:space="0" w:color="9BBB59"/>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8">
    <w:name w:val="xl88"/>
    <w:basedOn w:val="Normal"/>
    <w:uiPriority w:val="99"/>
    <w:pPr>
      <w:pBdr>
        <w:top w:val="single" w:sz="8" w:space="0" w:color="FFFFFF"/>
        <w:bottom w:val="single" w:sz="8" w:space="0" w:color="FFFFFF"/>
        <w:right w:val="single" w:sz="8" w:space="0" w:color="FFFFFF"/>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9">
    <w:name w:val="xl89"/>
    <w:basedOn w:val="Normal"/>
    <w:uiPriority w:val="99"/>
    <w:pPr>
      <w:pBdr>
        <w:top w:val="single" w:sz="8" w:space="0" w:color="FFFFFF"/>
        <w:left w:val="single" w:sz="8" w:space="0" w:color="FFFFFF"/>
        <w:bottom w:val="single" w:sz="8" w:space="0" w:color="FFFFFF"/>
        <w:right w:val="single" w:sz="8" w:space="0" w:color="FFFFFF"/>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90">
    <w:name w:val="xl90"/>
    <w:basedOn w:val="Normal"/>
    <w:uiPriority w:val="99"/>
    <w:pPr>
      <w:pBdr>
        <w:top w:val="single" w:sz="8" w:space="0" w:color="FFFFFF"/>
        <w:left w:val="single" w:sz="8" w:space="0" w:color="FFFFFF"/>
        <w:bottom w:val="single" w:sz="8" w:space="0" w:color="FFFFFF"/>
        <w:right w:val="single" w:sz="8" w:space="0" w:color="9BBB59"/>
      </w:pBdr>
      <w:shd w:val="clear" w:color="auto" w:fill="C4D79B"/>
      <w:spacing w:before="100" w:beforeAutospacing="1" w:after="100" w:afterAutospacing="1"/>
      <w:jc w:val="center"/>
    </w:pPr>
    <w:rPr>
      <w:rFonts w:ascii="Palatino Linotype" w:eastAsia="Times New Roman" w:hAnsi="Palatino Linotype" w:cs="Times New Roman"/>
      <w:b/>
      <w:bCs/>
      <w:i/>
      <w:iCs/>
      <w:color w:val="FFFFFF"/>
      <w:lang w:eastAsia="hr-HR"/>
    </w:rPr>
  </w:style>
  <w:style w:type="paragraph" w:customStyle="1" w:styleId="xl91">
    <w:name w:val="xl91"/>
    <w:basedOn w:val="Normal"/>
    <w:uiPriority w:val="99"/>
    <w:pPr>
      <w:pBdr>
        <w:top w:val="single" w:sz="8" w:space="0" w:color="FFFFFF"/>
        <w:left w:val="single" w:sz="8" w:space="0" w:color="FFFFFF"/>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i/>
      <w:iCs/>
      <w:color w:val="FFFFFF"/>
      <w:lang w:eastAsia="hr-HR"/>
    </w:rPr>
  </w:style>
  <w:style w:type="paragraph" w:customStyle="1" w:styleId="xl92">
    <w:name w:val="xl92"/>
    <w:basedOn w:val="Normal"/>
    <w:uiPriority w:val="99"/>
    <w:pPr>
      <w:pBdr>
        <w:top w:val="single" w:sz="8" w:space="0" w:color="9BBB59"/>
        <w:left w:val="single" w:sz="8" w:space="0" w:color="FFFFFF"/>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93">
    <w:name w:val="xl93"/>
    <w:basedOn w:val="Normal"/>
    <w:uiPriority w:val="99"/>
    <w:pPr>
      <w:pBdr>
        <w:top w:val="single" w:sz="8" w:space="0" w:color="9BBB59"/>
        <w:left w:val="single" w:sz="8" w:space="0" w:color="FFFFFF"/>
        <w:bottom w:val="single" w:sz="8" w:space="0" w:color="9BBB59"/>
        <w:right w:val="single" w:sz="8" w:space="0" w:color="9BBB59"/>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94">
    <w:name w:val="xl94"/>
    <w:basedOn w:val="Normal"/>
    <w:uiPriority w:val="99"/>
    <w:pPr>
      <w:pBdr>
        <w:top w:val="single" w:sz="8" w:space="0" w:color="9BBB59"/>
        <w:left w:val="single" w:sz="8" w:space="0" w:color="9BBB59"/>
        <w:bottom w:val="single" w:sz="8" w:space="0" w:color="9BBB59"/>
        <w:right w:val="single" w:sz="8" w:space="0" w:color="9BBB59"/>
      </w:pBdr>
      <w:spacing w:before="100" w:beforeAutospacing="1" w:after="100" w:afterAutospacing="1"/>
      <w:jc w:val="right"/>
    </w:pPr>
    <w:rPr>
      <w:rFonts w:ascii="Palatino Linotype" w:eastAsia="Times New Roman" w:hAnsi="Palatino Linotype" w:cs="Times New Roman"/>
      <w:b/>
      <w:bCs/>
      <w:color w:val="000000"/>
      <w:lang w:eastAsia="hr-HR"/>
    </w:rPr>
  </w:style>
  <w:style w:type="paragraph" w:customStyle="1" w:styleId="xl95">
    <w:name w:val="xl95"/>
    <w:basedOn w:val="Normal"/>
    <w:uiPriority w:val="99"/>
    <w:pPr>
      <w:pBdr>
        <w:top w:val="single" w:sz="8" w:space="0" w:color="9BBB59"/>
        <w:left w:val="single" w:sz="8" w:space="0" w:color="9BBB59"/>
        <w:bottom w:val="single" w:sz="8" w:space="0" w:color="9BBB59"/>
        <w:right w:val="single" w:sz="8" w:space="0" w:color="9BBB59"/>
      </w:pBdr>
      <w:spacing w:before="100" w:beforeAutospacing="1" w:after="100" w:afterAutospacing="1"/>
      <w:jc w:val="right"/>
    </w:pPr>
    <w:rPr>
      <w:rFonts w:ascii="Palatino Linotype" w:eastAsia="Times New Roman" w:hAnsi="Palatino Linotype" w:cs="Times New Roman"/>
      <w:color w:val="000000"/>
      <w:lang w:eastAsia="hr-HR"/>
    </w:rPr>
  </w:style>
  <w:style w:type="paragraph" w:customStyle="1" w:styleId="xl96">
    <w:name w:val="xl96"/>
    <w:basedOn w:val="Normal"/>
    <w:uiPriority w:val="99"/>
    <w:pPr>
      <w:pBdr>
        <w:top w:val="single" w:sz="8" w:space="0" w:color="FFFFFF"/>
        <w:left w:val="single" w:sz="8" w:space="0" w:color="9BBB59"/>
        <w:bottom w:val="single" w:sz="8" w:space="0" w:color="9BBB59"/>
        <w:right w:val="single" w:sz="8" w:space="0" w:color="FFFFFF"/>
      </w:pBdr>
      <w:shd w:val="clear" w:color="auto" w:fill="C4D79B"/>
      <w:spacing w:before="100" w:beforeAutospacing="1" w:after="100" w:afterAutospacing="1"/>
      <w:jc w:val="right"/>
    </w:pPr>
    <w:rPr>
      <w:rFonts w:ascii="Palatino Linotype" w:eastAsia="Times New Roman" w:hAnsi="Palatino Linotype" w:cs="Times New Roman"/>
      <w:b/>
      <w:bCs/>
      <w:color w:val="FFFFFF"/>
      <w:lang w:eastAsia="hr-HR"/>
    </w:rPr>
  </w:style>
  <w:style w:type="paragraph" w:customStyle="1" w:styleId="xl97">
    <w:name w:val="xl97"/>
    <w:basedOn w:val="Normal"/>
    <w:uiPriority w:val="99"/>
    <w:pPr>
      <w:pBdr>
        <w:top w:val="single" w:sz="8" w:space="0" w:color="FFFFFF"/>
        <w:left w:val="single" w:sz="8" w:space="0" w:color="FFFFFF"/>
        <w:bottom w:val="single" w:sz="8" w:space="0" w:color="9BBB59"/>
        <w:right w:val="single" w:sz="8" w:space="0" w:color="FFFFFF"/>
      </w:pBdr>
      <w:shd w:val="clear" w:color="auto" w:fill="C4D79B"/>
      <w:spacing w:before="100" w:beforeAutospacing="1" w:after="100" w:afterAutospacing="1"/>
      <w:jc w:val="right"/>
    </w:pPr>
    <w:rPr>
      <w:rFonts w:ascii="Palatino Linotype" w:eastAsia="Times New Roman" w:hAnsi="Palatino Linotype" w:cs="Times New Roman"/>
      <w:b/>
      <w:bCs/>
      <w:color w:val="FFFFFF"/>
      <w:lang w:eastAsia="hr-HR"/>
    </w:rPr>
  </w:style>
  <w:style w:type="paragraph" w:customStyle="1" w:styleId="xl98">
    <w:name w:val="xl98"/>
    <w:basedOn w:val="Normal"/>
    <w:uiPriority w:val="99"/>
    <w:pPr>
      <w:pBdr>
        <w:top w:val="single" w:sz="8" w:space="0" w:color="FFFFFF"/>
        <w:left w:val="single" w:sz="8" w:space="0" w:color="FFFFFF"/>
        <w:bottom w:val="single" w:sz="8" w:space="0" w:color="9BBB59"/>
        <w:right w:val="single" w:sz="8" w:space="0" w:color="9BBB59"/>
      </w:pBdr>
      <w:shd w:val="clear" w:color="auto" w:fill="C4D79B"/>
      <w:spacing w:before="100" w:beforeAutospacing="1" w:after="100" w:afterAutospacing="1"/>
      <w:jc w:val="right"/>
    </w:pPr>
    <w:rPr>
      <w:rFonts w:ascii="Palatino Linotype" w:eastAsia="Times New Roman" w:hAnsi="Palatino Linotype" w:cs="Times New Roman"/>
      <w:b/>
      <w:bCs/>
      <w:color w:val="FFFFFF"/>
      <w:lang w:eastAsia="hr-HR"/>
    </w:rPr>
  </w:style>
  <w:style w:type="paragraph" w:customStyle="1" w:styleId="xl99">
    <w:name w:val="xl99"/>
    <w:basedOn w:val="Normal"/>
    <w:uiPriority w:val="99"/>
    <w:pPr>
      <w:pBdr>
        <w:top w:val="single" w:sz="8" w:space="0" w:color="FFFFFF"/>
        <w:left w:val="single" w:sz="8" w:space="0" w:color="FFFFFF"/>
        <w:bottom w:val="single" w:sz="8" w:space="0" w:color="FFFFFF"/>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i/>
      <w:iCs/>
      <w:color w:val="FFFFFF"/>
      <w:lang w:eastAsia="hr-HR"/>
    </w:rPr>
  </w:style>
  <w:style w:type="paragraph" w:customStyle="1" w:styleId="xl100">
    <w:name w:val="xl100"/>
    <w:basedOn w:val="Normal"/>
    <w:uiPriority w:val="99"/>
    <w:pPr>
      <w:pBdr>
        <w:top w:val="single" w:sz="8" w:space="0" w:color="FFFFFF"/>
        <w:left w:val="single" w:sz="8" w:space="0" w:color="FFFFFF"/>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101">
    <w:name w:val="xl101"/>
    <w:basedOn w:val="Normal"/>
    <w:uiPriority w:val="99"/>
    <w:pPr>
      <w:pBdr>
        <w:top w:val="single" w:sz="8" w:space="0" w:color="FFFFFF"/>
        <w:left w:val="single" w:sz="8" w:space="0" w:color="FFFFFF"/>
        <w:bottom w:val="single" w:sz="8" w:space="0" w:color="9BBB59"/>
        <w:right w:val="single" w:sz="8" w:space="0" w:color="9BBB59"/>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BodyText20">
    <w:name w:val="Body Text2"/>
    <w:uiPriority w:val="99"/>
    <w:pPr>
      <w:spacing w:after="80" w:line="240" w:lineRule="auto"/>
    </w:pPr>
    <w:rPr>
      <w:rFonts w:ascii="GarmdITC Bk BT" w:eastAsia="Times New Roman" w:hAnsi="GarmdITC Bk BT" w:cs="Times New Roman"/>
      <w:sz w:val="21"/>
      <w:lang w:eastAsia="hr-HR"/>
    </w:rPr>
  </w:style>
  <w:style w:type="table" w:customStyle="1" w:styleId="LightList-Accent51">
    <w:name w:val="Light List - Accent 51"/>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1">
    <w:name w:val="Medium Shading 1 - Accent 61"/>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2">
    <w:name w:val="Table Grid2"/>
    <w:basedOn w:val="TableNormal"/>
    <w:next w:val="TableGrid"/>
    <w:uiPriority w:val="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tyle>
  <w:style w:type="paragraph" w:customStyle="1" w:styleId="BodyText30">
    <w:name w:val="Body Text3"/>
    <w:uiPriority w:val="99"/>
    <w:pPr>
      <w:spacing w:after="80" w:line="240" w:lineRule="auto"/>
    </w:pPr>
    <w:rPr>
      <w:rFonts w:ascii="GarmdITC Bk BT" w:eastAsia="Times New Roman" w:hAnsi="GarmdITC Bk BT" w:cs="Times New Roman"/>
      <w:sz w:val="21"/>
      <w:lang w:eastAsia="hr-HR"/>
    </w:rPr>
  </w:style>
  <w:style w:type="table" w:customStyle="1" w:styleId="LightList-Accent52">
    <w:name w:val="Light List - Accent 52"/>
    <w:basedOn w:val="TableNormal"/>
    <w:next w:val="LightList-Accent5"/>
    <w:uiPriority w:val="61"/>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
    <w:name w:val="Light Shading - Accent 32"/>
    <w:basedOn w:val="TableNormal"/>
    <w:next w:val="LightShading-Accent3"/>
    <w:uiPriority w:val="60"/>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2">
    <w:name w:val="Medium Shading 1 - Accent 62"/>
    <w:basedOn w:val="TableNormal"/>
    <w:next w:val="MediumShading1-Accent6"/>
    <w:uiPriority w:val="63"/>
    <w:pPr>
      <w:spacing w:after="0" w:line="240" w:lineRule="auto"/>
    </w:pPr>
    <w:rPr>
      <w:rFonts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numbering" w:customStyle="1" w:styleId="NoList12">
    <w:name w:val="No List12"/>
    <w:next w:val="NoList"/>
    <w:uiPriority w:val="99"/>
    <w:semiHidden/>
    <w:unhideWhenUsed/>
  </w:style>
  <w:style w:type="paragraph" w:customStyle="1" w:styleId="Legend">
    <w:name w:val="Legend"/>
    <w:basedOn w:val="Normal"/>
    <w:next w:val="Normal"/>
    <w:uiPriority w:val="99"/>
    <w:pPr>
      <w:keepNext/>
      <w:widowControl w:val="0"/>
      <w:tabs>
        <w:tab w:val="left" w:pos="1789"/>
        <w:tab w:val="left" w:pos="3579"/>
        <w:tab w:val="left" w:pos="5368"/>
        <w:tab w:val="left" w:pos="7158"/>
        <w:tab w:val="left" w:pos="8948"/>
      </w:tabs>
    </w:pPr>
    <w:rPr>
      <w:rFonts w:ascii="NewBskvll BT" w:eastAsia="Times New Roman" w:hAnsi="NewBskvll BT" w:cs="Times New Roman"/>
      <w:b/>
      <w:sz w:val="16"/>
      <w:lang w:val="en-GB"/>
    </w:rPr>
  </w:style>
  <w:style w:type="numbering" w:customStyle="1" w:styleId="NoList3">
    <w:name w:val="No List3"/>
    <w:next w:val="NoList"/>
    <w:uiPriority w:val="99"/>
    <w:semiHidden/>
    <w:unhideWhenUsed/>
  </w:style>
  <w:style w:type="numbering" w:customStyle="1" w:styleId="NoList13">
    <w:name w:val="No List13"/>
    <w:next w:val="NoList"/>
    <w:uiPriority w:val="99"/>
    <w:semiHidden/>
    <w:unhideWhenUsed/>
  </w:style>
  <w:style w:type="paragraph" w:customStyle="1" w:styleId="uvlaka3111">
    <w:name w:val="uvlaka 3111"/>
    <w:basedOn w:val="Normal"/>
    <w:next w:val="BodyText"/>
    <w:uiPriority w:val="99"/>
    <w:semiHidden/>
    <w:unhideWhenUsed/>
    <w:rPr>
      <w:rFonts w:ascii="Arial" w:hAnsi="Arial" w:cs="Arial"/>
    </w:rPr>
  </w:style>
  <w:style w:type="table" w:customStyle="1" w:styleId="LightShading-Accent33">
    <w:name w:val="Light Shading - Accent 33"/>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LightList-Accent53">
    <w:name w:val="Light List - Accent 53"/>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63">
    <w:name w:val="Medium Shading 1 - Accent 63"/>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11">
    <w:name w:val="TableGrid1"/>
    <w:pPr>
      <w:spacing w:after="0" w:line="240" w:lineRule="auto"/>
    </w:pPr>
    <w:rPr>
      <w:rFonts w:eastAsia="Times New Roman" w:cs="Times New Roman"/>
      <w:lang w:eastAsia="hr-HR"/>
    </w:rPr>
    <w:tblPr>
      <w:tblCellMar>
        <w:top w:w="0" w:type="dxa"/>
        <w:left w:w="0" w:type="dxa"/>
        <w:bottom w:w="0" w:type="dxa"/>
        <w:right w:w="0" w:type="dxa"/>
      </w:tblCellMar>
    </w:tblPr>
  </w:style>
  <w:style w:type="table" w:customStyle="1" w:styleId="TableGrid110">
    <w:name w:val="Table Grid11"/>
    <w:basedOn w:val="TableNormal"/>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1">
    <w:name w:val="Light List - Accent 511"/>
    <w:basedOn w:val="TableNormal"/>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11">
    <w:name w:val="Medium Shading 1 - Accent 611"/>
    <w:basedOn w:val="TableNormal"/>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21">
    <w:name w:val="Table Grid21"/>
    <w:basedOn w:val="TableNormal"/>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21">
    <w:name w:val="Light List - Accent 521"/>
    <w:basedOn w:val="TableNormal"/>
    <w:uiPriority w:val="61"/>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
    <w:name w:val="Light Shading - Accent 321"/>
    <w:basedOn w:val="TableNormal"/>
    <w:uiPriority w:val="60"/>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21">
    <w:name w:val="Medium Shading 1 - Accent 621"/>
    <w:basedOn w:val="TableNormal"/>
    <w:uiPriority w:val="63"/>
    <w:pPr>
      <w:spacing w:after="0" w:line="240" w:lineRule="auto"/>
    </w:pPr>
    <w:rPr>
      <w:rFonts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character" w:customStyle="1" w:styleId="BodyTextChar2">
    <w:name w:val="Body Text Char2"/>
    <w:basedOn w:val="DefaultParagraphFont"/>
    <w:uiPriority w:val="99"/>
    <w:semiHidden/>
  </w:style>
  <w:style w:type="paragraph" w:customStyle="1" w:styleId="CharCharCharCharCharChar">
    <w:name w:val="Char Char Char Char Char Char"/>
    <w:basedOn w:val="Normal"/>
    <w:uiPriority w:val="99"/>
    <w:semiHidden/>
    <w:pPr>
      <w:spacing w:line="240" w:lineRule="exact"/>
    </w:pPr>
    <w:rPr>
      <w:rFonts w:ascii="Tahoma" w:eastAsia="Times New Roman" w:hAnsi="Tahoma" w:cs="Times New Roman"/>
      <w:lang w:val="en-US"/>
    </w:rPr>
  </w:style>
  <w:style w:type="numbering" w:customStyle="1" w:styleId="NoList4">
    <w:name w:val="No List4"/>
    <w:next w:val="NoList"/>
    <w:uiPriority w:val="99"/>
    <w:semiHidden/>
    <w:unhideWhenUsed/>
  </w:style>
  <w:style w:type="paragraph" w:customStyle="1" w:styleId="font6">
    <w:name w:val="font6"/>
    <w:basedOn w:val="Normal"/>
    <w:uiPriority w:val="99"/>
    <w:pPr>
      <w:spacing w:before="100" w:beforeAutospacing="1" w:after="100" w:afterAutospacing="1"/>
    </w:pPr>
    <w:rPr>
      <w:rFonts w:ascii="Tahoma" w:eastAsia="Times New Roman" w:hAnsi="Tahoma" w:cs="Tahoma"/>
      <w:b/>
      <w:bCs/>
      <w:color w:val="000000"/>
      <w:sz w:val="18"/>
      <w:szCs w:val="18"/>
      <w:lang w:val="en-GB" w:eastAsia="en-GB"/>
    </w:rPr>
  </w:style>
  <w:style w:type="table" w:customStyle="1" w:styleId="TableGrid3">
    <w:name w:val="Table Grid3"/>
    <w:basedOn w:val="TableNormal"/>
    <w:next w:val="TableGrid"/>
    <w:uiPriority w:val="99"/>
    <w:pPr>
      <w:spacing w:after="0" w:line="240" w:lineRule="auto"/>
    </w:pPr>
    <w:rPr>
      <w:rFonts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99"/>
    <w:pPr>
      <w:spacing w:after="0" w:line="240" w:lineRule="auto"/>
    </w:pPr>
    <w:rPr>
      <w:rFonts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table" w:customStyle="1" w:styleId="TableGrid20">
    <w:name w:val="TableGrid2"/>
    <w:pPr>
      <w:spacing w:after="0" w:line="240" w:lineRule="auto"/>
    </w:pPr>
    <w:rPr>
      <w:rFonts w:eastAsia="Times New Roman" w:cs="Times New Roman"/>
      <w:lang w:eastAsia="hr-HR"/>
    </w:rPr>
    <w:tblPr>
      <w:tblCellMar>
        <w:top w:w="0" w:type="dxa"/>
        <w:left w:w="0" w:type="dxa"/>
        <w:bottom w:w="0" w:type="dxa"/>
        <w:right w:w="0" w:type="dxa"/>
      </w:tblCellMar>
    </w:tblPr>
  </w:style>
  <w:style w:type="numbering" w:customStyle="1" w:styleId="NoList111">
    <w:name w:val="No List111"/>
    <w:next w:val="NoList"/>
    <w:uiPriority w:val="99"/>
  </w:style>
  <w:style w:type="table" w:customStyle="1" w:styleId="LightList-Accent54">
    <w:name w:val="Light List - Accent 54"/>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4">
    <w:name w:val="Light Shading - Accent 34"/>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4">
    <w:name w:val="Medium Shading 1 - Accent 64"/>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12">
    <w:name w:val="Table Grid12"/>
    <w:basedOn w:val="TableNormal"/>
    <w:next w:val="TableGrid"/>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style>
  <w:style w:type="table" w:customStyle="1" w:styleId="LightList-Accent512">
    <w:name w:val="Light List - Accent 512"/>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12">
    <w:name w:val="Medium Shading 1 - Accent 612"/>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22">
    <w:name w:val="Table Grid22"/>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tyle>
  <w:style w:type="table" w:customStyle="1" w:styleId="LightList-Accent522">
    <w:name w:val="Light List - Accent 522"/>
    <w:basedOn w:val="TableNormal"/>
    <w:next w:val="LightList-Accent5"/>
    <w:uiPriority w:val="61"/>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2">
    <w:name w:val="Light Shading - Accent 322"/>
    <w:basedOn w:val="TableNormal"/>
    <w:next w:val="LightShading-Accent3"/>
    <w:uiPriority w:val="60"/>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22">
    <w:name w:val="Medium Shading 1 - Accent 622"/>
    <w:basedOn w:val="TableNormal"/>
    <w:next w:val="MediumShading1-Accent6"/>
    <w:uiPriority w:val="63"/>
    <w:pPr>
      <w:spacing w:after="0" w:line="240" w:lineRule="auto"/>
    </w:pPr>
    <w:rPr>
      <w:rFonts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numbering" w:customStyle="1" w:styleId="NoList121">
    <w:name w:val="No List121"/>
    <w:next w:val="NoList"/>
    <w:uiPriority w:val="99"/>
    <w:semiHidden/>
    <w:unhideWhenUsed/>
  </w:style>
  <w:style w:type="numbering" w:customStyle="1" w:styleId="NoList31">
    <w:name w:val="No List31"/>
    <w:next w:val="NoList"/>
    <w:uiPriority w:val="99"/>
    <w:semiHidden/>
    <w:unhideWhenUsed/>
  </w:style>
  <w:style w:type="numbering" w:customStyle="1" w:styleId="NoList131">
    <w:name w:val="No List131"/>
    <w:next w:val="NoList"/>
    <w:uiPriority w:val="99"/>
    <w:semiHidden/>
    <w:unhideWhenUsed/>
  </w:style>
  <w:style w:type="table" w:customStyle="1" w:styleId="Izvjescetablica11">
    <w:name w:val="Izvjescetablica11"/>
    <w:basedOn w:val="TableNormal"/>
    <w:next w:val="TableGrid"/>
    <w:pPr>
      <w:spacing w:after="0" w:line="240" w:lineRule="auto"/>
    </w:pPr>
    <w:rPr>
      <w:rFonts w:ascii="Times New Roman" w:eastAsia="Times New Roman" w:hAnsi="Times New Roman" w:cs="Times New Roman"/>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31">
    <w:name w:val="Light Shading - Accent 331"/>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LightList-Accent531">
    <w:name w:val="Light List - Accent 531"/>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631">
    <w:name w:val="Medium Shading 1 - Accent 631"/>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111">
    <w:name w:val="TableGrid11"/>
    <w:pPr>
      <w:spacing w:after="0" w:line="240" w:lineRule="auto"/>
    </w:pPr>
    <w:rPr>
      <w:rFonts w:eastAsia="Times New Roman" w:cs="Times New Roman"/>
      <w:lang w:eastAsia="hr-HR"/>
    </w:rPr>
    <w:tblPr>
      <w:tblCellMar>
        <w:top w:w="0" w:type="dxa"/>
        <w:left w:w="0" w:type="dxa"/>
        <w:bottom w:w="0" w:type="dxa"/>
        <w:right w:w="0" w:type="dxa"/>
      </w:tblCellMar>
    </w:tblPr>
  </w:style>
  <w:style w:type="table" w:customStyle="1" w:styleId="TableGrid1110">
    <w:name w:val="Table Grid111"/>
    <w:basedOn w:val="TableNormal"/>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11">
    <w:name w:val="Light List - Accent 5111"/>
    <w:basedOn w:val="TableNormal"/>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111">
    <w:name w:val="Medium Shading 1 - Accent 6111"/>
    <w:basedOn w:val="TableNormal"/>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211">
    <w:name w:val="Table Grid211"/>
    <w:basedOn w:val="TableNormal"/>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211">
    <w:name w:val="Light List - Accent 5211"/>
    <w:basedOn w:val="TableNormal"/>
    <w:uiPriority w:val="61"/>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1">
    <w:name w:val="Light Shading - Accent 3211"/>
    <w:basedOn w:val="TableNormal"/>
    <w:uiPriority w:val="60"/>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211">
    <w:name w:val="Medium Shading 1 - Accent 6211"/>
    <w:basedOn w:val="TableNormal"/>
    <w:uiPriority w:val="63"/>
    <w:pPr>
      <w:spacing w:after="0" w:line="240" w:lineRule="auto"/>
    </w:pPr>
    <w:rPr>
      <w:rFonts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paragraph" w:customStyle="1" w:styleId="Naslov5">
    <w:name w:val="Naslov5"/>
    <w:basedOn w:val="NASLOV14"/>
    <w:uiPriority w:val="99"/>
    <w:pPr>
      <w:numPr>
        <w:numId w:val="0"/>
      </w:numPr>
      <w:ind w:left="720" w:hanging="360"/>
    </w:pPr>
  </w:style>
  <w:style w:type="table" w:customStyle="1" w:styleId="TABLICAHAOP20">
    <w:name w:val="TABLICA HAOP2"/>
    <w:basedOn w:val="TableNormal"/>
    <w:uiPriority w:val="99"/>
    <w:pPr>
      <w:spacing w:after="0" w:line="240" w:lineRule="auto"/>
    </w:pPr>
    <w:tblPr/>
  </w:style>
  <w:style w:type="table" w:customStyle="1" w:styleId="TableGrid24">
    <w:name w:val="Table Grid24"/>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NASLOVNU">
    <w:name w:val="ZA NASLOVNU"/>
    <w:basedOn w:val="Normal"/>
    <w:uiPriority w:val="99"/>
    <w:pPr>
      <w:jc w:val="right"/>
    </w:pPr>
    <w:rPr>
      <w:rFonts w:eastAsia="MS Mincho" w:cs="Times New Roman"/>
      <w:b/>
      <w:bCs/>
      <w:lang w:eastAsia="ja-JP"/>
    </w:rPr>
  </w:style>
  <w:style w:type="paragraph" w:customStyle="1" w:styleId="HEADERFOOTER">
    <w:name w:val="HEADER/FOOTER"/>
    <w:basedOn w:val="Normal"/>
    <w:uiPriority w:val="99"/>
    <w:rPr>
      <w:rFonts w:eastAsia="MS Mincho" w:cs="Times New Roman"/>
      <w:sz w:val="16"/>
      <w:szCs w:val="24"/>
      <w:lang w:eastAsia="ja-JP"/>
    </w:rPr>
  </w:style>
  <w:style w:type="paragraph" w:customStyle="1" w:styleId="SlikaAZO">
    <w:name w:val="Slika_AZO"/>
    <w:basedOn w:val="Normal"/>
    <w:uiPriority w:val="99"/>
    <w:pPr>
      <w:spacing w:before="120" w:line="360" w:lineRule="auto"/>
      <w:jc w:val="center"/>
    </w:pPr>
    <w:rPr>
      <w:rFonts w:ascii="Palatino Linotype" w:eastAsia="Times New Roman" w:hAnsi="Palatino Linotype" w:cs="Times New Roman"/>
      <w:sz w:val="20"/>
      <w:lang w:eastAsia="hr-HR"/>
    </w:rPr>
  </w:style>
  <w:style w:type="paragraph" w:customStyle="1" w:styleId="PRVIPODNASLOV">
    <w:name w:val="PRVI PODNASLOV"/>
    <w:basedOn w:val="Normal"/>
    <w:uiPriority w:val="99"/>
    <w:pPr>
      <w:tabs>
        <w:tab w:val="left" w:pos="709"/>
      </w:tabs>
      <w:spacing w:after="120"/>
      <w:ind w:left="709" w:hanging="709"/>
      <w:outlineLvl w:val="1"/>
    </w:pPr>
    <w:rPr>
      <w:rFonts w:eastAsia="MS Mincho" w:cs="Times New Roman"/>
      <w:b/>
      <w:szCs w:val="24"/>
      <w:lang w:eastAsia="ja-JP"/>
    </w:rPr>
  </w:style>
  <w:style w:type="paragraph" w:customStyle="1" w:styleId="Typedudocument">
    <w:name w:val="Type du document"/>
    <w:basedOn w:val="Normal"/>
    <w:next w:val="Normal"/>
    <w:uiPriority w:val="99"/>
    <w:pPr>
      <w:spacing w:before="360"/>
      <w:jc w:val="center"/>
    </w:pPr>
    <w:rPr>
      <w:rFonts w:eastAsia="Times New Roman" w:cs="Times New Roman"/>
      <w:b/>
      <w:lang w:val="en-GB" w:eastAsia="en-GB"/>
    </w:rPr>
  </w:style>
  <w:style w:type="paragraph" w:customStyle="1" w:styleId="TablicaAZO">
    <w:name w:val="Tablica_AZO"/>
    <w:basedOn w:val="Normal"/>
    <w:uiPriority w:val="99"/>
    <w:pPr>
      <w:keepNext/>
    </w:pPr>
    <w:rPr>
      <w:rFonts w:eastAsia="Times New Roman" w:cs="Times New Roman"/>
      <w:sz w:val="20"/>
      <w:lang w:eastAsia="hr-HR"/>
    </w:rPr>
  </w:style>
  <w:style w:type="paragraph" w:customStyle="1" w:styleId="DRUGIPODNASLOV">
    <w:name w:val="DRUGI PODNASLOV"/>
    <w:basedOn w:val="Normal"/>
    <w:uiPriority w:val="99"/>
    <w:pPr>
      <w:tabs>
        <w:tab w:val="left" w:pos="851"/>
      </w:tabs>
      <w:spacing w:before="360" w:after="120" w:line="240" w:lineRule="auto"/>
      <w:ind w:left="851" w:hanging="851"/>
    </w:pPr>
    <w:rPr>
      <w:rFonts w:eastAsia="MS Mincho" w:cs="Times New Roman"/>
      <w:b/>
      <w:szCs w:val="24"/>
      <w:lang w:eastAsia="ja-JP"/>
    </w:rPr>
  </w:style>
  <w:style w:type="character" w:customStyle="1" w:styleId="NormalWebChar">
    <w:name w:val="Normal (Web) Char"/>
    <w:basedOn w:val="DefaultParagraphFont"/>
    <w:link w:val="NormalWeb"/>
    <w:uiPriority w:val="99"/>
    <w:rPr>
      <w:rFonts w:ascii="Times New Roman" w:hAnsi="Times New Roman"/>
      <w:sz w:val="24"/>
    </w:rPr>
  </w:style>
  <w:style w:type="character" w:customStyle="1" w:styleId="CommentTextChar1">
    <w:name w:val="Comment Text Char1"/>
    <w:basedOn w:val="DefaultParagraphFont"/>
    <w:uiPriority w:val="99"/>
    <w:semiHidden/>
    <w:rPr>
      <w:rFonts w:ascii="Times New Roman" w:eastAsia="MS Mincho" w:hAnsi="Times New Roman" w:cs="Times New Roman"/>
      <w:lang w:eastAsia="ja-JP"/>
    </w:rPr>
  </w:style>
  <w:style w:type="paragraph" w:customStyle="1" w:styleId="LITERATURA">
    <w:name w:val="LITERATURA"/>
    <w:basedOn w:val="Normal"/>
    <w:uiPriority w:val="99"/>
    <w:pPr>
      <w:spacing w:before="240" w:line="240" w:lineRule="auto"/>
      <w:ind w:left="992" w:hanging="992"/>
    </w:pPr>
    <w:rPr>
      <w:rFonts w:eastAsia="MS Mincho" w:cs="Times New Roman"/>
      <w:lang w:eastAsia="ja-JP"/>
    </w:rPr>
  </w:style>
  <w:style w:type="paragraph" w:customStyle="1" w:styleId="t-9-8">
    <w:name w:val="t-9-8"/>
    <w:basedOn w:val="Normal"/>
    <w:uiPriority w:val="99"/>
    <w:pPr>
      <w:spacing w:before="100" w:beforeAutospacing="1" w:after="100" w:afterAutospacing="1" w:line="240" w:lineRule="auto"/>
      <w:jc w:val="left"/>
    </w:pPr>
    <w:rPr>
      <w:rFonts w:eastAsia="Times New Roman" w:cs="Times New Roman"/>
      <w:szCs w:val="24"/>
      <w:lang w:eastAsia="hr-HR"/>
    </w:rPr>
  </w:style>
  <w:style w:type="character" w:customStyle="1" w:styleId="TekstChar">
    <w:name w:val="Tekst Char"/>
    <w:link w:val="Tekst"/>
    <w:rPr>
      <w:rFonts w:eastAsia="Times New Roman" w:cs="Times New Roman"/>
      <w:sz w:val="18"/>
      <w:szCs w:val="18"/>
      <w:lang w:val="en-GB" w:eastAsia="hr-HR"/>
    </w:rPr>
  </w:style>
  <w:style w:type="paragraph" w:customStyle="1" w:styleId="t-98-20">
    <w:name w:val="t-98-2"/>
    <w:basedOn w:val="Normal"/>
    <w:uiPriority w:val="99"/>
    <w:pPr>
      <w:spacing w:before="100" w:beforeAutospacing="1" w:after="100" w:afterAutospacing="1" w:line="240" w:lineRule="auto"/>
      <w:jc w:val="left"/>
    </w:pPr>
    <w:rPr>
      <w:rFonts w:eastAsia="MS Mincho" w:cs="Times New Roman"/>
      <w:szCs w:val="24"/>
      <w:lang w:eastAsia="hr-HR"/>
    </w:rPr>
  </w:style>
  <w:style w:type="character" w:customStyle="1" w:styleId="IPAHeading2TextCharChar">
    <w:name w:val="IPA Heading 2 Text Char Char"/>
    <w:link w:val="IPAHeading2TextChar"/>
    <w:uiPriority w:val="99"/>
    <w:rPr>
      <w:sz w:val="24"/>
      <w:szCs w:val="22"/>
      <w:lang w:val="en-GB" w:eastAsia="en-GB"/>
    </w:rPr>
  </w:style>
  <w:style w:type="paragraph" w:customStyle="1" w:styleId="IPAHeading2TextChar">
    <w:name w:val="IPA Heading 2 Text Char"/>
    <w:basedOn w:val="Normal"/>
    <w:link w:val="IPAHeading2TextCharChar"/>
    <w:uiPriority w:val="99"/>
    <w:pPr>
      <w:spacing w:line="240" w:lineRule="auto"/>
      <w:ind w:left="1134"/>
    </w:pPr>
    <w:rPr>
      <w:rFonts w:ascii="Segoe UI" w:hAnsi="Segoe UI"/>
      <w:lang w:val="en-GB" w:eastAsia="en-GB"/>
    </w:rPr>
  </w:style>
  <w:style w:type="paragraph" w:customStyle="1" w:styleId="t-9-8-bez-uvl">
    <w:name w:val="t-9-8-bez-uvl"/>
    <w:basedOn w:val="Normal"/>
    <w:uiPriority w:val="99"/>
    <w:pPr>
      <w:spacing w:before="100" w:beforeAutospacing="1" w:after="100" w:afterAutospacing="1" w:line="240" w:lineRule="auto"/>
      <w:jc w:val="left"/>
    </w:pPr>
    <w:rPr>
      <w:rFonts w:eastAsia="MS Mincho" w:cs="Times New Roman"/>
      <w:szCs w:val="24"/>
      <w:lang w:eastAsia="hr-HR"/>
    </w:rPr>
  </w:style>
  <w:style w:type="paragraph" w:customStyle="1" w:styleId="t-98bezuvl0">
    <w:name w:val="t-98bezuvl"/>
    <w:basedOn w:val="Normal"/>
    <w:uiPriority w:val="99"/>
    <w:pPr>
      <w:spacing w:before="100" w:beforeAutospacing="1" w:after="100" w:afterAutospacing="1" w:line="240" w:lineRule="auto"/>
      <w:jc w:val="left"/>
    </w:pPr>
    <w:rPr>
      <w:rFonts w:eastAsia="MS Mincho" w:cs="Times New Roman"/>
      <w:szCs w:val="24"/>
      <w:lang w:eastAsia="hr-HR"/>
    </w:rPr>
  </w:style>
  <w:style w:type="paragraph" w:customStyle="1" w:styleId="clanak-">
    <w:name w:val="clanak-"/>
    <w:basedOn w:val="Normal"/>
    <w:uiPriority w:val="99"/>
    <w:pPr>
      <w:spacing w:before="100" w:beforeAutospacing="1" w:after="100" w:afterAutospacing="1" w:line="240" w:lineRule="auto"/>
      <w:jc w:val="center"/>
    </w:pPr>
    <w:rPr>
      <w:rFonts w:eastAsia="Times New Roman" w:cs="Times New Roman"/>
      <w:szCs w:val="24"/>
      <w:lang w:eastAsia="hr-HR"/>
    </w:rPr>
  </w:style>
  <w:style w:type="paragraph" w:customStyle="1" w:styleId="t-10-9-kurz-s-fett">
    <w:name w:val="t-10-9-kurz-s-fett"/>
    <w:basedOn w:val="Normal"/>
    <w:uiPriority w:val="99"/>
    <w:pPr>
      <w:spacing w:before="100" w:beforeAutospacing="1" w:after="100" w:afterAutospacing="1" w:line="240" w:lineRule="auto"/>
      <w:jc w:val="center"/>
    </w:pPr>
    <w:rPr>
      <w:rFonts w:eastAsia="Times New Roman" w:cs="Times New Roman"/>
      <w:b/>
      <w:bCs/>
      <w:i/>
      <w:iCs/>
      <w:sz w:val="26"/>
      <w:szCs w:val="26"/>
      <w:lang w:eastAsia="hr-HR"/>
    </w:rPr>
  </w:style>
  <w:style w:type="paragraph" w:customStyle="1" w:styleId="CM4">
    <w:name w:val="CM4"/>
    <w:basedOn w:val="Default"/>
    <w:next w:val="Default"/>
    <w:uiPriority w:val="99"/>
    <w:rPr>
      <w:rFonts w:ascii="EUAlbertina" w:eastAsia="Calibri" w:hAnsi="EUAlbertina" w:cs="Times New Roman"/>
      <w:color w:val="auto"/>
      <w:lang w:eastAsia="en-US"/>
    </w:rPr>
  </w:style>
  <w:style w:type="paragraph" w:customStyle="1" w:styleId="CRNO">
    <w:name w:val="CRNO"/>
    <w:basedOn w:val="Normal"/>
    <w:uiPriority w:val="99"/>
    <w:pPr>
      <w:spacing w:line="288" w:lineRule="auto"/>
    </w:pPr>
    <w:rPr>
      <w:rFonts w:eastAsia="MS Mincho"/>
    </w:rPr>
  </w:style>
  <w:style w:type="character" w:customStyle="1" w:styleId="HeaderChar1">
    <w:name w:val="Header Char1"/>
    <w:basedOn w:val="DefaultParagraphFont"/>
    <w:uiPriority w:val="99"/>
    <w:semiHidden/>
    <w:rPr>
      <w:rFonts w:ascii="Times New Roman" w:eastAsia="MS Mincho" w:hAnsi="Times New Roman" w:cs="Times New Roman"/>
      <w:sz w:val="24"/>
      <w:szCs w:val="24"/>
      <w:lang w:eastAsia="ja-JP"/>
    </w:rPr>
  </w:style>
  <w:style w:type="character" w:customStyle="1" w:styleId="FooterChar1">
    <w:name w:val="Footer Char1"/>
    <w:basedOn w:val="DefaultParagraphFont"/>
    <w:uiPriority w:val="99"/>
    <w:semiHidden/>
    <w:rPr>
      <w:rFonts w:ascii="Times New Roman" w:eastAsia="MS Mincho" w:hAnsi="Times New Roman" w:cs="Times New Roman"/>
      <w:sz w:val="24"/>
      <w:szCs w:val="24"/>
      <w:lang w:eastAsia="ja-JP"/>
    </w:rPr>
  </w:style>
  <w:style w:type="character" w:customStyle="1" w:styleId="BalloonTextChar1">
    <w:name w:val="Balloon Text Char1"/>
    <w:basedOn w:val="DefaultParagraphFont"/>
    <w:uiPriority w:val="99"/>
    <w:semiHidden/>
    <w:rPr>
      <w:rFonts w:eastAsia="MS Mincho" w:cs="Segoe UI"/>
      <w:sz w:val="18"/>
      <w:szCs w:val="18"/>
      <w:lang w:eastAsia="ja-JP"/>
    </w:rPr>
  </w:style>
  <w:style w:type="character" w:customStyle="1" w:styleId="kurziv1">
    <w:name w:val="kurziv1"/>
    <w:uiPriority w:val="99"/>
    <w:rPr>
      <w:i/>
      <w:iCs w:val="0"/>
    </w:rPr>
  </w:style>
  <w:style w:type="character" w:customStyle="1" w:styleId="PlainTextChar1">
    <w:name w:val="Plain Text Char1"/>
    <w:basedOn w:val="DefaultParagraphFont"/>
    <w:uiPriority w:val="99"/>
    <w:semiHidden/>
    <w:rPr>
      <w:rFonts w:ascii="Consolas" w:eastAsia="MS Mincho" w:hAnsi="Consolas" w:cs="Consolas"/>
      <w:sz w:val="21"/>
      <w:szCs w:val="21"/>
      <w:lang w:eastAsia="ja-JP"/>
    </w:rPr>
  </w:style>
  <w:style w:type="character" w:customStyle="1" w:styleId="paragrafpalatinoivana">
    <w:name w:val="paragraf palatino ivana"/>
    <w:uiPriority w:val="99"/>
    <w:rPr>
      <w:rFonts w:ascii="Palatino Linotype" w:hAnsi="Palatino Linotype" w:hint="default"/>
      <w:sz w:val="20"/>
    </w:rPr>
  </w:style>
  <w:style w:type="character" w:customStyle="1" w:styleId="bold1">
    <w:name w:val="bold1"/>
    <w:uiPriority w:val="99"/>
    <w:rPr>
      <w:b/>
      <w:bCs w:val="0"/>
    </w:rPr>
  </w:style>
  <w:style w:type="character" w:customStyle="1" w:styleId="spelle">
    <w:name w:val="spelle"/>
    <w:uiPriority w:val="99"/>
  </w:style>
  <w:style w:type="character" w:customStyle="1" w:styleId="CommentSubjectChar1">
    <w:name w:val="Comment Subject Char1"/>
    <w:basedOn w:val="CommentTextChar1"/>
    <w:uiPriority w:val="99"/>
    <w:semiHidden/>
    <w:rPr>
      <w:rFonts w:ascii="Times New Roman" w:eastAsia="MS Mincho" w:hAnsi="Times New Roman" w:cs="Times New Roman"/>
      <w:b/>
      <w:bCs/>
      <w:lang w:eastAsia="ja-JP"/>
    </w:rPr>
  </w:style>
  <w:style w:type="character" w:customStyle="1" w:styleId="dolestoje-a">
    <w:name w:val="dolestoje-a"/>
  </w:style>
  <w:style w:type="character" w:customStyle="1" w:styleId="sub">
    <w:name w:val="sub"/>
  </w:style>
  <w:style w:type="character" w:customStyle="1" w:styleId="apple-converted-space">
    <w:name w:val="apple-converted-space"/>
    <w:basedOn w:val="DefaultParagraphFont"/>
  </w:style>
  <w:style w:type="character" w:customStyle="1" w:styleId="st">
    <w:name w:val="st"/>
    <w:basedOn w:val="DefaultParagraphFont"/>
  </w:style>
  <w:style w:type="table" w:customStyle="1" w:styleId="TableGrid5">
    <w:name w:val="Table Grid5"/>
    <w:uiPriority w:val="99"/>
    <w:pPr>
      <w:spacing w:after="0" w:line="240" w:lineRule="auto"/>
    </w:pPr>
    <w:rPr>
      <w:rFonts w:ascii="Times New Roman" w:eastAsia="MS Mincho"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uiPriority w:val="99"/>
    <w:pPr>
      <w:spacing w:after="0" w:line="240" w:lineRule="auto"/>
    </w:pPr>
    <w:rPr>
      <w:rFonts w:ascii="Times New Roman" w:eastAsia="MS Mincho"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pPr>
      <w:spacing w:after="0" w:line="240" w:lineRule="auto"/>
    </w:pPr>
    <w:rPr>
      <w:rFonts w:eastAsia="MS Mincho"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3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1">
    <w:name w:val="Plain Table 21"/>
    <w:basedOn w:val="TableNormal"/>
    <w:uiPriority w:val="42"/>
    <w:pPr>
      <w:spacing w:after="0" w:line="240" w:lineRule="auto"/>
    </w:pPr>
    <w:rPr>
      <w:rFonts w:cs="Times New Roman"/>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9">
    <w:name w:val="Table Grid9"/>
    <w:basedOn w:val="TableNormal"/>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
    <w:name w:val="Table Grid10"/>
    <w:basedOn w:val="TableNormal"/>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uiPriority w:val="5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pPr>
      <w:spacing w:line="240" w:lineRule="auto"/>
      <w:jc w:val="left"/>
    </w:pPr>
    <w:rPr>
      <w:rFonts w:ascii="Times" w:hAnsi="Times" w:cs="Times"/>
      <w:szCs w:val="24"/>
    </w:rPr>
  </w:style>
  <w:style w:type="paragraph" w:customStyle="1" w:styleId="box462116">
    <w:name w:val="box_462116"/>
    <w:basedOn w:val="Normal"/>
    <w:uiPriority w:val="99"/>
    <w:pPr>
      <w:spacing w:before="100" w:beforeAutospacing="1" w:after="100" w:afterAutospacing="1" w:line="240" w:lineRule="auto"/>
      <w:jc w:val="left"/>
    </w:pPr>
    <w:rPr>
      <w:rFonts w:eastAsia="Times New Roman" w:cs="Times New Roman"/>
      <w:szCs w:val="24"/>
      <w:lang w:eastAsia="hr-HR"/>
    </w:rPr>
  </w:style>
  <w:style w:type="character" w:customStyle="1" w:styleId="TekstkomentaraChar1">
    <w:name w:val="Tekst komentara Char1"/>
    <w:basedOn w:val="DefaultParagraphFont"/>
    <w:uiPriority w:val="99"/>
    <w:semiHidden/>
    <w:rPr>
      <w:rFonts w:ascii="Times New Roman" w:hAnsi="Times New Roman"/>
    </w:rPr>
  </w:style>
  <w:style w:type="character" w:customStyle="1" w:styleId="ObinitekstChar1">
    <w:name w:val="Obični tekst Char1"/>
    <w:basedOn w:val="DefaultParagraphFont"/>
    <w:uiPriority w:val="99"/>
    <w:semiHidden/>
    <w:rPr>
      <w:rFonts w:ascii="Consolas" w:hAnsi="Consolas"/>
      <w:sz w:val="21"/>
      <w:szCs w:val="21"/>
    </w:rPr>
  </w:style>
  <w:style w:type="character" w:customStyle="1" w:styleId="Naslov7Char1">
    <w:name w:val="Naslov 7 Char1"/>
    <w:basedOn w:val="DefaultParagraphFont"/>
    <w:uiPriority w:val="99"/>
    <w:semiHidden/>
    <w:rPr>
      <w:rFonts w:ascii="Calibri Light" w:eastAsia="Calibri Light" w:hAnsi="Calibri Light" w:cs="Calibri Light" w:hint="default"/>
      <w:i/>
      <w:iCs/>
      <w:color w:val="1F4D78" w:themeColor="accent1" w:themeShade="7F"/>
      <w:sz w:val="24"/>
    </w:rPr>
  </w:style>
  <w:style w:type="character" w:customStyle="1" w:styleId="Naslov8Char1">
    <w:name w:val="Naslov 8 Char1"/>
    <w:basedOn w:val="DefaultParagraphFont"/>
    <w:uiPriority w:val="99"/>
    <w:semiHidden/>
    <w:rPr>
      <w:rFonts w:ascii="Calibri Light" w:eastAsia="Calibri Light" w:hAnsi="Calibri Light" w:cs="Calibri Light" w:hint="default"/>
      <w:color w:val="272727" w:themeColor="text1" w:themeTint="D8"/>
      <w:sz w:val="21"/>
      <w:szCs w:val="21"/>
    </w:rPr>
  </w:style>
  <w:style w:type="character" w:customStyle="1" w:styleId="Naslov9Char1">
    <w:name w:val="Naslov 9 Char1"/>
    <w:basedOn w:val="DefaultParagraphFont"/>
    <w:uiPriority w:val="99"/>
    <w:semiHidden/>
    <w:rPr>
      <w:rFonts w:ascii="Calibri Light" w:eastAsia="Calibri Light" w:hAnsi="Calibri Light" w:cs="Calibri Light" w:hint="default"/>
      <w:i/>
      <w:iCs/>
      <w:color w:val="272727" w:themeColor="text1" w:themeTint="D8"/>
      <w:sz w:val="21"/>
      <w:szCs w:val="21"/>
    </w:rPr>
  </w:style>
  <w:style w:type="character" w:customStyle="1" w:styleId="ZaglavljeChar1">
    <w:name w:val="Zaglavlje Char1"/>
    <w:basedOn w:val="DefaultParagraphFont"/>
    <w:uiPriority w:val="99"/>
    <w:semiHidden/>
    <w:rPr>
      <w:rFonts w:ascii="Times New Roman" w:hAnsi="Times New Roman"/>
      <w:sz w:val="24"/>
    </w:rPr>
  </w:style>
  <w:style w:type="character" w:customStyle="1" w:styleId="PodnojeChar1">
    <w:name w:val="Podnožje Char1"/>
    <w:basedOn w:val="DefaultParagraphFont"/>
    <w:uiPriority w:val="99"/>
    <w:semiHidden/>
    <w:rPr>
      <w:rFonts w:ascii="Times New Roman" w:hAnsi="Times New Roman"/>
      <w:sz w:val="24"/>
    </w:rPr>
  </w:style>
  <w:style w:type="character" w:customStyle="1" w:styleId="TekstkrajnjebiljekeChar1">
    <w:name w:val="Tekst krajnje bilješke Char1"/>
    <w:basedOn w:val="DefaultParagraphFont"/>
    <w:uiPriority w:val="99"/>
    <w:semiHidden/>
    <w:rPr>
      <w:rFonts w:ascii="Times New Roman" w:hAnsi="Times New Roman"/>
    </w:rPr>
  </w:style>
  <w:style w:type="character" w:customStyle="1" w:styleId="TekstmakronaredbeChar1">
    <w:name w:val="Tekst makronaredbe Char1"/>
    <w:basedOn w:val="DefaultParagraphFont"/>
    <w:uiPriority w:val="99"/>
    <w:semiHidden/>
    <w:rPr>
      <w:rFonts w:ascii="Consolas" w:hAnsi="Consolas"/>
    </w:rPr>
  </w:style>
  <w:style w:type="character" w:customStyle="1" w:styleId="UvuenotijelotekstaChar1">
    <w:name w:val="Uvučeno tijelo teksta Char1"/>
    <w:basedOn w:val="DefaultParagraphFont"/>
    <w:uiPriority w:val="99"/>
    <w:semiHidden/>
    <w:rPr>
      <w:rFonts w:ascii="Times New Roman" w:hAnsi="Times New Roman"/>
      <w:sz w:val="24"/>
    </w:rPr>
  </w:style>
  <w:style w:type="character" w:customStyle="1" w:styleId="PodnaslovChar1">
    <w:name w:val="Podnaslov Char1"/>
    <w:basedOn w:val="DefaultParagraphFont"/>
    <w:uiPriority w:val="99"/>
    <w:rPr>
      <w:rFonts w:ascii="Calibri" w:eastAsia="Calibri" w:hAnsi="Calibri"/>
      <w:color w:val="5A5A5A" w:themeColor="text1" w:themeTint="A5"/>
      <w:spacing w:val="15"/>
      <w:sz w:val="22"/>
      <w:szCs w:val="22"/>
    </w:rPr>
  </w:style>
  <w:style w:type="character" w:customStyle="1" w:styleId="Tijeloteksta2Char1">
    <w:name w:val="Tijelo teksta 2 Char1"/>
    <w:basedOn w:val="DefaultParagraphFont"/>
    <w:uiPriority w:val="99"/>
    <w:semiHidden/>
    <w:rPr>
      <w:rFonts w:ascii="Times New Roman" w:hAnsi="Times New Roman"/>
      <w:sz w:val="24"/>
    </w:rPr>
  </w:style>
  <w:style w:type="character" w:customStyle="1" w:styleId="Tijeloteksta3Char1">
    <w:name w:val="Tijelo teksta 3 Char1"/>
    <w:basedOn w:val="DefaultParagraphFont"/>
    <w:uiPriority w:val="99"/>
    <w:semiHidden/>
    <w:rPr>
      <w:rFonts w:ascii="Times New Roman" w:hAnsi="Times New Roman"/>
      <w:sz w:val="16"/>
      <w:szCs w:val="16"/>
    </w:rPr>
  </w:style>
  <w:style w:type="character" w:customStyle="1" w:styleId="KartadokumentaChar1">
    <w:name w:val="Karta dokumenta Char1"/>
    <w:basedOn w:val="DefaultParagraphFont"/>
    <w:uiPriority w:val="99"/>
    <w:semiHidden/>
    <w:rPr>
      <w:rFonts w:cs="Segoe UI"/>
      <w:sz w:val="16"/>
      <w:szCs w:val="16"/>
    </w:rPr>
  </w:style>
  <w:style w:type="character" w:customStyle="1" w:styleId="PredmetkomentaraChar1">
    <w:name w:val="Predmet komentara Char1"/>
    <w:basedOn w:val="TekstkomentaraChar1"/>
    <w:uiPriority w:val="99"/>
    <w:semiHidden/>
    <w:rPr>
      <w:rFonts w:ascii="Times New Roman" w:hAnsi="Times New Roman"/>
      <w:b/>
      <w:bCs/>
    </w:rPr>
  </w:style>
  <w:style w:type="character" w:customStyle="1" w:styleId="TekstbaloniaChar1">
    <w:name w:val="Tekst balončića Char1"/>
    <w:basedOn w:val="DefaultParagraphFont"/>
    <w:uiPriority w:val="99"/>
    <w:semiHidden/>
    <w:rPr>
      <w:rFonts w:cs="Segoe UI"/>
      <w:sz w:val="18"/>
      <w:szCs w:val="18"/>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ekstutablicama">
    <w:name w:val="tekst u tablicama"/>
    <w:basedOn w:val="NoSpacing"/>
    <w:link w:val="tekstutablicamaChar"/>
    <w:rPr>
      <w:rFonts w:ascii="Arial Narrow" w:hAnsi="Arial Narrow"/>
      <w:sz w:val="20"/>
      <w:szCs w:val="20"/>
    </w:rPr>
  </w:style>
  <w:style w:type="character" w:customStyle="1" w:styleId="tekstutablicamaChar">
    <w:name w:val="tekst u tablicama Char"/>
    <w:link w:val="tekstutablicama"/>
    <w:rPr>
      <w:rFonts w:ascii="Arial Narrow" w:hAnsi="Arial Narrow"/>
    </w:rPr>
  </w:style>
  <w:style w:type="table" w:customStyle="1" w:styleId="Izvjescetablica3">
    <w:name w:val="Izvjescetablica3"/>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zvjescetablica4">
    <w:name w:val="Izvjescetablica4"/>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Izvjescetablica5">
    <w:name w:val="Izvjescetablica5"/>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styleId="Quote">
    <w:name w:val="Quote"/>
    <w:basedOn w:val="Normal"/>
    <w:next w:val="Normal"/>
    <w:link w:val="QuoteChar"/>
    <w:uiPriority w:val="29"/>
    <w:qFormat/>
    <w:pPr>
      <w:spacing w:before="200" w:line="264" w:lineRule="auto"/>
      <w:ind w:left="864" w:right="864"/>
      <w:jc w:val="center"/>
    </w:pPr>
    <w:rPr>
      <w:rFonts w:ascii="Calibri Light" w:eastAsia="Calibri Light" w:hAnsi="Calibri Light" w:cs="Calibri Light"/>
      <w:i/>
      <w:iCs/>
      <w:sz w:val="24"/>
      <w:szCs w:val="24"/>
    </w:rPr>
  </w:style>
  <w:style w:type="character" w:customStyle="1" w:styleId="QuoteChar">
    <w:name w:val="Quote Char"/>
    <w:basedOn w:val="DefaultParagraphFont"/>
    <w:link w:val="Quote"/>
    <w:uiPriority w:val="29"/>
    <w:rPr>
      <w:rFonts w:ascii="Calibri Light" w:eastAsia="Calibri Light" w:hAnsi="Calibri Light" w:cs="Calibri Light"/>
      <w:i/>
      <w:iCs/>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Calibri Light" w:eastAsia="Calibri Light" w:hAnsi="Calibri Light" w:cs="Calibri Light"/>
      <w:sz w:val="26"/>
      <w:szCs w:val="26"/>
    </w:rPr>
  </w:style>
  <w:style w:type="character" w:customStyle="1" w:styleId="IntenseQuoteChar">
    <w:name w:val="Intense Quote Char"/>
    <w:basedOn w:val="DefaultParagraphFont"/>
    <w:link w:val="IntenseQuote"/>
    <w:uiPriority w:val="30"/>
    <w:rPr>
      <w:rFonts w:ascii="Calibri Light" w:eastAsia="Calibri Light" w:hAnsi="Calibri Light" w:cs="Calibri Light"/>
      <w:sz w:val="26"/>
      <w:szCs w:val="26"/>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smallCaps/>
      <w:color w:val="auto"/>
      <w:u w:val="single"/>
    </w:rPr>
  </w:style>
  <w:style w:type="character" w:styleId="BookTitle">
    <w:name w:val="Book Title"/>
    <w:basedOn w:val="DefaultParagraphFont"/>
    <w:uiPriority w:val="33"/>
    <w:qFormat/>
    <w:rPr>
      <w:b/>
      <w:bCs/>
      <w:smallCaps/>
      <w:color w:val="auto"/>
    </w:rPr>
  </w:style>
  <w:style w:type="table" w:customStyle="1" w:styleId="TableGridNew1">
    <w:name w:val="Table Grid New1"/>
    <w:basedOn w:val="TableNormal"/>
    <w:next w:val="TableGrid"/>
    <w:uiPriority w:val="39"/>
    <w:pPr>
      <w:spacing w:after="0" w:line="240" w:lineRule="auto"/>
      <w:jc w:val="left"/>
    </w:pPr>
    <w:rPr>
      <w:rFonts w:ascii="Segoe UI" w:hAnsi="Segoe UI"/>
      <w:sz w:val="18"/>
      <w:szCs w:val="20"/>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cBorders>
        <w:shd w:val="clear" w:color="auto" w:fill="003C71"/>
      </w:tcPr>
    </w:tblStylePr>
    <w:tblStylePr w:type="band1Horz">
      <w:tblPr/>
      <w:tcPr>
        <w:shd w:val="clear" w:color="auto" w:fill="D9E2F3"/>
      </w:tcPr>
    </w:tblStylePr>
  </w:style>
  <w:style w:type="character" w:customStyle="1" w:styleId="Nerijeenospominjanje1">
    <w:name w:val="Neriješeno spominjanje1"/>
    <w:basedOn w:val="DefaultParagraphFont"/>
    <w:uiPriority w:val="99"/>
    <w:semiHidden/>
    <w:unhideWhenUsed/>
    <w:rPr>
      <w:color w:val="605E5C"/>
      <w:shd w:val="clear" w:color="auto" w:fill="E1DFDD"/>
    </w:rPr>
  </w:style>
  <w:style w:type="table" w:customStyle="1" w:styleId="Izvjescetablica6">
    <w:name w:val="Izvjescetablica6"/>
    <w:basedOn w:val="TableNormal"/>
    <w:next w:val="TableGrid"/>
    <w:uiPriority w:val="39"/>
    <w:pPr>
      <w:spacing w:after="0" w:line="240" w:lineRule="auto"/>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915804">
      <w:bodyDiv w:val="1"/>
      <w:marLeft w:val="0"/>
      <w:marRight w:val="0"/>
      <w:marTop w:val="0"/>
      <w:marBottom w:val="0"/>
      <w:divBdr>
        <w:top w:val="none" w:sz="0" w:space="0" w:color="auto"/>
        <w:left w:val="none" w:sz="0" w:space="0" w:color="auto"/>
        <w:bottom w:val="none" w:sz="0" w:space="0" w:color="auto"/>
        <w:right w:val="none" w:sz="0" w:space="0" w:color="auto"/>
      </w:divBdr>
    </w:div>
    <w:div w:id="1789199650">
      <w:bodyDiv w:val="1"/>
      <w:marLeft w:val="0"/>
      <w:marRight w:val="0"/>
      <w:marTop w:val="0"/>
      <w:marBottom w:val="0"/>
      <w:divBdr>
        <w:top w:val="none" w:sz="0" w:space="0" w:color="auto"/>
        <w:left w:val="none" w:sz="0" w:space="0" w:color="auto"/>
        <w:bottom w:val="none" w:sz="0" w:space="0" w:color="auto"/>
        <w:right w:val="none" w:sz="0" w:space="0" w:color="auto"/>
      </w:divBdr>
    </w:div>
    <w:div w:id="20172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s>
</file>

<file path=word/_rels/footnotes.xml.rels><?xml version="1.0" encoding="UTF-8" standalone="yes"?>
<Relationships xmlns="http://schemas.openxmlformats.org/package/2006/relationships"><Relationship Id="rId2" Type="http://schemas.openxmlformats.org/officeDocument/2006/relationships/hyperlink" Target="https://narodne-novine.nn.hr/clanci/sluzbeni/2017_12_123_2798.html" TargetMode="External"/><Relationship Id="rId1" Type="http://schemas.openxmlformats.org/officeDocument/2006/relationships/hyperlink" Target="http://www.haop.hr/sites/default/files/uploads/dokumenti/012_klima/dostava_podataka/Izvjesca/NIR_2020_hrv.pd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19D68-ED84-4703-BAC0-105187E37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58869</Words>
  <Characters>335554</Characters>
  <Application>Microsoft Office Word</Application>
  <DocSecurity>0</DocSecurity>
  <Lines>2796</Lines>
  <Paragraphs>787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393636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Delija-Ruzic</dc:creator>
  <cp:keywords/>
  <dc:description/>
  <cp:lastModifiedBy>Larisa Petrić</cp:lastModifiedBy>
  <cp:revision>3</cp:revision>
  <cp:lastPrinted>2021-04-12T05:46:00Z</cp:lastPrinted>
  <dcterms:created xsi:type="dcterms:W3CDTF">2021-04-20T07:36:00Z</dcterms:created>
  <dcterms:modified xsi:type="dcterms:W3CDTF">2021-04-20T08:46:00Z</dcterms:modified>
</cp:coreProperties>
</file>