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E6BDF" w14:textId="77777777" w:rsidR="00CA532B" w:rsidRPr="00682B2D" w:rsidRDefault="00CA532B" w:rsidP="00CA532B">
      <w:pPr>
        <w:rPr>
          <w:b/>
        </w:rPr>
      </w:pPr>
    </w:p>
    <w:p w14:paraId="4D5E6BE0" w14:textId="77777777" w:rsidR="00CA532B" w:rsidRPr="00682B2D" w:rsidRDefault="00CA532B" w:rsidP="00CA532B">
      <w:pPr>
        <w:spacing w:after="200" w:line="276" w:lineRule="auto"/>
        <w:jc w:val="center"/>
        <w:rPr>
          <w:rFonts w:ascii="Calibri" w:eastAsia="Calibri" w:hAnsi="Calibri"/>
          <w:sz w:val="22"/>
          <w:szCs w:val="22"/>
          <w:lang w:eastAsia="en-US"/>
        </w:rPr>
      </w:pPr>
      <w:r w:rsidRPr="00682B2D">
        <w:rPr>
          <w:rFonts w:ascii="Calibri" w:eastAsia="Calibri" w:hAnsi="Calibri"/>
          <w:noProof/>
          <w:sz w:val="22"/>
          <w:szCs w:val="22"/>
        </w:rPr>
        <w:drawing>
          <wp:inline distT="0" distB="0" distL="0" distR="0" wp14:anchorId="4D5E6CCE" wp14:editId="4D5E6CCF">
            <wp:extent cx="504825" cy="682625"/>
            <wp:effectExtent l="0" t="0" r="9525"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2625"/>
                    </a:xfrm>
                    <a:prstGeom prst="rect">
                      <a:avLst/>
                    </a:prstGeom>
                    <a:noFill/>
                    <a:ln>
                      <a:noFill/>
                    </a:ln>
                  </pic:spPr>
                </pic:pic>
              </a:graphicData>
            </a:graphic>
          </wp:inline>
        </w:drawing>
      </w:r>
      <w:r w:rsidRPr="00682B2D">
        <w:rPr>
          <w:rFonts w:ascii="Calibri" w:eastAsia="Calibri" w:hAnsi="Calibri"/>
          <w:sz w:val="22"/>
          <w:szCs w:val="22"/>
          <w:lang w:eastAsia="en-US"/>
        </w:rPr>
        <w:fldChar w:fldCharType="begin"/>
      </w:r>
      <w:r w:rsidRPr="00682B2D">
        <w:rPr>
          <w:rFonts w:ascii="Calibri" w:eastAsia="Calibri" w:hAnsi="Calibri"/>
          <w:sz w:val="22"/>
          <w:szCs w:val="22"/>
          <w:lang w:eastAsia="en-US"/>
        </w:rPr>
        <w:instrText xml:space="preserve"> INCLUDEPICTURE "http://www.inet.hr/~box/images/grb-rh.gif" \* MERGEFORMATINET </w:instrText>
      </w:r>
      <w:r w:rsidRPr="00682B2D">
        <w:rPr>
          <w:rFonts w:ascii="Calibri" w:eastAsia="Calibri" w:hAnsi="Calibri"/>
          <w:sz w:val="22"/>
          <w:szCs w:val="22"/>
          <w:lang w:eastAsia="en-US"/>
        </w:rPr>
        <w:fldChar w:fldCharType="end"/>
      </w:r>
    </w:p>
    <w:p w14:paraId="4D5E6BE1" w14:textId="77777777" w:rsidR="00CA532B" w:rsidRPr="00682B2D" w:rsidRDefault="00CA532B" w:rsidP="00CA532B">
      <w:pPr>
        <w:spacing w:before="60" w:after="1680" w:line="276" w:lineRule="auto"/>
        <w:jc w:val="center"/>
        <w:rPr>
          <w:rFonts w:eastAsia="Calibri"/>
          <w:sz w:val="28"/>
          <w:szCs w:val="22"/>
          <w:lang w:eastAsia="en-US"/>
        </w:rPr>
      </w:pPr>
      <w:r w:rsidRPr="00682B2D">
        <w:rPr>
          <w:rFonts w:eastAsia="Calibri"/>
          <w:sz w:val="28"/>
          <w:szCs w:val="22"/>
          <w:lang w:eastAsia="en-US"/>
        </w:rPr>
        <w:t>VLADA REPUBLIKE HRVATSKE</w:t>
      </w:r>
    </w:p>
    <w:p w14:paraId="4D5E6BE2" w14:textId="704C7DF6" w:rsidR="00CA532B" w:rsidRPr="00682B2D" w:rsidRDefault="00E967E1" w:rsidP="00CA532B">
      <w:pPr>
        <w:spacing w:after="200" w:line="276" w:lineRule="auto"/>
        <w:jc w:val="right"/>
        <w:rPr>
          <w:rFonts w:eastAsia="Calibri"/>
          <w:lang w:eastAsia="en-US"/>
        </w:rPr>
      </w:pPr>
      <w:r>
        <w:rPr>
          <w:rFonts w:eastAsia="Calibri"/>
          <w:lang w:eastAsia="en-US"/>
        </w:rPr>
        <w:t>Zagreb, 29</w:t>
      </w:r>
      <w:r w:rsidR="00CA532B" w:rsidRPr="006965C1">
        <w:rPr>
          <w:rFonts w:eastAsia="Calibri"/>
          <w:lang w:eastAsia="en-US"/>
        </w:rPr>
        <w:t>.</w:t>
      </w:r>
      <w:r w:rsidR="00CA532B">
        <w:rPr>
          <w:rFonts w:eastAsia="Calibri"/>
          <w:lang w:eastAsia="en-US"/>
        </w:rPr>
        <w:t xml:space="preserve"> </w:t>
      </w:r>
      <w:r>
        <w:rPr>
          <w:rFonts w:eastAsia="Calibri"/>
          <w:lang w:eastAsia="en-US"/>
        </w:rPr>
        <w:t>travnja</w:t>
      </w:r>
      <w:r w:rsidR="00CA532B">
        <w:rPr>
          <w:rFonts w:eastAsia="Calibri"/>
          <w:lang w:eastAsia="en-US"/>
        </w:rPr>
        <w:t xml:space="preserve"> </w:t>
      </w:r>
      <w:r w:rsidR="00CA532B" w:rsidRPr="006965C1">
        <w:rPr>
          <w:rFonts w:eastAsia="Calibri"/>
          <w:lang w:eastAsia="en-US"/>
        </w:rPr>
        <w:t>2021.</w:t>
      </w:r>
    </w:p>
    <w:p w14:paraId="4D5E6BE3" w14:textId="77777777" w:rsidR="00CA532B" w:rsidRPr="00682B2D" w:rsidRDefault="00CA532B" w:rsidP="00CA532B">
      <w:pPr>
        <w:spacing w:after="200" w:line="276" w:lineRule="auto"/>
        <w:jc w:val="right"/>
        <w:rPr>
          <w:rFonts w:eastAsia="Calibri"/>
          <w:lang w:eastAsia="en-US"/>
        </w:rPr>
      </w:pPr>
    </w:p>
    <w:p w14:paraId="4D5E6BE4" w14:textId="77777777" w:rsidR="00CA532B" w:rsidRPr="00682B2D" w:rsidRDefault="00CA532B" w:rsidP="00CA532B">
      <w:pPr>
        <w:spacing w:after="200" w:line="276" w:lineRule="auto"/>
        <w:jc w:val="right"/>
        <w:rPr>
          <w:rFonts w:eastAsia="Calibri"/>
          <w:lang w:eastAsia="en-US"/>
        </w:rPr>
      </w:pPr>
    </w:p>
    <w:p w14:paraId="4D5E6BE5" w14:textId="77777777" w:rsidR="00CA532B" w:rsidRPr="00682B2D" w:rsidRDefault="00CA532B" w:rsidP="00CA532B">
      <w:pPr>
        <w:spacing w:after="200" w:line="276" w:lineRule="auto"/>
        <w:jc w:val="right"/>
        <w:rPr>
          <w:rFonts w:eastAsia="Calibri"/>
          <w:lang w:eastAsia="en-US"/>
        </w:rPr>
      </w:pPr>
    </w:p>
    <w:p w14:paraId="4D5E6BE6" w14:textId="77777777" w:rsidR="00CA532B" w:rsidRPr="00682B2D" w:rsidRDefault="00CA532B" w:rsidP="00CA532B">
      <w:pPr>
        <w:spacing w:after="200" w:line="276" w:lineRule="auto"/>
        <w:jc w:val="both"/>
        <w:rPr>
          <w:rFonts w:eastAsia="Calibri"/>
          <w:lang w:eastAsia="en-US"/>
        </w:rPr>
      </w:pPr>
      <w:r w:rsidRPr="00682B2D">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9"/>
        <w:gridCol w:w="7121"/>
      </w:tblGrid>
      <w:tr w:rsidR="00CA532B" w:rsidRPr="00682B2D" w14:paraId="4D5E6BE9" w14:textId="77777777" w:rsidTr="002D69D5">
        <w:tc>
          <w:tcPr>
            <w:tcW w:w="1951" w:type="dxa"/>
            <w:shd w:val="clear" w:color="auto" w:fill="auto"/>
          </w:tcPr>
          <w:p w14:paraId="4D5E6BE7" w14:textId="77777777" w:rsidR="00CA532B" w:rsidRPr="00682B2D" w:rsidRDefault="00CA532B" w:rsidP="002D69D5">
            <w:pPr>
              <w:spacing w:after="200" w:line="360" w:lineRule="auto"/>
              <w:rPr>
                <w:rFonts w:eastAsia="Calibri"/>
                <w:lang w:eastAsia="en-US"/>
              </w:rPr>
            </w:pPr>
            <w:r w:rsidRPr="00682B2D">
              <w:rPr>
                <w:rFonts w:eastAsia="Calibri"/>
                <w:b/>
                <w:smallCaps/>
                <w:lang w:eastAsia="en-US"/>
              </w:rPr>
              <w:t>Predlagatelj</w:t>
            </w:r>
            <w:r w:rsidRPr="00682B2D">
              <w:rPr>
                <w:rFonts w:eastAsia="Calibri"/>
                <w:b/>
                <w:lang w:eastAsia="en-US"/>
              </w:rPr>
              <w:t>:</w:t>
            </w:r>
          </w:p>
        </w:tc>
        <w:tc>
          <w:tcPr>
            <w:tcW w:w="7229" w:type="dxa"/>
            <w:shd w:val="clear" w:color="auto" w:fill="auto"/>
          </w:tcPr>
          <w:p w14:paraId="4D5E6BE8" w14:textId="77777777" w:rsidR="00CA532B" w:rsidRPr="00682B2D" w:rsidRDefault="00CA532B" w:rsidP="002D69D5">
            <w:pPr>
              <w:spacing w:after="200" w:line="360" w:lineRule="auto"/>
              <w:rPr>
                <w:rFonts w:eastAsia="Calibri"/>
                <w:lang w:eastAsia="en-US"/>
              </w:rPr>
            </w:pPr>
            <w:r w:rsidRPr="00682B2D">
              <w:rPr>
                <w:rFonts w:eastAsia="Calibri"/>
                <w:lang w:eastAsia="en-US"/>
              </w:rPr>
              <w:t>Ministarstvo poljoprivrede</w:t>
            </w:r>
          </w:p>
        </w:tc>
      </w:tr>
    </w:tbl>
    <w:p w14:paraId="4D5E6BEA" w14:textId="77777777" w:rsidR="00CA532B" w:rsidRPr="00682B2D" w:rsidRDefault="00CA532B" w:rsidP="00CA532B">
      <w:pPr>
        <w:spacing w:after="200" w:line="276" w:lineRule="auto"/>
        <w:jc w:val="both"/>
        <w:rPr>
          <w:rFonts w:eastAsia="Calibri"/>
          <w:lang w:eastAsia="en-US"/>
        </w:rPr>
      </w:pPr>
      <w:r w:rsidRPr="00682B2D">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0"/>
        <w:gridCol w:w="7130"/>
      </w:tblGrid>
      <w:tr w:rsidR="00CA532B" w:rsidRPr="00682B2D" w14:paraId="4D5E6BED" w14:textId="77777777" w:rsidTr="002D69D5">
        <w:tc>
          <w:tcPr>
            <w:tcW w:w="1951" w:type="dxa"/>
            <w:shd w:val="clear" w:color="auto" w:fill="auto"/>
          </w:tcPr>
          <w:p w14:paraId="4D5E6BEB" w14:textId="77777777" w:rsidR="00CA532B" w:rsidRPr="00682B2D" w:rsidRDefault="00CA532B" w:rsidP="002D69D5">
            <w:pPr>
              <w:spacing w:after="200" w:line="360" w:lineRule="auto"/>
              <w:rPr>
                <w:rFonts w:eastAsia="Calibri"/>
                <w:lang w:eastAsia="en-US"/>
              </w:rPr>
            </w:pPr>
            <w:r w:rsidRPr="00682B2D">
              <w:rPr>
                <w:rFonts w:eastAsia="Calibri"/>
                <w:b/>
                <w:smallCaps/>
                <w:lang w:eastAsia="en-US"/>
              </w:rPr>
              <w:t>Predmet</w:t>
            </w:r>
            <w:r w:rsidRPr="00682B2D">
              <w:rPr>
                <w:rFonts w:eastAsia="Calibri"/>
                <w:b/>
                <w:lang w:eastAsia="en-US"/>
              </w:rPr>
              <w:t>:</w:t>
            </w:r>
          </w:p>
        </w:tc>
        <w:tc>
          <w:tcPr>
            <w:tcW w:w="7229" w:type="dxa"/>
            <w:shd w:val="clear" w:color="auto" w:fill="auto"/>
          </w:tcPr>
          <w:p w14:paraId="4D5E6BEC" w14:textId="77777777" w:rsidR="00CA532B" w:rsidRPr="00682B2D" w:rsidRDefault="00CA532B" w:rsidP="002D69D5">
            <w:pPr>
              <w:spacing w:after="200" w:line="360" w:lineRule="auto"/>
              <w:jc w:val="both"/>
              <w:rPr>
                <w:rFonts w:eastAsia="Calibri"/>
                <w:lang w:eastAsia="en-US"/>
              </w:rPr>
            </w:pPr>
            <w:r w:rsidRPr="00682B2D">
              <w:t xml:space="preserve">Prijedlog </w:t>
            </w:r>
            <w:r>
              <w:t>o</w:t>
            </w:r>
            <w:r w:rsidRPr="00682B2D">
              <w:t>dluke o donošenju Izmjena i dopuna Nacionalnog programa pomoći sektoru vina za razdoblje od 2019. do 2023. godine</w:t>
            </w:r>
          </w:p>
        </w:tc>
      </w:tr>
    </w:tbl>
    <w:p w14:paraId="4D5E6BEE" w14:textId="77777777" w:rsidR="00CA532B" w:rsidRPr="00682B2D" w:rsidRDefault="00CA532B" w:rsidP="00CA532B">
      <w:pPr>
        <w:spacing w:after="200" w:line="276" w:lineRule="auto"/>
        <w:jc w:val="both"/>
        <w:rPr>
          <w:rFonts w:eastAsia="Calibri"/>
          <w:lang w:eastAsia="en-US"/>
        </w:rPr>
      </w:pPr>
      <w:r w:rsidRPr="00682B2D">
        <w:rPr>
          <w:rFonts w:eastAsia="Calibri"/>
          <w:lang w:eastAsia="en-US"/>
        </w:rPr>
        <w:t>__________________________________________________________________________</w:t>
      </w:r>
    </w:p>
    <w:p w14:paraId="4D5E6BEF" w14:textId="77777777" w:rsidR="00CA532B" w:rsidRPr="00682B2D" w:rsidRDefault="00CA532B" w:rsidP="00CA532B">
      <w:pPr>
        <w:spacing w:after="200" w:line="276" w:lineRule="auto"/>
        <w:jc w:val="both"/>
        <w:rPr>
          <w:rFonts w:eastAsia="Calibri"/>
          <w:lang w:eastAsia="en-US"/>
        </w:rPr>
      </w:pPr>
    </w:p>
    <w:p w14:paraId="4D5E6BF0" w14:textId="77777777" w:rsidR="00CA532B" w:rsidRPr="00682B2D" w:rsidRDefault="00CA532B" w:rsidP="00CA532B">
      <w:pPr>
        <w:spacing w:after="200" w:line="276" w:lineRule="auto"/>
        <w:jc w:val="both"/>
        <w:rPr>
          <w:rFonts w:eastAsia="Calibri"/>
          <w:lang w:eastAsia="en-US"/>
        </w:rPr>
      </w:pPr>
    </w:p>
    <w:p w14:paraId="4D5E6BF1" w14:textId="77777777" w:rsidR="00CA532B" w:rsidRPr="00682B2D" w:rsidRDefault="00CA532B" w:rsidP="00CA532B">
      <w:pPr>
        <w:spacing w:after="200" w:line="276" w:lineRule="auto"/>
        <w:jc w:val="both"/>
        <w:rPr>
          <w:rFonts w:eastAsia="Calibri"/>
          <w:lang w:eastAsia="en-US"/>
        </w:rPr>
      </w:pPr>
    </w:p>
    <w:p w14:paraId="4D5E6BF2" w14:textId="77777777" w:rsidR="00CA532B" w:rsidRPr="00682B2D" w:rsidRDefault="00CA532B" w:rsidP="00CA532B">
      <w:pPr>
        <w:spacing w:after="200" w:line="276" w:lineRule="auto"/>
        <w:jc w:val="both"/>
        <w:rPr>
          <w:rFonts w:eastAsia="Calibri"/>
          <w:lang w:eastAsia="en-US"/>
        </w:rPr>
      </w:pPr>
    </w:p>
    <w:p w14:paraId="4D5E6BF3" w14:textId="77777777" w:rsidR="00CA532B" w:rsidRPr="00682B2D" w:rsidRDefault="00CA532B" w:rsidP="00CA532B">
      <w:pPr>
        <w:spacing w:after="200" w:line="276" w:lineRule="auto"/>
        <w:jc w:val="both"/>
        <w:rPr>
          <w:rFonts w:eastAsia="Calibri"/>
          <w:lang w:eastAsia="en-US"/>
        </w:rPr>
      </w:pPr>
    </w:p>
    <w:p w14:paraId="4D5E6BF4" w14:textId="77777777" w:rsidR="00CA532B" w:rsidRPr="00682B2D" w:rsidRDefault="00CA532B" w:rsidP="00CA532B">
      <w:pPr>
        <w:tabs>
          <w:tab w:val="center" w:pos="4536"/>
          <w:tab w:val="right" w:pos="9072"/>
        </w:tabs>
        <w:rPr>
          <w:rFonts w:ascii="Calibri" w:eastAsia="Calibri" w:hAnsi="Calibri"/>
          <w:sz w:val="22"/>
          <w:szCs w:val="22"/>
          <w:lang w:eastAsia="en-US"/>
        </w:rPr>
      </w:pPr>
    </w:p>
    <w:p w14:paraId="4D5E6BF5" w14:textId="77777777" w:rsidR="00CA532B" w:rsidRPr="00682B2D" w:rsidRDefault="00CA532B" w:rsidP="00CA532B">
      <w:pPr>
        <w:spacing w:after="200" w:line="276" w:lineRule="auto"/>
        <w:rPr>
          <w:rFonts w:ascii="Calibri" w:eastAsia="Calibri" w:hAnsi="Calibri"/>
          <w:sz w:val="22"/>
          <w:szCs w:val="22"/>
          <w:lang w:eastAsia="en-US"/>
        </w:rPr>
      </w:pPr>
    </w:p>
    <w:p w14:paraId="4D5E6BF6" w14:textId="77777777" w:rsidR="00CA532B" w:rsidRPr="00682B2D" w:rsidRDefault="00CA532B" w:rsidP="00CA532B">
      <w:pPr>
        <w:pStyle w:val="Default"/>
        <w:pBdr>
          <w:top w:val="single" w:sz="4" w:space="1" w:color="404040"/>
        </w:pBdr>
        <w:tabs>
          <w:tab w:val="center" w:pos="4536"/>
          <w:tab w:val="right" w:pos="9072"/>
        </w:tabs>
        <w:jc w:val="center"/>
        <w:rPr>
          <w:rFonts w:eastAsia="Calibri"/>
          <w:color w:val="auto"/>
          <w:spacing w:val="20"/>
          <w:sz w:val="20"/>
          <w:szCs w:val="22"/>
          <w:lang w:eastAsia="en-US"/>
        </w:rPr>
      </w:pPr>
      <w:r w:rsidRPr="00682B2D">
        <w:rPr>
          <w:rFonts w:eastAsia="Calibri"/>
          <w:color w:val="auto"/>
          <w:spacing w:val="20"/>
          <w:sz w:val="20"/>
          <w:szCs w:val="22"/>
          <w:lang w:eastAsia="en-US"/>
        </w:rPr>
        <w:t>Banski dvori | Trg Sv. Marka 2  | 10000 Zagreb | tel. 01 4569 222 | vlada.gov.hr</w:t>
      </w:r>
    </w:p>
    <w:p w14:paraId="4D5E6BF7" w14:textId="77777777" w:rsidR="00CA532B" w:rsidRPr="00682B2D" w:rsidRDefault="00CA532B" w:rsidP="00CA532B">
      <w:pPr>
        <w:rPr>
          <w:b/>
        </w:rPr>
      </w:pPr>
    </w:p>
    <w:p w14:paraId="4D5E6BF8" w14:textId="77777777" w:rsidR="00CA532B" w:rsidRPr="00682B2D" w:rsidRDefault="00CA532B" w:rsidP="00CA532B">
      <w:pPr>
        <w:autoSpaceDE w:val="0"/>
        <w:autoSpaceDN w:val="0"/>
        <w:rPr>
          <w:rFonts w:eastAsia="Calibri"/>
        </w:rPr>
      </w:pPr>
    </w:p>
    <w:p w14:paraId="4D5E6BF9" w14:textId="77777777" w:rsidR="00CA532B" w:rsidRPr="00E51E67" w:rsidRDefault="00CA532B" w:rsidP="00E51E67">
      <w:pPr>
        <w:autoSpaceDE w:val="0"/>
        <w:autoSpaceDN w:val="0"/>
        <w:jc w:val="right"/>
        <w:rPr>
          <w:rFonts w:eastAsia="Calibri"/>
          <w:b/>
          <w:i/>
        </w:rPr>
      </w:pPr>
      <w:r w:rsidRPr="00682B2D">
        <w:rPr>
          <w:rFonts w:eastAsia="Calibri"/>
        </w:rPr>
        <w:br w:type="page"/>
      </w:r>
      <w:r w:rsidRPr="00215C85">
        <w:rPr>
          <w:rFonts w:eastAsia="Calibri"/>
          <w:lang w:eastAsia="en-US"/>
        </w:rPr>
        <w:lastRenderedPageBreak/>
        <w:t xml:space="preserve"> </w:t>
      </w:r>
      <w:r w:rsidRPr="00682B2D">
        <w:rPr>
          <w:rFonts w:eastAsia="Calibri"/>
          <w:b/>
          <w:i/>
        </w:rPr>
        <w:t>PRIJEDLOG</w:t>
      </w:r>
    </w:p>
    <w:p w14:paraId="4D5E6BFA" w14:textId="41DF6589" w:rsidR="00CA532B" w:rsidRPr="00682B2D" w:rsidRDefault="00CA532B" w:rsidP="00E0091D">
      <w:pPr>
        <w:autoSpaceDE w:val="0"/>
        <w:autoSpaceDN w:val="0"/>
        <w:adjustRightInd w:val="0"/>
        <w:ind w:firstLine="1418"/>
        <w:jc w:val="both"/>
      </w:pPr>
      <w:r w:rsidRPr="00682B2D">
        <w:t>Na temelju članka 49. stavka 2. Zakona o poljoprivredi (</w:t>
      </w:r>
      <w:r w:rsidR="00E0091D">
        <w:t>„</w:t>
      </w:r>
      <w:r w:rsidRPr="00682B2D">
        <w:t>Narodne novine</w:t>
      </w:r>
      <w:r w:rsidR="00E0091D">
        <w:t>“</w:t>
      </w:r>
      <w:r w:rsidRPr="00682B2D">
        <w:t>, br</w:t>
      </w:r>
      <w:r>
        <w:t>.</w:t>
      </w:r>
      <w:r w:rsidRPr="00682B2D">
        <w:t xml:space="preserve"> 118/18</w:t>
      </w:r>
      <w:r>
        <w:t>.</w:t>
      </w:r>
      <w:r w:rsidR="00E0091D">
        <w:t>,</w:t>
      </w:r>
      <w:r w:rsidR="004B1025">
        <w:t xml:space="preserve"> </w:t>
      </w:r>
      <w:r w:rsidRPr="00682B2D">
        <w:t>42/20</w:t>
      </w:r>
      <w:r>
        <w:t>. i 127/20</w:t>
      </w:r>
      <w:r w:rsidR="00AC7B32">
        <w:t>.</w:t>
      </w:r>
      <w:r w:rsidR="00E0091D">
        <w:t xml:space="preserve"> - Odluka Ustavnog suda Republike Hrvatske</w:t>
      </w:r>
      <w:r w:rsidRPr="00682B2D">
        <w:t>), Vlada Republike Hrvatske je na sjednici održanoj __________________ 2021. donijela</w:t>
      </w:r>
    </w:p>
    <w:p w14:paraId="4D5E6BFB" w14:textId="77777777" w:rsidR="00CA532B" w:rsidRPr="00682B2D" w:rsidRDefault="00CA532B" w:rsidP="00CA532B">
      <w:pPr>
        <w:autoSpaceDE w:val="0"/>
        <w:autoSpaceDN w:val="0"/>
        <w:adjustRightInd w:val="0"/>
        <w:rPr>
          <w:b/>
          <w:bCs/>
        </w:rPr>
      </w:pPr>
    </w:p>
    <w:p w14:paraId="4D5E6BFC" w14:textId="77777777" w:rsidR="00CA532B" w:rsidRPr="00682B2D" w:rsidRDefault="00CA532B" w:rsidP="00CA532B">
      <w:pPr>
        <w:autoSpaceDE w:val="0"/>
        <w:autoSpaceDN w:val="0"/>
        <w:adjustRightInd w:val="0"/>
        <w:jc w:val="center"/>
        <w:rPr>
          <w:b/>
          <w:bCs/>
        </w:rPr>
      </w:pPr>
    </w:p>
    <w:p w14:paraId="4D5E6BFD" w14:textId="77777777" w:rsidR="00CA532B" w:rsidRDefault="00CA532B" w:rsidP="00CA532B">
      <w:pPr>
        <w:jc w:val="center"/>
        <w:rPr>
          <w:b/>
        </w:rPr>
      </w:pPr>
      <w:r w:rsidRPr="00682B2D">
        <w:rPr>
          <w:b/>
        </w:rPr>
        <w:t xml:space="preserve">O D L U K U </w:t>
      </w:r>
    </w:p>
    <w:p w14:paraId="4D5E6BFE" w14:textId="77777777" w:rsidR="006E30BC" w:rsidRPr="00682B2D" w:rsidRDefault="006E30BC" w:rsidP="00CA532B">
      <w:pPr>
        <w:jc w:val="center"/>
        <w:rPr>
          <w:b/>
        </w:rPr>
      </w:pPr>
    </w:p>
    <w:p w14:paraId="4D5E6BFF" w14:textId="77777777" w:rsidR="00CA532B" w:rsidRPr="006E30BC" w:rsidRDefault="00CA532B" w:rsidP="00CA532B">
      <w:pPr>
        <w:autoSpaceDE w:val="0"/>
        <w:autoSpaceDN w:val="0"/>
        <w:adjustRightInd w:val="0"/>
        <w:jc w:val="center"/>
        <w:rPr>
          <w:b/>
        </w:rPr>
      </w:pPr>
      <w:bookmarkStart w:id="0" w:name="_Hlk67058185"/>
      <w:r w:rsidRPr="006E30BC">
        <w:rPr>
          <w:b/>
        </w:rPr>
        <w:t xml:space="preserve">o donošenju Izmjena i dopuna Nacionalnog programa pomoći sektoru vina </w:t>
      </w:r>
    </w:p>
    <w:p w14:paraId="4D5E6C00" w14:textId="77777777" w:rsidR="00CA532B" w:rsidRPr="006E30BC" w:rsidRDefault="00CA532B" w:rsidP="00CA532B">
      <w:pPr>
        <w:autoSpaceDE w:val="0"/>
        <w:autoSpaceDN w:val="0"/>
        <w:adjustRightInd w:val="0"/>
        <w:jc w:val="center"/>
        <w:rPr>
          <w:b/>
          <w:bCs/>
        </w:rPr>
      </w:pPr>
      <w:r w:rsidRPr="006E30BC">
        <w:rPr>
          <w:b/>
        </w:rPr>
        <w:t>za razdoblje od 2019. do 2023. godine</w:t>
      </w:r>
      <w:bookmarkEnd w:id="0"/>
    </w:p>
    <w:p w14:paraId="4D5E6C01" w14:textId="77777777" w:rsidR="00CA532B" w:rsidRPr="00682B2D" w:rsidRDefault="00CA532B" w:rsidP="00CA532B">
      <w:pPr>
        <w:autoSpaceDE w:val="0"/>
        <w:autoSpaceDN w:val="0"/>
        <w:adjustRightInd w:val="0"/>
        <w:jc w:val="center"/>
        <w:rPr>
          <w:b/>
          <w:bCs/>
        </w:rPr>
      </w:pPr>
    </w:p>
    <w:p w14:paraId="4D5E6C02" w14:textId="77777777" w:rsidR="00CA532B" w:rsidRPr="00682B2D" w:rsidRDefault="00CA532B" w:rsidP="00CA532B">
      <w:pPr>
        <w:autoSpaceDE w:val="0"/>
        <w:autoSpaceDN w:val="0"/>
        <w:adjustRightInd w:val="0"/>
        <w:jc w:val="center"/>
        <w:rPr>
          <w:b/>
          <w:bCs/>
        </w:rPr>
      </w:pPr>
      <w:r w:rsidRPr="00682B2D">
        <w:rPr>
          <w:b/>
          <w:bCs/>
        </w:rPr>
        <w:t>I.</w:t>
      </w:r>
    </w:p>
    <w:p w14:paraId="4D5E6C03" w14:textId="77777777" w:rsidR="00CA532B" w:rsidRPr="00682B2D" w:rsidRDefault="00CA532B" w:rsidP="00CA532B">
      <w:pPr>
        <w:autoSpaceDE w:val="0"/>
        <w:autoSpaceDN w:val="0"/>
        <w:adjustRightInd w:val="0"/>
        <w:jc w:val="center"/>
        <w:rPr>
          <w:b/>
          <w:bCs/>
        </w:rPr>
      </w:pPr>
    </w:p>
    <w:p w14:paraId="4D5E6C04" w14:textId="77777777" w:rsidR="00CA532B" w:rsidRPr="00682B2D" w:rsidRDefault="00CA532B" w:rsidP="006E30BC">
      <w:pPr>
        <w:ind w:firstLine="1418"/>
        <w:jc w:val="both"/>
      </w:pPr>
      <w:r w:rsidRPr="00682B2D">
        <w:t xml:space="preserve">Donose se </w:t>
      </w:r>
      <w:r>
        <w:t>I</w:t>
      </w:r>
      <w:r w:rsidRPr="00682B2D">
        <w:t>zmjene i dopune Nacionalnog programa pomoći sektoru vina za razdoblje od 2019. do 2023. godine, u tekstu koji je Vladi Republike Hrvatske dostavilo Ministarstvo poljoprivrede aktom, KLASA:</w:t>
      </w:r>
      <w:r w:rsidR="004758A5">
        <w:t xml:space="preserve"> 320-14/21-01/04</w:t>
      </w:r>
      <w:r w:rsidRPr="00682B2D">
        <w:t>, URBROJ:</w:t>
      </w:r>
      <w:r w:rsidR="004758A5">
        <w:t xml:space="preserve"> 525-07/0144-21-4</w:t>
      </w:r>
      <w:r w:rsidR="006E30BC">
        <w:t>,</w:t>
      </w:r>
      <w:r w:rsidRPr="00682B2D">
        <w:t xml:space="preserve"> od </w:t>
      </w:r>
      <w:r w:rsidR="004758A5">
        <w:t>2. travnja</w:t>
      </w:r>
      <w:r w:rsidRPr="00682B2D">
        <w:t xml:space="preserve"> 2021.</w:t>
      </w:r>
    </w:p>
    <w:p w14:paraId="4D5E6C05" w14:textId="77777777" w:rsidR="00CA532B" w:rsidRPr="00682B2D" w:rsidRDefault="00CA532B" w:rsidP="00CA532B">
      <w:pPr>
        <w:jc w:val="center"/>
      </w:pPr>
    </w:p>
    <w:p w14:paraId="4D5E6C06" w14:textId="77777777" w:rsidR="00CA532B" w:rsidRPr="00682B2D" w:rsidRDefault="00CA532B" w:rsidP="00CA532B">
      <w:pPr>
        <w:jc w:val="center"/>
        <w:rPr>
          <w:b/>
        </w:rPr>
      </w:pPr>
      <w:r w:rsidRPr="00682B2D">
        <w:rPr>
          <w:b/>
        </w:rPr>
        <w:t>II.</w:t>
      </w:r>
    </w:p>
    <w:p w14:paraId="4D5E6C07" w14:textId="77777777" w:rsidR="00CA532B" w:rsidRPr="00682B2D" w:rsidRDefault="00CA532B" w:rsidP="00CA532B">
      <w:pPr>
        <w:jc w:val="both"/>
        <w:rPr>
          <w:rFonts w:eastAsia="Calibri"/>
          <w:lang w:eastAsia="en-US"/>
        </w:rPr>
      </w:pPr>
    </w:p>
    <w:p w14:paraId="4D5E6C08" w14:textId="77777777" w:rsidR="00CA532B" w:rsidRPr="00682B2D" w:rsidRDefault="00CA532B" w:rsidP="00F73959">
      <w:pPr>
        <w:ind w:firstLine="1418"/>
        <w:jc w:val="both"/>
      </w:pPr>
      <w:r w:rsidRPr="00682B2D">
        <w:t xml:space="preserve">Izmjenama i dopunama </w:t>
      </w:r>
      <w:r w:rsidR="001B39A7">
        <w:t>Nacionalnog p</w:t>
      </w:r>
      <w:r w:rsidRPr="00682B2D">
        <w:t xml:space="preserve">rograma iz točke I. ove Odluke financijski okvir i sredstava predviđena točkom II. Odluke </w:t>
      </w:r>
      <w:r w:rsidR="00F73959">
        <w:t>o</w:t>
      </w:r>
      <w:r w:rsidR="00F73959" w:rsidRPr="00F73959">
        <w:t xml:space="preserve"> donošenju Izmjena i dopuna Nacionalnog programa pomoći sektoru vina za razdoblje od 2019. do 2023. godine</w:t>
      </w:r>
      <w:r w:rsidR="00F73959">
        <w:t xml:space="preserve">, </w:t>
      </w:r>
      <w:r w:rsidRPr="00682B2D">
        <w:t>KLASA: 022-03/20-04/327, URBROJ: 50301-05/27-20-3</w:t>
      </w:r>
      <w:r w:rsidR="00F73959">
        <w:t>,</w:t>
      </w:r>
      <w:r w:rsidRPr="00682B2D">
        <w:t xml:space="preserve"> od 10. rujna 2020. se usklađuju i preraspodjeljuju po mjerama u skladu s Prilogom II. </w:t>
      </w:r>
      <w:r>
        <w:t>I</w:t>
      </w:r>
      <w:r w:rsidRPr="00682B2D">
        <w:t xml:space="preserve">zmjena i dopuna </w:t>
      </w:r>
      <w:r w:rsidR="00F73959">
        <w:t>Nacionalnog p</w:t>
      </w:r>
      <w:r w:rsidRPr="00682B2D">
        <w:t>rograma iz točke I. ove Odluke.</w:t>
      </w:r>
    </w:p>
    <w:p w14:paraId="4D5E6C09" w14:textId="77777777" w:rsidR="00CA532B" w:rsidRPr="00682B2D" w:rsidRDefault="00CA532B" w:rsidP="00F73959">
      <w:pPr>
        <w:jc w:val="both"/>
        <w:rPr>
          <w:rFonts w:eastAsia="Calibri"/>
          <w:lang w:eastAsia="en-US"/>
        </w:rPr>
      </w:pPr>
    </w:p>
    <w:p w14:paraId="4D5E6C0A" w14:textId="77777777" w:rsidR="00CA532B" w:rsidRPr="00487D22" w:rsidRDefault="00CA532B" w:rsidP="00F73959">
      <w:pPr>
        <w:ind w:firstLine="1418"/>
        <w:jc w:val="both"/>
        <w:rPr>
          <w:rFonts w:eastAsia="Calibri"/>
          <w:lang w:eastAsia="en-US"/>
        </w:rPr>
      </w:pPr>
      <w:r w:rsidRPr="00487D22">
        <w:rPr>
          <w:rFonts w:eastAsia="Calibri"/>
          <w:lang w:eastAsia="en-US"/>
        </w:rPr>
        <w:t>Ministarstvo poljopri</w:t>
      </w:r>
      <w:bookmarkStart w:id="1" w:name="_GoBack"/>
      <w:bookmarkEnd w:id="1"/>
      <w:r w:rsidRPr="00487D22">
        <w:rPr>
          <w:rFonts w:eastAsia="Calibri"/>
          <w:lang w:eastAsia="en-US"/>
        </w:rPr>
        <w:t xml:space="preserve">vrede je osiguralo financijska sredstva u Državnom proračunu Republike Hrvatske za 2021. godinu i projekcijama za 2022. i 2023. godinu u iznosu </w:t>
      </w:r>
      <w:r w:rsidRPr="006A4264">
        <w:rPr>
          <w:rFonts w:eastAsia="Calibri"/>
          <w:lang w:eastAsia="en-US"/>
        </w:rPr>
        <w:t xml:space="preserve">od 83.190.750,00 kuna </w:t>
      </w:r>
      <w:r w:rsidRPr="00487D22">
        <w:rPr>
          <w:rFonts w:eastAsia="Calibri"/>
          <w:lang w:eastAsia="en-US"/>
        </w:rPr>
        <w:t xml:space="preserve">godišnje, </w:t>
      </w:r>
      <w:r w:rsidRPr="006A4264">
        <w:rPr>
          <w:rFonts w:eastAsia="Calibri"/>
          <w:lang w:eastAsia="en-US"/>
        </w:rPr>
        <w:t>na proračunskoj poziciji A821058 - ZPP - mjere uređenja tržišta poljoprivrednih proizvoda</w:t>
      </w:r>
      <w:r w:rsidRPr="00487D22">
        <w:rPr>
          <w:rFonts w:eastAsia="Calibri"/>
          <w:bCs/>
          <w:lang w:eastAsia="en-US"/>
        </w:rPr>
        <w:t xml:space="preserve">. </w:t>
      </w:r>
    </w:p>
    <w:p w14:paraId="4D5E6C0B" w14:textId="77777777" w:rsidR="00CA532B" w:rsidRPr="00682B2D" w:rsidRDefault="00CA532B" w:rsidP="00CA532B">
      <w:pPr>
        <w:jc w:val="both"/>
        <w:rPr>
          <w:rFonts w:eastAsia="Calibri"/>
          <w:lang w:eastAsia="en-US"/>
        </w:rPr>
      </w:pPr>
    </w:p>
    <w:p w14:paraId="4D5E6C0C" w14:textId="77777777" w:rsidR="00CA532B" w:rsidRPr="00682B2D" w:rsidRDefault="00CA532B" w:rsidP="00CA532B">
      <w:pPr>
        <w:autoSpaceDE w:val="0"/>
        <w:autoSpaceDN w:val="0"/>
        <w:adjustRightInd w:val="0"/>
        <w:jc w:val="center"/>
        <w:rPr>
          <w:b/>
          <w:bCs/>
        </w:rPr>
      </w:pPr>
      <w:r w:rsidRPr="00682B2D">
        <w:rPr>
          <w:b/>
          <w:bCs/>
        </w:rPr>
        <w:t>III.</w:t>
      </w:r>
    </w:p>
    <w:p w14:paraId="4D5E6C0D" w14:textId="77777777" w:rsidR="00CA532B" w:rsidRPr="00682B2D" w:rsidRDefault="00CA532B" w:rsidP="00CA532B">
      <w:pPr>
        <w:autoSpaceDE w:val="0"/>
        <w:autoSpaceDN w:val="0"/>
        <w:adjustRightInd w:val="0"/>
        <w:jc w:val="center"/>
        <w:rPr>
          <w:b/>
          <w:bCs/>
        </w:rPr>
      </w:pPr>
    </w:p>
    <w:p w14:paraId="4D5E6C0E" w14:textId="77777777" w:rsidR="00CA532B" w:rsidRPr="00682B2D" w:rsidRDefault="00CA532B" w:rsidP="00F73959">
      <w:pPr>
        <w:autoSpaceDE w:val="0"/>
        <w:autoSpaceDN w:val="0"/>
        <w:adjustRightInd w:val="0"/>
        <w:ind w:firstLine="1418"/>
        <w:jc w:val="both"/>
      </w:pPr>
      <w:r w:rsidRPr="00682B2D">
        <w:t>Zadužuje se Ministarstvo poljoprivrede da o donošenju ove Odluke izvijesti Agenciju za plaćanja u poljoprivredi, ribarstvu i ruralnom razvoju.</w:t>
      </w:r>
    </w:p>
    <w:p w14:paraId="4D5E6C0F" w14:textId="77777777" w:rsidR="00CA532B" w:rsidRPr="00682B2D" w:rsidRDefault="00CA532B" w:rsidP="00CA532B">
      <w:pPr>
        <w:autoSpaceDE w:val="0"/>
        <w:autoSpaceDN w:val="0"/>
        <w:adjustRightInd w:val="0"/>
        <w:jc w:val="both"/>
      </w:pPr>
    </w:p>
    <w:p w14:paraId="4D5E6C10" w14:textId="77777777" w:rsidR="00CA532B" w:rsidRPr="00682B2D" w:rsidRDefault="00CA532B" w:rsidP="00CA532B">
      <w:pPr>
        <w:autoSpaceDE w:val="0"/>
        <w:autoSpaceDN w:val="0"/>
        <w:adjustRightInd w:val="0"/>
        <w:jc w:val="center"/>
        <w:rPr>
          <w:b/>
          <w:bCs/>
        </w:rPr>
      </w:pPr>
      <w:r w:rsidRPr="00682B2D">
        <w:rPr>
          <w:b/>
          <w:bCs/>
        </w:rPr>
        <w:t>IV.</w:t>
      </w:r>
    </w:p>
    <w:p w14:paraId="4D5E6C11" w14:textId="77777777" w:rsidR="00CA532B" w:rsidRPr="00682B2D" w:rsidRDefault="00CA532B" w:rsidP="00CA532B">
      <w:pPr>
        <w:autoSpaceDE w:val="0"/>
        <w:autoSpaceDN w:val="0"/>
        <w:adjustRightInd w:val="0"/>
        <w:jc w:val="center"/>
        <w:rPr>
          <w:b/>
          <w:bCs/>
        </w:rPr>
      </w:pPr>
    </w:p>
    <w:p w14:paraId="4D5E6C12" w14:textId="77777777" w:rsidR="00CA532B" w:rsidRPr="00682B2D" w:rsidRDefault="00CA532B" w:rsidP="00F73959">
      <w:pPr>
        <w:autoSpaceDE w:val="0"/>
        <w:autoSpaceDN w:val="0"/>
        <w:adjustRightInd w:val="0"/>
        <w:ind w:firstLine="1418"/>
        <w:jc w:val="both"/>
      </w:pPr>
      <w:r w:rsidRPr="00682B2D">
        <w:t>Zadužuje se Ministarstvo poljoprivrede da na sv</w:t>
      </w:r>
      <w:r>
        <w:t>ojim mrežnim stranicama objavi I</w:t>
      </w:r>
      <w:r w:rsidRPr="00682B2D">
        <w:t xml:space="preserve">zmjene i dopune </w:t>
      </w:r>
      <w:r w:rsidR="00F73959">
        <w:t>Nacionalnog p</w:t>
      </w:r>
      <w:r w:rsidRPr="00682B2D">
        <w:t>rograma iz točke I. ove Odluke.</w:t>
      </w:r>
    </w:p>
    <w:p w14:paraId="4D5E6C13" w14:textId="77777777" w:rsidR="00CA532B" w:rsidRPr="00682B2D" w:rsidRDefault="00CA532B" w:rsidP="00CA532B">
      <w:pPr>
        <w:jc w:val="center"/>
      </w:pPr>
    </w:p>
    <w:p w14:paraId="4D5E6C14" w14:textId="77777777" w:rsidR="00CA532B" w:rsidRPr="00682B2D" w:rsidRDefault="00CA532B" w:rsidP="00CA532B">
      <w:pPr>
        <w:jc w:val="center"/>
        <w:rPr>
          <w:b/>
        </w:rPr>
      </w:pPr>
      <w:r w:rsidRPr="00682B2D">
        <w:rPr>
          <w:b/>
        </w:rPr>
        <w:t>V.</w:t>
      </w:r>
    </w:p>
    <w:p w14:paraId="4D5E6C15" w14:textId="77777777" w:rsidR="00CA532B" w:rsidRPr="00682B2D" w:rsidRDefault="00CA532B" w:rsidP="00CA532B"/>
    <w:p w14:paraId="4D5E6C16" w14:textId="77777777" w:rsidR="00CA532B" w:rsidRDefault="00CA532B" w:rsidP="00E51E67">
      <w:pPr>
        <w:ind w:firstLine="1418"/>
      </w:pPr>
      <w:r w:rsidRPr="00682B2D">
        <w:t xml:space="preserve">Ova Odluka stupa na snagu danom donošenja. </w:t>
      </w:r>
    </w:p>
    <w:p w14:paraId="4D5E6C17" w14:textId="77777777" w:rsidR="00E51E67" w:rsidRPr="00682B2D" w:rsidRDefault="00E51E67" w:rsidP="00E51E67">
      <w:pPr>
        <w:ind w:firstLine="1418"/>
      </w:pPr>
    </w:p>
    <w:p w14:paraId="4D5E6C18" w14:textId="77777777" w:rsidR="00E51E67" w:rsidRDefault="00E51E67" w:rsidP="00E51E67">
      <w:pPr>
        <w:spacing w:line="300" w:lineRule="atLeast"/>
        <w:jc w:val="both"/>
      </w:pPr>
      <w:r>
        <w:t>K</w:t>
      </w:r>
      <w:r w:rsidRPr="003377F5">
        <w:t>LASA:</w:t>
      </w:r>
    </w:p>
    <w:p w14:paraId="4D5E6C19" w14:textId="77777777" w:rsidR="00E51E67" w:rsidRPr="003377F5" w:rsidRDefault="00E51E67" w:rsidP="00E51E67">
      <w:pPr>
        <w:spacing w:line="300" w:lineRule="atLeast"/>
        <w:jc w:val="both"/>
      </w:pPr>
      <w:r>
        <w:t>URBROJ:</w:t>
      </w:r>
    </w:p>
    <w:p w14:paraId="4D5E6C1A" w14:textId="77777777" w:rsidR="00E51E67" w:rsidRDefault="00E51E67" w:rsidP="00E51E67">
      <w:pPr>
        <w:spacing w:line="300" w:lineRule="atLeast"/>
        <w:jc w:val="both"/>
      </w:pPr>
      <w:r>
        <w:t xml:space="preserve">Zagreb, </w:t>
      </w:r>
    </w:p>
    <w:p w14:paraId="4D5E6C1B" w14:textId="77777777" w:rsidR="00E51E67" w:rsidRPr="003377F5" w:rsidRDefault="00E51E67" w:rsidP="00E51E67">
      <w:pPr>
        <w:spacing w:before="120" w:after="120" w:line="300" w:lineRule="atLeast"/>
        <w:ind w:left="5664" w:firstLine="708"/>
        <w:jc w:val="both"/>
      </w:pPr>
      <w:r w:rsidRPr="003377F5">
        <w:t>PREDSJEDNIK</w:t>
      </w:r>
    </w:p>
    <w:p w14:paraId="4D5E6C1C" w14:textId="77777777" w:rsidR="00E51E67" w:rsidRDefault="00E51E67" w:rsidP="00E51E67">
      <w:pPr>
        <w:spacing w:before="120" w:after="120" w:line="300" w:lineRule="atLeast"/>
        <w:ind w:left="4956" w:firstLine="708"/>
        <w:jc w:val="both"/>
      </w:pPr>
      <w:r w:rsidRPr="003377F5">
        <w:t xml:space="preserve">    mr. sc. Andrej Plenković</w:t>
      </w:r>
    </w:p>
    <w:p w14:paraId="4D5E6C1D" w14:textId="77777777" w:rsidR="00CA532B" w:rsidRPr="00682B2D" w:rsidRDefault="00CA532B" w:rsidP="00CA532B">
      <w:pPr>
        <w:spacing w:before="120" w:after="120"/>
      </w:pPr>
      <w:r w:rsidRPr="00682B2D">
        <w:br w:type="page"/>
      </w:r>
      <w:r w:rsidRPr="00682B2D">
        <w:lastRenderedPageBreak/>
        <w:t>OBRAZLOŽENJE</w:t>
      </w:r>
    </w:p>
    <w:p w14:paraId="4D5E6C1E" w14:textId="77777777" w:rsidR="00CA532B" w:rsidRPr="00682B2D" w:rsidRDefault="00CA532B" w:rsidP="00CA532B">
      <w:pPr>
        <w:spacing w:before="120" w:after="120"/>
        <w:jc w:val="both"/>
        <w:rPr>
          <w:rFonts w:eastAsia="Calibri"/>
          <w:lang w:eastAsia="en-US"/>
        </w:rPr>
      </w:pPr>
    </w:p>
    <w:p w14:paraId="4D5E6C1F" w14:textId="77777777" w:rsidR="00CA532B" w:rsidRPr="00682B2D" w:rsidRDefault="00CA532B" w:rsidP="00CA532B">
      <w:pPr>
        <w:spacing w:before="120" w:after="120"/>
        <w:jc w:val="both"/>
        <w:rPr>
          <w:lang w:eastAsia="en-US"/>
        </w:rPr>
      </w:pPr>
      <w:r w:rsidRPr="00682B2D">
        <w:rPr>
          <w:rFonts w:eastAsia="Calibri"/>
          <w:lang w:eastAsia="en-US"/>
        </w:rPr>
        <w:t xml:space="preserve">Ove izmjene Nacionalnog programa pomoći sektoru vina za razdoblje od 2019. do 2023. godine (u daljnjem tekstu: Nacionalni program) donose se u skladu s člankom 41. Uredbe (EU) br. 1308/2013. </w:t>
      </w:r>
    </w:p>
    <w:p w14:paraId="4D5E6C20" w14:textId="77777777" w:rsidR="00CA532B" w:rsidRPr="00682B2D" w:rsidRDefault="00CA532B" w:rsidP="00CA532B">
      <w:pPr>
        <w:spacing w:before="120" w:after="120"/>
        <w:jc w:val="both"/>
        <w:rPr>
          <w:rFonts w:eastAsia="Calibri"/>
          <w:lang w:eastAsia="en-US"/>
        </w:rPr>
      </w:pPr>
      <w:r w:rsidRPr="00682B2D">
        <w:rPr>
          <w:rFonts w:eastAsia="Calibri"/>
          <w:lang w:eastAsia="en-US"/>
        </w:rPr>
        <w:t xml:space="preserve">Slijedom prilagodbi na nepovoljne tržišne uvjete </w:t>
      </w:r>
      <w:bookmarkStart w:id="2" w:name="_Hlk61604471"/>
      <w:r w:rsidRPr="00682B2D">
        <w:rPr>
          <w:rFonts w:eastAsia="Calibri"/>
          <w:lang w:eastAsia="en-US"/>
        </w:rPr>
        <w:t>do kojih je došlo uslijed pojave pandemije bolesti COVID – 19</w:t>
      </w:r>
      <w:bookmarkEnd w:id="2"/>
      <w:r w:rsidRPr="00682B2D">
        <w:rPr>
          <w:rFonts w:eastAsia="Calibri"/>
          <w:lang w:eastAsia="en-US"/>
        </w:rPr>
        <w:t xml:space="preserve"> Europska Komisija je u 2020. godini donijela niz uredbi kojima je izmijenila i dopunila tada važeće mogućnosti programiranja mjera u okviru programa potpore sektoru vina uređenih Uredbom (EU) br. 1308/2013. Europska Komisija je kroz navedeno omogućila uvođenje interventnih mjera (</w:t>
      </w:r>
      <w:r w:rsidRPr="00682B2D">
        <w:rPr>
          <w:lang w:bidi="ne-NP"/>
        </w:rPr>
        <w:t xml:space="preserve">Destilacija vina u kriznim slučajevima i Potpora za krizno skladištenje vina) </w:t>
      </w:r>
      <w:r w:rsidRPr="00682B2D">
        <w:rPr>
          <w:rFonts w:eastAsia="Calibri"/>
          <w:lang w:eastAsia="en-US"/>
        </w:rPr>
        <w:t xml:space="preserve">u Nacionalne programe država članica te je omogućila povećanje intenziteta potpore iz Europskog fonda </w:t>
      </w:r>
      <w:r w:rsidR="009C5D42">
        <w:rPr>
          <w:rFonts w:eastAsia="Calibri"/>
          <w:lang w:eastAsia="en-US"/>
        </w:rPr>
        <w:t xml:space="preserve">za jamstva </w:t>
      </w:r>
      <w:r w:rsidRPr="00682B2D">
        <w:rPr>
          <w:rFonts w:eastAsia="Calibri"/>
          <w:lang w:eastAsia="en-US"/>
        </w:rPr>
        <w:t>u poljoprivredi (EAGF) za sve mjere.</w:t>
      </w:r>
    </w:p>
    <w:p w14:paraId="4D5E6C21" w14:textId="77777777" w:rsidR="00CA532B" w:rsidRDefault="00CA532B" w:rsidP="00CA532B">
      <w:pPr>
        <w:spacing w:before="120" w:after="120"/>
        <w:jc w:val="both"/>
        <w:rPr>
          <w:rFonts w:eastAsia="Calibri"/>
          <w:lang w:eastAsia="en-US"/>
        </w:rPr>
      </w:pPr>
      <w:r w:rsidRPr="00682B2D">
        <w:rPr>
          <w:rFonts w:eastAsia="Calibri"/>
          <w:lang w:eastAsia="en-US"/>
        </w:rPr>
        <w:t xml:space="preserve">U cilju usklađivanja Nacionalnog programa s EU Uredbama koje su stupile na snagu u 2020. godini, odnosno u cilju uvođenja interventnih mjera i povećanja intenziteta potpore po mjerama iz EAGF fonda, Ministarstvo poljoprivrede je predložilo Vladi Republike Hrvatske donošenje Izmjena i dopuna Nacionalnog programa u lipnju i rujnu 2020. godine. </w:t>
      </w:r>
      <w:r w:rsidRPr="00682B2D">
        <w:t xml:space="preserve">Prvu Izmjenu i dopunu Nacionalnog programa Vlada Republike Hrvatske usvojila je 25. lipnja 2020. godine, a </w:t>
      </w:r>
      <w:r w:rsidRPr="00682B2D">
        <w:rPr>
          <w:rFonts w:eastAsia="EUAlbertina"/>
        </w:rPr>
        <w:t xml:space="preserve">drugu Izmjenu i dopunu Nacionalnog programa Vlada Republike Hrvatske usvojila je 10. rujna 2020. godine. </w:t>
      </w:r>
      <w:r w:rsidRPr="00682B2D">
        <w:rPr>
          <w:rFonts w:eastAsia="Calibri"/>
          <w:lang w:eastAsia="en-US"/>
        </w:rPr>
        <w:t xml:space="preserve">Kroz spomenute Izmjene i dopune u Nacionalni program su u 2020. godini uvedene dvije interventne mjere te su povećani intenziteti potpore koji su, u skladu s tada važećim odredbama Uredbi Europske Unije, imali primjenu najkasnije do 15. listopada 2020. godine. </w:t>
      </w:r>
    </w:p>
    <w:p w14:paraId="4D5E6C22" w14:textId="77777777" w:rsidR="00754E0A" w:rsidRDefault="00754E0A" w:rsidP="000A7B9F">
      <w:pPr>
        <w:spacing w:after="120"/>
        <w:jc w:val="both"/>
        <w:rPr>
          <w:bCs/>
          <w:lang w:eastAsia="en-US"/>
        </w:rPr>
      </w:pPr>
      <w:bookmarkStart w:id="3" w:name="_Hlk69723367"/>
      <w:r w:rsidRPr="00754E0A">
        <w:rPr>
          <w:lang w:eastAsia="en-US"/>
        </w:rPr>
        <w:t>Javni poziv za</w:t>
      </w:r>
      <w:r>
        <w:rPr>
          <w:lang w:eastAsia="en-US"/>
        </w:rPr>
        <w:t xml:space="preserve"> </w:t>
      </w:r>
      <w:r w:rsidR="000A7B9F">
        <w:rPr>
          <w:lang w:eastAsia="en-US"/>
        </w:rPr>
        <w:t xml:space="preserve">krizne </w:t>
      </w:r>
      <w:r w:rsidRPr="00754E0A">
        <w:rPr>
          <w:lang w:eastAsia="en-US"/>
        </w:rPr>
        <w:t>mjer</w:t>
      </w:r>
      <w:r>
        <w:rPr>
          <w:lang w:eastAsia="en-US"/>
        </w:rPr>
        <w:t>e</w:t>
      </w:r>
      <w:r w:rsidR="007C68CA" w:rsidRPr="007C68CA">
        <w:rPr>
          <w:lang w:eastAsia="en-US"/>
        </w:rPr>
        <w:t xml:space="preserve"> </w:t>
      </w:r>
      <w:r w:rsidR="007C68CA">
        <w:rPr>
          <w:lang w:eastAsia="en-US"/>
        </w:rPr>
        <w:t xml:space="preserve">je proveden </w:t>
      </w:r>
      <w:r w:rsidR="007C68CA" w:rsidRPr="00754E0A">
        <w:rPr>
          <w:lang w:eastAsia="en-US"/>
        </w:rPr>
        <w:t xml:space="preserve">od 8. </w:t>
      </w:r>
      <w:r w:rsidR="007C68CA" w:rsidRPr="00754E0A">
        <w:rPr>
          <w:rFonts w:eastAsia="Calibri"/>
          <w:lang w:eastAsia="en-US"/>
        </w:rPr>
        <w:t xml:space="preserve">do 17. </w:t>
      </w:r>
      <w:r w:rsidR="007C68CA">
        <w:rPr>
          <w:rFonts w:eastAsia="Calibri"/>
          <w:lang w:eastAsia="en-US"/>
        </w:rPr>
        <w:t>srpnja</w:t>
      </w:r>
      <w:r w:rsidR="007C68CA">
        <w:rPr>
          <w:lang w:eastAsia="en-US"/>
        </w:rPr>
        <w:t xml:space="preserve"> 2020. godine</w:t>
      </w:r>
      <w:r w:rsidRPr="00754E0A">
        <w:rPr>
          <w:rFonts w:eastAsia="Calibri"/>
          <w:lang w:eastAsia="en-US"/>
        </w:rPr>
        <w:t xml:space="preserve">. </w:t>
      </w:r>
      <w:r w:rsidRPr="00754E0A">
        <w:rPr>
          <w:lang w:eastAsia="en-US"/>
        </w:rPr>
        <w:t xml:space="preserve">Za mjeru Destilacija vina </w:t>
      </w:r>
      <w:r w:rsidR="000A7B9F" w:rsidRPr="000A7B9F">
        <w:rPr>
          <w:lang w:eastAsia="en-US"/>
        </w:rPr>
        <w:t xml:space="preserve">u kriznim slučajevima </w:t>
      </w:r>
      <w:r>
        <w:rPr>
          <w:lang w:eastAsia="en-US"/>
        </w:rPr>
        <w:t xml:space="preserve">je </w:t>
      </w:r>
      <w:r w:rsidRPr="00754E0A">
        <w:rPr>
          <w:lang w:eastAsia="en-US"/>
        </w:rPr>
        <w:t>iskorišten</w:t>
      </w:r>
      <w:r>
        <w:rPr>
          <w:lang w:eastAsia="en-US"/>
        </w:rPr>
        <w:t>o</w:t>
      </w:r>
      <w:r w:rsidRPr="00754E0A">
        <w:rPr>
          <w:lang w:eastAsia="en-US"/>
        </w:rPr>
        <w:t xml:space="preserve"> 100 %</w:t>
      </w:r>
      <w:r>
        <w:rPr>
          <w:lang w:eastAsia="en-US"/>
        </w:rPr>
        <w:t xml:space="preserve"> o</w:t>
      </w:r>
      <w:r w:rsidRPr="00754E0A">
        <w:rPr>
          <w:lang w:eastAsia="en-US"/>
        </w:rPr>
        <w:t xml:space="preserve">d </w:t>
      </w:r>
      <w:r>
        <w:rPr>
          <w:lang w:eastAsia="en-US"/>
        </w:rPr>
        <w:t xml:space="preserve">ukupno </w:t>
      </w:r>
      <w:r w:rsidRPr="00754E0A">
        <w:rPr>
          <w:lang w:eastAsia="en-US"/>
        </w:rPr>
        <w:t>raspoloživih sredstava</w:t>
      </w:r>
      <w:r w:rsidR="007C68CA">
        <w:rPr>
          <w:lang w:eastAsia="en-US"/>
        </w:rPr>
        <w:t>,</w:t>
      </w:r>
      <w:r w:rsidRPr="00754E0A">
        <w:rPr>
          <w:lang w:eastAsia="en-US"/>
        </w:rPr>
        <w:t xml:space="preserve"> </w:t>
      </w:r>
      <w:r w:rsidR="000A7B9F">
        <w:rPr>
          <w:lang w:eastAsia="en-US"/>
        </w:rPr>
        <w:t xml:space="preserve">odnosno </w:t>
      </w:r>
      <w:r w:rsidRPr="00754E0A">
        <w:rPr>
          <w:lang w:eastAsia="en-US"/>
        </w:rPr>
        <w:t xml:space="preserve">4.969.000,00 EUR </w:t>
      </w:r>
      <w:r>
        <w:rPr>
          <w:lang w:eastAsia="en-US"/>
        </w:rPr>
        <w:t xml:space="preserve">te </w:t>
      </w:r>
      <w:r w:rsidR="000A7B9F">
        <w:rPr>
          <w:lang w:eastAsia="en-US"/>
        </w:rPr>
        <w:t xml:space="preserve">je </w:t>
      </w:r>
      <w:r w:rsidR="000A7B9F" w:rsidRPr="00754E0A">
        <w:rPr>
          <w:lang w:eastAsia="en-US"/>
        </w:rPr>
        <w:t xml:space="preserve">za 55 </w:t>
      </w:r>
      <w:r w:rsidR="00C95497">
        <w:t xml:space="preserve">proizvođača vina </w:t>
      </w:r>
      <w:r w:rsidR="007C68CA">
        <w:rPr>
          <w:lang w:eastAsia="en-US"/>
        </w:rPr>
        <w:t xml:space="preserve">koji su </w:t>
      </w:r>
      <w:r w:rsidR="007C68CA" w:rsidRPr="00754E0A">
        <w:rPr>
          <w:lang w:eastAsia="en-US"/>
        </w:rPr>
        <w:t>preda</w:t>
      </w:r>
      <w:r w:rsidR="007C68CA">
        <w:rPr>
          <w:lang w:eastAsia="en-US"/>
        </w:rPr>
        <w:t>li</w:t>
      </w:r>
      <w:r w:rsidR="007C68CA" w:rsidRPr="00754E0A">
        <w:rPr>
          <w:lang w:eastAsia="en-US"/>
        </w:rPr>
        <w:t xml:space="preserve"> </w:t>
      </w:r>
      <w:r w:rsidR="001A0754">
        <w:t>ukupno 6.378.835 l vina</w:t>
      </w:r>
      <w:r w:rsidR="001A0754" w:rsidRPr="00754E0A">
        <w:rPr>
          <w:lang w:eastAsia="en-US"/>
        </w:rPr>
        <w:t xml:space="preserve"> </w:t>
      </w:r>
      <w:r w:rsidR="007C68CA" w:rsidRPr="00754E0A">
        <w:rPr>
          <w:lang w:eastAsia="en-US"/>
        </w:rPr>
        <w:t>na destilaciju</w:t>
      </w:r>
      <w:r w:rsidR="007C68CA">
        <w:rPr>
          <w:lang w:eastAsia="en-US"/>
        </w:rPr>
        <w:t xml:space="preserve"> </w:t>
      </w:r>
      <w:r>
        <w:rPr>
          <w:lang w:eastAsia="en-US"/>
        </w:rPr>
        <w:t>isplaćeno</w:t>
      </w:r>
      <w:r w:rsidRPr="00754E0A">
        <w:rPr>
          <w:lang w:eastAsia="en-US"/>
        </w:rPr>
        <w:t xml:space="preserve"> 4.638.917,31 EUR</w:t>
      </w:r>
      <w:r>
        <w:rPr>
          <w:lang w:eastAsia="en-US"/>
        </w:rPr>
        <w:t xml:space="preserve">, odnosno </w:t>
      </w:r>
      <w:r w:rsidR="007C68CA">
        <w:rPr>
          <w:lang w:eastAsia="en-US"/>
        </w:rPr>
        <w:t>plaćeno</w:t>
      </w:r>
      <w:r w:rsidR="007C68CA" w:rsidRPr="00754E0A">
        <w:rPr>
          <w:lang w:eastAsia="en-US"/>
        </w:rPr>
        <w:t xml:space="preserve"> </w:t>
      </w:r>
      <w:r w:rsidR="007C68CA">
        <w:rPr>
          <w:lang w:eastAsia="en-US"/>
        </w:rPr>
        <w:t xml:space="preserve">je </w:t>
      </w:r>
      <w:r w:rsidR="007C68CA" w:rsidRPr="00754E0A">
        <w:rPr>
          <w:lang w:eastAsia="en-US"/>
        </w:rPr>
        <w:t>324.642,45 EUR</w:t>
      </w:r>
      <w:r w:rsidR="007C68CA">
        <w:rPr>
          <w:lang w:eastAsia="en-US"/>
        </w:rPr>
        <w:t xml:space="preserve"> </w:t>
      </w:r>
      <w:r w:rsidR="000A7B9F">
        <w:rPr>
          <w:lang w:eastAsia="en-US"/>
        </w:rPr>
        <w:t xml:space="preserve">za </w:t>
      </w:r>
      <w:r w:rsidR="001A0754" w:rsidRPr="00754E0A">
        <w:rPr>
          <w:lang w:eastAsia="en-US"/>
        </w:rPr>
        <w:t>4 destilatera</w:t>
      </w:r>
      <w:r w:rsidR="001A0754">
        <w:rPr>
          <w:lang w:eastAsia="en-US"/>
        </w:rPr>
        <w:t xml:space="preserve"> kod kojih je </w:t>
      </w:r>
      <w:r w:rsidR="000A7B9F">
        <w:rPr>
          <w:lang w:eastAsia="en-US"/>
        </w:rPr>
        <w:t>proveden</w:t>
      </w:r>
      <w:r w:rsidR="001A0754">
        <w:rPr>
          <w:lang w:eastAsia="en-US"/>
        </w:rPr>
        <w:t>a</w:t>
      </w:r>
      <w:r w:rsidR="000A7B9F">
        <w:rPr>
          <w:lang w:eastAsia="en-US"/>
        </w:rPr>
        <w:t xml:space="preserve"> destilaciju </w:t>
      </w:r>
      <w:r w:rsidR="001A0754">
        <w:rPr>
          <w:lang w:eastAsia="en-US"/>
        </w:rPr>
        <w:t xml:space="preserve">tog </w:t>
      </w:r>
      <w:r w:rsidR="000A7B9F">
        <w:rPr>
          <w:lang w:eastAsia="en-US"/>
        </w:rPr>
        <w:t>vina</w:t>
      </w:r>
      <w:r>
        <w:rPr>
          <w:lang w:eastAsia="en-US"/>
        </w:rPr>
        <w:t>.</w:t>
      </w:r>
      <w:r w:rsidRPr="00754E0A">
        <w:rPr>
          <w:lang w:eastAsia="en-US"/>
        </w:rPr>
        <w:t xml:space="preserve"> </w:t>
      </w:r>
      <w:r>
        <w:rPr>
          <w:lang w:eastAsia="en-US"/>
        </w:rPr>
        <w:t>U</w:t>
      </w:r>
      <w:r w:rsidRPr="00754E0A">
        <w:rPr>
          <w:lang w:eastAsia="en-US"/>
        </w:rPr>
        <w:t xml:space="preserve"> mjer</w:t>
      </w:r>
      <w:r>
        <w:rPr>
          <w:lang w:eastAsia="en-US"/>
        </w:rPr>
        <w:t>i</w:t>
      </w:r>
      <w:r w:rsidRPr="00754E0A">
        <w:rPr>
          <w:lang w:eastAsia="en-US"/>
        </w:rPr>
        <w:t xml:space="preserve"> Potpora za krizno skladištenje </w:t>
      </w:r>
      <w:r w:rsidR="000A7B9F">
        <w:rPr>
          <w:lang w:eastAsia="en-US"/>
        </w:rPr>
        <w:t xml:space="preserve">vina </w:t>
      </w:r>
      <w:r w:rsidRPr="00754E0A">
        <w:rPr>
          <w:lang w:eastAsia="en-US"/>
        </w:rPr>
        <w:t xml:space="preserve">iskorištenje je </w:t>
      </w:r>
      <w:r>
        <w:rPr>
          <w:lang w:eastAsia="en-US"/>
        </w:rPr>
        <w:t xml:space="preserve">bilo </w:t>
      </w:r>
      <w:r w:rsidRPr="00754E0A">
        <w:rPr>
          <w:bCs/>
          <w:lang w:eastAsia="en-US"/>
        </w:rPr>
        <w:t>88</w:t>
      </w:r>
      <w:r w:rsidRPr="00754E0A">
        <w:rPr>
          <w:lang w:eastAsia="en-US"/>
        </w:rPr>
        <w:t>%</w:t>
      </w:r>
      <w:r>
        <w:rPr>
          <w:lang w:eastAsia="en-US"/>
        </w:rPr>
        <w:t xml:space="preserve"> od </w:t>
      </w:r>
      <w:r w:rsidR="001A0754">
        <w:rPr>
          <w:lang w:eastAsia="en-US"/>
        </w:rPr>
        <w:t xml:space="preserve">ukupno </w:t>
      </w:r>
      <w:r w:rsidRPr="00754E0A">
        <w:rPr>
          <w:lang w:eastAsia="en-US"/>
        </w:rPr>
        <w:t xml:space="preserve">1.167.000,00 EUR raspoloživih sredstava </w:t>
      </w:r>
      <w:r>
        <w:rPr>
          <w:lang w:eastAsia="en-US"/>
        </w:rPr>
        <w:t xml:space="preserve">te je </w:t>
      </w:r>
      <w:r w:rsidR="001A0754">
        <w:rPr>
          <w:lang w:eastAsia="en-US"/>
        </w:rPr>
        <w:t>isplaćeno</w:t>
      </w:r>
      <w:r w:rsidR="001A0754" w:rsidRPr="00754E0A">
        <w:rPr>
          <w:lang w:eastAsia="en-US"/>
        </w:rPr>
        <w:t xml:space="preserve"> 1.021.426,22 EUR</w:t>
      </w:r>
      <w:r w:rsidR="001A0754">
        <w:rPr>
          <w:lang w:eastAsia="en-US"/>
        </w:rPr>
        <w:t xml:space="preserve"> </w:t>
      </w:r>
      <w:r>
        <w:rPr>
          <w:lang w:eastAsia="en-US"/>
        </w:rPr>
        <w:t xml:space="preserve">za </w:t>
      </w:r>
      <w:r w:rsidRPr="00754E0A">
        <w:rPr>
          <w:lang w:eastAsia="en-US"/>
        </w:rPr>
        <w:t>43</w:t>
      </w:r>
      <w:r>
        <w:rPr>
          <w:lang w:eastAsia="en-US"/>
        </w:rPr>
        <w:t xml:space="preserve"> </w:t>
      </w:r>
      <w:r w:rsidR="00C95497" w:rsidRPr="00C95497">
        <w:rPr>
          <w:lang w:eastAsia="en-US"/>
        </w:rPr>
        <w:t xml:space="preserve">proizvođača vina </w:t>
      </w:r>
      <w:r w:rsidR="001A0754" w:rsidRPr="001A0754">
        <w:rPr>
          <w:lang w:eastAsia="en-US"/>
        </w:rPr>
        <w:t>koj</w:t>
      </w:r>
      <w:r w:rsidR="001A0754">
        <w:rPr>
          <w:lang w:eastAsia="en-US"/>
        </w:rPr>
        <w:t>i</w:t>
      </w:r>
      <w:r w:rsidR="001A0754" w:rsidRPr="001A0754">
        <w:rPr>
          <w:lang w:eastAsia="en-US"/>
        </w:rPr>
        <w:t xml:space="preserve"> su uskladištil</w:t>
      </w:r>
      <w:r w:rsidR="001A0754">
        <w:rPr>
          <w:lang w:eastAsia="en-US"/>
        </w:rPr>
        <w:t>i</w:t>
      </w:r>
      <w:r w:rsidR="001A0754" w:rsidRPr="001A0754">
        <w:rPr>
          <w:lang w:eastAsia="en-US"/>
        </w:rPr>
        <w:t xml:space="preserve"> 2.692.008 l vina na razdoblje od 60 dana</w:t>
      </w:r>
      <w:r w:rsidR="000A7B9F">
        <w:rPr>
          <w:lang w:eastAsia="en-US"/>
        </w:rPr>
        <w:t>.</w:t>
      </w:r>
      <w:r>
        <w:rPr>
          <w:lang w:eastAsia="en-US"/>
        </w:rPr>
        <w:t xml:space="preserve"> </w:t>
      </w:r>
      <w:r w:rsidR="000A7B9F">
        <w:rPr>
          <w:lang w:eastAsia="en-US"/>
        </w:rPr>
        <w:t xml:space="preserve">Sveukupno iskorištenje </w:t>
      </w:r>
      <w:r w:rsidR="000A7B9F" w:rsidRPr="00754E0A">
        <w:rPr>
          <w:bCs/>
          <w:lang w:eastAsia="en-US"/>
        </w:rPr>
        <w:t xml:space="preserve">financijske omotnice za </w:t>
      </w:r>
      <w:r w:rsidRPr="00754E0A">
        <w:rPr>
          <w:bCs/>
          <w:lang w:eastAsia="en-US"/>
        </w:rPr>
        <w:t xml:space="preserve">2020. godinu </w:t>
      </w:r>
      <w:r w:rsidR="001A0754">
        <w:rPr>
          <w:lang w:eastAsia="en-US"/>
        </w:rPr>
        <w:t xml:space="preserve">za sve mjere </w:t>
      </w:r>
      <w:r w:rsidRPr="00754E0A">
        <w:rPr>
          <w:bCs/>
          <w:lang w:eastAsia="en-US"/>
        </w:rPr>
        <w:t>iznosi</w:t>
      </w:r>
      <w:r w:rsidR="000A7B9F">
        <w:rPr>
          <w:bCs/>
          <w:lang w:eastAsia="en-US"/>
        </w:rPr>
        <w:t>l</w:t>
      </w:r>
      <w:r w:rsidRPr="00754E0A">
        <w:rPr>
          <w:bCs/>
          <w:lang w:eastAsia="en-US"/>
        </w:rPr>
        <w:t>o je</w:t>
      </w:r>
      <w:r w:rsidR="000A7B9F">
        <w:rPr>
          <w:bCs/>
          <w:lang w:eastAsia="en-US"/>
        </w:rPr>
        <w:t xml:space="preserve"> </w:t>
      </w:r>
      <w:r w:rsidR="000A7B9F" w:rsidRPr="00754E0A">
        <w:rPr>
          <w:bCs/>
          <w:lang w:eastAsia="en-US"/>
        </w:rPr>
        <w:t>93,22 %</w:t>
      </w:r>
      <w:r w:rsidRPr="00754E0A">
        <w:rPr>
          <w:bCs/>
          <w:lang w:eastAsia="en-US"/>
        </w:rPr>
        <w:t xml:space="preserve"> </w:t>
      </w:r>
      <w:r w:rsidR="000A7B9F" w:rsidRPr="00754E0A">
        <w:rPr>
          <w:bCs/>
          <w:lang w:eastAsia="en-US"/>
        </w:rPr>
        <w:t>odnosno</w:t>
      </w:r>
      <w:r w:rsidR="000A7B9F" w:rsidRPr="00754E0A">
        <w:rPr>
          <w:b/>
          <w:bCs/>
          <w:lang w:eastAsia="en-US"/>
        </w:rPr>
        <w:t xml:space="preserve"> </w:t>
      </w:r>
      <w:r w:rsidRPr="00754E0A">
        <w:rPr>
          <w:b/>
          <w:bCs/>
          <w:lang w:eastAsia="en-US"/>
        </w:rPr>
        <w:t>10.097.578,78 EUR</w:t>
      </w:r>
      <w:r w:rsidRPr="00754E0A">
        <w:rPr>
          <w:bCs/>
          <w:lang w:eastAsia="en-US"/>
        </w:rPr>
        <w:t>.</w:t>
      </w:r>
    </w:p>
    <w:bookmarkEnd w:id="3"/>
    <w:p w14:paraId="4D5E6C23" w14:textId="77777777" w:rsidR="00754E0A" w:rsidRPr="00682B2D" w:rsidRDefault="00754E0A" w:rsidP="00CA532B">
      <w:pPr>
        <w:spacing w:before="120" w:after="120"/>
        <w:jc w:val="both"/>
        <w:rPr>
          <w:rFonts w:eastAsia="Calibri"/>
          <w:lang w:eastAsia="en-US"/>
        </w:rPr>
      </w:pPr>
    </w:p>
    <w:p w14:paraId="4D5E6C24" w14:textId="77777777" w:rsidR="00CA532B" w:rsidRPr="00682B2D" w:rsidRDefault="00CA532B" w:rsidP="00CA532B">
      <w:pPr>
        <w:spacing w:after="120"/>
        <w:jc w:val="both"/>
        <w:rPr>
          <w:bCs/>
          <w:lang w:bidi="ne-NP"/>
        </w:rPr>
      </w:pPr>
      <w:r w:rsidRPr="00682B2D">
        <w:rPr>
          <w:lang w:bidi="ne-NP"/>
        </w:rPr>
        <w:t xml:space="preserve">Zbog nastavka krize uvjetovane pandemijom bolesti COVID -19 Europska Komisija je 28. i 29. siječnja 2021. donijela </w:t>
      </w:r>
      <w:r w:rsidRPr="00682B2D">
        <w:rPr>
          <w:bCs/>
          <w:lang w:bidi="ne-NP"/>
        </w:rPr>
        <w:t>paket uredbi o izmjenama uredbi kojima su omogućene dvije prethodne izmjene i dopune Nacionalnog programa.</w:t>
      </w:r>
    </w:p>
    <w:p w14:paraId="4D5E6C25" w14:textId="77777777" w:rsidR="00CA532B" w:rsidRPr="00682B2D" w:rsidRDefault="00D8589F" w:rsidP="00CA532B">
      <w:pPr>
        <w:spacing w:after="120"/>
        <w:jc w:val="both"/>
        <w:rPr>
          <w:lang w:bidi="ne-NP"/>
        </w:rPr>
      </w:pPr>
      <w:r w:rsidRPr="00084E9D">
        <w:rPr>
          <w:lang w:bidi="ne-NP"/>
        </w:rPr>
        <w:lastRenderedPageBreak/>
        <w:t xml:space="preserve">Donošenjem spomenutih uredbi omogućeno je produljenje kriznih mjera na narednu financijsku godinu koja počinje od 16. listopada 2020., a završava 15. listopada 2021. godine. Time se omogućava </w:t>
      </w:r>
      <w:r w:rsidR="000A7B9F">
        <w:rPr>
          <w:lang w:bidi="ne-NP"/>
        </w:rPr>
        <w:t xml:space="preserve">nastavak </w:t>
      </w:r>
      <w:r w:rsidRPr="00084E9D">
        <w:rPr>
          <w:lang w:bidi="ne-NP"/>
        </w:rPr>
        <w:t>provedb</w:t>
      </w:r>
      <w:r w:rsidR="000A7B9F">
        <w:rPr>
          <w:lang w:bidi="ne-NP"/>
        </w:rPr>
        <w:t>e</w:t>
      </w:r>
      <w:r w:rsidRPr="00084E9D">
        <w:rPr>
          <w:lang w:bidi="ne-NP"/>
        </w:rPr>
        <w:t xml:space="preserve"> kriznih mjera Destilacija vina u kriznim slučajevima i Potpor</w:t>
      </w:r>
      <w:r w:rsidR="000A7B9F">
        <w:rPr>
          <w:lang w:bidi="ne-NP"/>
        </w:rPr>
        <w:t>e</w:t>
      </w:r>
      <w:r w:rsidRPr="00084E9D">
        <w:rPr>
          <w:lang w:bidi="ne-NP"/>
        </w:rPr>
        <w:t xml:space="preserve"> za krizno skladištenje vina, a produljeno je i razdoblje za odobravanj</w:t>
      </w:r>
      <w:r w:rsidR="000A7B9F">
        <w:rPr>
          <w:lang w:bidi="ne-NP"/>
        </w:rPr>
        <w:t>a</w:t>
      </w:r>
      <w:r w:rsidRPr="00084E9D">
        <w:rPr>
          <w:lang w:bidi="ne-NP"/>
        </w:rPr>
        <w:t xml:space="preserve"> povećanog intenziteta potpora </w:t>
      </w:r>
      <w:r w:rsidRPr="00084E9D">
        <w:rPr>
          <w:rFonts w:eastAsia="Calibri"/>
          <w:lang w:eastAsia="en-US"/>
        </w:rPr>
        <w:t xml:space="preserve">iz Europskog fonda </w:t>
      </w:r>
      <w:r>
        <w:rPr>
          <w:rFonts w:eastAsia="Calibri"/>
          <w:lang w:eastAsia="en-US"/>
        </w:rPr>
        <w:t>za jamstva u poljoprivredi</w:t>
      </w:r>
      <w:r w:rsidRPr="00084E9D">
        <w:rPr>
          <w:rFonts w:eastAsia="Calibri"/>
          <w:lang w:eastAsia="en-US"/>
        </w:rPr>
        <w:t xml:space="preserve"> (EAGF) za sve mjere</w:t>
      </w:r>
      <w:r w:rsidRPr="00084E9D">
        <w:rPr>
          <w:lang w:bidi="ne-NP"/>
        </w:rPr>
        <w:t>.</w:t>
      </w:r>
      <w:r>
        <w:rPr>
          <w:lang w:bidi="ne-NP"/>
        </w:rPr>
        <w:t xml:space="preserve"> </w:t>
      </w:r>
      <w:r w:rsidR="00CA532B" w:rsidRPr="00682B2D">
        <w:rPr>
          <w:lang w:bidi="ne-NP"/>
        </w:rPr>
        <w:t xml:space="preserve">Uz navedeno Europski parlament i Vijeće su u prosincu 2020. godine donijeli uredbu kojom se mijenjaju odredbe kojima su od 2021. godine nadalje propisana ukupna financijska sredstava i raspodjela potpore po državama članicama iz EAGF fonda. </w:t>
      </w:r>
      <w:r w:rsidR="00CA532B" w:rsidRPr="00682B2D">
        <w:t xml:space="preserve">Financijska sredstva iz odobrene "vinske omotnice" za Republiku Hrvatsku smanjena </w:t>
      </w:r>
      <w:r w:rsidR="0022544C">
        <w:t>su sa 10.832.000,00 EUR na 10.41</w:t>
      </w:r>
      <w:r w:rsidR="00CA532B" w:rsidRPr="00682B2D">
        <w:t>0.000,00 EUR.</w:t>
      </w:r>
    </w:p>
    <w:p w14:paraId="4D5E6C26" w14:textId="77777777" w:rsidR="00CA532B" w:rsidRPr="00682B2D" w:rsidRDefault="00CA532B" w:rsidP="00CA532B">
      <w:pPr>
        <w:spacing w:before="120" w:after="120"/>
        <w:jc w:val="both"/>
        <w:rPr>
          <w:rFonts w:eastAsia="Calibri"/>
          <w:lang w:eastAsia="en-US"/>
        </w:rPr>
      </w:pPr>
      <w:r w:rsidRPr="00682B2D">
        <w:rPr>
          <w:rFonts w:eastAsia="Calibri"/>
          <w:lang w:eastAsia="en-US"/>
        </w:rPr>
        <w:t>Temeljem prethodno navedenog Ministarstvo poljoprivrede pristupilo je izradi nacrta III. Izmjena i dopuna Nacionalnog programa te je putem Regionalnih organizacija vinogradara i vinara provelo ocjenu prihvatljivosti provedbe kriznih mjera iz Nacionalnog programa. Zbog iskazanog podjednakog interesa za obje mjere predložena je raspodjela jednakih iznosa sredstava pomoći na svaku mjeru te su jedinične vrijednosti pom</w:t>
      </w:r>
      <w:r>
        <w:rPr>
          <w:rFonts w:eastAsia="Calibri"/>
          <w:lang w:eastAsia="en-US"/>
        </w:rPr>
        <w:t xml:space="preserve">oći izražene po jedinici mjere </w:t>
      </w:r>
      <w:r w:rsidRPr="00682B2D">
        <w:rPr>
          <w:rFonts w:eastAsia="Calibri"/>
          <w:lang w:eastAsia="en-US"/>
        </w:rPr>
        <w:t>litr</w:t>
      </w:r>
      <w:r>
        <w:rPr>
          <w:rFonts w:eastAsia="Calibri"/>
          <w:lang w:eastAsia="en-US"/>
        </w:rPr>
        <w:t>a vina</w:t>
      </w:r>
      <w:r w:rsidRPr="00682B2D">
        <w:rPr>
          <w:rFonts w:eastAsia="Calibri"/>
          <w:lang w:eastAsia="en-US"/>
        </w:rPr>
        <w:t>.</w:t>
      </w:r>
    </w:p>
    <w:p w14:paraId="4D5E6C27" w14:textId="77777777" w:rsidR="00CA532B" w:rsidRPr="00682B2D" w:rsidRDefault="00CA532B" w:rsidP="00CA532B">
      <w:pPr>
        <w:spacing w:before="120" w:after="120"/>
        <w:jc w:val="both"/>
        <w:rPr>
          <w:rFonts w:eastAsia="Calibri"/>
          <w:lang w:eastAsia="en-US"/>
        </w:rPr>
      </w:pPr>
      <w:r w:rsidRPr="00682B2D">
        <w:rPr>
          <w:rFonts w:eastAsia="Calibri"/>
          <w:lang w:eastAsia="en-US"/>
        </w:rPr>
        <w:t>Isti proizvođač vina može sudjelovati u provedbi samo jedne krizne mjere iz Nacionalnog programa.</w:t>
      </w:r>
    </w:p>
    <w:p w14:paraId="4D5E6C28" w14:textId="77777777" w:rsidR="00782D8C" w:rsidRDefault="00782D8C" w:rsidP="00CA532B">
      <w:pPr>
        <w:spacing w:before="120" w:after="120"/>
        <w:jc w:val="both"/>
        <w:rPr>
          <w:rFonts w:eastAsia="Calibri"/>
          <w:b/>
          <w:u w:val="single"/>
          <w:lang w:eastAsia="en-US"/>
        </w:rPr>
      </w:pPr>
    </w:p>
    <w:p w14:paraId="4D5E6C29" w14:textId="77777777" w:rsidR="00CA532B" w:rsidRPr="00682B2D" w:rsidRDefault="00CA532B" w:rsidP="00CA532B">
      <w:pPr>
        <w:spacing w:before="120" w:after="120"/>
        <w:jc w:val="both"/>
        <w:rPr>
          <w:rFonts w:eastAsia="Calibri"/>
          <w:lang w:eastAsia="en-US"/>
        </w:rPr>
      </w:pPr>
      <w:r w:rsidRPr="00682B2D">
        <w:rPr>
          <w:rFonts w:eastAsia="Calibri"/>
          <w:b/>
          <w:u w:val="single"/>
          <w:lang w:eastAsia="en-US"/>
        </w:rPr>
        <w:t xml:space="preserve">Provođenje mjere </w:t>
      </w:r>
      <w:r w:rsidRPr="00682B2D">
        <w:rPr>
          <w:rFonts w:eastAsia="Calibri"/>
          <w:b/>
          <w:bCs/>
          <w:u w:val="single"/>
        </w:rPr>
        <w:t>Destilacija vina u kriznim slučajevima</w:t>
      </w:r>
      <w:r w:rsidRPr="00682B2D">
        <w:rPr>
          <w:rFonts w:eastAsia="Calibri"/>
          <w:lang w:eastAsia="en-US"/>
        </w:rPr>
        <w:t xml:space="preserve"> u kojoj je moguće odobravanje potpore proizvođaču vina za vino koje isporučuje na destilaciju odobrenom destilateru. </w:t>
      </w:r>
    </w:p>
    <w:p w14:paraId="4D5E6C2A" w14:textId="77777777" w:rsidR="00CA532B" w:rsidRPr="00682B2D" w:rsidRDefault="00CA532B" w:rsidP="00CA532B">
      <w:pPr>
        <w:spacing w:before="120" w:after="120"/>
        <w:jc w:val="both"/>
        <w:rPr>
          <w:lang w:eastAsia="en-US"/>
        </w:rPr>
      </w:pPr>
      <w:bookmarkStart w:id="4" w:name="_Hlk65833833"/>
      <w:bookmarkStart w:id="5" w:name="_Hlk65832975"/>
      <w:bookmarkStart w:id="6" w:name="_Hlk65774269"/>
      <w:r w:rsidRPr="00682B2D">
        <w:rPr>
          <w:lang w:eastAsia="en-US"/>
        </w:rPr>
        <w:t xml:space="preserve">Financijska sredstva u iznosu </w:t>
      </w:r>
      <w:bookmarkStart w:id="7" w:name="_Hlk66726056"/>
      <w:r w:rsidRPr="006965C1">
        <w:rPr>
          <w:lang w:eastAsia="en-US"/>
        </w:rPr>
        <w:t>1.320.000</w:t>
      </w:r>
      <w:r w:rsidRPr="00682B2D">
        <w:rPr>
          <w:lang w:eastAsia="en-US"/>
        </w:rPr>
        <w:t>,00 EUR (1</w:t>
      </w:r>
      <w:r>
        <w:rPr>
          <w:lang w:eastAsia="en-US"/>
        </w:rPr>
        <w:t>0</w:t>
      </w:r>
      <w:r w:rsidRPr="00682B2D">
        <w:rPr>
          <w:lang w:eastAsia="en-US"/>
        </w:rPr>
        <w:t>.</w:t>
      </w:r>
      <w:r>
        <w:rPr>
          <w:lang w:eastAsia="en-US"/>
        </w:rPr>
        <w:t>000</w:t>
      </w:r>
      <w:r w:rsidRPr="00682B2D">
        <w:rPr>
          <w:lang w:eastAsia="en-US"/>
        </w:rPr>
        <w:t>.</w:t>
      </w:r>
      <w:r>
        <w:rPr>
          <w:lang w:eastAsia="en-US"/>
        </w:rPr>
        <w:t>000</w:t>
      </w:r>
      <w:r w:rsidRPr="00682B2D">
        <w:rPr>
          <w:lang w:eastAsia="en-US"/>
        </w:rPr>
        <w:t xml:space="preserve">,00 kuna) </w:t>
      </w:r>
      <w:bookmarkEnd w:id="4"/>
      <w:r w:rsidRPr="00682B2D">
        <w:rPr>
          <w:lang w:eastAsia="en-US"/>
        </w:rPr>
        <w:t>iz omotnice za kriznu destilaciju se dodjeljuju kao potpora za 2.</w:t>
      </w:r>
      <w:r>
        <w:rPr>
          <w:lang w:eastAsia="en-US"/>
        </w:rPr>
        <w:t>00</w:t>
      </w:r>
      <w:r w:rsidRPr="00682B2D">
        <w:rPr>
          <w:lang w:eastAsia="en-US"/>
        </w:rPr>
        <w:t xml:space="preserve">0.000 litara vina, a iznos potpore </w:t>
      </w:r>
      <w:r>
        <w:rPr>
          <w:lang w:eastAsia="en-US"/>
        </w:rPr>
        <w:t xml:space="preserve">okvirno </w:t>
      </w:r>
      <w:r w:rsidRPr="00682B2D">
        <w:rPr>
          <w:iCs/>
          <w:lang w:eastAsia="en-US"/>
        </w:rPr>
        <w:t>iznosi 5,0 kun</w:t>
      </w:r>
      <w:r>
        <w:rPr>
          <w:iCs/>
          <w:lang w:eastAsia="en-US"/>
        </w:rPr>
        <w:t>a</w:t>
      </w:r>
      <w:r w:rsidRPr="00682B2D">
        <w:rPr>
          <w:iCs/>
          <w:lang w:eastAsia="en-US"/>
        </w:rPr>
        <w:t>/litri vina zavisno o volumnom postotku alkohola u vinu.</w:t>
      </w:r>
      <w:bookmarkEnd w:id="5"/>
      <w:r w:rsidRPr="00682B2D">
        <w:rPr>
          <w:lang w:eastAsia="en-US"/>
        </w:rPr>
        <w:t xml:space="preserve"> </w:t>
      </w:r>
      <w:bookmarkEnd w:id="7"/>
    </w:p>
    <w:p w14:paraId="4D5E6C2B" w14:textId="77777777" w:rsidR="00CA532B" w:rsidRPr="00682B2D" w:rsidRDefault="00CA532B" w:rsidP="00CA532B">
      <w:pPr>
        <w:spacing w:before="120" w:after="120"/>
        <w:jc w:val="both"/>
        <w:rPr>
          <w:rFonts w:eastAsia="Calibri"/>
          <w:lang w:eastAsia="en-US"/>
        </w:rPr>
      </w:pPr>
      <w:r w:rsidRPr="00682B2D">
        <w:rPr>
          <w:rFonts w:eastAsia="Calibri"/>
          <w:lang w:eastAsia="en-US"/>
        </w:rPr>
        <w:t xml:space="preserve">U ovoj mjeri su prihvatljivi proizvođači vina koji su izvršili prijavu stanja zaliha vina na dan 31. srpnja 2020. godine u Vinogradarski registar. </w:t>
      </w:r>
    </w:p>
    <w:p w14:paraId="4D5E6C2C" w14:textId="77777777" w:rsidR="00CA532B" w:rsidRPr="00682B2D" w:rsidRDefault="00CA532B" w:rsidP="00CA532B">
      <w:pPr>
        <w:spacing w:before="120" w:after="120"/>
        <w:jc w:val="both"/>
        <w:rPr>
          <w:rFonts w:eastAsia="Calibri"/>
          <w:lang w:eastAsia="en-US"/>
        </w:rPr>
      </w:pPr>
      <w:r w:rsidRPr="00682B2D">
        <w:rPr>
          <w:rFonts w:eastAsia="Calibri"/>
          <w:lang w:eastAsia="en-US"/>
        </w:rPr>
        <w:t xml:space="preserve">Na temelju utvrđenog stanja zaliha vina u Vinogradarskom registru na dan 31. srpnja 2020. godine proizvođač može za mjeru Destilacija vina u kriznim slučajevima ponuditi najmanje 5.000 litara (50 hl), a najviše 30% od prijavljenih zaliha. </w:t>
      </w:r>
      <w:bookmarkStart w:id="8" w:name="_Hlk66723298"/>
      <w:r w:rsidRPr="00682B2D">
        <w:rPr>
          <w:rFonts w:eastAsia="Calibri"/>
          <w:lang w:eastAsia="en-US"/>
        </w:rPr>
        <w:t>Vino prijavljeno u ovoj mjeri, prema dokumentaciji iz Podrumske evidencije koja se vodi sukladno Pravilniku o registru vinograda, obveznim izjavama, pratećim dokumentima, podrumskoj evidenciji i proizvodnom potencijalu (</w:t>
      </w:r>
      <w:r>
        <w:rPr>
          <w:rFonts w:eastAsia="Calibri"/>
          <w:lang w:eastAsia="en-US"/>
        </w:rPr>
        <w:t>“</w:t>
      </w:r>
      <w:r w:rsidRPr="00682B2D">
        <w:rPr>
          <w:rFonts w:eastAsia="Calibri"/>
          <w:lang w:eastAsia="en-US"/>
        </w:rPr>
        <w:t>Narodne novine“, br</w:t>
      </w:r>
      <w:r>
        <w:rPr>
          <w:rFonts w:eastAsia="Calibri"/>
          <w:lang w:eastAsia="en-US"/>
        </w:rPr>
        <w:t>.</w:t>
      </w:r>
      <w:r w:rsidRPr="00682B2D">
        <w:rPr>
          <w:rFonts w:eastAsia="Calibri"/>
          <w:lang w:eastAsia="en-US"/>
        </w:rPr>
        <w:t xml:space="preserve"> 48/14</w:t>
      </w:r>
      <w:r>
        <w:rPr>
          <w:rFonts w:eastAsia="Calibri"/>
          <w:lang w:eastAsia="en-US"/>
        </w:rPr>
        <w:t>.</w:t>
      </w:r>
      <w:r w:rsidRPr="00682B2D">
        <w:rPr>
          <w:rFonts w:eastAsia="Calibri"/>
          <w:lang w:eastAsia="en-US"/>
        </w:rPr>
        <w:t>, 83/14</w:t>
      </w:r>
      <w:r>
        <w:rPr>
          <w:rFonts w:eastAsia="Calibri"/>
          <w:lang w:eastAsia="en-US"/>
        </w:rPr>
        <w:t>.</w:t>
      </w:r>
      <w:r w:rsidRPr="00682B2D">
        <w:rPr>
          <w:rFonts w:eastAsia="Calibri"/>
          <w:lang w:eastAsia="en-US"/>
        </w:rPr>
        <w:t>, 147/14</w:t>
      </w:r>
      <w:r>
        <w:rPr>
          <w:rFonts w:eastAsia="Calibri"/>
          <w:lang w:eastAsia="en-US"/>
        </w:rPr>
        <w:t>.</w:t>
      </w:r>
      <w:r w:rsidRPr="00682B2D">
        <w:rPr>
          <w:rFonts w:eastAsia="Calibri"/>
          <w:lang w:eastAsia="en-US"/>
        </w:rPr>
        <w:t>, 30/15</w:t>
      </w:r>
      <w:r>
        <w:rPr>
          <w:rFonts w:eastAsia="Calibri"/>
          <w:lang w:eastAsia="en-US"/>
        </w:rPr>
        <w:t>.</w:t>
      </w:r>
      <w:r w:rsidRPr="00682B2D">
        <w:rPr>
          <w:rFonts w:eastAsia="Calibri"/>
          <w:lang w:eastAsia="en-US"/>
        </w:rPr>
        <w:t>, 11/16</w:t>
      </w:r>
      <w:r>
        <w:rPr>
          <w:rFonts w:eastAsia="Calibri"/>
          <w:lang w:eastAsia="en-US"/>
        </w:rPr>
        <w:t>.</w:t>
      </w:r>
      <w:r w:rsidRPr="00682B2D">
        <w:rPr>
          <w:rFonts w:eastAsia="Calibri"/>
          <w:lang w:eastAsia="en-US"/>
        </w:rPr>
        <w:t xml:space="preserve"> i 127/17</w:t>
      </w:r>
      <w:r>
        <w:rPr>
          <w:rFonts w:eastAsia="Calibri"/>
          <w:lang w:eastAsia="en-US"/>
        </w:rPr>
        <w:t>.</w:t>
      </w:r>
      <w:r w:rsidRPr="00682B2D">
        <w:rPr>
          <w:rFonts w:eastAsia="Calibri"/>
          <w:lang w:eastAsia="en-US"/>
        </w:rPr>
        <w:t>) (u daljnjem tekstu: Pravilnik o registru vinograda), mora biti iz vlastite proizvodnje te nisu prihvatljive kupljene količine vina.</w:t>
      </w:r>
      <w:bookmarkEnd w:id="8"/>
    </w:p>
    <w:p w14:paraId="4D5E6C2D" w14:textId="77777777" w:rsidR="00CA532B" w:rsidRPr="00682B2D" w:rsidRDefault="00CA532B" w:rsidP="00CA532B">
      <w:pPr>
        <w:autoSpaceDE w:val="0"/>
        <w:autoSpaceDN w:val="0"/>
        <w:adjustRightInd w:val="0"/>
        <w:spacing w:before="120" w:after="120"/>
        <w:jc w:val="both"/>
        <w:rPr>
          <w:rFonts w:eastAsia="Calibri"/>
          <w:lang w:eastAsia="en-US"/>
        </w:rPr>
      </w:pPr>
      <w:r w:rsidRPr="00682B2D">
        <w:rPr>
          <w:rFonts w:eastAsia="Calibri"/>
          <w:lang w:eastAsia="en-US"/>
        </w:rPr>
        <w:t xml:space="preserve">Mjera 9. Destilacija vina u kriznim slučajevima </w:t>
      </w:r>
    </w:p>
    <w:tbl>
      <w:tblPr>
        <w:tblW w:w="9333" w:type="dxa"/>
        <w:jc w:val="center"/>
        <w:tblLook w:val="04A0" w:firstRow="1" w:lastRow="0" w:firstColumn="1" w:lastColumn="0" w:noHBand="0" w:noVBand="1"/>
      </w:tblPr>
      <w:tblGrid>
        <w:gridCol w:w="2523"/>
        <w:gridCol w:w="1096"/>
        <w:gridCol w:w="1375"/>
        <w:gridCol w:w="1386"/>
        <w:gridCol w:w="1481"/>
        <w:gridCol w:w="1472"/>
      </w:tblGrid>
      <w:tr w:rsidR="00CA532B" w:rsidRPr="00682B2D" w14:paraId="4D5E6C33" w14:textId="77777777" w:rsidTr="002D69D5">
        <w:trPr>
          <w:trHeight w:val="334"/>
          <w:jc w:val="center"/>
        </w:trPr>
        <w:tc>
          <w:tcPr>
            <w:tcW w:w="2607" w:type="dxa"/>
            <w:vMerge w:val="restart"/>
            <w:tcBorders>
              <w:top w:val="single" w:sz="8" w:space="0" w:color="auto"/>
              <w:left w:val="single" w:sz="8" w:space="0" w:color="auto"/>
              <w:right w:val="single" w:sz="8" w:space="0" w:color="auto"/>
            </w:tcBorders>
            <w:vAlign w:val="center"/>
            <w:hideMark/>
          </w:tcPr>
          <w:p w14:paraId="4D5E6C2E" w14:textId="77777777" w:rsidR="00CA532B" w:rsidRPr="00682B2D" w:rsidRDefault="00CA532B" w:rsidP="002D69D5">
            <w:pPr>
              <w:jc w:val="center"/>
              <w:rPr>
                <w:rFonts w:eastAsia="Calibri"/>
                <w:bCs/>
                <w:sz w:val="22"/>
                <w:szCs w:val="22"/>
                <w:lang w:eastAsia="en-US"/>
              </w:rPr>
            </w:pPr>
            <w:r w:rsidRPr="00682B2D">
              <w:rPr>
                <w:rFonts w:eastAsia="Calibri"/>
                <w:bCs/>
                <w:sz w:val="22"/>
                <w:szCs w:val="22"/>
                <w:lang w:eastAsia="en-US"/>
              </w:rPr>
              <w:lastRenderedPageBreak/>
              <w:t>Podmjera potpore</w:t>
            </w:r>
          </w:p>
        </w:tc>
        <w:tc>
          <w:tcPr>
            <w:tcW w:w="1096" w:type="dxa"/>
            <w:vMerge w:val="restart"/>
            <w:tcBorders>
              <w:top w:val="single" w:sz="4" w:space="0" w:color="auto"/>
              <w:left w:val="nil"/>
              <w:right w:val="single" w:sz="8" w:space="0" w:color="auto"/>
            </w:tcBorders>
            <w:vAlign w:val="center"/>
            <w:hideMark/>
          </w:tcPr>
          <w:p w14:paraId="4D5E6C2F" w14:textId="77777777" w:rsidR="00CA532B" w:rsidRPr="00682B2D" w:rsidRDefault="00CA532B" w:rsidP="002D69D5">
            <w:pPr>
              <w:jc w:val="center"/>
              <w:rPr>
                <w:rFonts w:eastAsia="Calibri"/>
                <w:bCs/>
                <w:sz w:val="22"/>
                <w:szCs w:val="22"/>
                <w:lang w:eastAsia="en-US"/>
              </w:rPr>
            </w:pPr>
            <w:r w:rsidRPr="00682B2D">
              <w:rPr>
                <w:rFonts w:eastAsia="Calibri"/>
                <w:bCs/>
                <w:sz w:val="22"/>
                <w:szCs w:val="22"/>
                <w:lang w:eastAsia="en-US"/>
              </w:rPr>
              <w:t>okvirno litara</w:t>
            </w:r>
          </w:p>
        </w:tc>
        <w:tc>
          <w:tcPr>
            <w:tcW w:w="1391" w:type="dxa"/>
            <w:tcBorders>
              <w:top w:val="single" w:sz="4" w:space="0" w:color="auto"/>
              <w:left w:val="single" w:sz="4" w:space="0" w:color="auto"/>
              <w:right w:val="single" w:sz="8" w:space="0" w:color="auto"/>
            </w:tcBorders>
            <w:vAlign w:val="center"/>
            <w:hideMark/>
          </w:tcPr>
          <w:p w14:paraId="4D5E6C30" w14:textId="77777777" w:rsidR="00CA532B" w:rsidRPr="00682B2D" w:rsidRDefault="00CA532B" w:rsidP="002D69D5">
            <w:pPr>
              <w:jc w:val="center"/>
              <w:rPr>
                <w:rFonts w:eastAsia="Calibri"/>
                <w:bCs/>
                <w:sz w:val="22"/>
                <w:szCs w:val="22"/>
                <w:lang w:eastAsia="en-US"/>
              </w:rPr>
            </w:pPr>
            <w:r w:rsidRPr="00682B2D">
              <w:rPr>
                <w:rFonts w:eastAsia="Calibri"/>
                <w:bCs/>
                <w:sz w:val="22"/>
                <w:szCs w:val="22"/>
                <w:lang w:eastAsia="en-US"/>
              </w:rPr>
              <w:t>Jedinična nadoknada</w:t>
            </w:r>
          </w:p>
        </w:tc>
        <w:tc>
          <w:tcPr>
            <w:tcW w:w="1387" w:type="dxa"/>
            <w:tcBorders>
              <w:top w:val="single" w:sz="4" w:space="0" w:color="auto"/>
              <w:left w:val="nil"/>
              <w:right w:val="single" w:sz="8" w:space="0" w:color="auto"/>
            </w:tcBorders>
          </w:tcPr>
          <w:p w14:paraId="4D5E6C31" w14:textId="77777777" w:rsidR="00CA532B" w:rsidRPr="00682B2D" w:rsidRDefault="00CA532B" w:rsidP="002D69D5">
            <w:pPr>
              <w:jc w:val="center"/>
              <w:rPr>
                <w:rFonts w:eastAsia="Calibri"/>
                <w:bCs/>
                <w:sz w:val="22"/>
                <w:szCs w:val="22"/>
                <w:lang w:eastAsia="en-US"/>
              </w:rPr>
            </w:pPr>
            <w:r w:rsidRPr="00682B2D">
              <w:rPr>
                <w:rFonts w:eastAsia="Calibri"/>
                <w:bCs/>
                <w:sz w:val="22"/>
                <w:szCs w:val="22"/>
                <w:lang w:eastAsia="en-US"/>
              </w:rPr>
              <w:t xml:space="preserve">Sredstva Državne potpore iz DP Republike Hrvatske </w:t>
            </w:r>
          </w:p>
        </w:tc>
        <w:tc>
          <w:tcPr>
            <w:tcW w:w="2852" w:type="dxa"/>
            <w:gridSpan w:val="2"/>
            <w:tcBorders>
              <w:top w:val="single" w:sz="4" w:space="0" w:color="auto"/>
              <w:left w:val="nil"/>
              <w:right w:val="single" w:sz="8" w:space="0" w:color="auto"/>
            </w:tcBorders>
          </w:tcPr>
          <w:p w14:paraId="4D5E6C32" w14:textId="77777777" w:rsidR="00CA532B" w:rsidRPr="00682B2D" w:rsidRDefault="00CA532B" w:rsidP="002D69D5">
            <w:pPr>
              <w:jc w:val="center"/>
              <w:rPr>
                <w:rFonts w:eastAsia="Calibri"/>
                <w:bCs/>
                <w:sz w:val="22"/>
                <w:szCs w:val="22"/>
                <w:lang w:eastAsia="en-US"/>
              </w:rPr>
            </w:pPr>
            <w:r w:rsidRPr="00682B2D">
              <w:rPr>
                <w:rFonts w:eastAsia="Calibri"/>
                <w:bCs/>
                <w:sz w:val="22"/>
                <w:szCs w:val="22"/>
                <w:lang w:eastAsia="en-US"/>
              </w:rPr>
              <w:t>Sredstva iz EU proračuna Doprinos EU u mjeri 9.</w:t>
            </w:r>
          </w:p>
        </w:tc>
      </w:tr>
      <w:tr w:rsidR="00CA532B" w:rsidRPr="00682B2D" w14:paraId="4D5E6C3A" w14:textId="77777777" w:rsidTr="002D69D5">
        <w:trPr>
          <w:trHeight w:val="54"/>
          <w:jc w:val="center"/>
        </w:trPr>
        <w:tc>
          <w:tcPr>
            <w:tcW w:w="2607" w:type="dxa"/>
            <w:vMerge/>
            <w:tcBorders>
              <w:left w:val="single" w:sz="8" w:space="0" w:color="auto"/>
              <w:bottom w:val="single" w:sz="8" w:space="0" w:color="000000"/>
              <w:right w:val="single" w:sz="8" w:space="0" w:color="auto"/>
            </w:tcBorders>
            <w:vAlign w:val="center"/>
          </w:tcPr>
          <w:p w14:paraId="4D5E6C34" w14:textId="77777777" w:rsidR="00CA532B" w:rsidRPr="00682B2D" w:rsidRDefault="00CA532B" w:rsidP="002D69D5">
            <w:pPr>
              <w:jc w:val="center"/>
              <w:rPr>
                <w:rFonts w:eastAsia="Calibri"/>
                <w:bCs/>
                <w:sz w:val="22"/>
                <w:szCs w:val="22"/>
                <w:lang w:eastAsia="en-US"/>
              </w:rPr>
            </w:pPr>
          </w:p>
        </w:tc>
        <w:tc>
          <w:tcPr>
            <w:tcW w:w="1096" w:type="dxa"/>
            <w:vMerge/>
            <w:tcBorders>
              <w:left w:val="nil"/>
              <w:right w:val="single" w:sz="8" w:space="0" w:color="auto"/>
            </w:tcBorders>
            <w:vAlign w:val="center"/>
          </w:tcPr>
          <w:p w14:paraId="4D5E6C35" w14:textId="77777777" w:rsidR="00CA532B" w:rsidRPr="00682B2D" w:rsidRDefault="00CA532B" w:rsidP="002D69D5">
            <w:pPr>
              <w:jc w:val="center"/>
              <w:rPr>
                <w:rFonts w:eastAsia="Calibri"/>
                <w:bCs/>
                <w:sz w:val="22"/>
                <w:szCs w:val="22"/>
                <w:lang w:eastAsia="en-US"/>
              </w:rPr>
            </w:pPr>
          </w:p>
        </w:tc>
        <w:tc>
          <w:tcPr>
            <w:tcW w:w="1391" w:type="dxa"/>
            <w:tcBorders>
              <w:top w:val="single" w:sz="4" w:space="0" w:color="auto"/>
              <w:left w:val="single" w:sz="4" w:space="0" w:color="auto"/>
              <w:right w:val="single" w:sz="8" w:space="0" w:color="auto"/>
            </w:tcBorders>
            <w:vAlign w:val="center"/>
          </w:tcPr>
          <w:p w14:paraId="4D5E6C36" w14:textId="77777777" w:rsidR="00CA532B" w:rsidRPr="00682B2D" w:rsidRDefault="00CA532B" w:rsidP="002D69D5">
            <w:pPr>
              <w:jc w:val="center"/>
              <w:rPr>
                <w:rFonts w:eastAsia="Calibri"/>
                <w:bCs/>
                <w:sz w:val="22"/>
                <w:szCs w:val="22"/>
                <w:lang w:eastAsia="en-US"/>
              </w:rPr>
            </w:pPr>
            <w:r>
              <w:rPr>
                <w:rFonts w:eastAsia="Calibri"/>
                <w:bCs/>
                <w:sz w:val="22"/>
                <w:szCs w:val="22"/>
                <w:lang w:eastAsia="en-US"/>
              </w:rPr>
              <w:t>kuna</w:t>
            </w:r>
            <w:r w:rsidRPr="00682B2D">
              <w:rPr>
                <w:rFonts w:eastAsia="Calibri"/>
                <w:bCs/>
                <w:sz w:val="22"/>
                <w:szCs w:val="22"/>
                <w:lang w:eastAsia="en-US"/>
              </w:rPr>
              <w:t>/l</w:t>
            </w:r>
            <w:r>
              <w:rPr>
                <w:rFonts w:eastAsia="Calibri"/>
                <w:bCs/>
                <w:sz w:val="22"/>
                <w:szCs w:val="22"/>
                <w:lang w:eastAsia="en-US"/>
              </w:rPr>
              <w:t>itri</w:t>
            </w:r>
          </w:p>
        </w:tc>
        <w:tc>
          <w:tcPr>
            <w:tcW w:w="1387" w:type="dxa"/>
            <w:tcBorders>
              <w:top w:val="single" w:sz="4" w:space="0" w:color="auto"/>
              <w:left w:val="nil"/>
              <w:right w:val="single" w:sz="8" w:space="0" w:color="auto"/>
            </w:tcBorders>
          </w:tcPr>
          <w:p w14:paraId="4D5E6C37" w14:textId="77777777" w:rsidR="00CA532B" w:rsidRPr="00682B2D" w:rsidRDefault="00CA532B" w:rsidP="002D69D5">
            <w:pPr>
              <w:jc w:val="center"/>
              <w:rPr>
                <w:rFonts w:eastAsia="Calibri"/>
                <w:bCs/>
                <w:sz w:val="22"/>
                <w:szCs w:val="22"/>
                <w:lang w:eastAsia="en-US"/>
              </w:rPr>
            </w:pPr>
            <w:r w:rsidRPr="00682B2D">
              <w:rPr>
                <w:rFonts w:eastAsia="Calibri"/>
                <w:bCs/>
                <w:sz w:val="22"/>
                <w:szCs w:val="22"/>
                <w:lang w:eastAsia="en-US"/>
              </w:rPr>
              <w:t>(kuna)</w:t>
            </w:r>
          </w:p>
        </w:tc>
        <w:tc>
          <w:tcPr>
            <w:tcW w:w="1371" w:type="dxa"/>
            <w:tcBorders>
              <w:top w:val="single" w:sz="4" w:space="0" w:color="auto"/>
              <w:left w:val="nil"/>
              <w:right w:val="single" w:sz="4" w:space="0" w:color="auto"/>
            </w:tcBorders>
          </w:tcPr>
          <w:p w14:paraId="4D5E6C38" w14:textId="77777777" w:rsidR="00CA532B" w:rsidRPr="00682B2D" w:rsidRDefault="00CA532B" w:rsidP="002D69D5">
            <w:pPr>
              <w:jc w:val="center"/>
              <w:rPr>
                <w:rFonts w:eastAsia="Calibri"/>
                <w:bCs/>
                <w:sz w:val="22"/>
                <w:szCs w:val="22"/>
                <w:lang w:eastAsia="en-US"/>
              </w:rPr>
            </w:pPr>
            <w:r w:rsidRPr="00682B2D">
              <w:rPr>
                <w:rFonts w:eastAsia="Calibri"/>
                <w:bCs/>
                <w:sz w:val="22"/>
                <w:szCs w:val="22"/>
                <w:lang w:eastAsia="en-US"/>
              </w:rPr>
              <w:t>(kuna)</w:t>
            </w:r>
          </w:p>
        </w:tc>
        <w:tc>
          <w:tcPr>
            <w:tcW w:w="1481" w:type="dxa"/>
            <w:tcBorders>
              <w:top w:val="single" w:sz="4" w:space="0" w:color="auto"/>
              <w:left w:val="single" w:sz="4" w:space="0" w:color="auto"/>
              <w:right w:val="single" w:sz="8" w:space="0" w:color="auto"/>
            </w:tcBorders>
          </w:tcPr>
          <w:p w14:paraId="4D5E6C39" w14:textId="77777777" w:rsidR="00CA532B" w:rsidRPr="00682B2D" w:rsidRDefault="00CA532B" w:rsidP="002D69D5">
            <w:pPr>
              <w:jc w:val="center"/>
              <w:rPr>
                <w:rFonts w:eastAsia="Calibri"/>
                <w:bCs/>
                <w:sz w:val="22"/>
                <w:szCs w:val="22"/>
                <w:lang w:eastAsia="en-US"/>
              </w:rPr>
            </w:pPr>
            <w:r w:rsidRPr="00682B2D">
              <w:rPr>
                <w:rFonts w:eastAsia="Calibri"/>
                <w:bCs/>
                <w:sz w:val="22"/>
                <w:szCs w:val="22"/>
                <w:lang w:eastAsia="en-US"/>
              </w:rPr>
              <w:t xml:space="preserve">(EUR) </w:t>
            </w:r>
          </w:p>
        </w:tc>
      </w:tr>
      <w:tr w:rsidR="00CA532B" w:rsidRPr="00682B2D" w14:paraId="4D5E6C42" w14:textId="77777777" w:rsidTr="002D69D5">
        <w:trPr>
          <w:trHeight w:val="220"/>
          <w:jc w:val="center"/>
        </w:trPr>
        <w:tc>
          <w:tcPr>
            <w:tcW w:w="2607" w:type="dxa"/>
            <w:tcBorders>
              <w:top w:val="nil"/>
              <w:left w:val="single" w:sz="8" w:space="0" w:color="auto"/>
              <w:bottom w:val="single" w:sz="8" w:space="0" w:color="auto"/>
              <w:right w:val="single" w:sz="8" w:space="0" w:color="auto"/>
            </w:tcBorders>
            <w:vAlign w:val="center"/>
            <w:hideMark/>
          </w:tcPr>
          <w:p w14:paraId="4D5E6C3B" w14:textId="77777777" w:rsidR="00CA532B" w:rsidRPr="00682B2D" w:rsidRDefault="00CA532B" w:rsidP="002D69D5">
            <w:pPr>
              <w:rPr>
                <w:rFonts w:eastAsia="Calibri"/>
                <w:bCs/>
                <w:sz w:val="22"/>
                <w:szCs w:val="22"/>
                <w:lang w:eastAsia="en-US"/>
              </w:rPr>
            </w:pPr>
            <w:r w:rsidRPr="00682B2D">
              <w:rPr>
                <w:rFonts w:eastAsia="Calibri"/>
                <w:bCs/>
                <w:sz w:val="22"/>
                <w:szCs w:val="22"/>
                <w:lang w:eastAsia="en-US"/>
              </w:rPr>
              <w:t xml:space="preserve">Potpora </w:t>
            </w:r>
            <w:bookmarkStart w:id="9" w:name="_Hlk65829505"/>
            <w:r w:rsidRPr="00682B2D">
              <w:rPr>
                <w:rFonts w:eastAsia="Calibri"/>
                <w:bCs/>
                <w:sz w:val="22"/>
                <w:szCs w:val="22"/>
                <w:lang w:eastAsia="en-US"/>
              </w:rPr>
              <w:t>proizvođačima vina za vino predano na destilaciju</w:t>
            </w:r>
            <w:bookmarkEnd w:id="9"/>
          </w:p>
        </w:tc>
        <w:tc>
          <w:tcPr>
            <w:tcW w:w="1096" w:type="dxa"/>
            <w:tcBorders>
              <w:top w:val="single" w:sz="4" w:space="0" w:color="auto"/>
              <w:left w:val="nil"/>
              <w:bottom w:val="single" w:sz="8" w:space="0" w:color="auto"/>
              <w:right w:val="single" w:sz="8" w:space="0" w:color="auto"/>
            </w:tcBorders>
            <w:vAlign w:val="center"/>
            <w:hideMark/>
          </w:tcPr>
          <w:p w14:paraId="4D5E6C3C" w14:textId="77777777" w:rsidR="00CA532B" w:rsidRPr="00682B2D" w:rsidRDefault="00CA532B" w:rsidP="002D69D5">
            <w:pPr>
              <w:jc w:val="center"/>
              <w:rPr>
                <w:rFonts w:eastAsia="Calibri"/>
                <w:bCs/>
                <w:sz w:val="22"/>
                <w:szCs w:val="22"/>
                <w:lang w:eastAsia="en-US"/>
              </w:rPr>
            </w:pPr>
            <w:r w:rsidRPr="00682B2D">
              <w:rPr>
                <w:rFonts w:eastAsia="Calibri"/>
                <w:bCs/>
                <w:sz w:val="22"/>
                <w:szCs w:val="22"/>
                <w:lang w:eastAsia="en-US"/>
              </w:rPr>
              <w:t>2.</w:t>
            </w:r>
            <w:r>
              <w:rPr>
                <w:rFonts w:eastAsia="Calibri"/>
                <w:bCs/>
                <w:sz w:val="22"/>
                <w:szCs w:val="22"/>
                <w:lang w:eastAsia="en-US"/>
              </w:rPr>
              <w:t>00</w:t>
            </w:r>
            <w:r w:rsidRPr="00682B2D">
              <w:rPr>
                <w:rFonts w:eastAsia="Calibri"/>
                <w:bCs/>
                <w:sz w:val="22"/>
                <w:szCs w:val="22"/>
                <w:lang w:eastAsia="en-US"/>
              </w:rPr>
              <w:t>0.000</w:t>
            </w:r>
          </w:p>
        </w:tc>
        <w:tc>
          <w:tcPr>
            <w:tcW w:w="1391" w:type="dxa"/>
            <w:tcBorders>
              <w:top w:val="single" w:sz="4" w:space="0" w:color="auto"/>
              <w:left w:val="single" w:sz="4" w:space="0" w:color="auto"/>
              <w:bottom w:val="single" w:sz="8" w:space="0" w:color="auto"/>
              <w:right w:val="single" w:sz="8" w:space="0" w:color="auto"/>
            </w:tcBorders>
            <w:vAlign w:val="center"/>
          </w:tcPr>
          <w:p w14:paraId="4D5E6C3D" w14:textId="77777777" w:rsidR="00CA532B" w:rsidRPr="00682B2D" w:rsidRDefault="00CA532B" w:rsidP="002D69D5">
            <w:pPr>
              <w:jc w:val="center"/>
              <w:rPr>
                <w:rFonts w:eastAsia="Calibri"/>
                <w:bCs/>
                <w:sz w:val="22"/>
                <w:szCs w:val="22"/>
                <w:lang w:eastAsia="en-US"/>
              </w:rPr>
            </w:pPr>
            <w:r w:rsidRPr="00682B2D">
              <w:rPr>
                <w:rFonts w:eastAsia="Calibri"/>
                <w:bCs/>
                <w:sz w:val="22"/>
                <w:szCs w:val="22"/>
                <w:lang w:eastAsia="en-US"/>
              </w:rPr>
              <w:t>5,00</w:t>
            </w:r>
          </w:p>
          <w:p w14:paraId="4D5E6C3E" w14:textId="77777777" w:rsidR="00CA532B" w:rsidRPr="00682B2D" w:rsidRDefault="00CA532B" w:rsidP="002D69D5">
            <w:pPr>
              <w:jc w:val="center"/>
              <w:rPr>
                <w:rFonts w:eastAsia="Calibri"/>
                <w:bCs/>
                <w:sz w:val="22"/>
                <w:szCs w:val="22"/>
                <w:lang w:eastAsia="en-US"/>
              </w:rPr>
            </w:pPr>
            <w:r w:rsidRPr="00682B2D">
              <w:rPr>
                <w:rFonts w:eastAsia="Calibri"/>
                <w:bCs/>
                <w:sz w:val="22"/>
                <w:szCs w:val="22"/>
                <w:lang w:eastAsia="en-US"/>
              </w:rPr>
              <w:t>prema % alk</w:t>
            </w:r>
            <w:r>
              <w:rPr>
                <w:rFonts w:eastAsia="Calibri"/>
                <w:bCs/>
                <w:sz w:val="22"/>
                <w:szCs w:val="22"/>
                <w:lang w:eastAsia="en-US"/>
              </w:rPr>
              <w:t>.</w:t>
            </w:r>
          </w:p>
        </w:tc>
        <w:tc>
          <w:tcPr>
            <w:tcW w:w="1387" w:type="dxa"/>
            <w:tcBorders>
              <w:top w:val="single" w:sz="4" w:space="0" w:color="auto"/>
              <w:left w:val="nil"/>
              <w:bottom w:val="single" w:sz="8" w:space="0" w:color="auto"/>
              <w:right w:val="single" w:sz="8" w:space="0" w:color="auto"/>
            </w:tcBorders>
          </w:tcPr>
          <w:p w14:paraId="4D5E6C3F" w14:textId="77777777" w:rsidR="00CA532B" w:rsidRPr="00682B2D" w:rsidRDefault="00CA532B" w:rsidP="002D69D5">
            <w:pPr>
              <w:jc w:val="right"/>
              <w:rPr>
                <w:rFonts w:eastAsia="Calibri"/>
                <w:bCs/>
                <w:sz w:val="22"/>
                <w:szCs w:val="22"/>
                <w:lang w:eastAsia="en-US"/>
              </w:rPr>
            </w:pPr>
          </w:p>
        </w:tc>
        <w:tc>
          <w:tcPr>
            <w:tcW w:w="1371" w:type="dxa"/>
            <w:tcBorders>
              <w:top w:val="single" w:sz="4" w:space="0" w:color="auto"/>
              <w:left w:val="nil"/>
              <w:bottom w:val="single" w:sz="8" w:space="0" w:color="auto"/>
              <w:right w:val="single" w:sz="4" w:space="0" w:color="auto"/>
            </w:tcBorders>
            <w:vAlign w:val="center"/>
          </w:tcPr>
          <w:p w14:paraId="4D5E6C40" w14:textId="77777777" w:rsidR="00CA532B" w:rsidRPr="00682B2D" w:rsidRDefault="00CA532B" w:rsidP="002D69D5">
            <w:pPr>
              <w:jc w:val="right"/>
              <w:rPr>
                <w:rFonts w:eastAsia="Calibri"/>
                <w:bCs/>
                <w:sz w:val="22"/>
                <w:szCs w:val="22"/>
                <w:lang w:eastAsia="en-US"/>
              </w:rPr>
            </w:pPr>
            <w:r w:rsidRPr="00682B2D">
              <w:rPr>
                <w:sz w:val="22"/>
                <w:szCs w:val="22"/>
                <w:lang w:eastAsia="en-US"/>
              </w:rPr>
              <w:t>1</w:t>
            </w:r>
            <w:r>
              <w:rPr>
                <w:sz w:val="22"/>
                <w:szCs w:val="22"/>
                <w:lang w:eastAsia="en-US"/>
              </w:rPr>
              <w:t>0</w:t>
            </w:r>
            <w:r w:rsidRPr="00682B2D">
              <w:rPr>
                <w:sz w:val="22"/>
                <w:szCs w:val="22"/>
                <w:lang w:eastAsia="en-US"/>
              </w:rPr>
              <w:t>.</w:t>
            </w:r>
            <w:r>
              <w:rPr>
                <w:sz w:val="22"/>
                <w:szCs w:val="22"/>
                <w:lang w:eastAsia="en-US"/>
              </w:rPr>
              <w:t>000</w:t>
            </w:r>
            <w:r w:rsidRPr="00682B2D">
              <w:rPr>
                <w:sz w:val="22"/>
                <w:szCs w:val="22"/>
                <w:lang w:eastAsia="en-US"/>
              </w:rPr>
              <w:t>.</w:t>
            </w:r>
            <w:r>
              <w:rPr>
                <w:sz w:val="22"/>
                <w:szCs w:val="22"/>
                <w:lang w:eastAsia="en-US"/>
              </w:rPr>
              <w:t>000</w:t>
            </w:r>
            <w:r w:rsidRPr="00682B2D">
              <w:rPr>
                <w:sz w:val="22"/>
                <w:szCs w:val="22"/>
                <w:lang w:eastAsia="en-US"/>
              </w:rPr>
              <w:t>,00</w:t>
            </w:r>
          </w:p>
        </w:tc>
        <w:tc>
          <w:tcPr>
            <w:tcW w:w="1481" w:type="dxa"/>
            <w:tcBorders>
              <w:top w:val="single" w:sz="4" w:space="0" w:color="auto"/>
              <w:left w:val="nil"/>
              <w:bottom w:val="single" w:sz="8" w:space="0" w:color="auto"/>
              <w:right w:val="single" w:sz="8" w:space="0" w:color="auto"/>
            </w:tcBorders>
            <w:vAlign w:val="center"/>
          </w:tcPr>
          <w:p w14:paraId="4D5E6C41" w14:textId="77777777" w:rsidR="00CA532B" w:rsidRPr="00682B2D" w:rsidRDefault="00CA532B" w:rsidP="002D69D5">
            <w:pPr>
              <w:jc w:val="right"/>
              <w:rPr>
                <w:rFonts w:eastAsia="Calibri"/>
                <w:bCs/>
                <w:sz w:val="22"/>
                <w:szCs w:val="22"/>
                <w:lang w:eastAsia="en-US"/>
              </w:rPr>
            </w:pPr>
            <w:r w:rsidRPr="001C446E">
              <w:rPr>
                <w:rFonts w:eastAsia="Calibri"/>
                <w:bCs/>
                <w:sz w:val="22"/>
                <w:szCs w:val="22"/>
                <w:lang w:eastAsia="en-US"/>
              </w:rPr>
              <w:t>1.320.000</w:t>
            </w:r>
            <w:r w:rsidRPr="00682B2D">
              <w:rPr>
                <w:rFonts w:eastAsia="Calibri"/>
                <w:bCs/>
                <w:sz w:val="22"/>
                <w:szCs w:val="22"/>
                <w:lang w:eastAsia="en-US"/>
              </w:rPr>
              <w:t>,00</w:t>
            </w:r>
          </w:p>
        </w:tc>
      </w:tr>
      <w:tr w:rsidR="00CA532B" w:rsidRPr="00682B2D" w14:paraId="4D5E6C49" w14:textId="77777777" w:rsidTr="002D69D5">
        <w:trPr>
          <w:trHeight w:val="337"/>
          <w:jc w:val="center"/>
        </w:trPr>
        <w:tc>
          <w:tcPr>
            <w:tcW w:w="2607" w:type="dxa"/>
            <w:tcBorders>
              <w:top w:val="nil"/>
              <w:left w:val="single" w:sz="8" w:space="0" w:color="auto"/>
              <w:bottom w:val="single" w:sz="8" w:space="0" w:color="auto"/>
              <w:right w:val="single" w:sz="8" w:space="0" w:color="auto"/>
            </w:tcBorders>
            <w:vAlign w:val="center"/>
            <w:hideMark/>
          </w:tcPr>
          <w:p w14:paraId="4D5E6C43" w14:textId="77777777" w:rsidR="00CA532B" w:rsidRPr="00682B2D" w:rsidRDefault="00CA532B" w:rsidP="002D69D5">
            <w:pPr>
              <w:rPr>
                <w:rFonts w:eastAsia="Calibri"/>
                <w:bCs/>
                <w:sz w:val="22"/>
                <w:szCs w:val="22"/>
                <w:lang w:eastAsia="en-US"/>
              </w:rPr>
            </w:pPr>
            <w:bookmarkStart w:id="10" w:name="_Hlk65829645"/>
            <w:r w:rsidRPr="00682B2D">
              <w:rPr>
                <w:rFonts w:eastAsia="Calibri"/>
                <w:bCs/>
                <w:sz w:val="22"/>
                <w:szCs w:val="22"/>
                <w:lang w:eastAsia="en-US"/>
              </w:rPr>
              <w:t>Potpora za pokriće transportnih troškova u dopremi vina na destilaciju</w:t>
            </w:r>
            <w:bookmarkEnd w:id="10"/>
          </w:p>
        </w:tc>
        <w:tc>
          <w:tcPr>
            <w:tcW w:w="1096" w:type="dxa"/>
            <w:tcBorders>
              <w:top w:val="nil"/>
              <w:left w:val="nil"/>
              <w:bottom w:val="single" w:sz="8" w:space="0" w:color="auto"/>
              <w:right w:val="single" w:sz="8" w:space="0" w:color="auto"/>
            </w:tcBorders>
            <w:vAlign w:val="center"/>
          </w:tcPr>
          <w:p w14:paraId="4D5E6C44" w14:textId="77777777" w:rsidR="00CA532B" w:rsidRPr="00682B2D" w:rsidRDefault="00CA532B" w:rsidP="002D69D5">
            <w:pPr>
              <w:jc w:val="center"/>
              <w:rPr>
                <w:rFonts w:eastAsia="Calibri"/>
                <w:bCs/>
                <w:sz w:val="22"/>
                <w:szCs w:val="22"/>
                <w:lang w:eastAsia="en-US"/>
              </w:rPr>
            </w:pPr>
            <w:r>
              <w:rPr>
                <w:rFonts w:eastAsia="Calibri"/>
                <w:bCs/>
                <w:sz w:val="22"/>
                <w:szCs w:val="22"/>
                <w:lang w:eastAsia="en-US"/>
              </w:rPr>
              <w:t>=</w:t>
            </w:r>
          </w:p>
        </w:tc>
        <w:tc>
          <w:tcPr>
            <w:tcW w:w="1391" w:type="dxa"/>
            <w:tcBorders>
              <w:top w:val="nil"/>
              <w:left w:val="single" w:sz="4" w:space="0" w:color="auto"/>
              <w:bottom w:val="single" w:sz="8" w:space="0" w:color="auto"/>
              <w:right w:val="single" w:sz="8" w:space="0" w:color="auto"/>
            </w:tcBorders>
            <w:vAlign w:val="center"/>
          </w:tcPr>
          <w:p w14:paraId="4D5E6C45" w14:textId="77777777" w:rsidR="00CA532B" w:rsidRPr="00682B2D" w:rsidRDefault="00CA532B" w:rsidP="002D69D5">
            <w:pPr>
              <w:jc w:val="center"/>
              <w:rPr>
                <w:rFonts w:eastAsia="Calibri"/>
                <w:bCs/>
                <w:sz w:val="22"/>
                <w:szCs w:val="22"/>
                <w:lang w:eastAsia="en-US"/>
              </w:rPr>
            </w:pPr>
            <w:r w:rsidRPr="00682B2D">
              <w:rPr>
                <w:rFonts w:eastAsia="Calibri"/>
                <w:bCs/>
                <w:sz w:val="22"/>
                <w:szCs w:val="22"/>
                <w:lang w:eastAsia="en-US"/>
              </w:rPr>
              <w:t>od 0,10 do 0,23 prema udaljenosti u km</w:t>
            </w:r>
          </w:p>
        </w:tc>
        <w:tc>
          <w:tcPr>
            <w:tcW w:w="1387" w:type="dxa"/>
            <w:tcBorders>
              <w:top w:val="nil"/>
              <w:left w:val="nil"/>
              <w:bottom w:val="single" w:sz="8" w:space="0" w:color="auto"/>
              <w:right w:val="single" w:sz="8" w:space="0" w:color="auto"/>
            </w:tcBorders>
            <w:vAlign w:val="center"/>
          </w:tcPr>
          <w:p w14:paraId="4D5E6C46" w14:textId="77777777" w:rsidR="00CA532B" w:rsidRPr="00682B2D" w:rsidRDefault="00CA532B" w:rsidP="002D69D5">
            <w:pPr>
              <w:jc w:val="right"/>
              <w:rPr>
                <w:rFonts w:eastAsia="Calibri"/>
                <w:bCs/>
                <w:sz w:val="22"/>
                <w:szCs w:val="22"/>
                <w:lang w:eastAsia="en-US"/>
              </w:rPr>
            </w:pPr>
            <w:r>
              <w:rPr>
                <w:rFonts w:eastAsia="Calibri"/>
                <w:bCs/>
                <w:sz w:val="22"/>
                <w:szCs w:val="22"/>
                <w:lang w:eastAsia="en-US"/>
              </w:rPr>
              <w:t>460</w:t>
            </w:r>
            <w:r w:rsidRPr="00682B2D">
              <w:rPr>
                <w:rFonts w:eastAsia="Calibri"/>
                <w:bCs/>
                <w:sz w:val="22"/>
                <w:szCs w:val="22"/>
                <w:lang w:eastAsia="en-US"/>
              </w:rPr>
              <w:t>.</w:t>
            </w:r>
            <w:r>
              <w:rPr>
                <w:rFonts w:eastAsia="Calibri"/>
                <w:bCs/>
                <w:sz w:val="22"/>
                <w:szCs w:val="22"/>
                <w:lang w:eastAsia="en-US"/>
              </w:rPr>
              <w:t>0</w:t>
            </w:r>
            <w:r w:rsidRPr="00682B2D">
              <w:rPr>
                <w:rFonts w:eastAsia="Calibri"/>
                <w:bCs/>
                <w:sz w:val="22"/>
                <w:szCs w:val="22"/>
                <w:lang w:eastAsia="en-US"/>
              </w:rPr>
              <w:t>00,00</w:t>
            </w:r>
          </w:p>
        </w:tc>
        <w:tc>
          <w:tcPr>
            <w:tcW w:w="1371" w:type="dxa"/>
            <w:tcBorders>
              <w:top w:val="nil"/>
              <w:left w:val="nil"/>
              <w:bottom w:val="single" w:sz="8" w:space="0" w:color="auto"/>
              <w:right w:val="single" w:sz="4" w:space="0" w:color="auto"/>
            </w:tcBorders>
            <w:vAlign w:val="center"/>
          </w:tcPr>
          <w:p w14:paraId="4D5E6C47" w14:textId="77777777" w:rsidR="00CA532B" w:rsidRPr="00682B2D" w:rsidRDefault="00CA532B" w:rsidP="002D69D5">
            <w:pPr>
              <w:jc w:val="right"/>
              <w:rPr>
                <w:rFonts w:eastAsia="Calibri"/>
                <w:bCs/>
                <w:sz w:val="22"/>
                <w:szCs w:val="22"/>
                <w:lang w:eastAsia="en-US"/>
              </w:rPr>
            </w:pPr>
          </w:p>
        </w:tc>
        <w:tc>
          <w:tcPr>
            <w:tcW w:w="1481" w:type="dxa"/>
            <w:tcBorders>
              <w:top w:val="nil"/>
              <w:left w:val="nil"/>
              <w:bottom w:val="single" w:sz="8" w:space="0" w:color="auto"/>
              <w:right w:val="single" w:sz="8" w:space="0" w:color="auto"/>
            </w:tcBorders>
            <w:vAlign w:val="center"/>
          </w:tcPr>
          <w:p w14:paraId="4D5E6C48" w14:textId="77777777" w:rsidR="00CA532B" w:rsidRPr="00682B2D" w:rsidRDefault="00CA532B" w:rsidP="002D69D5">
            <w:pPr>
              <w:jc w:val="right"/>
              <w:rPr>
                <w:rFonts w:eastAsia="Calibri"/>
                <w:bCs/>
                <w:sz w:val="22"/>
                <w:szCs w:val="22"/>
                <w:lang w:eastAsia="en-US"/>
              </w:rPr>
            </w:pPr>
          </w:p>
        </w:tc>
      </w:tr>
      <w:tr w:rsidR="00CA532B" w:rsidRPr="00682B2D" w14:paraId="4D5E6C50" w14:textId="77777777" w:rsidTr="002D69D5">
        <w:trPr>
          <w:trHeight w:val="87"/>
          <w:jc w:val="center"/>
        </w:trPr>
        <w:tc>
          <w:tcPr>
            <w:tcW w:w="2607" w:type="dxa"/>
            <w:tcBorders>
              <w:top w:val="nil"/>
              <w:left w:val="single" w:sz="8" w:space="0" w:color="auto"/>
              <w:bottom w:val="single" w:sz="8" w:space="0" w:color="auto"/>
              <w:right w:val="single" w:sz="8" w:space="0" w:color="auto"/>
            </w:tcBorders>
            <w:vAlign w:val="center"/>
            <w:hideMark/>
          </w:tcPr>
          <w:p w14:paraId="4D5E6C4A" w14:textId="77777777" w:rsidR="00CA532B" w:rsidRPr="00682B2D" w:rsidRDefault="00CA532B" w:rsidP="002D69D5">
            <w:pPr>
              <w:rPr>
                <w:rFonts w:eastAsia="Calibri"/>
                <w:bCs/>
                <w:sz w:val="22"/>
                <w:szCs w:val="22"/>
                <w:lang w:eastAsia="en-US"/>
              </w:rPr>
            </w:pPr>
            <w:r w:rsidRPr="00682B2D">
              <w:rPr>
                <w:rFonts w:eastAsia="Calibri"/>
                <w:bCs/>
                <w:sz w:val="22"/>
                <w:szCs w:val="22"/>
                <w:lang w:eastAsia="en-US"/>
              </w:rPr>
              <w:t>Potpore destilaterima za provedenu destilaciju vina</w:t>
            </w:r>
          </w:p>
        </w:tc>
        <w:tc>
          <w:tcPr>
            <w:tcW w:w="1096" w:type="dxa"/>
            <w:tcBorders>
              <w:top w:val="nil"/>
              <w:left w:val="nil"/>
              <w:bottom w:val="single" w:sz="8" w:space="0" w:color="auto"/>
              <w:right w:val="single" w:sz="8" w:space="0" w:color="auto"/>
            </w:tcBorders>
            <w:vAlign w:val="center"/>
          </w:tcPr>
          <w:p w14:paraId="4D5E6C4B" w14:textId="77777777" w:rsidR="00CA532B" w:rsidRPr="00682B2D" w:rsidRDefault="00CA532B" w:rsidP="002D69D5">
            <w:pPr>
              <w:jc w:val="center"/>
              <w:rPr>
                <w:rFonts w:eastAsia="Calibri"/>
                <w:bCs/>
                <w:sz w:val="22"/>
                <w:szCs w:val="22"/>
                <w:lang w:eastAsia="en-US"/>
              </w:rPr>
            </w:pPr>
            <w:r>
              <w:rPr>
                <w:rFonts w:eastAsia="Calibri"/>
                <w:bCs/>
                <w:sz w:val="22"/>
                <w:szCs w:val="22"/>
                <w:lang w:eastAsia="en-US"/>
              </w:rPr>
              <w:t>=</w:t>
            </w:r>
          </w:p>
        </w:tc>
        <w:tc>
          <w:tcPr>
            <w:tcW w:w="1391" w:type="dxa"/>
            <w:tcBorders>
              <w:top w:val="nil"/>
              <w:left w:val="single" w:sz="4" w:space="0" w:color="auto"/>
              <w:bottom w:val="single" w:sz="8" w:space="0" w:color="auto"/>
              <w:right w:val="single" w:sz="8" w:space="0" w:color="auto"/>
            </w:tcBorders>
            <w:vAlign w:val="center"/>
          </w:tcPr>
          <w:p w14:paraId="4D5E6C4C" w14:textId="77777777" w:rsidR="00CA532B" w:rsidRPr="00682B2D" w:rsidRDefault="00CA532B" w:rsidP="002D69D5">
            <w:pPr>
              <w:jc w:val="center"/>
              <w:rPr>
                <w:rFonts w:eastAsia="Calibri"/>
                <w:bCs/>
                <w:sz w:val="22"/>
                <w:szCs w:val="22"/>
                <w:lang w:eastAsia="en-US"/>
              </w:rPr>
            </w:pPr>
            <w:r w:rsidRPr="00682B2D">
              <w:rPr>
                <w:rFonts w:eastAsia="Calibri"/>
                <w:bCs/>
                <w:sz w:val="22"/>
                <w:szCs w:val="22"/>
                <w:lang w:eastAsia="en-US"/>
              </w:rPr>
              <w:t>do 0,5</w:t>
            </w:r>
          </w:p>
        </w:tc>
        <w:tc>
          <w:tcPr>
            <w:tcW w:w="1387" w:type="dxa"/>
            <w:tcBorders>
              <w:top w:val="nil"/>
              <w:left w:val="nil"/>
              <w:bottom w:val="single" w:sz="8" w:space="0" w:color="auto"/>
              <w:right w:val="single" w:sz="8" w:space="0" w:color="auto"/>
            </w:tcBorders>
            <w:vAlign w:val="center"/>
          </w:tcPr>
          <w:p w14:paraId="4D5E6C4D" w14:textId="77777777" w:rsidR="00CA532B" w:rsidRPr="00682B2D" w:rsidRDefault="00CA532B" w:rsidP="002D69D5">
            <w:pPr>
              <w:jc w:val="right"/>
              <w:rPr>
                <w:rFonts w:eastAsia="Calibri"/>
                <w:bCs/>
                <w:sz w:val="22"/>
                <w:szCs w:val="22"/>
                <w:lang w:eastAsia="en-US"/>
              </w:rPr>
            </w:pPr>
            <w:bookmarkStart w:id="11" w:name="_Hlk67936755"/>
            <w:r w:rsidRPr="00682B2D">
              <w:rPr>
                <w:rFonts w:eastAsia="Calibri"/>
                <w:bCs/>
                <w:sz w:val="22"/>
                <w:szCs w:val="22"/>
                <w:lang w:eastAsia="en-US"/>
              </w:rPr>
              <w:t>1.</w:t>
            </w:r>
            <w:r>
              <w:rPr>
                <w:rFonts w:eastAsia="Calibri"/>
                <w:bCs/>
                <w:sz w:val="22"/>
                <w:szCs w:val="22"/>
                <w:lang w:eastAsia="en-US"/>
              </w:rPr>
              <w:t>000</w:t>
            </w:r>
            <w:r w:rsidRPr="00682B2D">
              <w:rPr>
                <w:rFonts w:eastAsia="Calibri"/>
                <w:bCs/>
                <w:sz w:val="22"/>
                <w:szCs w:val="22"/>
                <w:lang w:eastAsia="en-US"/>
              </w:rPr>
              <w:t>.000,00</w:t>
            </w:r>
            <w:bookmarkEnd w:id="11"/>
          </w:p>
        </w:tc>
        <w:tc>
          <w:tcPr>
            <w:tcW w:w="1371" w:type="dxa"/>
            <w:tcBorders>
              <w:top w:val="nil"/>
              <w:left w:val="nil"/>
              <w:bottom w:val="single" w:sz="8" w:space="0" w:color="auto"/>
              <w:right w:val="single" w:sz="4" w:space="0" w:color="auto"/>
            </w:tcBorders>
            <w:vAlign w:val="center"/>
          </w:tcPr>
          <w:p w14:paraId="4D5E6C4E" w14:textId="77777777" w:rsidR="00CA532B" w:rsidRPr="00682B2D" w:rsidRDefault="00CA532B" w:rsidP="002D69D5">
            <w:pPr>
              <w:jc w:val="right"/>
              <w:rPr>
                <w:rFonts w:eastAsia="Calibri"/>
                <w:bCs/>
                <w:sz w:val="22"/>
                <w:szCs w:val="22"/>
                <w:lang w:eastAsia="en-US"/>
              </w:rPr>
            </w:pPr>
          </w:p>
        </w:tc>
        <w:tc>
          <w:tcPr>
            <w:tcW w:w="1481" w:type="dxa"/>
            <w:tcBorders>
              <w:top w:val="nil"/>
              <w:left w:val="nil"/>
              <w:bottom w:val="single" w:sz="8" w:space="0" w:color="auto"/>
              <w:right w:val="single" w:sz="8" w:space="0" w:color="auto"/>
            </w:tcBorders>
            <w:vAlign w:val="center"/>
          </w:tcPr>
          <w:p w14:paraId="4D5E6C4F" w14:textId="77777777" w:rsidR="00CA532B" w:rsidRPr="00682B2D" w:rsidRDefault="00CA532B" w:rsidP="002D69D5">
            <w:pPr>
              <w:jc w:val="right"/>
              <w:rPr>
                <w:rFonts w:eastAsia="Calibri"/>
                <w:bCs/>
                <w:sz w:val="22"/>
                <w:szCs w:val="22"/>
                <w:lang w:eastAsia="en-US"/>
              </w:rPr>
            </w:pPr>
          </w:p>
        </w:tc>
      </w:tr>
      <w:tr w:rsidR="00CA532B" w:rsidRPr="00682B2D" w14:paraId="4D5E6C57" w14:textId="77777777" w:rsidTr="002D69D5">
        <w:trPr>
          <w:trHeight w:val="39"/>
          <w:jc w:val="center"/>
        </w:trPr>
        <w:tc>
          <w:tcPr>
            <w:tcW w:w="2607" w:type="dxa"/>
            <w:tcBorders>
              <w:top w:val="nil"/>
              <w:left w:val="single" w:sz="8" w:space="0" w:color="auto"/>
              <w:bottom w:val="single" w:sz="4" w:space="0" w:color="auto"/>
              <w:right w:val="single" w:sz="8" w:space="0" w:color="auto"/>
            </w:tcBorders>
            <w:vAlign w:val="center"/>
            <w:hideMark/>
          </w:tcPr>
          <w:p w14:paraId="4D5E6C51" w14:textId="77777777" w:rsidR="00CA532B" w:rsidRPr="00682B2D" w:rsidRDefault="00CA532B" w:rsidP="002D69D5">
            <w:pPr>
              <w:jc w:val="center"/>
              <w:rPr>
                <w:rFonts w:eastAsia="Calibri"/>
                <w:b/>
                <w:sz w:val="22"/>
                <w:szCs w:val="22"/>
                <w:lang w:eastAsia="en-US"/>
              </w:rPr>
            </w:pPr>
            <w:r w:rsidRPr="00682B2D">
              <w:rPr>
                <w:rFonts w:eastAsia="Calibri"/>
                <w:b/>
                <w:sz w:val="22"/>
                <w:szCs w:val="22"/>
                <w:lang w:eastAsia="en-US"/>
              </w:rPr>
              <w:t xml:space="preserve">Ukupno Mjera 9. </w:t>
            </w:r>
          </w:p>
        </w:tc>
        <w:tc>
          <w:tcPr>
            <w:tcW w:w="1096" w:type="dxa"/>
            <w:tcBorders>
              <w:top w:val="nil"/>
              <w:left w:val="nil"/>
              <w:bottom w:val="single" w:sz="4" w:space="0" w:color="auto"/>
              <w:right w:val="single" w:sz="8" w:space="0" w:color="auto"/>
            </w:tcBorders>
            <w:vAlign w:val="center"/>
          </w:tcPr>
          <w:p w14:paraId="4D5E6C52" w14:textId="77777777" w:rsidR="00CA532B" w:rsidRPr="00682B2D" w:rsidRDefault="00CA532B" w:rsidP="002D69D5">
            <w:pPr>
              <w:jc w:val="center"/>
              <w:rPr>
                <w:rFonts w:eastAsia="Calibri"/>
                <w:b/>
                <w:strike/>
                <w:sz w:val="22"/>
                <w:szCs w:val="22"/>
                <w:lang w:eastAsia="en-US"/>
              </w:rPr>
            </w:pPr>
            <w:r w:rsidRPr="00682B2D">
              <w:rPr>
                <w:rFonts w:eastAsia="Calibri"/>
                <w:bCs/>
                <w:sz w:val="22"/>
                <w:szCs w:val="22"/>
                <w:lang w:eastAsia="en-US"/>
              </w:rPr>
              <w:t>2.</w:t>
            </w:r>
            <w:r>
              <w:rPr>
                <w:rFonts w:eastAsia="Calibri"/>
                <w:bCs/>
                <w:sz w:val="22"/>
                <w:szCs w:val="22"/>
                <w:lang w:eastAsia="en-US"/>
              </w:rPr>
              <w:t>00</w:t>
            </w:r>
            <w:r w:rsidRPr="00682B2D">
              <w:rPr>
                <w:rFonts w:eastAsia="Calibri"/>
                <w:bCs/>
                <w:sz w:val="22"/>
                <w:szCs w:val="22"/>
                <w:lang w:eastAsia="en-US"/>
              </w:rPr>
              <w:t>0.000</w:t>
            </w:r>
          </w:p>
        </w:tc>
        <w:tc>
          <w:tcPr>
            <w:tcW w:w="1391" w:type="dxa"/>
            <w:tcBorders>
              <w:top w:val="nil"/>
              <w:left w:val="single" w:sz="4" w:space="0" w:color="auto"/>
              <w:bottom w:val="single" w:sz="4" w:space="0" w:color="auto"/>
              <w:right w:val="single" w:sz="8" w:space="0" w:color="auto"/>
            </w:tcBorders>
            <w:vAlign w:val="center"/>
          </w:tcPr>
          <w:p w14:paraId="4D5E6C53" w14:textId="77777777" w:rsidR="00CA532B" w:rsidRPr="00682B2D" w:rsidRDefault="00CA532B" w:rsidP="002D69D5">
            <w:pPr>
              <w:jc w:val="center"/>
              <w:rPr>
                <w:rFonts w:eastAsia="Calibri"/>
                <w:b/>
                <w:i/>
                <w:sz w:val="22"/>
                <w:szCs w:val="22"/>
                <w:lang w:eastAsia="en-US"/>
              </w:rPr>
            </w:pPr>
          </w:p>
        </w:tc>
        <w:tc>
          <w:tcPr>
            <w:tcW w:w="1387" w:type="dxa"/>
            <w:tcBorders>
              <w:top w:val="nil"/>
              <w:left w:val="nil"/>
              <w:bottom w:val="single" w:sz="4" w:space="0" w:color="auto"/>
              <w:right w:val="single" w:sz="8" w:space="0" w:color="auto"/>
            </w:tcBorders>
          </w:tcPr>
          <w:p w14:paraId="4D5E6C54" w14:textId="77777777" w:rsidR="00CA532B" w:rsidRPr="00682B2D" w:rsidRDefault="00CA532B" w:rsidP="002D69D5">
            <w:pPr>
              <w:jc w:val="right"/>
              <w:rPr>
                <w:rFonts w:eastAsia="Calibri"/>
                <w:b/>
                <w:sz w:val="22"/>
                <w:szCs w:val="22"/>
                <w:lang w:eastAsia="en-US"/>
              </w:rPr>
            </w:pPr>
            <w:r w:rsidRPr="00682B2D">
              <w:rPr>
                <w:rFonts w:eastAsia="Calibri"/>
                <w:b/>
                <w:sz w:val="22"/>
                <w:szCs w:val="22"/>
                <w:lang w:eastAsia="en-US"/>
              </w:rPr>
              <w:t>1.</w:t>
            </w:r>
            <w:r>
              <w:rPr>
                <w:rFonts w:eastAsia="Calibri"/>
                <w:b/>
                <w:sz w:val="22"/>
                <w:szCs w:val="22"/>
                <w:lang w:eastAsia="en-US"/>
              </w:rPr>
              <w:t>4</w:t>
            </w:r>
            <w:r w:rsidRPr="00682B2D">
              <w:rPr>
                <w:rFonts w:eastAsia="Calibri"/>
                <w:b/>
                <w:sz w:val="22"/>
                <w:szCs w:val="22"/>
                <w:lang w:eastAsia="en-US"/>
              </w:rPr>
              <w:t>6</w:t>
            </w:r>
            <w:r>
              <w:rPr>
                <w:rFonts w:eastAsia="Calibri"/>
                <w:b/>
                <w:sz w:val="22"/>
                <w:szCs w:val="22"/>
                <w:lang w:eastAsia="en-US"/>
              </w:rPr>
              <w:t>0</w:t>
            </w:r>
            <w:r w:rsidRPr="00682B2D">
              <w:rPr>
                <w:rFonts w:eastAsia="Calibri"/>
                <w:b/>
                <w:sz w:val="22"/>
                <w:szCs w:val="22"/>
                <w:lang w:eastAsia="en-US"/>
              </w:rPr>
              <w:t>.</w:t>
            </w:r>
            <w:r>
              <w:rPr>
                <w:rFonts w:eastAsia="Calibri"/>
                <w:b/>
                <w:sz w:val="22"/>
                <w:szCs w:val="22"/>
                <w:lang w:eastAsia="en-US"/>
              </w:rPr>
              <w:t>0</w:t>
            </w:r>
            <w:r w:rsidRPr="00682B2D">
              <w:rPr>
                <w:rFonts w:eastAsia="Calibri"/>
                <w:b/>
                <w:sz w:val="22"/>
                <w:szCs w:val="22"/>
                <w:lang w:eastAsia="en-US"/>
              </w:rPr>
              <w:t>00,00</w:t>
            </w:r>
          </w:p>
        </w:tc>
        <w:tc>
          <w:tcPr>
            <w:tcW w:w="1371" w:type="dxa"/>
            <w:tcBorders>
              <w:top w:val="nil"/>
              <w:left w:val="nil"/>
              <w:bottom w:val="single" w:sz="4" w:space="0" w:color="auto"/>
              <w:right w:val="single" w:sz="4" w:space="0" w:color="auto"/>
            </w:tcBorders>
            <w:vAlign w:val="center"/>
          </w:tcPr>
          <w:p w14:paraId="4D5E6C55" w14:textId="77777777" w:rsidR="00CA532B" w:rsidRPr="00F10676" w:rsidRDefault="00CA532B" w:rsidP="002D69D5">
            <w:pPr>
              <w:jc w:val="right"/>
              <w:rPr>
                <w:rFonts w:eastAsia="Calibri"/>
                <w:sz w:val="22"/>
                <w:szCs w:val="22"/>
                <w:lang w:eastAsia="en-US"/>
              </w:rPr>
            </w:pPr>
            <w:r w:rsidRPr="00F10676">
              <w:rPr>
                <w:rFonts w:eastAsia="Calibri"/>
                <w:sz w:val="22"/>
                <w:szCs w:val="22"/>
                <w:lang w:eastAsia="en-US"/>
              </w:rPr>
              <w:t>1</w:t>
            </w:r>
            <w:r>
              <w:rPr>
                <w:rFonts w:eastAsia="Calibri"/>
                <w:sz w:val="22"/>
                <w:szCs w:val="22"/>
                <w:lang w:eastAsia="en-US"/>
              </w:rPr>
              <w:t>0</w:t>
            </w:r>
            <w:r w:rsidRPr="00F10676">
              <w:rPr>
                <w:rFonts w:eastAsia="Calibri"/>
                <w:sz w:val="22"/>
                <w:szCs w:val="22"/>
                <w:lang w:eastAsia="en-US"/>
              </w:rPr>
              <w:t>.</w:t>
            </w:r>
            <w:r>
              <w:rPr>
                <w:rFonts w:eastAsia="Calibri"/>
                <w:sz w:val="22"/>
                <w:szCs w:val="22"/>
                <w:lang w:eastAsia="en-US"/>
              </w:rPr>
              <w:t>000</w:t>
            </w:r>
            <w:r w:rsidRPr="00F10676">
              <w:rPr>
                <w:rFonts w:eastAsia="Calibri"/>
                <w:sz w:val="22"/>
                <w:szCs w:val="22"/>
                <w:lang w:eastAsia="en-US"/>
              </w:rPr>
              <w:t>.</w:t>
            </w:r>
            <w:r>
              <w:rPr>
                <w:rFonts w:eastAsia="Calibri"/>
                <w:sz w:val="22"/>
                <w:szCs w:val="22"/>
                <w:lang w:eastAsia="en-US"/>
              </w:rPr>
              <w:t>000</w:t>
            </w:r>
            <w:r w:rsidRPr="00F10676">
              <w:rPr>
                <w:rFonts w:eastAsia="Calibri"/>
                <w:sz w:val="22"/>
                <w:szCs w:val="22"/>
                <w:lang w:eastAsia="en-US"/>
              </w:rPr>
              <w:t>,00</w:t>
            </w:r>
          </w:p>
        </w:tc>
        <w:tc>
          <w:tcPr>
            <w:tcW w:w="1481" w:type="dxa"/>
            <w:tcBorders>
              <w:top w:val="nil"/>
              <w:left w:val="nil"/>
              <w:bottom w:val="single" w:sz="4" w:space="0" w:color="auto"/>
              <w:right w:val="single" w:sz="8" w:space="0" w:color="auto"/>
            </w:tcBorders>
          </w:tcPr>
          <w:p w14:paraId="4D5E6C56" w14:textId="77777777" w:rsidR="00CA532B" w:rsidRPr="00F10676" w:rsidRDefault="00CA532B" w:rsidP="002D69D5">
            <w:pPr>
              <w:jc w:val="right"/>
              <w:rPr>
                <w:rFonts w:eastAsia="Calibri"/>
                <w:sz w:val="22"/>
                <w:szCs w:val="22"/>
                <w:lang w:eastAsia="en-US"/>
              </w:rPr>
            </w:pPr>
            <w:r w:rsidRPr="00F10676">
              <w:rPr>
                <w:rFonts w:eastAsia="Calibri"/>
                <w:sz w:val="22"/>
                <w:szCs w:val="22"/>
                <w:lang w:eastAsia="en-US"/>
              </w:rPr>
              <w:t>1.</w:t>
            </w:r>
            <w:r>
              <w:rPr>
                <w:rFonts w:eastAsia="Calibri"/>
                <w:sz w:val="22"/>
                <w:szCs w:val="22"/>
                <w:lang w:eastAsia="en-US"/>
              </w:rPr>
              <w:t>32</w:t>
            </w:r>
            <w:r w:rsidRPr="00F10676">
              <w:rPr>
                <w:rFonts w:eastAsia="Calibri"/>
                <w:sz w:val="22"/>
                <w:szCs w:val="22"/>
                <w:lang w:eastAsia="en-US"/>
              </w:rPr>
              <w:t>0.000,00</w:t>
            </w:r>
          </w:p>
        </w:tc>
      </w:tr>
      <w:tr w:rsidR="00CA532B" w:rsidRPr="00682B2D" w14:paraId="4D5E6C59" w14:textId="77777777" w:rsidTr="002D69D5">
        <w:trPr>
          <w:trHeight w:val="453"/>
          <w:jc w:val="center"/>
        </w:trPr>
        <w:tc>
          <w:tcPr>
            <w:tcW w:w="9333" w:type="dxa"/>
            <w:gridSpan w:val="6"/>
            <w:tcBorders>
              <w:top w:val="single" w:sz="4" w:space="0" w:color="auto"/>
              <w:left w:val="single" w:sz="8" w:space="0" w:color="auto"/>
              <w:bottom w:val="single" w:sz="8" w:space="0" w:color="auto"/>
              <w:right w:val="single" w:sz="8" w:space="0" w:color="auto"/>
            </w:tcBorders>
            <w:vAlign w:val="center"/>
          </w:tcPr>
          <w:p w14:paraId="4D5E6C58" w14:textId="77777777" w:rsidR="00CA532B" w:rsidRPr="00682B2D" w:rsidRDefault="00CA532B" w:rsidP="002D69D5">
            <w:pPr>
              <w:rPr>
                <w:rFonts w:eastAsia="Calibri"/>
                <w:bCs/>
                <w:i/>
                <w:lang w:eastAsia="en-US"/>
              </w:rPr>
            </w:pPr>
            <w:bookmarkStart w:id="12" w:name="_Hlk65830997"/>
            <w:r w:rsidRPr="00682B2D">
              <w:rPr>
                <w:rFonts w:eastAsia="Calibri"/>
                <w:bCs/>
                <w:i/>
                <w:lang w:eastAsia="en-US"/>
              </w:rPr>
              <w:t>Preračunato korišten tečaj 7,5830 HRK</w:t>
            </w:r>
            <w:r>
              <w:rPr>
                <w:rFonts w:eastAsia="Calibri"/>
                <w:bCs/>
                <w:i/>
                <w:lang w:eastAsia="en-US"/>
              </w:rPr>
              <w:t xml:space="preserve"> : 1 EUR </w:t>
            </w:r>
          </w:p>
        </w:tc>
      </w:tr>
    </w:tbl>
    <w:p w14:paraId="4D5E6C5A" w14:textId="77777777" w:rsidR="00CA532B" w:rsidRPr="00682B2D" w:rsidRDefault="00CA532B" w:rsidP="00CA532B">
      <w:pPr>
        <w:spacing w:before="120" w:after="120"/>
        <w:jc w:val="both"/>
        <w:rPr>
          <w:rFonts w:eastAsia="Calibri"/>
          <w:lang w:eastAsia="en-US"/>
        </w:rPr>
      </w:pPr>
      <w:bookmarkStart w:id="13" w:name="_Hlk66723007"/>
      <w:bookmarkEnd w:id="12"/>
      <w:r w:rsidRPr="00682B2D">
        <w:rPr>
          <w:rFonts w:eastAsia="Calibri"/>
          <w:lang w:eastAsia="en-US"/>
        </w:rPr>
        <w:t xml:space="preserve">Za vino isporučeno na destilaciju mora biti izdano Rješenje o stavljanju na tržište vina, a svaka količina vina isporučena na destilaciju mora biti provedena u EMCS sustavu. </w:t>
      </w:r>
    </w:p>
    <w:p w14:paraId="4D5E6C5B" w14:textId="77777777" w:rsidR="00CA532B" w:rsidRPr="00682B2D" w:rsidRDefault="00CA532B" w:rsidP="00CA532B">
      <w:pPr>
        <w:spacing w:before="120" w:after="120"/>
        <w:jc w:val="both"/>
        <w:rPr>
          <w:rFonts w:eastAsia="Calibri"/>
          <w:lang w:eastAsia="en-US"/>
        </w:rPr>
      </w:pPr>
      <w:bookmarkStart w:id="14" w:name="_Hlk67059963"/>
      <w:bookmarkEnd w:id="13"/>
      <w:r w:rsidRPr="00682B2D">
        <w:rPr>
          <w:rFonts w:eastAsia="Calibri"/>
          <w:lang w:eastAsia="en-US"/>
        </w:rPr>
        <w:t>Uzimanje uzoraka za utvrđivanje stvarne volumne alkoholne jakosti vina pri predaji na destilaciju provodi Hrvatska agencija za poljoprivredu i hranu, Centar za vinogradarstvo, vinarstvo i uljarstvo koji za uzimanje uzoraka internim aktom imenuje uzorkivače kod destilatera.</w:t>
      </w:r>
    </w:p>
    <w:bookmarkEnd w:id="14"/>
    <w:p w14:paraId="4D5E6C5C" w14:textId="77777777" w:rsidR="00CA532B" w:rsidRPr="00682B2D" w:rsidRDefault="00CA532B" w:rsidP="00CA532B">
      <w:pPr>
        <w:spacing w:before="120" w:after="120"/>
        <w:jc w:val="both"/>
        <w:rPr>
          <w:rFonts w:eastAsia="Calibri"/>
          <w:lang w:eastAsia="en-US"/>
        </w:rPr>
      </w:pPr>
      <w:r w:rsidRPr="00682B2D">
        <w:rPr>
          <w:rFonts w:eastAsia="Calibri"/>
          <w:b/>
          <w:lang w:eastAsia="en-US"/>
        </w:rPr>
        <w:t>U podmjeri</w:t>
      </w:r>
      <w:r w:rsidRPr="00682B2D">
        <w:rPr>
          <w:rFonts w:eastAsia="Calibri"/>
          <w:lang w:eastAsia="en-US"/>
        </w:rPr>
        <w:t xml:space="preserve"> Potpor</w:t>
      </w:r>
      <w:r>
        <w:rPr>
          <w:rFonts w:eastAsia="Calibri"/>
          <w:lang w:eastAsia="en-US"/>
        </w:rPr>
        <w:t>a</w:t>
      </w:r>
      <w:r w:rsidRPr="00682B2D">
        <w:rPr>
          <w:rFonts w:eastAsia="Calibri"/>
          <w:lang w:eastAsia="en-US"/>
        </w:rPr>
        <w:t xml:space="preserve"> proizvođačima vina za vino predano na destilaciju – sredstva pomoći ostvaruje proizvođač vina za prodano vino iz vlastite proizvodnje, isporučeno odobrenom destilateru u iznosu od </w:t>
      </w:r>
      <w:r>
        <w:rPr>
          <w:rFonts w:eastAsia="Calibri"/>
          <w:lang w:eastAsia="en-US"/>
        </w:rPr>
        <w:t xml:space="preserve">okvirno </w:t>
      </w:r>
      <w:r w:rsidRPr="00682B2D">
        <w:rPr>
          <w:rFonts w:eastAsia="Calibri"/>
          <w:lang w:eastAsia="en-US"/>
        </w:rPr>
        <w:t xml:space="preserve">5,00 </w:t>
      </w:r>
      <w:r>
        <w:rPr>
          <w:rFonts w:eastAsia="Calibri"/>
          <w:lang w:eastAsia="en-US"/>
        </w:rPr>
        <w:t>kuna</w:t>
      </w:r>
      <w:r w:rsidRPr="00682B2D">
        <w:rPr>
          <w:rFonts w:eastAsia="Calibri"/>
          <w:lang w:eastAsia="en-US"/>
        </w:rPr>
        <w:t>/litri</w:t>
      </w:r>
      <w:r>
        <w:rPr>
          <w:rFonts w:eastAsia="Calibri"/>
          <w:lang w:eastAsia="en-US"/>
        </w:rPr>
        <w:t xml:space="preserve"> (srednja vrijednost raspona od 4,09 do 6,37</w:t>
      </w:r>
      <w:r w:rsidRPr="001C446E">
        <w:t xml:space="preserve"> </w:t>
      </w:r>
      <w:r>
        <w:rPr>
          <w:rFonts w:eastAsia="Calibri"/>
          <w:lang w:eastAsia="en-US"/>
        </w:rPr>
        <w:t>kuna</w:t>
      </w:r>
      <w:r w:rsidRPr="001C446E">
        <w:rPr>
          <w:rFonts w:eastAsia="Calibri"/>
          <w:lang w:eastAsia="en-US"/>
        </w:rPr>
        <w:t>/litri</w:t>
      </w:r>
      <w:r>
        <w:rPr>
          <w:rFonts w:eastAsia="Calibri"/>
          <w:lang w:eastAsia="en-US"/>
        </w:rPr>
        <w:t>)</w:t>
      </w:r>
      <w:r w:rsidRPr="00682B2D">
        <w:rPr>
          <w:rFonts w:eastAsia="Calibri"/>
          <w:lang w:eastAsia="en-US"/>
        </w:rPr>
        <w:t xml:space="preserve"> odnosno od 0,54 EUR/l</w:t>
      </w:r>
      <w:r>
        <w:rPr>
          <w:rFonts w:eastAsia="Calibri"/>
          <w:lang w:eastAsia="en-US"/>
        </w:rPr>
        <w:t>itri</w:t>
      </w:r>
      <w:r w:rsidRPr="00682B2D">
        <w:rPr>
          <w:rFonts w:eastAsia="Calibri"/>
          <w:lang w:eastAsia="en-US"/>
        </w:rPr>
        <w:t xml:space="preserve"> do 0,84 EUR/litri zavisno o stvarnom udjelu alkohola u vinu prilikom isporuke prema Tablici 1a. </w:t>
      </w:r>
    </w:p>
    <w:p w14:paraId="4D5E6C5D" w14:textId="77777777" w:rsidR="00CA532B" w:rsidRPr="00682B2D" w:rsidRDefault="00CA532B" w:rsidP="00CA532B">
      <w:pPr>
        <w:spacing w:before="120" w:after="120"/>
        <w:jc w:val="both"/>
        <w:rPr>
          <w:b/>
        </w:rPr>
      </w:pPr>
      <w:r w:rsidRPr="00682B2D">
        <w:rPr>
          <w:iCs/>
        </w:rPr>
        <w:t xml:space="preserve">Fleksibilnost - Ukoliko se prema potpunim i prihvatljivim prijavama, nakon provedenog javnog Poziva za ovu mjeru, utvrdi da je </w:t>
      </w:r>
      <w:r w:rsidRPr="00682B2D">
        <w:rPr>
          <w:iCs/>
          <w:u w:val="single"/>
        </w:rPr>
        <w:t>ukupno</w:t>
      </w:r>
      <w:r w:rsidRPr="00682B2D">
        <w:rPr>
          <w:iCs/>
        </w:rPr>
        <w:t xml:space="preserve"> zatražena kvota vina veća od ukupno raspoložive kvote za destilaciju</w:t>
      </w:r>
      <w:r w:rsidRPr="00313D76">
        <w:rPr>
          <w:iCs/>
        </w:rPr>
        <w:t xml:space="preserve"> </w:t>
      </w:r>
      <w:r w:rsidRPr="00682B2D">
        <w:rPr>
          <w:iCs/>
          <w:u w:val="single"/>
        </w:rPr>
        <w:t>koja iznosi 2.</w:t>
      </w:r>
      <w:r>
        <w:rPr>
          <w:iCs/>
          <w:u w:val="single"/>
        </w:rPr>
        <w:t>00</w:t>
      </w:r>
      <w:r w:rsidRPr="00682B2D">
        <w:rPr>
          <w:iCs/>
          <w:u w:val="single"/>
        </w:rPr>
        <w:t>0.000 litara</w:t>
      </w:r>
      <w:r w:rsidRPr="00682B2D">
        <w:rPr>
          <w:iCs/>
        </w:rPr>
        <w:t xml:space="preserve"> Agencija može proporcionalno smanjiti odobrenu kvotu vina po pojedinom korisniku</w:t>
      </w:r>
      <w:r w:rsidRPr="00682B2D">
        <w:rPr>
          <w:i/>
        </w:rPr>
        <w:t>.</w:t>
      </w:r>
      <w:r w:rsidRPr="00682B2D">
        <w:rPr>
          <w:bCs/>
        </w:rPr>
        <w:t>«.</w:t>
      </w:r>
    </w:p>
    <w:p w14:paraId="4D5E6C5E" w14:textId="77777777" w:rsidR="00CA532B" w:rsidRPr="00682B2D" w:rsidRDefault="00CA532B" w:rsidP="00CA532B">
      <w:pPr>
        <w:autoSpaceDE w:val="0"/>
        <w:autoSpaceDN w:val="0"/>
        <w:adjustRightInd w:val="0"/>
        <w:spacing w:before="120" w:after="120"/>
        <w:jc w:val="both"/>
        <w:rPr>
          <w:rFonts w:eastAsia="Calibri"/>
          <w:lang w:eastAsia="en-US"/>
        </w:rPr>
      </w:pPr>
      <w:r w:rsidRPr="00682B2D">
        <w:rPr>
          <w:rFonts w:eastAsia="Calibri"/>
          <w:lang w:eastAsia="en-US"/>
        </w:rPr>
        <w:t xml:space="preserve">Tablica 1a: Mjera 9. Destilacija vina u kriznim slučajevima </w:t>
      </w:r>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3104"/>
        <w:gridCol w:w="2681"/>
      </w:tblGrid>
      <w:tr w:rsidR="00CA532B" w:rsidRPr="00682B2D" w14:paraId="4D5E6C65" w14:textId="77777777" w:rsidTr="002D69D5">
        <w:trPr>
          <w:trHeight w:val="550"/>
        </w:trPr>
        <w:tc>
          <w:tcPr>
            <w:tcW w:w="3526" w:type="dxa"/>
            <w:shd w:val="clear" w:color="auto" w:fill="auto"/>
          </w:tcPr>
          <w:p w14:paraId="4D5E6C5F" w14:textId="77777777" w:rsidR="00CA532B" w:rsidRPr="00682B2D" w:rsidRDefault="00CA532B" w:rsidP="002D69D5">
            <w:pPr>
              <w:jc w:val="center"/>
            </w:pPr>
            <w:r w:rsidRPr="00682B2D">
              <w:t>Vol % alkohola u litri vina</w:t>
            </w:r>
          </w:p>
          <w:p w14:paraId="4D5E6C60" w14:textId="77777777" w:rsidR="00CA532B" w:rsidRPr="00682B2D" w:rsidRDefault="00CA532B" w:rsidP="002D69D5">
            <w:pPr>
              <w:jc w:val="center"/>
            </w:pPr>
            <w:r w:rsidRPr="00682B2D">
              <w:t>(prilikom predaje na destilaciju)</w:t>
            </w:r>
          </w:p>
        </w:tc>
        <w:tc>
          <w:tcPr>
            <w:tcW w:w="3104" w:type="dxa"/>
            <w:tcBorders>
              <w:bottom w:val="single" w:sz="4" w:space="0" w:color="auto"/>
            </w:tcBorders>
            <w:shd w:val="clear" w:color="auto" w:fill="auto"/>
          </w:tcPr>
          <w:p w14:paraId="4D5E6C61" w14:textId="77777777" w:rsidR="00CA532B" w:rsidRPr="00682B2D" w:rsidRDefault="00CA532B" w:rsidP="002D69D5">
            <w:pPr>
              <w:jc w:val="center"/>
            </w:pPr>
            <w:r w:rsidRPr="00682B2D">
              <w:t>Iznos potpore</w:t>
            </w:r>
          </w:p>
          <w:p w14:paraId="4D5E6C62" w14:textId="77777777" w:rsidR="00CA532B" w:rsidRPr="00682B2D" w:rsidRDefault="00CA532B" w:rsidP="002D69D5">
            <w:pPr>
              <w:jc w:val="center"/>
            </w:pPr>
            <w:r w:rsidRPr="00682B2D">
              <w:t>(</w:t>
            </w:r>
            <w:r>
              <w:t>kuna</w:t>
            </w:r>
            <w:r w:rsidRPr="00682B2D">
              <w:t>/litri vina)</w:t>
            </w:r>
          </w:p>
        </w:tc>
        <w:tc>
          <w:tcPr>
            <w:tcW w:w="2681" w:type="dxa"/>
            <w:tcBorders>
              <w:bottom w:val="single" w:sz="4" w:space="0" w:color="auto"/>
            </w:tcBorders>
            <w:shd w:val="clear" w:color="auto" w:fill="auto"/>
          </w:tcPr>
          <w:p w14:paraId="4D5E6C63" w14:textId="77777777" w:rsidR="00CA532B" w:rsidRPr="00682B2D" w:rsidRDefault="00CA532B" w:rsidP="002D69D5">
            <w:pPr>
              <w:jc w:val="center"/>
            </w:pPr>
            <w:r w:rsidRPr="00682B2D">
              <w:t>Iznos potpore</w:t>
            </w:r>
          </w:p>
          <w:p w14:paraId="4D5E6C64" w14:textId="77777777" w:rsidR="00CA532B" w:rsidRPr="00682B2D" w:rsidRDefault="00CA532B" w:rsidP="002D69D5">
            <w:pPr>
              <w:jc w:val="center"/>
            </w:pPr>
            <w:r w:rsidRPr="00682B2D">
              <w:t>(EUR/litri vina)</w:t>
            </w:r>
          </w:p>
        </w:tc>
      </w:tr>
      <w:tr w:rsidR="00CA532B" w:rsidRPr="00682B2D" w14:paraId="4D5E6C69" w14:textId="77777777" w:rsidTr="002D69D5">
        <w:trPr>
          <w:trHeight w:val="377"/>
        </w:trPr>
        <w:tc>
          <w:tcPr>
            <w:tcW w:w="3526" w:type="dxa"/>
            <w:shd w:val="clear" w:color="auto" w:fill="auto"/>
          </w:tcPr>
          <w:p w14:paraId="4D5E6C66" w14:textId="77777777" w:rsidR="00CA532B" w:rsidRPr="00F10676" w:rsidRDefault="00CA532B" w:rsidP="002D69D5">
            <w:pPr>
              <w:spacing w:before="120"/>
              <w:jc w:val="center"/>
            </w:pPr>
            <w:bookmarkStart w:id="15" w:name="_Hlk66726217"/>
            <w:r w:rsidRPr="00F10676">
              <w:t>od 8,51 do 9,50</w:t>
            </w:r>
          </w:p>
        </w:tc>
        <w:tc>
          <w:tcPr>
            <w:tcW w:w="3104" w:type="dxa"/>
            <w:tcBorders>
              <w:top w:val="single" w:sz="4" w:space="0" w:color="auto"/>
              <w:left w:val="nil"/>
              <w:bottom w:val="single" w:sz="4" w:space="0" w:color="auto"/>
              <w:right w:val="single" w:sz="4" w:space="0" w:color="auto"/>
            </w:tcBorders>
            <w:shd w:val="clear" w:color="auto" w:fill="auto"/>
            <w:vAlign w:val="bottom"/>
          </w:tcPr>
          <w:p w14:paraId="4D5E6C67" w14:textId="77777777" w:rsidR="00CA532B" w:rsidRPr="00F10676" w:rsidRDefault="00CA532B" w:rsidP="002D69D5">
            <w:pPr>
              <w:jc w:val="center"/>
            </w:pPr>
            <w:r w:rsidRPr="00F10676">
              <w:rPr>
                <w:color w:val="000000"/>
              </w:rPr>
              <w:t>4,09</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bottom"/>
          </w:tcPr>
          <w:p w14:paraId="4D5E6C68" w14:textId="77777777" w:rsidR="00CA532B" w:rsidRPr="00F10676" w:rsidRDefault="00CA532B" w:rsidP="002D69D5">
            <w:pPr>
              <w:jc w:val="center"/>
            </w:pPr>
            <w:r w:rsidRPr="00F10676">
              <w:rPr>
                <w:color w:val="000000"/>
              </w:rPr>
              <w:t>0,54</w:t>
            </w:r>
          </w:p>
        </w:tc>
      </w:tr>
      <w:tr w:rsidR="00CA532B" w:rsidRPr="00682B2D" w14:paraId="4D5E6C6D" w14:textId="77777777" w:rsidTr="002D69D5">
        <w:trPr>
          <w:trHeight w:val="394"/>
        </w:trPr>
        <w:tc>
          <w:tcPr>
            <w:tcW w:w="3526" w:type="dxa"/>
            <w:shd w:val="clear" w:color="auto" w:fill="auto"/>
          </w:tcPr>
          <w:p w14:paraId="4D5E6C6A" w14:textId="77777777" w:rsidR="00CA532B" w:rsidRPr="00F10676" w:rsidRDefault="00CA532B" w:rsidP="002D69D5">
            <w:pPr>
              <w:spacing w:before="120"/>
              <w:jc w:val="center"/>
            </w:pPr>
            <w:r w:rsidRPr="00F10676">
              <w:t>od 9,51 do 10,50</w:t>
            </w:r>
          </w:p>
        </w:tc>
        <w:tc>
          <w:tcPr>
            <w:tcW w:w="3104" w:type="dxa"/>
            <w:tcBorders>
              <w:top w:val="single" w:sz="4" w:space="0" w:color="auto"/>
              <w:left w:val="nil"/>
              <w:bottom w:val="single" w:sz="4" w:space="0" w:color="auto"/>
              <w:right w:val="single" w:sz="4" w:space="0" w:color="auto"/>
            </w:tcBorders>
            <w:shd w:val="clear" w:color="auto" w:fill="auto"/>
            <w:vAlign w:val="bottom"/>
          </w:tcPr>
          <w:p w14:paraId="4D5E6C6B" w14:textId="77777777" w:rsidR="00CA532B" w:rsidRPr="00F10676" w:rsidRDefault="00CA532B" w:rsidP="002D69D5">
            <w:pPr>
              <w:jc w:val="center"/>
            </w:pPr>
            <w:r w:rsidRPr="00F10676">
              <w:rPr>
                <w:color w:val="000000"/>
              </w:rPr>
              <w:t>4,55</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bottom"/>
          </w:tcPr>
          <w:p w14:paraId="4D5E6C6C" w14:textId="77777777" w:rsidR="00CA532B" w:rsidRPr="00F10676" w:rsidRDefault="00CA532B" w:rsidP="002D69D5">
            <w:pPr>
              <w:jc w:val="center"/>
            </w:pPr>
            <w:r w:rsidRPr="00F10676">
              <w:rPr>
                <w:color w:val="000000"/>
              </w:rPr>
              <w:t>0,60</w:t>
            </w:r>
          </w:p>
        </w:tc>
      </w:tr>
      <w:tr w:rsidR="00CA532B" w:rsidRPr="00682B2D" w14:paraId="4D5E6C71" w14:textId="77777777" w:rsidTr="002D69D5">
        <w:trPr>
          <w:trHeight w:val="394"/>
        </w:trPr>
        <w:tc>
          <w:tcPr>
            <w:tcW w:w="3526" w:type="dxa"/>
            <w:shd w:val="clear" w:color="auto" w:fill="auto"/>
          </w:tcPr>
          <w:p w14:paraId="4D5E6C6E" w14:textId="77777777" w:rsidR="00CA532B" w:rsidRPr="00F10676" w:rsidRDefault="00CA532B" w:rsidP="002D69D5">
            <w:pPr>
              <w:spacing w:before="120"/>
              <w:jc w:val="center"/>
            </w:pPr>
            <w:r w:rsidRPr="00F10676">
              <w:lastRenderedPageBreak/>
              <w:t>od 10,51 do 11,50</w:t>
            </w:r>
          </w:p>
        </w:tc>
        <w:tc>
          <w:tcPr>
            <w:tcW w:w="3104" w:type="dxa"/>
            <w:tcBorders>
              <w:top w:val="single" w:sz="4" w:space="0" w:color="auto"/>
              <w:left w:val="nil"/>
              <w:bottom w:val="single" w:sz="4" w:space="0" w:color="auto"/>
              <w:right w:val="single" w:sz="4" w:space="0" w:color="auto"/>
            </w:tcBorders>
            <w:shd w:val="clear" w:color="auto" w:fill="auto"/>
            <w:vAlign w:val="bottom"/>
          </w:tcPr>
          <w:p w14:paraId="4D5E6C6F" w14:textId="77777777" w:rsidR="00CA532B" w:rsidRPr="00F10676" w:rsidRDefault="00CA532B" w:rsidP="002D69D5">
            <w:pPr>
              <w:jc w:val="center"/>
            </w:pPr>
            <w:r w:rsidRPr="00F10676">
              <w:rPr>
                <w:color w:val="000000"/>
              </w:rPr>
              <w:t>5,00</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bottom"/>
          </w:tcPr>
          <w:p w14:paraId="4D5E6C70" w14:textId="77777777" w:rsidR="00CA532B" w:rsidRPr="00F10676" w:rsidRDefault="00CA532B" w:rsidP="002D69D5">
            <w:pPr>
              <w:jc w:val="center"/>
            </w:pPr>
            <w:r w:rsidRPr="00F10676">
              <w:rPr>
                <w:color w:val="000000"/>
              </w:rPr>
              <w:t>0,66</w:t>
            </w:r>
          </w:p>
        </w:tc>
      </w:tr>
      <w:tr w:rsidR="00CA532B" w:rsidRPr="00682B2D" w14:paraId="4D5E6C75" w14:textId="77777777" w:rsidTr="002D69D5">
        <w:trPr>
          <w:trHeight w:val="377"/>
        </w:trPr>
        <w:tc>
          <w:tcPr>
            <w:tcW w:w="3526" w:type="dxa"/>
            <w:shd w:val="clear" w:color="auto" w:fill="auto"/>
          </w:tcPr>
          <w:p w14:paraId="4D5E6C72" w14:textId="77777777" w:rsidR="00CA532B" w:rsidRPr="00F10676" w:rsidRDefault="00CA532B" w:rsidP="002D69D5">
            <w:pPr>
              <w:spacing w:before="120"/>
              <w:jc w:val="center"/>
            </w:pPr>
            <w:r w:rsidRPr="00F10676">
              <w:t>od 11,51 do 12,50</w:t>
            </w:r>
          </w:p>
        </w:tc>
        <w:tc>
          <w:tcPr>
            <w:tcW w:w="3104" w:type="dxa"/>
            <w:tcBorders>
              <w:top w:val="single" w:sz="4" w:space="0" w:color="auto"/>
              <w:left w:val="nil"/>
              <w:bottom w:val="single" w:sz="4" w:space="0" w:color="auto"/>
              <w:right w:val="single" w:sz="4" w:space="0" w:color="auto"/>
            </w:tcBorders>
            <w:shd w:val="clear" w:color="auto" w:fill="auto"/>
            <w:vAlign w:val="bottom"/>
          </w:tcPr>
          <w:p w14:paraId="4D5E6C73" w14:textId="77777777" w:rsidR="00CA532B" w:rsidRPr="00F10676" w:rsidRDefault="00CA532B" w:rsidP="002D69D5">
            <w:pPr>
              <w:jc w:val="center"/>
            </w:pPr>
            <w:r w:rsidRPr="00F10676">
              <w:rPr>
                <w:color w:val="000000"/>
              </w:rPr>
              <w:t>5,46</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bottom"/>
          </w:tcPr>
          <w:p w14:paraId="4D5E6C74" w14:textId="77777777" w:rsidR="00CA532B" w:rsidRPr="00F10676" w:rsidRDefault="00CA532B" w:rsidP="002D69D5">
            <w:pPr>
              <w:jc w:val="center"/>
            </w:pPr>
            <w:r w:rsidRPr="00F10676">
              <w:rPr>
                <w:color w:val="000000"/>
              </w:rPr>
              <w:t>0,72</w:t>
            </w:r>
          </w:p>
        </w:tc>
      </w:tr>
      <w:tr w:rsidR="00CA532B" w:rsidRPr="00682B2D" w14:paraId="4D5E6C79" w14:textId="77777777" w:rsidTr="002D69D5">
        <w:trPr>
          <w:trHeight w:val="394"/>
        </w:trPr>
        <w:tc>
          <w:tcPr>
            <w:tcW w:w="3526" w:type="dxa"/>
            <w:shd w:val="clear" w:color="auto" w:fill="auto"/>
          </w:tcPr>
          <w:p w14:paraId="4D5E6C76" w14:textId="77777777" w:rsidR="00CA532B" w:rsidRPr="00F10676" w:rsidRDefault="00CA532B" w:rsidP="002D69D5">
            <w:pPr>
              <w:spacing w:before="120"/>
              <w:jc w:val="center"/>
            </w:pPr>
            <w:r w:rsidRPr="00F10676">
              <w:t>od 12,51 do 13,50</w:t>
            </w:r>
          </w:p>
        </w:tc>
        <w:tc>
          <w:tcPr>
            <w:tcW w:w="3104" w:type="dxa"/>
            <w:tcBorders>
              <w:top w:val="single" w:sz="4" w:space="0" w:color="auto"/>
              <w:left w:val="nil"/>
              <w:bottom w:val="single" w:sz="4" w:space="0" w:color="auto"/>
              <w:right w:val="single" w:sz="4" w:space="0" w:color="auto"/>
            </w:tcBorders>
            <w:shd w:val="clear" w:color="auto" w:fill="auto"/>
            <w:vAlign w:val="bottom"/>
          </w:tcPr>
          <w:p w14:paraId="4D5E6C77" w14:textId="77777777" w:rsidR="00CA532B" w:rsidRPr="00F10676" w:rsidRDefault="00CA532B" w:rsidP="002D69D5">
            <w:pPr>
              <w:jc w:val="center"/>
            </w:pPr>
            <w:r w:rsidRPr="00F10676">
              <w:rPr>
                <w:color w:val="000000"/>
              </w:rPr>
              <w:t>5,91</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bottom"/>
          </w:tcPr>
          <w:p w14:paraId="4D5E6C78" w14:textId="77777777" w:rsidR="00CA532B" w:rsidRPr="00F10676" w:rsidRDefault="00CA532B" w:rsidP="002D69D5">
            <w:pPr>
              <w:jc w:val="center"/>
            </w:pPr>
            <w:r w:rsidRPr="00F10676">
              <w:rPr>
                <w:color w:val="000000"/>
              </w:rPr>
              <w:t>0,78</w:t>
            </w:r>
          </w:p>
        </w:tc>
      </w:tr>
      <w:tr w:rsidR="00CA532B" w:rsidRPr="00682B2D" w14:paraId="4D5E6C7D" w14:textId="77777777" w:rsidTr="002D69D5">
        <w:trPr>
          <w:trHeight w:val="394"/>
        </w:trPr>
        <w:tc>
          <w:tcPr>
            <w:tcW w:w="3526" w:type="dxa"/>
            <w:shd w:val="clear" w:color="auto" w:fill="auto"/>
          </w:tcPr>
          <w:p w14:paraId="4D5E6C7A" w14:textId="77777777" w:rsidR="00CA532B" w:rsidRPr="00F10676" w:rsidRDefault="00CA532B" w:rsidP="002D69D5">
            <w:pPr>
              <w:spacing w:before="120"/>
              <w:jc w:val="center"/>
            </w:pPr>
            <w:r w:rsidRPr="00F10676">
              <w:t>više od 13,51</w:t>
            </w:r>
          </w:p>
        </w:tc>
        <w:tc>
          <w:tcPr>
            <w:tcW w:w="3104" w:type="dxa"/>
            <w:tcBorders>
              <w:top w:val="single" w:sz="4" w:space="0" w:color="auto"/>
              <w:left w:val="nil"/>
              <w:bottom w:val="single" w:sz="4" w:space="0" w:color="auto"/>
              <w:right w:val="single" w:sz="4" w:space="0" w:color="auto"/>
            </w:tcBorders>
            <w:shd w:val="clear" w:color="auto" w:fill="auto"/>
            <w:vAlign w:val="bottom"/>
          </w:tcPr>
          <w:p w14:paraId="4D5E6C7B" w14:textId="77777777" w:rsidR="00CA532B" w:rsidRPr="00F10676" w:rsidRDefault="00CA532B" w:rsidP="002D69D5">
            <w:pPr>
              <w:jc w:val="center"/>
            </w:pPr>
            <w:r w:rsidRPr="00F10676">
              <w:rPr>
                <w:color w:val="000000"/>
              </w:rPr>
              <w:t>6,37</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bottom"/>
          </w:tcPr>
          <w:p w14:paraId="4D5E6C7C" w14:textId="77777777" w:rsidR="00CA532B" w:rsidRPr="00F10676" w:rsidRDefault="00CA532B" w:rsidP="002D69D5">
            <w:pPr>
              <w:jc w:val="center"/>
            </w:pPr>
            <w:r w:rsidRPr="00F10676">
              <w:rPr>
                <w:color w:val="000000"/>
              </w:rPr>
              <w:t>0,84</w:t>
            </w:r>
          </w:p>
        </w:tc>
      </w:tr>
      <w:tr w:rsidR="00CA532B" w:rsidRPr="00682B2D" w14:paraId="4D5E6C7F" w14:textId="77777777" w:rsidTr="002D69D5">
        <w:trPr>
          <w:trHeight w:val="345"/>
        </w:trPr>
        <w:tc>
          <w:tcPr>
            <w:tcW w:w="9311" w:type="dxa"/>
            <w:gridSpan w:val="3"/>
            <w:shd w:val="clear" w:color="auto" w:fill="auto"/>
          </w:tcPr>
          <w:p w14:paraId="4D5E6C7E" w14:textId="77777777" w:rsidR="00CA532B" w:rsidRPr="00682B2D" w:rsidRDefault="00CA532B" w:rsidP="002D69D5">
            <w:pPr>
              <w:rPr>
                <w:rFonts w:eastAsia="Calibri"/>
                <w:bCs/>
                <w:i/>
                <w:lang w:eastAsia="en-US"/>
              </w:rPr>
            </w:pPr>
            <w:r w:rsidRPr="00313D76">
              <w:rPr>
                <w:rFonts w:eastAsia="Calibri"/>
                <w:bCs/>
                <w:i/>
                <w:lang w:eastAsia="en-US"/>
              </w:rPr>
              <w:t>Preračunato korišten tečaj 7,5830 HRK : 1 EUR</w:t>
            </w:r>
          </w:p>
        </w:tc>
      </w:tr>
      <w:bookmarkEnd w:id="15"/>
    </w:tbl>
    <w:p w14:paraId="4D5E6C80" w14:textId="77777777" w:rsidR="00CA532B" w:rsidRPr="00682B2D" w:rsidRDefault="00CA532B" w:rsidP="00CA532B">
      <w:pPr>
        <w:jc w:val="both"/>
        <w:rPr>
          <w:rFonts w:eastAsia="Calibri"/>
          <w:lang w:eastAsia="en-US"/>
        </w:rPr>
      </w:pPr>
    </w:p>
    <w:p w14:paraId="4D5E6C81" w14:textId="77777777" w:rsidR="00CA532B" w:rsidRPr="00682B2D" w:rsidRDefault="00CA532B" w:rsidP="00CA532B">
      <w:pPr>
        <w:jc w:val="both"/>
        <w:rPr>
          <w:rFonts w:eastAsia="Calibri"/>
          <w:lang w:eastAsia="en-US"/>
        </w:rPr>
      </w:pPr>
      <w:r w:rsidRPr="00682B2D">
        <w:rPr>
          <w:rFonts w:eastAsia="Calibri"/>
          <w:lang w:eastAsia="en-US"/>
        </w:rPr>
        <w:t xml:space="preserve">U </w:t>
      </w:r>
      <w:r w:rsidRPr="00682B2D">
        <w:rPr>
          <w:rFonts w:eastAsia="Calibri"/>
          <w:b/>
          <w:lang w:eastAsia="en-US"/>
        </w:rPr>
        <w:t>podmjeri</w:t>
      </w:r>
      <w:r w:rsidRPr="00682B2D">
        <w:rPr>
          <w:rFonts w:eastAsia="Calibri"/>
          <w:lang w:eastAsia="en-US"/>
        </w:rPr>
        <w:t xml:space="preserve"> Potpora za pokriće transportnih troškova u dopremi vina na destilaciju sredstva pomoći ostvaruje proizvođač vina za nadoknadu dijela troškova prijevoza do destilerije. Potpora za pokriće transportnih troškova vina do destilatera u iznosu od 0,10 EUR/l</w:t>
      </w:r>
      <w:r>
        <w:rPr>
          <w:rFonts w:eastAsia="Calibri"/>
          <w:lang w:eastAsia="en-US"/>
        </w:rPr>
        <w:t>itri</w:t>
      </w:r>
      <w:r w:rsidRPr="00682B2D">
        <w:rPr>
          <w:rFonts w:eastAsia="Calibri"/>
          <w:lang w:eastAsia="en-US"/>
        </w:rPr>
        <w:t xml:space="preserve"> do 0,23 EUR/litri (preračunato od 0,10 </w:t>
      </w:r>
      <w:r>
        <w:rPr>
          <w:rFonts w:eastAsia="Calibri"/>
          <w:lang w:eastAsia="en-US"/>
        </w:rPr>
        <w:t>kuna</w:t>
      </w:r>
      <w:r w:rsidRPr="00682B2D">
        <w:rPr>
          <w:rFonts w:eastAsia="Calibri"/>
          <w:lang w:eastAsia="en-US"/>
        </w:rPr>
        <w:t>/l</w:t>
      </w:r>
      <w:r>
        <w:rPr>
          <w:rFonts w:eastAsia="Calibri"/>
          <w:lang w:eastAsia="en-US"/>
        </w:rPr>
        <w:t>itri</w:t>
      </w:r>
      <w:r w:rsidRPr="00682B2D">
        <w:rPr>
          <w:rFonts w:eastAsia="Calibri"/>
          <w:lang w:eastAsia="en-US"/>
        </w:rPr>
        <w:t xml:space="preserve"> do 0,23 </w:t>
      </w:r>
      <w:r>
        <w:rPr>
          <w:rFonts w:eastAsia="Calibri"/>
          <w:lang w:eastAsia="en-US"/>
        </w:rPr>
        <w:t>kuna</w:t>
      </w:r>
      <w:r w:rsidRPr="00682B2D">
        <w:rPr>
          <w:rFonts w:eastAsia="Calibri"/>
          <w:lang w:eastAsia="en-US"/>
        </w:rPr>
        <w:t>/litri), zavisi o stvarnoj udaljenosti između sjedišta proizvodnje proizvođača vina i mjesta isporuke na destilaciju. Nadoknada troškova prijevoza isplaćuje se za udaljenost do 400 km prema Tablici 2 a).</w:t>
      </w:r>
    </w:p>
    <w:p w14:paraId="4D5E6C82" w14:textId="77777777" w:rsidR="00CA532B" w:rsidRPr="00682B2D" w:rsidRDefault="00CA532B" w:rsidP="00CA532B">
      <w:pPr>
        <w:spacing w:after="120"/>
        <w:jc w:val="both"/>
        <w:rPr>
          <w:rFonts w:eastAsia="Calibri"/>
          <w:b/>
          <w:u w:val="single"/>
          <w:lang w:eastAsia="en-US"/>
        </w:rPr>
      </w:pPr>
      <w:r w:rsidRPr="00682B2D">
        <w:rPr>
          <w:lang w:eastAsia="en-US"/>
        </w:rPr>
        <w:t xml:space="preserve">Za ovu podmjeru u Državnom proračunu Republike Hrvatske za 2021. godinu osigurana su Financijska sredstva u iznosu od </w:t>
      </w:r>
      <w:r>
        <w:rPr>
          <w:rFonts w:eastAsia="Calibri"/>
          <w:bCs/>
          <w:sz w:val="22"/>
          <w:szCs w:val="22"/>
          <w:lang w:eastAsia="en-US"/>
        </w:rPr>
        <w:t>460</w:t>
      </w:r>
      <w:r w:rsidRPr="00682B2D">
        <w:rPr>
          <w:rFonts w:eastAsia="Calibri"/>
          <w:bCs/>
          <w:sz w:val="22"/>
          <w:szCs w:val="22"/>
          <w:lang w:eastAsia="en-US"/>
        </w:rPr>
        <w:t xml:space="preserve">.500,00 </w:t>
      </w:r>
      <w:r w:rsidRPr="00682B2D">
        <w:rPr>
          <w:lang w:eastAsia="en-US"/>
        </w:rPr>
        <w:t>kuna.</w:t>
      </w:r>
    </w:p>
    <w:p w14:paraId="4D5E6C83" w14:textId="77777777" w:rsidR="00CA532B" w:rsidRPr="00682B2D" w:rsidRDefault="00CA532B" w:rsidP="00CA532B">
      <w:pPr>
        <w:jc w:val="both"/>
        <w:rPr>
          <w:rFonts w:eastAsia="Calibri"/>
          <w:lang w:eastAsia="en-US"/>
        </w:rPr>
      </w:pPr>
    </w:p>
    <w:p w14:paraId="4D5E6C84" w14:textId="77777777" w:rsidR="00CA532B" w:rsidRPr="00682B2D" w:rsidRDefault="00CA532B" w:rsidP="00CA532B">
      <w:pPr>
        <w:autoSpaceDE w:val="0"/>
        <w:autoSpaceDN w:val="0"/>
        <w:adjustRightInd w:val="0"/>
        <w:spacing w:before="120" w:after="120"/>
        <w:jc w:val="both"/>
        <w:rPr>
          <w:rFonts w:eastAsia="Calibri"/>
          <w:lang w:eastAsia="en-US"/>
        </w:rPr>
      </w:pPr>
      <w:r w:rsidRPr="00682B2D">
        <w:rPr>
          <w:rFonts w:eastAsia="Calibri"/>
          <w:lang w:eastAsia="en-US"/>
        </w:rPr>
        <w:t xml:space="preserve">Tablica 2 a: Mjera 9. Destilacija vina u kriznim slučajevima </w:t>
      </w:r>
    </w:p>
    <w:tbl>
      <w:tblPr>
        <w:tblW w:w="9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2092"/>
        <w:gridCol w:w="2651"/>
      </w:tblGrid>
      <w:tr w:rsidR="00CA532B" w:rsidRPr="00682B2D" w14:paraId="4D5E6C8A" w14:textId="77777777" w:rsidTr="002D69D5">
        <w:trPr>
          <w:trHeight w:val="610"/>
        </w:trPr>
        <w:tc>
          <w:tcPr>
            <w:tcW w:w="4462" w:type="dxa"/>
            <w:shd w:val="clear" w:color="auto" w:fill="auto"/>
          </w:tcPr>
          <w:p w14:paraId="4D5E6C85" w14:textId="77777777" w:rsidR="00CA532B" w:rsidRPr="00682B2D" w:rsidRDefault="00CA532B" w:rsidP="002D69D5">
            <w:pPr>
              <w:jc w:val="center"/>
            </w:pPr>
            <w:r w:rsidRPr="00682B2D">
              <w:t xml:space="preserve">Udaljenost između sjedišta proizvodnje proizvođača vina i mjesta isporuke na destilaciju </w:t>
            </w:r>
          </w:p>
        </w:tc>
        <w:tc>
          <w:tcPr>
            <w:tcW w:w="2092" w:type="dxa"/>
            <w:shd w:val="clear" w:color="auto" w:fill="auto"/>
          </w:tcPr>
          <w:p w14:paraId="4D5E6C86" w14:textId="77777777" w:rsidR="00CA532B" w:rsidRPr="00682B2D" w:rsidRDefault="00CA532B" w:rsidP="002D69D5">
            <w:pPr>
              <w:jc w:val="center"/>
            </w:pPr>
            <w:r w:rsidRPr="00682B2D">
              <w:t>Iznos potpore</w:t>
            </w:r>
          </w:p>
          <w:p w14:paraId="4D5E6C87" w14:textId="77777777" w:rsidR="00CA532B" w:rsidRPr="00682B2D" w:rsidRDefault="00CA532B" w:rsidP="002D69D5">
            <w:pPr>
              <w:jc w:val="center"/>
            </w:pPr>
            <w:r w:rsidRPr="00682B2D">
              <w:t>(</w:t>
            </w:r>
            <w:r>
              <w:t>kuna</w:t>
            </w:r>
            <w:r w:rsidRPr="00682B2D">
              <w:t>/litri vina)</w:t>
            </w:r>
          </w:p>
        </w:tc>
        <w:tc>
          <w:tcPr>
            <w:tcW w:w="2651" w:type="dxa"/>
            <w:shd w:val="clear" w:color="auto" w:fill="auto"/>
          </w:tcPr>
          <w:p w14:paraId="4D5E6C88" w14:textId="77777777" w:rsidR="00CA532B" w:rsidRPr="00682B2D" w:rsidRDefault="00CA532B" w:rsidP="002D69D5">
            <w:pPr>
              <w:jc w:val="center"/>
            </w:pPr>
            <w:r w:rsidRPr="00682B2D">
              <w:t>Iznos potpore</w:t>
            </w:r>
          </w:p>
          <w:p w14:paraId="4D5E6C89" w14:textId="77777777" w:rsidR="00CA532B" w:rsidRPr="00682B2D" w:rsidRDefault="00CA532B" w:rsidP="002D69D5">
            <w:pPr>
              <w:jc w:val="center"/>
            </w:pPr>
            <w:r w:rsidRPr="00682B2D">
              <w:t>(EUR/litri vina)</w:t>
            </w:r>
          </w:p>
        </w:tc>
      </w:tr>
      <w:tr w:rsidR="00CA532B" w:rsidRPr="00682B2D" w14:paraId="4D5E6C8E" w14:textId="77777777" w:rsidTr="002D69D5">
        <w:trPr>
          <w:trHeight w:val="409"/>
        </w:trPr>
        <w:tc>
          <w:tcPr>
            <w:tcW w:w="4462" w:type="dxa"/>
            <w:shd w:val="clear" w:color="auto" w:fill="auto"/>
          </w:tcPr>
          <w:p w14:paraId="4D5E6C8B" w14:textId="77777777" w:rsidR="00CA532B" w:rsidRPr="00682B2D" w:rsidRDefault="00CA532B" w:rsidP="002D69D5">
            <w:pPr>
              <w:spacing w:before="120"/>
              <w:jc w:val="center"/>
            </w:pPr>
            <w:r w:rsidRPr="00682B2D">
              <w:t>manje od 25 km</w:t>
            </w:r>
          </w:p>
        </w:tc>
        <w:tc>
          <w:tcPr>
            <w:tcW w:w="2092" w:type="dxa"/>
            <w:tcBorders>
              <w:top w:val="nil"/>
              <w:left w:val="nil"/>
              <w:bottom w:val="single" w:sz="8" w:space="0" w:color="auto"/>
              <w:right w:val="single" w:sz="8" w:space="0" w:color="auto"/>
            </w:tcBorders>
            <w:shd w:val="clear" w:color="auto" w:fill="auto"/>
            <w:vAlign w:val="center"/>
          </w:tcPr>
          <w:p w14:paraId="4D5E6C8C" w14:textId="77777777" w:rsidR="00CA532B" w:rsidRPr="00682B2D" w:rsidRDefault="00CA532B" w:rsidP="002D69D5">
            <w:pPr>
              <w:jc w:val="center"/>
            </w:pPr>
            <w:r w:rsidRPr="00682B2D">
              <w:t>0,10</w:t>
            </w:r>
          </w:p>
        </w:tc>
        <w:tc>
          <w:tcPr>
            <w:tcW w:w="2651" w:type="dxa"/>
            <w:tcBorders>
              <w:top w:val="nil"/>
              <w:left w:val="nil"/>
              <w:bottom w:val="single" w:sz="8" w:space="0" w:color="auto"/>
              <w:right w:val="single" w:sz="8" w:space="0" w:color="auto"/>
            </w:tcBorders>
            <w:shd w:val="clear" w:color="auto" w:fill="auto"/>
            <w:vAlign w:val="center"/>
          </w:tcPr>
          <w:p w14:paraId="4D5E6C8D" w14:textId="77777777" w:rsidR="00CA532B" w:rsidRPr="00682B2D" w:rsidRDefault="00CA532B" w:rsidP="002D69D5">
            <w:pPr>
              <w:jc w:val="center"/>
            </w:pPr>
            <w:r w:rsidRPr="00682B2D">
              <w:t>0,013</w:t>
            </w:r>
          </w:p>
        </w:tc>
      </w:tr>
      <w:tr w:rsidR="00CA532B" w:rsidRPr="00682B2D" w14:paraId="4D5E6C92" w14:textId="77777777" w:rsidTr="002D69D5">
        <w:trPr>
          <w:trHeight w:val="426"/>
        </w:trPr>
        <w:tc>
          <w:tcPr>
            <w:tcW w:w="4462" w:type="dxa"/>
            <w:shd w:val="clear" w:color="auto" w:fill="auto"/>
          </w:tcPr>
          <w:p w14:paraId="4D5E6C8F" w14:textId="77777777" w:rsidR="00CA532B" w:rsidRPr="00682B2D" w:rsidRDefault="00CA532B" w:rsidP="002D69D5">
            <w:pPr>
              <w:spacing w:before="120"/>
              <w:jc w:val="center"/>
            </w:pPr>
            <w:r w:rsidRPr="00682B2D">
              <w:t>od 25 do 100 km</w:t>
            </w:r>
          </w:p>
        </w:tc>
        <w:tc>
          <w:tcPr>
            <w:tcW w:w="2092" w:type="dxa"/>
            <w:tcBorders>
              <w:top w:val="nil"/>
              <w:left w:val="nil"/>
              <w:bottom w:val="single" w:sz="8" w:space="0" w:color="auto"/>
              <w:right w:val="single" w:sz="8" w:space="0" w:color="auto"/>
            </w:tcBorders>
            <w:shd w:val="clear" w:color="auto" w:fill="auto"/>
            <w:vAlign w:val="center"/>
          </w:tcPr>
          <w:p w14:paraId="4D5E6C90" w14:textId="77777777" w:rsidR="00CA532B" w:rsidRPr="00682B2D" w:rsidRDefault="00CA532B" w:rsidP="002D69D5">
            <w:pPr>
              <w:jc w:val="center"/>
            </w:pPr>
            <w:r w:rsidRPr="00682B2D">
              <w:t>0,13</w:t>
            </w:r>
          </w:p>
        </w:tc>
        <w:tc>
          <w:tcPr>
            <w:tcW w:w="2651" w:type="dxa"/>
            <w:tcBorders>
              <w:top w:val="nil"/>
              <w:left w:val="nil"/>
              <w:bottom w:val="single" w:sz="8" w:space="0" w:color="auto"/>
              <w:right w:val="single" w:sz="8" w:space="0" w:color="auto"/>
            </w:tcBorders>
            <w:shd w:val="clear" w:color="auto" w:fill="auto"/>
            <w:vAlign w:val="center"/>
          </w:tcPr>
          <w:p w14:paraId="4D5E6C91" w14:textId="77777777" w:rsidR="00CA532B" w:rsidRPr="00682B2D" w:rsidRDefault="00CA532B" w:rsidP="002D69D5">
            <w:pPr>
              <w:jc w:val="center"/>
            </w:pPr>
            <w:r w:rsidRPr="00682B2D">
              <w:t>0,017</w:t>
            </w:r>
          </w:p>
        </w:tc>
      </w:tr>
      <w:tr w:rsidR="00CA532B" w:rsidRPr="00682B2D" w14:paraId="4D5E6C96" w14:textId="77777777" w:rsidTr="002D69D5">
        <w:trPr>
          <w:trHeight w:val="409"/>
        </w:trPr>
        <w:tc>
          <w:tcPr>
            <w:tcW w:w="4462" w:type="dxa"/>
            <w:shd w:val="clear" w:color="auto" w:fill="auto"/>
          </w:tcPr>
          <w:p w14:paraId="4D5E6C93" w14:textId="77777777" w:rsidR="00CA532B" w:rsidRPr="00682B2D" w:rsidRDefault="00CA532B" w:rsidP="002D69D5">
            <w:pPr>
              <w:spacing w:before="120"/>
              <w:jc w:val="center"/>
            </w:pPr>
            <w:r w:rsidRPr="00682B2D">
              <w:t>od 100 do 200 km</w:t>
            </w:r>
          </w:p>
        </w:tc>
        <w:tc>
          <w:tcPr>
            <w:tcW w:w="2092" w:type="dxa"/>
            <w:tcBorders>
              <w:top w:val="nil"/>
              <w:left w:val="nil"/>
              <w:bottom w:val="single" w:sz="8" w:space="0" w:color="auto"/>
              <w:right w:val="single" w:sz="8" w:space="0" w:color="auto"/>
            </w:tcBorders>
            <w:shd w:val="clear" w:color="auto" w:fill="auto"/>
            <w:vAlign w:val="center"/>
          </w:tcPr>
          <w:p w14:paraId="4D5E6C94" w14:textId="77777777" w:rsidR="00CA532B" w:rsidRPr="00682B2D" w:rsidRDefault="00CA532B" w:rsidP="002D69D5">
            <w:pPr>
              <w:jc w:val="center"/>
            </w:pPr>
            <w:r w:rsidRPr="00682B2D">
              <w:t>0,16</w:t>
            </w:r>
          </w:p>
        </w:tc>
        <w:tc>
          <w:tcPr>
            <w:tcW w:w="2651" w:type="dxa"/>
            <w:tcBorders>
              <w:top w:val="nil"/>
              <w:left w:val="nil"/>
              <w:bottom w:val="single" w:sz="8" w:space="0" w:color="auto"/>
              <w:right w:val="single" w:sz="8" w:space="0" w:color="auto"/>
            </w:tcBorders>
            <w:shd w:val="clear" w:color="auto" w:fill="auto"/>
            <w:vAlign w:val="center"/>
          </w:tcPr>
          <w:p w14:paraId="4D5E6C95" w14:textId="77777777" w:rsidR="00CA532B" w:rsidRPr="00682B2D" w:rsidRDefault="00CA532B" w:rsidP="002D69D5">
            <w:pPr>
              <w:jc w:val="center"/>
            </w:pPr>
            <w:r w:rsidRPr="00682B2D">
              <w:t>0,021</w:t>
            </w:r>
          </w:p>
        </w:tc>
      </w:tr>
      <w:tr w:rsidR="00CA532B" w:rsidRPr="00682B2D" w14:paraId="4D5E6C9A" w14:textId="77777777" w:rsidTr="002D69D5">
        <w:trPr>
          <w:trHeight w:val="426"/>
        </w:trPr>
        <w:tc>
          <w:tcPr>
            <w:tcW w:w="4462" w:type="dxa"/>
            <w:shd w:val="clear" w:color="auto" w:fill="auto"/>
          </w:tcPr>
          <w:p w14:paraId="4D5E6C97" w14:textId="77777777" w:rsidR="00CA532B" w:rsidRPr="00682B2D" w:rsidRDefault="00CA532B" w:rsidP="002D69D5">
            <w:pPr>
              <w:spacing w:before="120"/>
              <w:jc w:val="center"/>
            </w:pPr>
            <w:r w:rsidRPr="00682B2D">
              <w:t>od 200 do 300 km</w:t>
            </w:r>
          </w:p>
        </w:tc>
        <w:tc>
          <w:tcPr>
            <w:tcW w:w="2092" w:type="dxa"/>
            <w:tcBorders>
              <w:top w:val="nil"/>
              <w:left w:val="nil"/>
              <w:bottom w:val="single" w:sz="8" w:space="0" w:color="auto"/>
              <w:right w:val="single" w:sz="8" w:space="0" w:color="auto"/>
            </w:tcBorders>
            <w:shd w:val="clear" w:color="auto" w:fill="auto"/>
            <w:vAlign w:val="center"/>
          </w:tcPr>
          <w:p w14:paraId="4D5E6C98" w14:textId="77777777" w:rsidR="00CA532B" w:rsidRPr="00682B2D" w:rsidRDefault="00CA532B" w:rsidP="002D69D5">
            <w:pPr>
              <w:jc w:val="center"/>
            </w:pPr>
            <w:r w:rsidRPr="00682B2D">
              <w:t>0,19</w:t>
            </w:r>
          </w:p>
        </w:tc>
        <w:tc>
          <w:tcPr>
            <w:tcW w:w="2651" w:type="dxa"/>
            <w:tcBorders>
              <w:top w:val="nil"/>
              <w:left w:val="nil"/>
              <w:bottom w:val="single" w:sz="8" w:space="0" w:color="auto"/>
              <w:right w:val="single" w:sz="8" w:space="0" w:color="auto"/>
            </w:tcBorders>
            <w:shd w:val="clear" w:color="auto" w:fill="auto"/>
            <w:vAlign w:val="center"/>
          </w:tcPr>
          <w:p w14:paraId="4D5E6C99" w14:textId="77777777" w:rsidR="00CA532B" w:rsidRPr="00682B2D" w:rsidRDefault="00CA532B" w:rsidP="002D69D5">
            <w:pPr>
              <w:jc w:val="center"/>
            </w:pPr>
            <w:r w:rsidRPr="00682B2D">
              <w:t>0,025</w:t>
            </w:r>
          </w:p>
        </w:tc>
      </w:tr>
      <w:tr w:rsidR="00CA532B" w:rsidRPr="00682B2D" w14:paraId="4D5E6C9E" w14:textId="77777777" w:rsidTr="002D69D5">
        <w:trPr>
          <w:trHeight w:val="426"/>
        </w:trPr>
        <w:tc>
          <w:tcPr>
            <w:tcW w:w="4462" w:type="dxa"/>
            <w:shd w:val="clear" w:color="auto" w:fill="auto"/>
          </w:tcPr>
          <w:p w14:paraId="4D5E6C9B" w14:textId="77777777" w:rsidR="00CA532B" w:rsidRPr="00682B2D" w:rsidRDefault="00CA532B" w:rsidP="002D69D5">
            <w:pPr>
              <w:spacing w:before="120"/>
              <w:jc w:val="center"/>
            </w:pPr>
            <w:r w:rsidRPr="00682B2D">
              <w:t>od 300 do 400 km</w:t>
            </w:r>
          </w:p>
        </w:tc>
        <w:tc>
          <w:tcPr>
            <w:tcW w:w="2092" w:type="dxa"/>
            <w:tcBorders>
              <w:top w:val="nil"/>
              <w:left w:val="nil"/>
              <w:bottom w:val="single" w:sz="8" w:space="0" w:color="auto"/>
              <w:right w:val="single" w:sz="8" w:space="0" w:color="auto"/>
            </w:tcBorders>
            <w:shd w:val="clear" w:color="auto" w:fill="auto"/>
            <w:vAlign w:val="center"/>
          </w:tcPr>
          <w:p w14:paraId="4D5E6C9C" w14:textId="77777777" w:rsidR="00CA532B" w:rsidRPr="00682B2D" w:rsidRDefault="00CA532B" w:rsidP="002D69D5">
            <w:pPr>
              <w:jc w:val="center"/>
            </w:pPr>
            <w:r w:rsidRPr="00682B2D">
              <w:t>0,23</w:t>
            </w:r>
          </w:p>
        </w:tc>
        <w:tc>
          <w:tcPr>
            <w:tcW w:w="2651" w:type="dxa"/>
            <w:tcBorders>
              <w:top w:val="nil"/>
              <w:left w:val="nil"/>
              <w:bottom w:val="single" w:sz="8" w:space="0" w:color="auto"/>
              <w:right w:val="single" w:sz="8" w:space="0" w:color="auto"/>
            </w:tcBorders>
            <w:shd w:val="clear" w:color="auto" w:fill="auto"/>
            <w:vAlign w:val="center"/>
          </w:tcPr>
          <w:p w14:paraId="4D5E6C9D" w14:textId="77777777" w:rsidR="00CA532B" w:rsidRPr="00682B2D" w:rsidRDefault="00CA532B" w:rsidP="002D69D5">
            <w:pPr>
              <w:jc w:val="center"/>
            </w:pPr>
            <w:r w:rsidRPr="00682B2D">
              <w:t>0,030</w:t>
            </w:r>
          </w:p>
        </w:tc>
      </w:tr>
      <w:tr w:rsidR="00CA532B" w:rsidRPr="00682B2D" w14:paraId="4D5E6CA0" w14:textId="77777777" w:rsidTr="002D69D5">
        <w:trPr>
          <w:trHeight w:val="409"/>
        </w:trPr>
        <w:tc>
          <w:tcPr>
            <w:tcW w:w="9205" w:type="dxa"/>
            <w:gridSpan w:val="3"/>
            <w:shd w:val="clear" w:color="auto" w:fill="auto"/>
          </w:tcPr>
          <w:p w14:paraId="4D5E6C9F" w14:textId="77777777" w:rsidR="00CA532B" w:rsidRPr="00682B2D" w:rsidRDefault="00CA532B" w:rsidP="002D69D5">
            <w:pPr>
              <w:spacing w:before="120"/>
              <w:jc w:val="both"/>
            </w:pPr>
            <w:r w:rsidRPr="00313D76">
              <w:rPr>
                <w:sz w:val="20"/>
                <w:szCs w:val="20"/>
              </w:rPr>
              <w:t xml:space="preserve">Bez obzira na stvarnu udaljenost najviši iznos pomoći dodjeljuje </w:t>
            </w:r>
            <w:r>
              <w:rPr>
                <w:sz w:val="20"/>
                <w:szCs w:val="20"/>
              </w:rPr>
              <w:t xml:space="preserve">se </w:t>
            </w:r>
            <w:r w:rsidRPr="00313D76">
              <w:rPr>
                <w:sz w:val="20"/>
                <w:szCs w:val="20"/>
              </w:rPr>
              <w:t>za nadoknadu transportnih troškova do 400 km</w:t>
            </w:r>
          </w:p>
        </w:tc>
      </w:tr>
      <w:tr w:rsidR="00CA532B" w:rsidRPr="00682B2D" w14:paraId="4D5E6CA2" w14:textId="77777777" w:rsidTr="002D69D5">
        <w:trPr>
          <w:trHeight w:val="12"/>
        </w:trPr>
        <w:tc>
          <w:tcPr>
            <w:tcW w:w="9205" w:type="dxa"/>
            <w:gridSpan w:val="3"/>
            <w:shd w:val="clear" w:color="auto" w:fill="auto"/>
          </w:tcPr>
          <w:p w14:paraId="4D5E6CA1" w14:textId="77777777" w:rsidR="00CA532B" w:rsidRPr="00682B2D" w:rsidRDefault="00CA532B" w:rsidP="002D69D5">
            <w:pPr>
              <w:rPr>
                <w:rFonts w:eastAsia="Calibri"/>
                <w:bCs/>
                <w:i/>
                <w:lang w:eastAsia="en-US"/>
              </w:rPr>
            </w:pPr>
            <w:bookmarkStart w:id="16" w:name="_Hlk65834946"/>
            <w:r w:rsidRPr="00313D76">
              <w:rPr>
                <w:rFonts w:eastAsia="Calibri"/>
                <w:bCs/>
                <w:i/>
                <w:lang w:eastAsia="en-US"/>
              </w:rPr>
              <w:t>Preračunato korišten tečaj 7,5830 HRK : 1 EUR</w:t>
            </w:r>
          </w:p>
        </w:tc>
      </w:tr>
      <w:bookmarkEnd w:id="16"/>
    </w:tbl>
    <w:p w14:paraId="4D5E6CA3" w14:textId="77777777" w:rsidR="00CA532B" w:rsidRDefault="00CA532B" w:rsidP="00CA532B">
      <w:pPr>
        <w:jc w:val="both"/>
        <w:rPr>
          <w:rFonts w:eastAsia="Calibri"/>
          <w:lang w:eastAsia="en-US"/>
        </w:rPr>
      </w:pPr>
    </w:p>
    <w:p w14:paraId="4D5E6CA4" w14:textId="77777777" w:rsidR="00CA532B" w:rsidRPr="00682B2D" w:rsidRDefault="00CA532B" w:rsidP="00CA532B">
      <w:pPr>
        <w:jc w:val="both"/>
        <w:rPr>
          <w:rFonts w:eastAsia="Calibri"/>
          <w:lang w:eastAsia="en-US"/>
        </w:rPr>
      </w:pPr>
      <w:r w:rsidRPr="00682B2D">
        <w:rPr>
          <w:rFonts w:eastAsia="Calibri"/>
          <w:lang w:eastAsia="en-US"/>
        </w:rPr>
        <w:t xml:space="preserve">U </w:t>
      </w:r>
      <w:r w:rsidRPr="00682B2D">
        <w:rPr>
          <w:rFonts w:eastAsia="Calibri"/>
          <w:b/>
          <w:lang w:eastAsia="en-US"/>
        </w:rPr>
        <w:t>podmjeri</w:t>
      </w:r>
      <w:r w:rsidRPr="00682B2D">
        <w:rPr>
          <w:rFonts w:eastAsia="Calibri"/>
          <w:lang w:eastAsia="en-US"/>
        </w:rPr>
        <w:t xml:space="preserve"> Potpora destilaterima za provedenu dest</w:t>
      </w:r>
      <w:r>
        <w:rPr>
          <w:rFonts w:eastAsia="Calibri"/>
          <w:lang w:eastAsia="en-US"/>
        </w:rPr>
        <w:t>ilaciju u iznosu do 0,50 kuna/</w:t>
      </w:r>
      <w:r w:rsidRPr="00682B2D">
        <w:rPr>
          <w:rFonts w:eastAsia="Calibri"/>
          <w:lang w:eastAsia="en-US"/>
        </w:rPr>
        <w:t xml:space="preserve">litri vina </w:t>
      </w:r>
      <w:r w:rsidRPr="00682B2D">
        <w:rPr>
          <w:lang w:eastAsia="en-US"/>
        </w:rPr>
        <w:t xml:space="preserve">(0,066 EUR/litri vina) </w:t>
      </w:r>
      <w:r w:rsidRPr="00682B2D">
        <w:rPr>
          <w:rFonts w:eastAsia="Calibri"/>
          <w:lang w:eastAsia="en-US"/>
        </w:rPr>
        <w:t xml:space="preserve">predanog na destilaciju – sredstva pomoći ostvaruje destilater koji udovoljava uvjete: </w:t>
      </w:r>
    </w:p>
    <w:p w14:paraId="4D5E6CA5" w14:textId="77777777" w:rsidR="00CA532B" w:rsidRPr="00682B2D" w:rsidRDefault="00CA532B" w:rsidP="00CA532B">
      <w:pPr>
        <w:ind w:left="708"/>
        <w:jc w:val="both"/>
        <w:rPr>
          <w:rFonts w:eastAsia="Calibri"/>
          <w:lang w:eastAsia="en-US"/>
        </w:rPr>
      </w:pPr>
      <w:r w:rsidRPr="00682B2D">
        <w:rPr>
          <w:rFonts w:eastAsia="Calibri"/>
          <w:lang w:eastAsia="en-US"/>
        </w:rPr>
        <w:t xml:space="preserve">1. registriran je za djelatnost destilacije </w:t>
      </w:r>
    </w:p>
    <w:p w14:paraId="4D5E6CA6" w14:textId="77777777" w:rsidR="00CA532B" w:rsidRPr="00682B2D" w:rsidRDefault="00CA532B" w:rsidP="00CA532B">
      <w:pPr>
        <w:ind w:left="708"/>
        <w:jc w:val="both"/>
        <w:rPr>
          <w:rFonts w:eastAsia="Calibri"/>
          <w:lang w:eastAsia="en-US"/>
        </w:rPr>
      </w:pPr>
      <w:r w:rsidRPr="00682B2D">
        <w:rPr>
          <w:rFonts w:eastAsia="Calibri"/>
          <w:lang w:eastAsia="en-US"/>
        </w:rPr>
        <w:t xml:space="preserve">2. raspolaže vlastitom tehnološkom opremom potrebnom za destilaciju vina i dobivanje destilata koji će sadržavati minimalno 70% vol. alkohola po litri </w:t>
      </w:r>
    </w:p>
    <w:p w14:paraId="4D5E6CA7" w14:textId="77777777" w:rsidR="00CA532B" w:rsidRPr="00682B2D" w:rsidRDefault="00CA532B" w:rsidP="00CA532B">
      <w:pPr>
        <w:ind w:left="708"/>
        <w:jc w:val="both"/>
        <w:rPr>
          <w:lang w:eastAsia="en-US"/>
        </w:rPr>
      </w:pPr>
      <w:r w:rsidRPr="00682B2D">
        <w:rPr>
          <w:rFonts w:eastAsia="Calibri"/>
          <w:lang w:eastAsia="en-US"/>
        </w:rPr>
        <w:lastRenderedPageBreak/>
        <w:t xml:space="preserve">3. raspolaže kapacitetom za destilaciju od najmanje 5.000 litra vina/24 sata. </w:t>
      </w:r>
    </w:p>
    <w:p w14:paraId="4D5E6CA8" w14:textId="77777777" w:rsidR="00CA532B" w:rsidRDefault="00CA532B" w:rsidP="00CA532B">
      <w:pPr>
        <w:spacing w:after="120"/>
        <w:jc w:val="both"/>
        <w:rPr>
          <w:rFonts w:eastAsia="Calibri"/>
          <w:b/>
          <w:u w:val="single"/>
          <w:lang w:eastAsia="en-US"/>
        </w:rPr>
      </w:pPr>
      <w:r w:rsidRPr="00682B2D">
        <w:rPr>
          <w:lang w:eastAsia="en-US"/>
        </w:rPr>
        <w:t>Financijska sredstva iz Državnog proračuna Republike Hrvatske za 2021. godinu osigurana su u iznosu od 1.</w:t>
      </w:r>
      <w:r>
        <w:rPr>
          <w:lang w:eastAsia="en-US"/>
        </w:rPr>
        <w:t>000</w:t>
      </w:r>
      <w:r w:rsidRPr="00682B2D">
        <w:rPr>
          <w:lang w:eastAsia="en-US"/>
        </w:rPr>
        <w:t>.000,00</w:t>
      </w:r>
      <w:r>
        <w:rPr>
          <w:lang w:eastAsia="en-US"/>
        </w:rPr>
        <w:t xml:space="preserve"> </w:t>
      </w:r>
      <w:r w:rsidRPr="00682B2D">
        <w:rPr>
          <w:lang w:eastAsia="en-US"/>
        </w:rPr>
        <w:t xml:space="preserve">kuna za potporu </w:t>
      </w:r>
      <w:r w:rsidRPr="00682B2D">
        <w:rPr>
          <w:iCs/>
          <w:lang w:eastAsia="en-US"/>
        </w:rPr>
        <w:t xml:space="preserve">troškova destilaterima za destilaciju </w:t>
      </w:r>
      <w:r w:rsidRPr="00682B2D">
        <w:rPr>
          <w:lang w:eastAsia="en-US"/>
        </w:rPr>
        <w:t>2.</w:t>
      </w:r>
      <w:r>
        <w:rPr>
          <w:lang w:eastAsia="en-US"/>
        </w:rPr>
        <w:t>00</w:t>
      </w:r>
      <w:r w:rsidRPr="00682B2D">
        <w:rPr>
          <w:lang w:eastAsia="en-US"/>
        </w:rPr>
        <w:t xml:space="preserve">0.000 litara vina </w:t>
      </w:r>
      <w:r w:rsidRPr="00682B2D">
        <w:rPr>
          <w:iCs/>
          <w:lang w:eastAsia="en-US"/>
        </w:rPr>
        <w:t xml:space="preserve">u iznosu 0,50 </w:t>
      </w:r>
      <w:r>
        <w:rPr>
          <w:iCs/>
          <w:lang w:eastAsia="en-US"/>
        </w:rPr>
        <w:t>kuna</w:t>
      </w:r>
      <w:r w:rsidRPr="00682B2D">
        <w:rPr>
          <w:iCs/>
          <w:lang w:eastAsia="en-US"/>
        </w:rPr>
        <w:t>/l</w:t>
      </w:r>
      <w:r>
        <w:rPr>
          <w:iCs/>
          <w:lang w:eastAsia="en-US"/>
        </w:rPr>
        <w:t>itri</w:t>
      </w:r>
      <w:r w:rsidRPr="00682B2D">
        <w:rPr>
          <w:iCs/>
          <w:lang w:eastAsia="en-US"/>
        </w:rPr>
        <w:t>.</w:t>
      </w:r>
      <w:bookmarkEnd w:id="6"/>
    </w:p>
    <w:p w14:paraId="4D5E6CA9" w14:textId="77777777" w:rsidR="00CA532B" w:rsidRPr="00215C85" w:rsidRDefault="00CA532B" w:rsidP="00CA532B">
      <w:pPr>
        <w:spacing w:before="120" w:after="120"/>
        <w:jc w:val="both"/>
        <w:rPr>
          <w:rFonts w:eastAsia="Calibri"/>
          <w:lang w:eastAsia="en-US"/>
        </w:rPr>
      </w:pPr>
      <w:r w:rsidRPr="00215C85">
        <w:rPr>
          <w:rFonts w:eastAsia="Calibri"/>
          <w:b/>
          <w:u w:val="single"/>
          <w:lang w:eastAsia="en-US"/>
        </w:rPr>
        <w:t>Provođenje mjere Potpora za krizno skladištenje vina</w:t>
      </w:r>
      <w:r w:rsidRPr="00215C85">
        <w:rPr>
          <w:rFonts w:eastAsia="Calibri"/>
          <w:lang w:eastAsia="en-US"/>
        </w:rPr>
        <w:t xml:space="preserve"> kojom se odobrava financijska pomoć proizvođač</w:t>
      </w:r>
      <w:r>
        <w:rPr>
          <w:rFonts w:eastAsia="Calibri"/>
          <w:lang w:eastAsia="en-US"/>
        </w:rPr>
        <w:t>ima</w:t>
      </w:r>
      <w:r w:rsidRPr="00215C85">
        <w:rPr>
          <w:rFonts w:eastAsia="Calibri"/>
          <w:lang w:eastAsia="en-US"/>
        </w:rPr>
        <w:t xml:space="preserve"> vina da određeno vrijeme ne stavljaju vino na tržište kako bi se </w:t>
      </w:r>
      <w:r>
        <w:rPr>
          <w:rFonts w:eastAsia="Calibri"/>
          <w:lang w:eastAsia="en-US"/>
        </w:rPr>
        <w:t>za to</w:t>
      </w:r>
      <w:r w:rsidRPr="00215C85">
        <w:rPr>
          <w:rFonts w:eastAsia="Calibri"/>
          <w:lang w:eastAsia="en-US"/>
        </w:rPr>
        <w:t xml:space="preserve"> vrijeme smanjila ponuda i zadržala primjerena tržišna cijena. </w:t>
      </w:r>
    </w:p>
    <w:p w14:paraId="4D5E6CAA" w14:textId="77777777" w:rsidR="00CA532B" w:rsidRPr="00215C85" w:rsidRDefault="00CA532B" w:rsidP="00CA532B">
      <w:pPr>
        <w:spacing w:before="120" w:after="120"/>
        <w:jc w:val="both"/>
        <w:rPr>
          <w:rFonts w:eastAsia="Calibri"/>
          <w:lang w:eastAsia="en-US"/>
        </w:rPr>
      </w:pPr>
      <w:r>
        <w:rPr>
          <w:rFonts w:eastAsia="Calibri"/>
          <w:lang w:eastAsia="en-US"/>
        </w:rPr>
        <w:t xml:space="preserve">Za odobrenje potpore u ovoj mjeri </w:t>
      </w:r>
      <w:r w:rsidRPr="00215C85">
        <w:rPr>
          <w:rFonts w:eastAsia="Calibri"/>
          <w:lang w:eastAsia="en-US"/>
        </w:rPr>
        <w:t xml:space="preserve">prihvatljivi </w:t>
      </w:r>
      <w:r>
        <w:rPr>
          <w:rFonts w:eastAsia="Calibri"/>
          <w:lang w:eastAsia="en-US"/>
        </w:rPr>
        <w:t xml:space="preserve">su </w:t>
      </w:r>
      <w:r w:rsidRPr="00215C85">
        <w:rPr>
          <w:rFonts w:eastAsia="Calibri"/>
          <w:lang w:eastAsia="en-US"/>
        </w:rPr>
        <w:t xml:space="preserve">proizvođači vina koji su izvršili prijavu stanja zaliha vina na dan 31. srpnja 2020. godine u Vinogradarski registar. </w:t>
      </w:r>
    </w:p>
    <w:p w14:paraId="4D5E6CAB" w14:textId="77777777" w:rsidR="00CA532B" w:rsidRPr="00215C85" w:rsidRDefault="00CA532B" w:rsidP="00CA532B">
      <w:pPr>
        <w:spacing w:before="120" w:after="120"/>
        <w:jc w:val="both"/>
        <w:rPr>
          <w:rFonts w:eastAsia="Calibri"/>
          <w:lang w:eastAsia="en-US"/>
        </w:rPr>
      </w:pPr>
      <w:bookmarkStart w:id="17" w:name="_Hlk66720791"/>
      <w:r w:rsidRPr="00215C85">
        <w:rPr>
          <w:rFonts w:eastAsia="Calibri"/>
          <w:lang w:eastAsia="en-US"/>
        </w:rPr>
        <w:t xml:space="preserve">Na temelju tako utvrđenog stanja zaliha vina proizvođači mogu na mjeru Potpora za krizno skladištenje ponuditi najmanje 3.000 litara (30 hl), a najviše 30% od prijavljenih zaliha u trajanju 60 dana. </w:t>
      </w:r>
    </w:p>
    <w:p w14:paraId="4D5E6CAC" w14:textId="77777777" w:rsidR="00CA532B" w:rsidRPr="00215C85" w:rsidRDefault="00CA532B" w:rsidP="00CA532B">
      <w:pPr>
        <w:spacing w:before="120" w:after="120"/>
        <w:jc w:val="both"/>
        <w:rPr>
          <w:rFonts w:eastAsia="Calibri"/>
          <w:lang w:eastAsia="en-US"/>
        </w:rPr>
      </w:pPr>
      <w:bookmarkStart w:id="18" w:name="_Hlk65772317"/>
      <w:bookmarkEnd w:id="17"/>
      <w:r w:rsidRPr="00215C85">
        <w:rPr>
          <w:rFonts w:eastAsia="Calibri"/>
          <w:lang w:eastAsia="en-US"/>
        </w:rPr>
        <w:t xml:space="preserve">Ukupna količinska kvota vina </w:t>
      </w:r>
      <w:bookmarkStart w:id="19" w:name="_Hlk65833750"/>
      <w:r w:rsidRPr="00215C85">
        <w:rPr>
          <w:rFonts w:eastAsia="Calibri"/>
          <w:lang w:eastAsia="en-US"/>
        </w:rPr>
        <w:t xml:space="preserve">za mjeru Potpora za krizno skladištenje </w:t>
      </w:r>
      <w:bookmarkEnd w:id="19"/>
      <w:r w:rsidRPr="00215C85">
        <w:rPr>
          <w:rFonts w:eastAsia="Calibri"/>
          <w:lang w:eastAsia="en-US"/>
        </w:rPr>
        <w:t>vina iznosi 4.</w:t>
      </w:r>
      <w:r>
        <w:rPr>
          <w:rFonts w:eastAsia="Calibri"/>
          <w:lang w:eastAsia="en-US"/>
        </w:rPr>
        <w:t>0</w:t>
      </w:r>
      <w:r w:rsidRPr="00215C85">
        <w:rPr>
          <w:rFonts w:eastAsia="Calibri"/>
          <w:lang w:eastAsia="en-US"/>
        </w:rPr>
        <w:t>00.000 litara vina (4</w:t>
      </w:r>
      <w:r>
        <w:rPr>
          <w:rFonts w:eastAsia="Calibri"/>
          <w:lang w:eastAsia="en-US"/>
        </w:rPr>
        <w:t>0</w:t>
      </w:r>
      <w:r w:rsidRPr="00215C85">
        <w:rPr>
          <w:rFonts w:eastAsia="Calibri"/>
          <w:lang w:eastAsia="en-US"/>
        </w:rPr>
        <w:t xml:space="preserve">.000 hl) za koju se osigurava potpora proizvođačima vina za skladištenje vina u trajanju 60 dana. </w:t>
      </w:r>
    </w:p>
    <w:p w14:paraId="4D5E6CAD" w14:textId="77777777" w:rsidR="00CA532B" w:rsidRPr="00215C85" w:rsidRDefault="00CA532B" w:rsidP="00CA532B">
      <w:pPr>
        <w:spacing w:before="120" w:after="120"/>
        <w:jc w:val="both"/>
        <w:rPr>
          <w:rFonts w:eastAsia="Calibri"/>
          <w:lang w:eastAsia="en-US"/>
        </w:rPr>
      </w:pPr>
      <w:bookmarkStart w:id="20" w:name="_Hlk66726736"/>
      <w:r w:rsidRPr="00215C85">
        <w:rPr>
          <w:rFonts w:eastAsia="Calibri"/>
          <w:lang w:eastAsia="en-US"/>
        </w:rPr>
        <w:t xml:space="preserve">Vino prijavljeno u ovoj mjeri prema dokumentaciji iz Podrumske evidencije koja se vodi sukladno </w:t>
      </w:r>
      <w:r>
        <w:rPr>
          <w:rFonts w:eastAsia="Calibri"/>
          <w:lang w:eastAsia="en-US"/>
        </w:rPr>
        <w:t>Pravilniku</w:t>
      </w:r>
      <w:r w:rsidRPr="00215C85">
        <w:rPr>
          <w:rFonts w:eastAsia="Calibri"/>
          <w:lang w:eastAsia="en-US"/>
        </w:rPr>
        <w:t xml:space="preserve"> o registru vinograda mora biti iz vlastite proizvodnje, a nisu prihvatljiva vina koja je </w:t>
      </w:r>
      <w:r>
        <w:rPr>
          <w:rFonts w:eastAsia="Calibri"/>
          <w:lang w:eastAsia="en-US"/>
        </w:rPr>
        <w:t xml:space="preserve">proizvođač </w:t>
      </w:r>
      <w:r w:rsidRPr="00215C85">
        <w:rPr>
          <w:rFonts w:eastAsia="Calibri"/>
          <w:lang w:eastAsia="en-US"/>
        </w:rPr>
        <w:t xml:space="preserve">kupio. Za vino predano na krizno skladištenje mora biti izdano </w:t>
      </w:r>
      <w:r w:rsidRPr="00215C85">
        <w:rPr>
          <w:rFonts w:eastAsia="Calibri"/>
          <w:u w:val="single"/>
          <w:lang w:eastAsia="en-US"/>
        </w:rPr>
        <w:t xml:space="preserve">pozitivno Rješenje o stavljanju na tržište </w:t>
      </w:r>
      <w:r>
        <w:rPr>
          <w:rFonts w:eastAsia="Calibri"/>
          <w:u w:val="single"/>
          <w:lang w:eastAsia="en-US"/>
        </w:rPr>
        <w:t>vina</w:t>
      </w:r>
      <w:r w:rsidRPr="00215C85">
        <w:rPr>
          <w:rFonts w:eastAsia="Calibri"/>
          <w:lang w:eastAsia="en-US"/>
        </w:rPr>
        <w:t xml:space="preserve">. Količine predane na krizno skladištenje moraju biti vidljivo odvojene u podrumu, a </w:t>
      </w:r>
      <w:r w:rsidRPr="00215C85">
        <w:rPr>
          <w:rFonts w:eastAsia="Calibri"/>
          <w:u w:val="single"/>
          <w:lang w:eastAsia="en-US"/>
        </w:rPr>
        <w:t xml:space="preserve">podaci o seriji ili lot-u jasno povezani s pozitivnim Rješenjem o stavljanju na tržište </w:t>
      </w:r>
      <w:r>
        <w:rPr>
          <w:rFonts w:eastAsia="Calibri"/>
          <w:u w:val="single"/>
          <w:lang w:eastAsia="en-US"/>
        </w:rPr>
        <w:t>vina</w:t>
      </w:r>
      <w:r w:rsidRPr="00215C85">
        <w:rPr>
          <w:rFonts w:eastAsia="Calibri"/>
          <w:u w:val="single"/>
          <w:lang w:eastAsia="en-US"/>
        </w:rPr>
        <w:t xml:space="preserve"> te zabilježeni u Podrumskoj evidenciji proizvođača</w:t>
      </w:r>
      <w:r w:rsidRPr="00215C85">
        <w:rPr>
          <w:rFonts w:eastAsia="Calibri"/>
          <w:lang w:eastAsia="en-US"/>
        </w:rPr>
        <w:t>.</w:t>
      </w:r>
    </w:p>
    <w:p w14:paraId="4D5E6CAE" w14:textId="77777777" w:rsidR="00CA532B" w:rsidRPr="00215C85" w:rsidRDefault="00CA532B" w:rsidP="00CA532B">
      <w:pPr>
        <w:autoSpaceDE w:val="0"/>
        <w:autoSpaceDN w:val="0"/>
        <w:adjustRightInd w:val="0"/>
        <w:spacing w:before="120" w:after="120"/>
        <w:jc w:val="both"/>
        <w:rPr>
          <w:rFonts w:eastAsia="Calibri"/>
          <w:lang w:eastAsia="en-US"/>
        </w:rPr>
      </w:pPr>
      <w:bookmarkStart w:id="21" w:name="_Hlk66690903"/>
      <w:bookmarkEnd w:id="20"/>
      <w:r w:rsidRPr="00215C85">
        <w:rPr>
          <w:lang w:eastAsia="en-US"/>
        </w:rPr>
        <w:t xml:space="preserve">Financijska sredstva u iznosu </w:t>
      </w:r>
      <w:r>
        <w:rPr>
          <w:lang w:eastAsia="en-US"/>
        </w:rPr>
        <w:t>od 1.320.000,00 EUR</w:t>
      </w:r>
      <w:r w:rsidRPr="00215C85">
        <w:rPr>
          <w:lang w:eastAsia="en-US"/>
        </w:rPr>
        <w:t xml:space="preserve"> (1</w:t>
      </w:r>
      <w:r>
        <w:rPr>
          <w:lang w:eastAsia="en-US"/>
        </w:rPr>
        <w:t>0</w:t>
      </w:r>
      <w:r w:rsidRPr="00215C85">
        <w:rPr>
          <w:lang w:eastAsia="en-US"/>
        </w:rPr>
        <w:t>.</w:t>
      </w:r>
      <w:r>
        <w:rPr>
          <w:lang w:eastAsia="en-US"/>
        </w:rPr>
        <w:t>000</w:t>
      </w:r>
      <w:r w:rsidRPr="00215C85">
        <w:rPr>
          <w:lang w:eastAsia="en-US"/>
        </w:rPr>
        <w:t xml:space="preserve">.000,00 kuna) </w:t>
      </w:r>
      <w:r>
        <w:rPr>
          <w:lang w:eastAsia="en-US"/>
        </w:rPr>
        <w:t xml:space="preserve">iz </w:t>
      </w:r>
      <w:bookmarkStart w:id="22" w:name="_Hlk61605666"/>
      <w:bookmarkEnd w:id="18"/>
      <w:r w:rsidRPr="00215C85">
        <w:rPr>
          <w:rFonts w:eastAsia="Calibri"/>
          <w:lang w:eastAsia="en-US"/>
        </w:rPr>
        <w:t>Nacionaln</w:t>
      </w:r>
      <w:r>
        <w:rPr>
          <w:rFonts w:eastAsia="Calibri"/>
          <w:lang w:eastAsia="en-US"/>
        </w:rPr>
        <w:t>og</w:t>
      </w:r>
      <w:r w:rsidRPr="00215C85">
        <w:rPr>
          <w:rFonts w:eastAsia="Calibri"/>
          <w:lang w:eastAsia="en-US"/>
        </w:rPr>
        <w:t xml:space="preserve"> program</w:t>
      </w:r>
      <w:r>
        <w:rPr>
          <w:rFonts w:eastAsia="Calibri"/>
          <w:lang w:eastAsia="en-US"/>
        </w:rPr>
        <w:t>a</w:t>
      </w:r>
      <w:r w:rsidRPr="00215C85">
        <w:rPr>
          <w:rFonts w:eastAsia="Calibri"/>
          <w:lang w:eastAsia="en-US"/>
        </w:rPr>
        <w:t xml:space="preserve"> preusmjeravaju se u mjeru</w:t>
      </w:r>
      <w:bookmarkEnd w:id="22"/>
      <w:r w:rsidRPr="00215C85">
        <w:rPr>
          <w:rFonts w:eastAsia="Calibri"/>
          <w:lang w:eastAsia="en-US"/>
        </w:rPr>
        <w:t xml:space="preserve"> Potpora za krizno skladištenje</w:t>
      </w:r>
      <w:r>
        <w:rPr>
          <w:rFonts w:eastAsia="Calibri"/>
          <w:lang w:eastAsia="en-US"/>
        </w:rPr>
        <w:t xml:space="preserve"> vina za kvotu od</w:t>
      </w:r>
      <w:r w:rsidRPr="00215C85">
        <w:rPr>
          <w:rFonts w:eastAsia="Calibri"/>
          <w:lang w:eastAsia="en-US"/>
        </w:rPr>
        <w:t xml:space="preserve"> 4.</w:t>
      </w:r>
      <w:r>
        <w:rPr>
          <w:rFonts w:eastAsia="Calibri"/>
          <w:lang w:eastAsia="en-US"/>
        </w:rPr>
        <w:t>0</w:t>
      </w:r>
      <w:r w:rsidRPr="00215C85">
        <w:rPr>
          <w:rFonts w:eastAsia="Calibri"/>
          <w:lang w:eastAsia="en-US"/>
        </w:rPr>
        <w:t>00.000</w:t>
      </w:r>
      <w:r w:rsidRPr="00215C85">
        <w:rPr>
          <w:rFonts w:eastAsia="EUAlbertina"/>
          <w:i/>
          <w:sz w:val="20"/>
          <w:szCs w:val="20"/>
          <w:lang w:eastAsia="en-US"/>
        </w:rPr>
        <w:t xml:space="preserve"> </w:t>
      </w:r>
      <w:r w:rsidRPr="00215C85">
        <w:rPr>
          <w:rFonts w:eastAsia="Calibri"/>
          <w:lang w:eastAsia="en-US"/>
        </w:rPr>
        <w:t>litara vina.</w:t>
      </w:r>
    </w:p>
    <w:p w14:paraId="4D5E6CAF" w14:textId="77777777" w:rsidR="00CA532B" w:rsidRPr="00215C85" w:rsidRDefault="00CA532B" w:rsidP="00CA532B">
      <w:pPr>
        <w:spacing w:before="120" w:after="120"/>
        <w:jc w:val="both"/>
        <w:rPr>
          <w:rFonts w:eastAsia="Calibri"/>
          <w:lang w:eastAsia="en-US"/>
        </w:rPr>
      </w:pPr>
      <w:bookmarkStart w:id="23" w:name="_Hlk65774942"/>
      <w:r w:rsidRPr="00215C85">
        <w:rPr>
          <w:rFonts w:eastAsia="Calibri"/>
          <w:lang w:eastAsia="en-US"/>
        </w:rPr>
        <w:t xml:space="preserve">Potporu u iznosu od </w:t>
      </w:r>
      <w:r>
        <w:rPr>
          <w:rFonts w:eastAsia="Calibri"/>
          <w:lang w:eastAsia="en-US"/>
        </w:rPr>
        <w:t>2,5</w:t>
      </w:r>
      <w:r w:rsidRPr="00215C85">
        <w:rPr>
          <w:rFonts w:eastAsia="Calibri"/>
          <w:lang w:eastAsia="en-US"/>
        </w:rPr>
        <w:t xml:space="preserve"> </w:t>
      </w:r>
      <w:r>
        <w:rPr>
          <w:rFonts w:eastAsia="Calibri"/>
          <w:lang w:eastAsia="en-US"/>
        </w:rPr>
        <w:t>kune</w:t>
      </w:r>
      <w:r w:rsidRPr="00215C85">
        <w:rPr>
          <w:rFonts w:eastAsia="Calibri"/>
          <w:lang w:eastAsia="en-US"/>
        </w:rPr>
        <w:t xml:space="preserve">/litri ostvaruje proizvođač vina za vino iz vlastite proizvodnje predano na skladištenje u trajanju </w:t>
      </w:r>
      <w:r w:rsidR="00782D8C">
        <w:rPr>
          <w:rFonts w:eastAsia="Calibri"/>
          <w:lang w:eastAsia="en-US"/>
        </w:rPr>
        <w:t xml:space="preserve">do </w:t>
      </w:r>
      <w:r w:rsidRPr="00215C85">
        <w:rPr>
          <w:rFonts w:eastAsia="Calibri"/>
          <w:lang w:eastAsia="en-US"/>
        </w:rPr>
        <w:t xml:space="preserve">60 dana. </w:t>
      </w:r>
    </w:p>
    <w:p w14:paraId="4D5E6CB0" w14:textId="77777777" w:rsidR="00CA532B" w:rsidRPr="00215C85" w:rsidRDefault="00CA532B" w:rsidP="00CA532B">
      <w:pPr>
        <w:autoSpaceDE w:val="0"/>
        <w:autoSpaceDN w:val="0"/>
        <w:adjustRightInd w:val="0"/>
        <w:spacing w:before="120" w:after="120"/>
        <w:jc w:val="both"/>
        <w:rPr>
          <w:rFonts w:eastAsia="Calibri"/>
          <w:lang w:eastAsia="en-US"/>
        </w:rPr>
      </w:pPr>
      <w:r w:rsidRPr="00215C85">
        <w:rPr>
          <w:rFonts w:eastAsia="Calibri"/>
          <w:lang w:eastAsia="en-US"/>
        </w:rPr>
        <w:t>Tablica 3: Mjera 10. Potpora za krizno skladištenje vina</w:t>
      </w:r>
    </w:p>
    <w:tbl>
      <w:tblPr>
        <w:tblW w:w="9356" w:type="dxa"/>
        <w:tblInd w:w="-10" w:type="dxa"/>
        <w:tblLook w:val="04A0" w:firstRow="1" w:lastRow="0" w:firstColumn="1" w:lastColumn="0" w:noHBand="0" w:noVBand="1"/>
      </w:tblPr>
      <w:tblGrid>
        <w:gridCol w:w="1418"/>
        <w:gridCol w:w="1559"/>
        <w:gridCol w:w="2410"/>
        <w:gridCol w:w="1984"/>
        <w:gridCol w:w="1985"/>
      </w:tblGrid>
      <w:tr w:rsidR="00CA532B" w:rsidRPr="00215C85" w14:paraId="4D5E6CB5" w14:textId="77777777" w:rsidTr="002D69D5">
        <w:trPr>
          <w:trHeight w:val="450"/>
        </w:trPr>
        <w:tc>
          <w:tcPr>
            <w:tcW w:w="1418" w:type="dxa"/>
            <w:tcBorders>
              <w:top w:val="single" w:sz="8" w:space="0" w:color="auto"/>
              <w:left w:val="single" w:sz="8" w:space="0" w:color="auto"/>
              <w:bottom w:val="single" w:sz="8" w:space="0" w:color="000000"/>
              <w:right w:val="single" w:sz="8" w:space="0" w:color="auto"/>
            </w:tcBorders>
            <w:vAlign w:val="center"/>
            <w:hideMark/>
          </w:tcPr>
          <w:p w14:paraId="4D5E6CB1" w14:textId="77777777" w:rsidR="00CA532B" w:rsidRPr="00215C85" w:rsidRDefault="00CA532B" w:rsidP="002D69D5">
            <w:pPr>
              <w:jc w:val="center"/>
              <w:rPr>
                <w:rFonts w:eastAsia="Calibri"/>
                <w:bCs/>
                <w:lang w:eastAsia="en-US"/>
              </w:rPr>
            </w:pPr>
            <w:r w:rsidRPr="00215C85">
              <w:rPr>
                <w:rFonts w:eastAsia="Calibri"/>
                <w:bCs/>
                <w:lang w:eastAsia="en-US"/>
              </w:rPr>
              <w:t>Mjera potpore</w:t>
            </w:r>
          </w:p>
        </w:tc>
        <w:tc>
          <w:tcPr>
            <w:tcW w:w="1559" w:type="dxa"/>
            <w:tcBorders>
              <w:top w:val="single" w:sz="8" w:space="0" w:color="auto"/>
              <w:left w:val="single" w:sz="8" w:space="0" w:color="auto"/>
              <w:bottom w:val="single" w:sz="8" w:space="0" w:color="000000"/>
              <w:right w:val="single" w:sz="8" w:space="0" w:color="auto"/>
            </w:tcBorders>
            <w:vAlign w:val="center"/>
          </w:tcPr>
          <w:p w14:paraId="4D5E6CB2" w14:textId="77777777" w:rsidR="00CA532B" w:rsidRPr="00215C85" w:rsidRDefault="00CA532B" w:rsidP="002D69D5">
            <w:pPr>
              <w:jc w:val="center"/>
              <w:rPr>
                <w:rFonts w:eastAsia="Calibri"/>
                <w:bCs/>
                <w:lang w:eastAsia="en-US"/>
              </w:rPr>
            </w:pPr>
            <w:r w:rsidRPr="00215C85">
              <w:rPr>
                <w:rFonts w:eastAsia="Calibri"/>
                <w:bCs/>
                <w:lang w:eastAsia="en-US"/>
              </w:rPr>
              <w:t xml:space="preserve">okvirno </w:t>
            </w:r>
          </w:p>
        </w:tc>
        <w:tc>
          <w:tcPr>
            <w:tcW w:w="2410" w:type="dxa"/>
            <w:tcBorders>
              <w:top w:val="single" w:sz="8" w:space="0" w:color="auto"/>
              <w:left w:val="nil"/>
              <w:right w:val="single" w:sz="8" w:space="0" w:color="auto"/>
            </w:tcBorders>
            <w:vAlign w:val="center"/>
            <w:hideMark/>
          </w:tcPr>
          <w:p w14:paraId="4D5E6CB3" w14:textId="77777777" w:rsidR="00CA532B" w:rsidRPr="00215C85" w:rsidRDefault="00CA532B" w:rsidP="002D69D5">
            <w:pPr>
              <w:jc w:val="center"/>
              <w:rPr>
                <w:rFonts w:eastAsia="Calibri"/>
                <w:bCs/>
                <w:lang w:eastAsia="en-US"/>
              </w:rPr>
            </w:pPr>
            <w:r w:rsidRPr="00215C85">
              <w:rPr>
                <w:rFonts w:eastAsia="Calibri"/>
                <w:bCs/>
                <w:lang w:eastAsia="en-US"/>
              </w:rPr>
              <w:t xml:space="preserve">Sredstva Državne potpore iz DP Republike Hrvatske </w:t>
            </w:r>
          </w:p>
        </w:tc>
        <w:tc>
          <w:tcPr>
            <w:tcW w:w="3969" w:type="dxa"/>
            <w:gridSpan w:val="2"/>
            <w:tcBorders>
              <w:top w:val="single" w:sz="8" w:space="0" w:color="auto"/>
              <w:left w:val="nil"/>
              <w:right w:val="single" w:sz="8" w:space="0" w:color="auto"/>
            </w:tcBorders>
            <w:vAlign w:val="center"/>
          </w:tcPr>
          <w:p w14:paraId="4D5E6CB4" w14:textId="77777777" w:rsidR="00CA532B" w:rsidRPr="00215C85" w:rsidRDefault="00CA532B" w:rsidP="002D69D5">
            <w:pPr>
              <w:jc w:val="center"/>
              <w:rPr>
                <w:rFonts w:eastAsia="Calibri"/>
                <w:bCs/>
                <w:lang w:eastAsia="en-US"/>
              </w:rPr>
            </w:pPr>
            <w:r w:rsidRPr="00215C85">
              <w:rPr>
                <w:rFonts w:eastAsia="Calibri"/>
                <w:bCs/>
                <w:lang w:eastAsia="en-US"/>
              </w:rPr>
              <w:t xml:space="preserve">Sredstva iz EU proračuna Doprinos EU u mjeri  </w:t>
            </w:r>
          </w:p>
        </w:tc>
      </w:tr>
      <w:tr w:rsidR="00CA532B" w:rsidRPr="00215C85" w14:paraId="4D5E6CBB" w14:textId="77777777" w:rsidTr="002D69D5">
        <w:trPr>
          <w:trHeight w:val="250"/>
        </w:trPr>
        <w:tc>
          <w:tcPr>
            <w:tcW w:w="1418" w:type="dxa"/>
            <w:tcBorders>
              <w:top w:val="single" w:sz="8" w:space="0" w:color="auto"/>
              <w:left w:val="single" w:sz="8" w:space="0" w:color="auto"/>
              <w:bottom w:val="single" w:sz="8" w:space="0" w:color="000000"/>
              <w:right w:val="single" w:sz="8" w:space="0" w:color="auto"/>
            </w:tcBorders>
            <w:vAlign w:val="center"/>
          </w:tcPr>
          <w:p w14:paraId="4D5E6CB6" w14:textId="77777777" w:rsidR="00CA532B" w:rsidRPr="00215C85" w:rsidRDefault="00CA532B" w:rsidP="002D69D5">
            <w:pPr>
              <w:jc w:val="center"/>
              <w:rPr>
                <w:rFonts w:eastAsia="Calibri"/>
                <w:bCs/>
                <w:lang w:eastAsia="en-US"/>
              </w:rPr>
            </w:pPr>
            <w:r w:rsidRPr="00215C85">
              <w:rPr>
                <w:rFonts w:eastAsia="Calibri"/>
                <w:bCs/>
                <w:lang w:eastAsia="en-US"/>
              </w:rPr>
              <w:t>Mjera 10.</w:t>
            </w:r>
          </w:p>
        </w:tc>
        <w:tc>
          <w:tcPr>
            <w:tcW w:w="1559" w:type="dxa"/>
            <w:tcBorders>
              <w:top w:val="single" w:sz="8" w:space="0" w:color="auto"/>
              <w:left w:val="single" w:sz="8" w:space="0" w:color="auto"/>
              <w:bottom w:val="single" w:sz="8" w:space="0" w:color="000000"/>
              <w:right w:val="single" w:sz="8" w:space="0" w:color="auto"/>
            </w:tcBorders>
            <w:vAlign w:val="center"/>
          </w:tcPr>
          <w:p w14:paraId="4D5E6CB7" w14:textId="77777777" w:rsidR="00CA532B" w:rsidRPr="00215C85" w:rsidRDefault="00CA532B" w:rsidP="002D69D5">
            <w:pPr>
              <w:jc w:val="center"/>
              <w:rPr>
                <w:rFonts w:eastAsia="Calibri"/>
                <w:bCs/>
                <w:lang w:eastAsia="en-US"/>
              </w:rPr>
            </w:pPr>
            <w:r w:rsidRPr="00215C85">
              <w:rPr>
                <w:rFonts w:eastAsia="Calibri"/>
                <w:bCs/>
                <w:lang w:eastAsia="en-US"/>
              </w:rPr>
              <w:t>litara</w:t>
            </w:r>
          </w:p>
        </w:tc>
        <w:tc>
          <w:tcPr>
            <w:tcW w:w="2410" w:type="dxa"/>
            <w:tcBorders>
              <w:top w:val="single" w:sz="8" w:space="0" w:color="auto"/>
              <w:left w:val="nil"/>
              <w:right w:val="single" w:sz="8" w:space="0" w:color="auto"/>
            </w:tcBorders>
            <w:vAlign w:val="center"/>
          </w:tcPr>
          <w:p w14:paraId="4D5E6CB8" w14:textId="77777777" w:rsidR="00CA532B" w:rsidRPr="00215C85" w:rsidRDefault="00CA532B" w:rsidP="002D69D5">
            <w:pPr>
              <w:jc w:val="center"/>
              <w:rPr>
                <w:rFonts w:eastAsia="Calibri"/>
                <w:bCs/>
                <w:lang w:eastAsia="en-US"/>
              </w:rPr>
            </w:pPr>
            <w:r w:rsidRPr="00215C85">
              <w:rPr>
                <w:rFonts w:eastAsia="Calibri"/>
                <w:bCs/>
                <w:lang w:eastAsia="en-US"/>
              </w:rPr>
              <w:t>(</w:t>
            </w:r>
            <w:r>
              <w:rPr>
                <w:rFonts w:eastAsia="Calibri"/>
                <w:bCs/>
                <w:lang w:eastAsia="en-US"/>
              </w:rPr>
              <w:t>k</w:t>
            </w:r>
            <w:r w:rsidRPr="00215C85">
              <w:rPr>
                <w:rFonts w:eastAsia="Calibri"/>
                <w:bCs/>
                <w:lang w:eastAsia="en-US"/>
              </w:rPr>
              <w:t>una)</w:t>
            </w:r>
          </w:p>
        </w:tc>
        <w:tc>
          <w:tcPr>
            <w:tcW w:w="1984" w:type="dxa"/>
            <w:tcBorders>
              <w:top w:val="single" w:sz="8" w:space="0" w:color="auto"/>
              <w:left w:val="nil"/>
              <w:right w:val="single" w:sz="8" w:space="0" w:color="auto"/>
            </w:tcBorders>
            <w:vAlign w:val="center"/>
          </w:tcPr>
          <w:p w14:paraId="4D5E6CB9" w14:textId="77777777" w:rsidR="00CA532B" w:rsidRPr="00215C85" w:rsidRDefault="00CA532B" w:rsidP="002D69D5">
            <w:pPr>
              <w:jc w:val="center"/>
              <w:rPr>
                <w:rFonts w:eastAsia="Calibri"/>
                <w:bCs/>
                <w:lang w:eastAsia="en-US"/>
              </w:rPr>
            </w:pPr>
            <w:r>
              <w:rPr>
                <w:rFonts w:eastAsia="Calibri"/>
                <w:bCs/>
                <w:lang w:eastAsia="en-US"/>
              </w:rPr>
              <w:t>kuna</w:t>
            </w:r>
            <w:r w:rsidRPr="00215C85">
              <w:rPr>
                <w:rFonts w:eastAsia="Calibri"/>
                <w:bCs/>
                <w:lang w:eastAsia="en-US"/>
              </w:rPr>
              <w:t xml:space="preserve">/litri </w:t>
            </w:r>
          </w:p>
        </w:tc>
        <w:tc>
          <w:tcPr>
            <w:tcW w:w="1985" w:type="dxa"/>
            <w:tcBorders>
              <w:top w:val="single" w:sz="8" w:space="0" w:color="auto"/>
              <w:left w:val="nil"/>
              <w:right w:val="single" w:sz="8" w:space="0" w:color="auto"/>
            </w:tcBorders>
            <w:vAlign w:val="center"/>
          </w:tcPr>
          <w:p w14:paraId="4D5E6CBA" w14:textId="77777777" w:rsidR="00CA532B" w:rsidRPr="00215C85" w:rsidRDefault="00CA532B" w:rsidP="002D69D5">
            <w:pPr>
              <w:jc w:val="center"/>
              <w:rPr>
                <w:rFonts w:eastAsia="Calibri"/>
                <w:bCs/>
                <w:lang w:eastAsia="en-US"/>
              </w:rPr>
            </w:pPr>
            <w:r>
              <w:rPr>
                <w:rFonts w:eastAsia="Calibri"/>
                <w:bCs/>
                <w:lang w:eastAsia="en-US"/>
              </w:rPr>
              <w:t>EUR/litri</w:t>
            </w:r>
          </w:p>
        </w:tc>
      </w:tr>
      <w:tr w:rsidR="00CA532B" w:rsidRPr="00215C85" w14:paraId="4D5E6CC1" w14:textId="77777777" w:rsidTr="002D69D5">
        <w:trPr>
          <w:trHeight w:val="276"/>
        </w:trPr>
        <w:tc>
          <w:tcPr>
            <w:tcW w:w="1418" w:type="dxa"/>
            <w:tcBorders>
              <w:top w:val="nil"/>
              <w:left w:val="single" w:sz="8" w:space="0" w:color="auto"/>
              <w:bottom w:val="single" w:sz="4" w:space="0" w:color="auto"/>
              <w:right w:val="single" w:sz="4" w:space="0" w:color="auto"/>
            </w:tcBorders>
            <w:vAlign w:val="center"/>
          </w:tcPr>
          <w:p w14:paraId="4D5E6CBC" w14:textId="77777777" w:rsidR="00CA532B" w:rsidRPr="00215C85" w:rsidRDefault="00CA532B" w:rsidP="002D69D5">
            <w:pPr>
              <w:jc w:val="both"/>
              <w:rPr>
                <w:rFonts w:eastAsia="Calibri"/>
                <w:bCs/>
                <w:lang w:eastAsia="en-US"/>
              </w:rPr>
            </w:pPr>
          </w:p>
        </w:tc>
        <w:tc>
          <w:tcPr>
            <w:tcW w:w="1559" w:type="dxa"/>
            <w:tcBorders>
              <w:top w:val="nil"/>
              <w:left w:val="single" w:sz="8" w:space="0" w:color="auto"/>
              <w:bottom w:val="single" w:sz="4" w:space="0" w:color="auto"/>
              <w:right w:val="single" w:sz="4" w:space="0" w:color="auto"/>
            </w:tcBorders>
            <w:vAlign w:val="center"/>
          </w:tcPr>
          <w:p w14:paraId="4D5E6CBD" w14:textId="77777777" w:rsidR="00CA532B" w:rsidRPr="00215C85" w:rsidRDefault="00CA532B" w:rsidP="002D69D5">
            <w:pPr>
              <w:jc w:val="center"/>
              <w:rPr>
                <w:rFonts w:eastAsia="Calibri"/>
                <w:bCs/>
                <w:lang w:eastAsia="en-US"/>
              </w:rPr>
            </w:pPr>
            <w:r>
              <w:rPr>
                <w:rFonts w:eastAsia="Calibri"/>
                <w:bCs/>
                <w:lang w:eastAsia="en-US"/>
              </w:rPr>
              <w:t>4.000.000</w:t>
            </w:r>
          </w:p>
        </w:tc>
        <w:tc>
          <w:tcPr>
            <w:tcW w:w="2410" w:type="dxa"/>
            <w:tcBorders>
              <w:top w:val="single" w:sz="4" w:space="0" w:color="auto"/>
              <w:left w:val="single" w:sz="4" w:space="0" w:color="auto"/>
              <w:bottom w:val="single" w:sz="4" w:space="0" w:color="auto"/>
              <w:right w:val="single" w:sz="4" w:space="0" w:color="auto"/>
            </w:tcBorders>
            <w:vAlign w:val="center"/>
          </w:tcPr>
          <w:p w14:paraId="4D5E6CBE" w14:textId="77777777" w:rsidR="00CA532B" w:rsidRPr="00215C85" w:rsidRDefault="00CA532B" w:rsidP="002D69D5">
            <w:pPr>
              <w:jc w:val="center"/>
              <w:rPr>
                <w:rFonts w:eastAsia="Calibri"/>
                <w:bCs/>
                <w:lang w:eastAsia="en-US"/>
              </w:rPr>
            </w:pPr>
            <w:r>
              <w:rPr>
                <w:rFonts w:eastAsia="Calibri"/>
                <w:bCs/>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14:paraId="4D5E6CBF" w14:textId="77777777" w:rsidR="00CA532B" w:rsidRPr="00215C85" w:rsidRDefault="00CA532B" w:rsidP="002D69D5">
            <w:pPr>
              <w:jc w:val="center"/>
              <w:rPr>
                <w:rFonts w:eastAsia="Calibri"/>
                <w:bCs/>
                <w:lang w:eastAsia="en-US"/>
              </w:rPr>
            </w:pPr>
            <w:r>
              <w:rPr>
                <w:rFonts w:eastAsia="Calibri"/>
                <w:bCs/>
                <w:lang w:eastAsia="en-US"/>
              </w:rPr>
              <w:t>2,50</w:t>
            </w:r>
          </w:p>
        </w:tc>
        <w:tc>
          <w:tcPr>
            <w:tcW w:w="1985" w:type="dxa"/>
            <w:tcBorders>
              <w:top w:val="single" w:sz="4" w:space="0" w:color="auto"/>
              <w:left w:val="single" w:sz="4" w:space="0" w:color="auto"/>
              <w:bottom w:val="single" w:sz="4" w:space="0" w:color="auto"/>
              <w:right w:val="single" w:sz="4" w:space="0" w:color="auto"/>
            </w:tcBorders>
            <w:vAlign w:val="center"/>
          </w:tcPr>
          <w:p w14:paraId="4D5E6CC0" w14:textId="77777777" w:rsidR="00CA532B" w:rsidRPr="00215C85" w:rsidRDefault="00CA532B" w:rsidP="002D69D5">
            <w:pPr>
              <w:jc w:val="center"/>
              <w:rPr>
                <w:rFonts w:eastAsia="Calibri"/>
                <w:lang w:eastAsia="en-US"/>
              </w:rPr>
            </w:pPr>
            <w:r w:rsidRPr="00215C85">
              <w:rPr>
                <w:rFonts w:eastAsia="Calibri"/>
                <w:lang w:eastAsia="en-US"/>
              </w:rPr>
              <w:t>0,</w:t>
            </w:r>
            <w:r>
              <w:rPr>
                <w:rFonts w:eastAsia="Calibri"/>
                <w:lang w:eastAsia="en-US"/>
              </w:rPr>
              <w:t>33</w:t>
            </w:r>
          </w:p>
        </w:tc>
      </w:tr>
      <w:tr w:rsidR="00CA532B" w:rsidRPr="00215C85" w14:paraId="4D5E6CC7" w14:textId="77777777" w:rsidTr="002D69D5">
        <w:trPr>
          <w:trHeight w:val="276"/>
        </w:trPr>
        <w:tc>
          <w:tcPr>
            <w:tcW w:w="1418" w:type="dxa"/>
            <w:tcBorders>
              <w:top w:val="nil"/>
              <w:left w:val="single" w:sz="8" w:space="0" w:color="auto"/>
              <w:bottom w:val="single" w:sz="4" w:space="0" w:color="auto"/>
              <w:right w:val="single" w:sz="4" w:space="0" w:color="auto"/>
            </w:tcBorders>
            <w:vAlign w:val="center"/>
          </w:tcPr>
          <w:p w14:paraId="4D5E6CC2" w14:textId="77777777" w:rsidR="00CA532B" w:rsidRPr="00313D76" w:rsidRDefault="00CA532B" w:rsidP="002D69D5">
            <w:pPr>
              <w:jc w:val="both"/>
              <w:rPr>
                <w:rFonts w:eastAsia="Calibri"/>
                <w:b/>
                <w:lang w:eastAsia="en-US"/>
              </w:rPr>
            </w:pPr>
            <w:bookmarkStart w:id="24" w:name="_Hlk68163230"/>
            <w:r w:rsidRPr="00313D76">
              <w:rPr>
                <w:rFonts w:eastAsia="Calibri"/>
                <w:b/>
                <w:lang w:eastAsia="en-US"/>
              </w:rPr>
              <w:t>Ukupno</w:t>
            </w:r>
          </w:p>
        </w:tc>
        <w:tc>
          <w:tcPr>
            <w:tcW w:w="1559" w:type="dxa"/>
            <w:tcBorders>
              <w:top w:val="nil"/>
              <w:left w:val="single" w:sz="8" w:space="0" w:color="auto"/>
              <w:bottom w:val="single" w:sz="4" w:space="0" w:color="auto"/>
              <w:right w:val="single" w:sz="4" w:space="0" w:color="auto"/>
            </w:tcBorders>
            <w:vAlign w:val="center"/>
          </w:tcPr>
          <w:p w14:paraId="4D5E6CC3" w14:textId="77777777" w:rsidR="00CA532B" w:rsidRPr="00313D76" w:rsidRDefault="00CA532B" w:rsidP="002D69D5">
            <w:pPr>
              <w:jc w:val="center"/>
              <w:rPr>
                <w:rFonts w:eastAsia="Calibri"/>
                <w:b/>
                <w:lang w:eastAsia="en-US"/>
              </w:rPr>
            </w:pPr>
            <w:r w:rsidRPr="00313D76">
              <w:rPr>
                <w:rFonts w:eastAsia="Calibri"/>
                <w:b/>
                <w:lang w:eastAsia="en-US"/>
              </w:rPr>
              <w:t>4.000.000</w:t>
            </w:r>
          </w:p>
        </w:tc>
        <w:tc>
          <w:tcPr>
            <w:tcW w:w="2410" w:type="dxa"/>
            <w:tcBorders>
              <w:top w:val="single" w:sz="4" w:space="0" w:color="auto"/>
              <w:left w:val="single" w:sz="4" w:space="0" w:color="auto"/>
              <w:bottom w:val="single" w:sz="4" w:space="0" w:color="auto"/>
              <w:right w:val="single" w:sz="4" w:space="0" w:color="auto"/>
            </w:tcBorders>
            <w:vAlign w:val="center"/>
          </w:tcPr>
          <w:p w14:paraId="4D5E6CC4" w14:textId="77777777" w:rsidR="00CA532B" w:rsidRPr="00313D76" w:rsidRDefault="00CA532B" w:rsidP="002D69D5">
            <w:pPr>
              <w:jc w:val="center"/>
              <w:rPr>
                <w:rFonts w:eastAsia="Calibri"/>
                <w:b/>
                <w:lang w:eastAsia="en-US"/>
              </w:rPr>
            </w:pPr>
            <w:r>
              <w:rPr>
                <w:rFonts w:eastAsia="Calibri"/>
                <w:b/>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14:paraId="4D5E6CC5" w14:textId="77777777" w:rsidR="00CA532B" w:rsidRPr="00313D76" w:rsidRDefault="00CA532B" w:rsidP="002D69D5">
            <w:pPr>
              <w:jc w:val="center"/>
              <w:rPr>
                <w:rFonts w:eastAsia="Calibri"/>
                <w:b/>
                <w:lang w:eastAsia="en-US"/>
              </w:rPr>
            </w:pPr>
            <w:bookmarkStart w:id="25" w:name="_Hlk65771942"/>
            <w:r w:rsidRPr="00313D76">
              <w:rPr>
                <w:rFonts w:eastAsia="Calibri"/>
                <w:b/>
                <w:lang w:eastAsia="en-US"/>
              </w:rPr>
              <w:t xml:space="preserve">10.000.000 </w:t>
            </w:r>
            <w:bookmarkEnd w:id="25"/>
            <w:r w:rsidRPr="00313D76">
              <w:rPr>
                <w:rFonts w:eastAsia="Calibri"/>
                <w:b/>
                <w:lang w:eastAsia="en-US"/>
              </w:rPr>
              <w:t>kuna</w:t>
            </w:r>
          </w:p>
        </w:tc>
        <w:tc>
          <w:tcPr>
            <w:tcW w:w="1985" w:type="dxa"/>
            <w:tcBorders>
              <w:top w:val="single" w:sz="4" w:space="0" w:color="auto"/>
              <w:left w:val="single" w:sz="4" w:space="0" w:color="auto"/>
              <w:bottom w:val="single" w:sz="4" w:space="0" w:color="auto"/>
              <w:right w:val="single" w:sz="4" w:space="0" w:color="auto"/>
            </w:tcBorders>
            <w:vAlign w:val="center"/>
          </w:tcPr>
          <w:p w14:paraId="4D5E6CC6" w14:textId="77777777" w:rsidR="00CA532B" w:rsidRPr="00313D76" w:rsidRDefault="00CA532B" w:rsidP="002D69D5">
            <w:pPr>
              <w:jc w:val="center"/>
              <w:rPr>
                <w:rFonts w:eastAsia="Calibri"/>
                <w:b/>
                <w:lang w:eastAsia="en-US"/>
              </w:rPr>
            </w:pPr>
            <w:r w:rsidRPr="00313D76">
              <w:rPr>
                <w:rFonts w:eastAsia="Calibri"/>
                <w:b/>
                <w:lang w:eastAsia="en-US"/>
              </w:rPr>
              <w:t>1.320.000,00</w:t>
            </w:r>
          </w:p>
        </w:tc>
      </w:tr>
      <w:bookmarkEnd w:id="24"/>
      <w:tr w:rsidR="00CA532B" w:rsidRPr="00215C85" w14:paraId="4D5E6CC9" w14:textId="77777777" w:rsidTr="002D69D5">
        <w:trPr>
          <w:trHeight w:val="322"/>
        </w:trPr>
        <w:tc>
          <w:tcPr>
            <w:tcW w:w="9356" w:type="dxa"/>
            <w:gridSpan w:val="5"/>
            <w:tcBorders>
              <w:top w:val="single" w:sz="4" w:space="0" w:color="auto"/>
              <w:left w:val="single" w:sz="4" w:space="0" w:color="auto"/>
              <w:bottom w:val="single" w:sz="4" w:space="0" w:color="auto"/>
              <w:right w:val="single" w:sz="4" w:space="0" w:color="auto"/>
            </w:tcBorders>
            <w:vAlign w:val="center"/>
          </w:tcPr>
          <w:p w14:paraId="4D5E6CC8" w14:textId="77777777" w:rsidR="00CA532B" w:rsidRPr="00215C85" w:rsidRDefault="00CA532B" w:rsidP="002D69D5">
            <w:pPr>
              <w:rPr>
                <w:rFonts w:eastAsia="Calibri"/>
                <w:lang w:eastAsia="en-US"/>
              </w:rPr>
            </w:pPr>
            <w:r w:rsidRPr="00682B2D">
              <w:rPr>
                <w:rFonts w:eastAsia="Calibri"/>
                <w:bCs/>
                <w:i/>
                <w:lang w:eastAsia="en-US"/>
              </w:rPr>
              <w:t>Preračunato korišten tečaj 7,5830 HRK</w:t>
            </w:r>
            <w:r>
              <w:rPr>
                <w:rFonts w:eastAsia="Calibri"/>
                <w:bCs/>
                <w:i/>
                <w:lang w:eastAsia="en-US"/>
              </w:rPr>
              <w:t xml:space="preserve"> : 1 EUR</w:t>
            </w:r>
          </w:p>
        </w:tc>
      </w:tr>
    </w:tbl>
    <w:bookmarkEnd w:id="21"/>
    <w:bookmarkEnd w:id="23"/>
    <w:p w14:paraId="4D5E6CCA" w14:textId="77777777" w:rsidR="00CA532B" w:rsidRPr="00CB4208" w:rsidRDefault="00CA532B" w:rsidP="00CA532B">
      <w:pPr>
        <w:spacing w:before="120" w:after="120"/>
        <w:jc w:val="both"/>
        <w:rPr>
          <w:b/>
          <w:iCs/>
        </w:rPr>
      </w:pPr>
      <w:r w:rsidRPr="00CB4208">
        <w:rPr>
          <w:iCs/>
        </w:rPr>
        <w:lastRenderedPageBreak/>
        <w:t>Fleksibilnost - Ukoliko se prema potpunim i prihvatljivim prijavama, nakon prov</w:t>
      </w:r>
      <w:r>
        <w:rPr>
          <w:iCs/>
        </w:rPr>
        <w:t>edenog Javnog p</w:t>
      </w:r>
      <w:r w:rsidRPr="00CB4208">
        <w:rPr>
          <w:iCs/>
        </w:rPr>
        <w:t xml:space="preserve">oziva za ovu mjeru, utvrdi da je </w:t>
      </w:r>
      <w:r w:rsidRPr="00CB4208">
        <w:rPr>
          <w:iCs/>
          <w:u w:val="single"/>
        </w:rPr>
        <w:t>ukupno</w:t>
      </w:r>
      <w:r w:rsidRPr="00CB4208">
        <w:rPr>
          <w:iCs/>
        </w:rPr>
        <w:t xml:space="preserve"> zatražena kvota vina veća od ukupno raspoložive kvote od </w:t>
      </w:r>
      <w:r w:rsidRPr="00CB4208">
        <w:rPr>
          <w:iCs/>
          <w:u w:val="single"/>
        </w:rPr>
        <w:t>4.</w:t>
      </w:r>
      <w:r>
        <w:rPr>
          <w:iCs/>
          <w:u w:val="single"/>
        </w:rPr>
        <w:t>0</w:t>
      </w:r>
      <w:r w:rsidRPr="00CB4208">
        <w:rPr>
          <w:iCs/>
          <w:u w:val="single"/>
        </w:rPr>
        <w:t>00.000</w:t>
      </w:r>
      <w:r w:rsidRPr="00CB4208">
        <w:rPr>
          <w:iCs/>
        </w:rPr>
        <w:t xml:space="preserve"> litara za krizno skladištenje Agencija može proporcionalno smanjiti odobrenu kvotu vina po pojedinom korisniku</w:t>
      </w:r>
      <w:r w:rsidRPr="00CB4208">
        <w:rPr>
          <w:bCs/>
          <w:iCs/>
        </w:rPr>
        <w:t>.</w:t>
      </w:r>
    </w:p>
    <w:p w14:paraId="4D5E6CCB" w14:textId="77777777" w:rsidR="00CA532B" w:rsidRPr="00215C85" w:rsidRDefault="00CA532B" w:rsidP="00CA532B">
      <w:pPr>
        <w:spacing w:before="120" w:after="120"/>
        <w:jc w:val="both"/>
        <w:rPr>
          <w:rFonts w:eastAsia="Calibri"/>
          <w:lang w:eastAsia="en-US"/>
        </w:rPr>
      </w:pPr>
      <w:r w:rsidRPr="00215C85">
        <w:rPr>
          <w:rFonts w:eastAsia="Calibri"/>
          <w:lang w:eastAsia="en-US"/>
        </w:rPr>
        <w:t xml:space="preserve">Zaključno, </w:t>
      </w:r>
      <w:bookmarkStart w:id="26" w:name="_Hlk66718751"/>
      <w:r w:rsidRPr="00215C85">
        <w:rPr>
          <w:rFonts w:eastAsia="Calibri"/>
          <w:lang w:eastAsia="en-US"/>
        </w:rPr>
        <w:t>Ministarstvo poljoprivrede osiguralo je sredstva za provedbu Nacionalnog programa u Državnom proračunu Republike Hrvatske, a ovim Izmjenama i dopunama financijsk</w:t>
      </w:r>
      <w:r>
        <w:rPr>
          <w:rFonts w:eastAsia="Calibri"/>
          <w:lang w:eastAsia="en-US"/>
        </w:rPr>
        <w:t>a</w:t>
      </w:r>
      <w:r w:rsidRPr="00215C85">
        <w:rPr>
          <w:rFonts w:eastAsia="Calibri"/>
          <w:lang w:eastAsia="en-US"/>
        </w:rPr>
        <w:t xml:space="preserve"> sredstva za provedbu </w:t>
      </w:r>
      <w:r>
        <w:rPr>
          <w:rFonts w:eastAsia="Calibri"/>
          <w:lang w:eastAsia="en-US"/>
        </w:rPr>
        <w:t xml:space="preserve">osiguravaju se </w:t>
      </w:r>
      <w:r w:rsidRPr="00215C85">
        <w:rPr>
          <w:bCs/>
        </w:rPr>
        <w:t xml:space="preserve">preraspodjelom </w:t>
      </w:r>
      <w:r w:rsidRPr="00D11467">
        <w:rPr>
          <w:bCs/>
        </w:rPr>
        <w:t xml:space="preserve">sredstava iz </w:t>
      </w:r>
      <w:r w:rsidRPr="00CB4208">
        <w:rPr>
          <w:bCs/>
        </w:rPr>
        <w:t xml:space="preserve">Nacionalnog programa </w:t>
      </w:r>
      <w:r w:rsidRPr="00D11467">
        <w:rPr>
          <w:bCs/>
        </w:rPr>
        <w:t xml:space="preserve">unutar godišnjih financijskih sredstava za 2021. </w:t>
      </w:r>
      <w:bookmarkEnd w:id="26"/>
    </w:p>
    <w:p w14:paraId="4D5E6CCC" w14:textId="77777777" w:rsidR="00CA532B" w:rsidRDefault="00CA532B" w:rsidP="00CA532B">
      <w:pPr>
        <w:spacing w:before="120" w:after="120"/>
        <w:jc w:val="both"/>
        <w:rPr>
          <w:rFonts w:eastAsia="Calibri"/>
          <w:lang w:eastAsia="en-US"/>
        </w:rPr>
      </w:pPr>
      <w:bookmarkStart w:id="27" w:name="_Hlk66172185"/>
      <w:r w:rsidRPr="00215C85">
        <w:rPr>
          <w:rFonts w:eastAsia="Calibri"/>
          <w:lang w:eastAsia="en-US"/>
        </w:rPr>
        <w:t xml:space="preserve">Ukupna sredstva za 2021. godinu u iznosu od </w:t>
      </w:r>
      <w:r w:rsidRPr="00971F26">
        <w:rPr>
          <w:rFonts w:eastAsia="Calibri"/>
          <w:lang w:eastAsia="en-US"/>
        </w:rPr>
        <w:t>8</w:t>
      </w:r>
      <w:bookmarkStart w:id="28" w:name="_Hlk61611629"/>
      <w:r w:rsidRPr="00971F26">
        <w:rPr>
          <w:rFonts w:eastAsia="Calibri"/>
          <w:lang w:eastAsia="en-US"/>
        </w:rPr>
        <w:t xml:space="preserve">3.190.750,00 </w:t>
      </w:r>
      <w:bookmarkEnd w:id="28"/>
      <w:r w:rsidRPr="00971F26">
        <w:rPr>
          <w:rFonts w:eastAsia="Calibri"/>
          <w:lang w:eastAsia="en-US"/>
        </w:rPr>
        <w:t>kuna</w:t>
      </w:r>
      <w:r w:rsidRPr="00215C85">
        <w:rPr>
          <w:rFonts w:eastAsia="Calibri"/>
          <w:lang w:eastAsia="en-US"/>
        </w:rPr>
        <w:t xml:space="preserve"> planiraju se u Državnom proračunu Republike Hrvatske za 2021. godinu i projekcijama za 2022. i 2023. godinu ("Narodne novine", br. 117/19 i 58/20), u okviru razdjela 060 Ministarstva poljoprivrede, na proračunskoj poziciji A821058 - ZPP - mjere uređenja tržišta poljoprivrednih proizvoda, te u istom iznosu u projekcijama za 2022. i 2023. godinu.</w:t>
      </w:r>
      <w:bookmarkEnd w:id="27"/>
      <w:r w:rsidRPr="00215C85">
        <w:rPr>
          <w:rFonts w:eastAsia="Calibri"/>
          <w:lang w:eastAsia="en-US"/>
        </w:rPr>
        <w:t xml:space="preserve"> </w:t>
      </w:r>
    </w:p>
    <w:p w14:paraId="4D5E6CCD" w14:textId="77777777" w:rsidR="0023131E" w:rsidRDefault="0023131E"/>
    <w:sectPr w:rsidR="0023131E">
      <w:pgSz w:w="11906" w:h="16838" w:code="9"/>
      <w:pgMar w:top="1134" w:right="1418" w:bottom="124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2B"/>
    <w:rsid w:val="000225A2"/>
    <w:rsid w:val="00094191"/>
    <w:rsid w:val="000A7B9F"/>
    <w:rsid w:val="001A0754"/>
    <w:rsid w:val="001B39A7"/>
    <w:rsid w:val="0022544C"/>
    <w:rsid w:val="0023131E"/>
    <w:rsid w:val="004758A5"/>
    <w:rsid w:val="004B1025"/>
    <w:rsid w:val="00560CE0"/>
    <w:rsid w:val="006E30BC"/>
    <w:rsid w:val="00754E0A"/>
    <w:rsid w:val="00782D8C"/>
    <w:rsid w:val="007C68CA"/>
    <w:rsid w:val="009C5D42"/>
    <w:rsid w:val="009E7D81"/>
    <w:rsid w:val="00A3100E"/>
    <w:rsid w:val="00AC3674"/>
    <w:rsid w:val="00AC7B32"/>
    <w:rsid w:val="00C95497"/>
    <w:rsid w:val="00CA532B"/>
    <w:rsid w:val="00CE401E"/>
    <w:rsid w:val="00D8589F"/>
    <w:rsid w:val="00E0091D"/>
    <w:rsid w:val="00E51E67"/>
    <w:rsid w:val="00E967E1"/>
    <w:rsid w:val="00F57675"/>
    <w:rsid w:val="00F73959"/>
  </w:rsids>
  <m:mathPr>
    <m:mathFont m:val="Cambria Math"/>
    <m:brkBin m:val="before"/>
    <m:brkBinSub m:val="--"/>
    <m:smallFrac m:val="0"/>
    <m:dispDef/>
    <m:lMargin m:val="0"/>
    <m:rMargin m:val="0"/>
    <m:defJc m:val="centerGroup"/>
    <m:wrapIndent m:val="1440"/>
    <m:intLim m:val="subSup"/>
    <m:naryLim m:val="undOvr"/>
  </m:mathPr>
  <w:themeFontLang w:val="hr-H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6BDF"/>
  <w15:chartTrackingRefBased/>
  <w15:docId w15:val="{14625507-1063-473D-93D4-6A69FDD0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32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E401E"/>
    <w:pPr>
      <w:contextualSpacing/>
      <w:jc w:val="center"/>
    </w:pPr>
    <w:rPr>
      <w:rFonts w:eastAsiaTheme="majorEastAsia" w:cstheme="majorBidi"/>
      <w:spacing w:val="-10"/>
      <w:kern w:val="28"/>
      <w:sz w:val="28"/>
      <w:szCs w:val="56"/>
      <w:lang w:eastAsia="en-US"/>
    </w:rPr>
  </w:style>
  <w:style w:type="character" w:customStyle="1" w:styleId="TitleChar">
    <w:name w:val="Title Char"/>
    <w:basedOn w:val="DefaultParagraphFont"/>
    <w:link w:val="Title"/>
    <w:uiPriority w:val="10"/>
    <w:rsid w:val="00CE401E"/>
    <w:rPr>
      <w:rFonts w:ascii="Times New Roman" w:eastAsiaTheme="majorEastAsia" w:hAnsi="Times New Roman" w:cstheme="majorBidi"/>
      <w:spacing w:val="-10"/>
      <w:kern w:val="28"/>
      <w:sz w:val="28"/>
      <w:szCs w:val="56"/>
    </w:rPr>
  </w:style>
  <w:style w:type="paragraph" w:customStyle="1" w:styleId="Default">
    <w:name w:val="Default"/>
    <w:rsid w:val="00CA532B"/>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alloonText">
    <w:name w:val="Balloon Text"/>
    <w:basedOn w:val="Normal"/>
    <w:link w:val="BalloonTextChar"/>
    <w:uiPriority w:val="99"/>
    <w:semiHidden/>
    <w:unhideWhenUsed/>
    <w:rsid w:val="000A7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9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449013">
      <w:bodyDiv w:val="1"/>
      <w:marLeft w:val="0"/>
      <w:marRight w:val="0"/>
      <w:marTop w:val="0"/>
      <w:marBottom w:val="0"/>
      <w:divBdr>
        <w:top w:val="none" w:sz="0" w:space="0" w:color="auto"/>
        <w:left w:val="none" w:sz="0" w:space="0" w:color="auto"/>
        <w:bottom w:val="none" w:sz="0" w:space="0" w:color="auto"/>
        <w:right w:val="none" w:sz="0" w:space="0" w:color="auto"/>
      </w:divBdr>
    </w:div>
    <w:div w:id="16753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AZJMDCZ6QSYZ-1849078857-4666</_dlc_DocId>
    <_dlc_DocIdUrl xmlns="a494813a-d0d8-4dad-94cb-0d196f36ba15">
      <Url>https://ekoordinacije.vlada.hr/koordinacija-gospodarstvo/_layouts/15/DocIdRedir.aspx?ID=AZJMDCZ6QSYZ-1849078857-4666</Url>
      <Description>AZJMDCZ6QSYZ-1849078857-4666</Description>
    </_dlc_DocIdUrl>
  </documentManagement>
</p:properties>
</file>

<file path=customXml/itemProps1.xml><?xml version="1.0" encoding="utf-8"?>
<ds:datastoreItem xmlns:ds="http://schemas.openxmlformats.org/officeDocument/2006/customXml" ds:itemID="{CA373072-FF10-46CA-8F82-E49387371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1967C-B03F-4633-8F39-FAE803E7A194}">
  <ds:schemaRefs>
    <ds:schemaRef ds:uri="http://schemas.microsoft.com/sharepoint/events"/>
  </ds:schemaRefs>
</ds:datastoreItem>
</file>

<file path=customXml/itemProps3.xml><?xml version="1.0" encoding="utf-8"?>
<ds:datastoreItem xmlns:ds="http://schemas.openxmlformats.org/officeDocument/2006/customXml" ds:itemID="{8E998DEA-0D7B-415B-AC8E-FC5A15E368AE}">
  <ds:schemaRefs>
    <ds:schemaRef ds:uri="http://schemas.microsoft.com/sharepoint/v3/contenttype/forms"/>
  </ds:schemaRefs>
</ds:datastoreItem>
</file>

<file path=customXml/itemProps4.xml><?xml version="1.0" encoding="utf-8"?>
<ds:datastoreItem xmlns:ds="http://schemas.openxmlformats.org/officeDocument/2006/customXml" ds:itemID="{27EDA63D-B3C5-43F7-B35C-1F978AC58D3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2215</Words>
  <Characters>12630</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Krunoslava Marković</dc:creator>
  <cp:keywords/>
  <dc:description/>
  <cp:lastModifiedBy>Sonja Tučkar</cp:lastModifiedBy>
  <cp:revision>14</cp:revision>
  <dcterms:created xsi:type="dcterms:W3CDTF">2021-04-14T09:15:00Z</dcterms:created>
  <dcterms:modified xsi:type="dcterms:W3CDTF">2021-04-23T06:51:00Z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ad1cce67-5f0d-4e0d-ba9a-796333f1b834</vt:lpwstr>
  </property>
</Properties>
</file>