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23" w:rsidRPr="00CC063D" w:rsidRDefault="00CA3F23" w:rsidP="00CA3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63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6B1470" wp14:editId="31FBD4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63D">
        <w:rPr>
          <w:rFonts w:ascii="Times New Roman" w:hAnsi="Times New Roman" w:cs="Times New Roman"/>
          <w:sz w:val="24"/>
          <w:szCs w:val="24"/>
        </w:rPr>
        <w:fldChar w:fldCharType="begin"/>
      </w:r>
      <w:r w:rsidRPr="00CC063D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CC06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A3F23" w:rsidRPr="00CC063D" w:rsidRDefault="00CA3F23" w:rsidP="00CA3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63D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63D">
        <w:rPr>
          <w:rFonts w:ascii="Times New Roman" w:hAnsi="Times New Roman" w:cs="Times New Roman"/>
          <w:sz w:val="24"/>
          <w:szCs w:val="24"/>
        </w:rPr>
        <w:t xml:space="preserve">Zagreb, </w:t>
      </w:r>
      <w:r w:rsidR="00EB75C0">
        <w:rPr>
          <w:rFonts w:ascii="Times New Roman" w:hAnsi="Times New Roman" w:cs="Times New Roman"/>
          <w:sz w:val="24"/>
          <w:szCs w:val="24"/>
        </w:rPr>
        <w:t>3.</w:t>
      </w:r>
      <w:r w:rsidR="004E1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lipnj</w:t>
      </w:r>
      <w:r w:rsidR="00EB75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3D">
        <w:rPr>
          <w:rFonts w:ascii="Times New Roman" w:hAnsi="Times New Roman" w:cs="Times New Roman"/>
          <w:sz w:val="24"/>
          <w:szCs w:val="24"/>
        </w:rPr>
        <w:t>202</w:t>
      </w:r>
      <w:r w:rsidR="00EB75C0">
        <w:rPr>
          <w:rFonts w:ascii="Times New Roman" w:hAnsi="Times New Roman" w:cs="Times New Roman"/>
          <w:sz w:val="24"/>
          <w:szCs w:val="24"/>
        </w:rPr>
        <w:t>2</w:t>
      </w:r>
      <w:r w:rsidRPr="00CC063D">
        <w:rPr>
          <w:rFonts w:ascii="Times New Roman" w:hAnsi="Times New Roman" w:cs="Times New Roman"/>
          <w:sz w:val="24"/>
          <w:szCs w:val="24"/>
        </w:rPr>
        <w:t>.</w:t>
      </w: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23" w:rsidRPr="008F5451" w:rsidRDefault="00CA3F23" w:rsidP="00CA3F23"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CC063D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A3F23" w:rsidRPr="00CC063D" w:rsidTr="00B154CE">
        <w:tc>
          <w:tcPr>
            <w:tcW w:w="1951" w:type="dxa"/>
          </w:tcPr>
          <w:p w:rsidR="00CA3F23" w:rsidRPr="00CC063D" w:rsidRDefault="00CA3F23" w:rsidP="00B154CE">
            <w:pPr>
              <w:jc w:val="right"/>
              <w:rPr>
                <w:sz w:val="24"/>
                <w:szCs w:val="24"/>
              </w:rPr>
            </w:pPr>
            <w:r w:rsidRPr="00CC063D">
              <w:rPr>
                <w:sz w:val="24"/>
                <w:szCs w:val="24"/>
              </w:rPr>
              <w:t xml:space="preserve"> </w:t>
            </w:r>
            <w:r w:rsidRPr="00CC063D">
              <w:rPr>
                <w:b/>
                <w:smallCaps/>
                <w:sz w:val="24"/>
                <w:szCs w:val="24"/>
              </w:rPr>
              <w:t>Predlagatelj</w:t>
            </w:r>
            <w:r w:rsidRPr="00CC06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A3F23" w:rsidRPr="00CC063D" w:rsidRDefault="00CA3F23" w:rsidP="00B154CE">
            <w:pPr>
              <w:rPr>
                <w:sz w:val="24"/>
                <w:szCs w:val="24"/>
              </w:rPr>
            </w:pPr>
            <w:r w:rsidRPr="00CC063D">
              <w:rPr>
                <w:sz w:val="24"/>
                <w:szCs w:val="24"/>
              </w:rPr>
              <w:t>Ministarstvo financija</w:t>
            </w:r>
          </w:p>
        </w:tc>
      </w:tr>
    </w:tbl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A3F23" w:rsidRPr="00CC063D" w:rsidTr="00B154CE">
        <w:tc>
          <w:tcPr>
            <w:tcW w:w="1951" w:type="dxa"/>
          </w:tcPr>
          <w:p w:rsidR="00CA3F23" w:rsidRPr="00CC063D" w:rsidRDefault="00CA3F23" w:rsidP="00B154CE">
            <w:pPr>
              <w:jc w:val="right"/>
              <w:rPr>
                <w:sz w:val="24"/>
                <w:szCs w:val="24"/>
              </w:rPr>
            </w:pPr>
            <w:r w:rsidRPr="00CC063D">
              <w:rPr>
                <w:b/>
                <w:smallCaps/>
                <w:sz w:val="24"/>
                <w:szCs w:val="24"/>
              </w:rPr>
              <w:t>Predmet</w:t>
            </w:r>
            <w:r w:rsidRPr="00CC06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A3F23" w:rsidRPr="00CC063D" w:rsidRDefault="00CA3F23" w:rsidP="00CA3F23">
            <w:pPr>
              <w:jc w:val="both"/>
              <w:rPr>
                <w:sz w:val="24"/>
                <w:szCs w:val="24"/>
              </w:rPr>
            </w:pPr>
            <w:r w:rsidRPr="00CC063D">
              <w:rPr>
                <w:sz w:val="24"/>
                <w:szCs w:val="24"/>
              </w:rPr>
              <w:t xml:space="preserve">Nacrt prijedloga zakona o </w:t>
            </w:r>
            <w:r>
              <w:rPr>
                <w:sz w:val="24"/>
                <w:szCs w:val="24"/>
              </w:rPr>
              <w:t>izmjenama i dopunama Zakona o otvorenim investicijskim fondovima s javnom ponudom</w:t>
            </w:r>
            <w:r w:rsidR="00CA674C">
              <w:rPr>
                <w:sz w:val="24"/>
                <w:szCs w:val="24"/>
              </w:rPr>
              <w:t>, s Nacrtom konačnog prijedloga zakona</w:t>
            </w:r>
            <w:r w:rsidRPr="00CC063D">
              <w:rPr>
                <w:sz w:val="24"/>
                <w:szCs w:val="24"/>
              </w:rPr>
              <w:t xml:space="preserve"> </w:t>
            </w:r>
          </w:p>
        </w:tc>
      </w:tr>
    </w:tbl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23" w:rsidRPr="00CC063D" w:rsidRDefault="00CA3F23" w:rsidP="00CA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23" w:rsidRDefault="00CA3F23" w:rsidP="00CA3F23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</w:t>
      </w:r>
      <w:r w:rsidRPr="00CC063D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 xml:space="preserve"> | 10000 Zagreb | tel. 01 4569 222 | vlada.gov.hr</w:t>
      </w:r>
    </w:p>
    <w:p w:rsidR="00CA3F23" w:rsidRPr="00CC063D" w:rsidRDefault="00CA3F23" w:rsidP="00CA3F23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E6268" w:rsidRPr="009E6268" w:rsidRDefault="009E6268" w:rsidP="00193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REPUBLIKA HRVATSKA</w:t>
      </w:r>
    </w:p>
    <w:p w:rsidR="009E6268" w:rsidRDefault="009E6268" w:rsidP="00193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MINISTARSTVO FINANCIJA</w:t>
      </w:r>
    </w:p>
    <w:p w:rsidR="009E6268" w:rsidRPr="009E6268" w:rsidRDefault="009E6268" w:rsidP="00193D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Pr="009E6268" w:rsidRDefault="009E6268" w:rsidP="00193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Default="009E6268" w:rsidP="00193D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NACRT</w:t>
      </w:r>
    </w:p>
    <w:p w:rsidR="009E6268" w:rsidRDefault="009E6268" w:rsidP="00CA141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Default="009E6268" w:rsidP="00CA141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Default="009E6268" w:rsidP="00CA14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Default="009E6268" w:rsidP="00CA141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268" w:rsidRPr="00066BFD" w:rsidRDefault="009E6268" w:rsidP="00CA1416">
      <w:pP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Pr="00066BFD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Pr="009E6268" w:rsidRDefault="009E6268" w:rsidP="00CA14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PRIJEDLOG ZAKONA O IZMJENAMA I DOPUNAMA ZAKONA 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OTVORENIM INVESTICIJSKIM FONDOVIMA S JAVNOM PONUDOM</w:t>
      </w:r>
      <w:r w:rsidR="00993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 KONAČNIM PRIJEDLOGOM ZAKONA</w:t>
      </w:r>
    </w:p>
    <w:p w:rsidR="009E6268" w:rsidRPr="00066BFD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Pr="00066BFD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Pr="00066BFD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Pr="00066BFD" w:rsidRDefault="009E6268" w:rsidP="00CA1416">
      <w:pPr>
        <w:spacing w:line="240" w:lineRule="auto"/>
        <w:jc w:val="center"/>
        <w:rPr>
          <w:b/>
          <w:color w:val="000000" w:themeColor="text1"/>
        </w:rPr>
      </w:pPr>
    </w:p>
    <w:p w:rsidR="009E6268" w:rsidRDefault="009E6268" w:rsidP="00CA1416">
      <w:pP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9E6268" w:rsidRDefault="009E6268" w:rsidP="00CA1416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9E6268" w:rsidRDefault="009E6268" w:rsidP="00193DB2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C65E3F" w:rsidRDefault="00C65E3F" w:rsidP="000D601C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193DB2" w:rsidRDefault="00193DB2" w:rsidP="00126667">
      <w:pPr>
        <w:pBdr>
          <w:bottom w:val="single" w:sz="12" w:space="1" w:color="auto"/>
        </w:pBdr>
        <w:spacing w:line="240" w:lineRule="auto"/>
        <w:jc w:val="center"/>
        <w:rPr>
          <w:b/>
          <w:color w:val="000000" w:themeColor="text1"/>
        </w:rPr>
      </w:pPr>
    </w:p>
    <w:p w:rsidR="00193DB2" w:rsidRDefault="00193DB2" w:rsidP="005F6B98">
      <w:pPr>
        <w:pBdr>
          <w:bottom w:val="single" w:sz="12" w:space="1" w:color="auto"/>
        </w:pBdr>
        <w:spacing w:line="240" w:lineRule="auto"/>
        <w:jc w:val="center"/>
        <w:rPr>
          <w:b/>
          <w:color w:val="000000" w:themeColor="text1"/>
        </w:rPr>
      </w:pPr>
    </w:p>
    <w:p w:rsidR="00DB0C3E" w:rsidRDefault="009E6268" w:rsidP="00E65C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Zagreb, </w:t>
      </w:r>
      <w:r w:rsidR="00EB7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lipanj</w:t>
      </w:r>
      <w:r w:rsidR="00EB75C0"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1682"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31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E6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27BD" w:rsidRPr="00DB0C3E" w:rsidRDefault="003327BD" w:rsidP="00E65C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IZMJENAMA I DOPUNAMA ZAKONA O OTVORENIM INVESTICIJSKIM FONDOVIMA S JAVNOM PONUDOM</w:t>
      </w:r>
    </w:p>
    <w:p w:rsidR="003327BD" w:rsidRPr="0049076D" w:rsidRDefault="003327BD" w:rsidP="00E6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BD" w:rsidRPr="0049076D" w:rsidRDefault="003327BD" w:rsidP="00E6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7BD" w:rsidRPr="0049076D" w:rsidRDefault="003327BD" w:rsidP="00B36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9076D">
        <w:rPr>
          <w:rFonts w:ascii="Times New Roman" w:hAnsi="Times New Roman" w:cs="Times New Roman"/>
          <w:b/>
          <w:sz w:val="24"/>
          <w:szCs w:val="24"/>
        </w:rPr>
        <w:tab/>
        <w:t>USTAVNA OSNOVA ZA DONOŠENJE ZAKONA</w:t>
      </w:r>
    </w:p>
    <w:p w:rsidR="003327BD" w:rsidRPr="0049076D" w:rsidRDefault="003327BD" w:rsidP="00B36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BD" w:rsidRDefault="003327BD" w:rsidP="001F3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Ustavna osnova za donošenje Zakona o izmjenama i dopunama Zakona o otvorenim investicijskim fondovima s javnom ponudom sadržana je u </w:t>
      </w:r>
      <w:r w:rsidR="00646642">
        <w:rPr>
          <w:rFonts w:ascii="Times New Roman" w:hAnsi="Times New Roman" w:cs="Times New Roman"/>
          <w:sz w:val="24"/>
          <w:szCs w:val="24"/>
        </w:rPr>
        <w:t xml:space="preserve">odredbi </w:t>
      </w:r>
      <w:r w:rsidRPr="0049076D">
        <w:rPr>
          <w:rFonts w:ascii="Times New Roman" w:hAnsi="Times New Roman" w:cs="Times New Roman"/>
          <w:sz w:val="24"/>
          <w:szCs w:val="24"/>
        </w:rPr>
        <w:t>člank</w:t>
      </w:r>
      <w:r w:rsidR="00646642">
        <w:rPr>
          <w:rFonts w:ascii="Times New Roman" w:hAnsi="Times New Roman" w:cs="Times New Roman"/>
          <w:sz w:val="24"/>
          <w:szCs w:val="24"/>
        </w:rPr>
        <w:t>a</w:t>
      </w:r>
      <w:r w:rsidRPr="0049076D">
        <w:rPr>
          <w:rFonts w:ascii="Times New Roman" w:hAnsi="Times New Roman" w:cs="Times New Roman"/>
          <w:sz w:val="24"/>
          <w:szCs w:val="24"/>
        </w:rPr>
        <w:t xml:space="preserve"> 2. stavk</w:t>
      </w:r>
      <w:r w:rsidR="00646642">
        <w:rPr>
          <w:rFonts w:ascii="Times New Roman" w:hAnsi="Times New Roman" w:cs="Times New Roman"/>
          <w:sz w:val="24"/>
          <w:szCs w:val="24"/>
        </w:rPr>
        <w:t>a</w:t>
      </w:r>
      <w:r w:rsidRPr="0049076D">
        <w:rPr>
          <w:rFonts w:ascii="Times New Roman" w:hAnsi="Times New Roman" w:cs="Times New Roman"/>
          <w:sz w:val="24"/>
          <w:szCs w:val="24"/>
        </w:rPr>
        <w:t xml:space="preserve"> 4. podstavk</w:t>
      </w:r>
      <w:r w:rsidR="00646642">
        <w:rPr>
          <w:rFonts w:ascii="Times New Roman" w:hAnsi="Times New Roman" w:cs="Times New Roman"/>
          <w:sz w:val="24"/>
          <w:szCs w:val="24"/>
        </w:rPr>
        <w:t>a</w:t>
      </w:r>
      <w:r w:rsidRPr="0049076D">
        <w:rPr>
          <w:rFonts w:ascii="Times New Roman" w:hAnsi="Times New Roman" w:cs="Times New Roman"/>
          <w:sz w:val="24"/>
          <w:szCs w:val="24"/>
        </w:rPr>
        <w:t xml:space="preserve"> 1. Ustava Republike Hrvatske (</w:t>
      </w:r>
      <w:r w:rsidR="00A1633C">
        <w:rPr>
          <w:rFonts w:ascii="Times New Roman" w:hAnsi="Times New Roman" w:cs="Times New Roman"/>
          <w:sz w:val="24"/>
          <w:szCs w:val="24"/>
        </w:rPr>
        <w:t>„</w:t>
      </w:r>
      <w:r w:rsidRPr="0049076D">
        <w:rPr>
          <w:rFonts w:ascii="Times New Roman" w:hAnsi="Times New Roman" w:cs="Times New Roman"/>
          <w:sz w:val="24"/>
          <w:szCs w:val="24"/>
        </w:rPr>
        <w:t>Narodne novine</w:t>
      </w:r>
      <w:r w:rsidR="00A1633C">
        <w:rPr>
          <w:rFonts w:ascii="Times New Roman" w:hAnsi="Times New Roman" w:cs="Times New Roman"/>
          <w:sz w:val="24"/>
          <w:szCs w:val="24"/>
        </w:rPr>
        <w:t>“</w:t>
      </w:r>
      <w:r w:rsidRPr="0049076D">
        <w:rPr>
          <w:rFonts w:ascii="Times New Roman" w:hAnsi="Times New Roman" w:cs="Times New Roman"/>
          <w:sz w:val="24"/>
          <w:szCs w:val="24"/>
        </w:rPr>
        <w:t>, br. 85/10</w:t>
      </w:r>
      <w:r w:rsidR="00A1633C">
        <w:rPr>
          <w:rFonts w:ascii="Times New Roman" w:hAnsi="Times New Roman" w:cs="Times New Roman"/>
          <w:sz w:val="24"/>
          <w:szCs w:val="24"/>
        </w:rPr>
        <w:t>.</w:t>
      </w:r>
      <w:r w:rsidRPr="0049076D">
        <w:rPr>
          <w:rFonts w:ascii="Times New Roman" w:hAnsi="Times New Roman" w:cs="Times New Roman"/>
          <w:sz w:val="24"/>
          <w:szCs w:val="24"/>
        </w:rPr>
        <w:t xml:space="preserve"> - pročišćeni tekst i 5/14</w:t>
      </w:r>
      <w:r w:rsidR="00A1633C">
        <w:rPr>
          <w:rFonts w:ascii="Times New Roman" w:hAnsi="Times New Roman" w:cs="Times New Roman"/>
          <w:sz w:val="24"/>
          <w:szCs w:val="24"/>
        </w:rPr>
        <w:t>.</w:t>
      </w:r>
      <w:r w:rsidRPr="0049076D">
        <w:rPr>
          <w:rFonts w:ascii="Times New Roman" w:hAnsi="Times New Roman" w:cs="Times New Roman"/>
          <w:sz w:val="24"/>
          <w:szCs w:val="24"/>
        </w:rPr>
        <w:t xml:space="preserve"> - Odluka Ustavnog suda Republike Hrvatske).</w:t>
      </w:r>
      <w:r w:rsidRPr="00490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7BD" w:rsidRDefault="003327BD" w:rsidP="001F3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BD" w:rsidRPr="0049076D" w:rsidRDefault="0033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9076D">
        <w:rPr>
          <w:rFonts w:ascii="Times New Roman" w:hAnsi="Times New Roman" w:cs="Times New Roman"/>
          <w:b/>
          <w:sz w:val="24"/>
          <w:szCs w:val="24"/>
        </w:rPr>
        <w:tab/>
        <w:t xml:space="preserve">OCJENA STANJA I OSNOVNA PITANJA KOJA SE </w:t>
      </w:r>
      <w:r>
        <w:rPr>
          <w:rFonts w:ascii="Times New Roman" w:hAnsi="Times New Roman" w:cs="Times New Roman"/>
          <w:b/>
          <w:sz w:val="24"/>
          <w:szCs w:val="24"/>
        </w:rPr>
        <w:t>TREBAJU UREDITI</w:t>
      </w:r>
      <w:r w:rsidRPr="0049076D">
        <w:rPr>
          <w:rFonts w:ascii="Times New Roman" w:hAnsi="Times New Roman" w:cs="Times New Roman"/>
          <w:b/>
          <w:sz w:val="24"/>
          <w:szCs w:val="24"/>
        </w:rPr>
        <w:t xml:space="preserve"> ZAKONOM TE POSLJEDICE KOJE ĆE DONOŠENJEM ZAKONA PROISTEĆI</w:t>
      </w:r>
    </w:p>
    <w:p w:rsidR="003327BD" w:rsidRPr="0049076D" w:rsidRDefault="0033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BD" w:rsidRDefault="003327BD">
      <w:pPr>
        <w:pStyle w:val="NormalWeb"/>
        <w:spacing w:after="0" w:line="240" w:lineRule="auto"/>
        <w:ind w:firstLine="708"/>
        <w:jc w:val="both"/>
      </w:pPr>
      <w:r w:rsidRPr="0049076D">
        <w:t>Zakonom o otvorenim investicijskim fondovima s javnom ponudom (</w:t>
      </w:r>
      <w:r w:rsidR="00A1633C">
        <w:t>„</w:t>
      </w:r>
      <w:r w:rsidRPr="0049076D">
        <w:t>Narodne novine</w:t>
      </w:r>
      <w:r w:rsidR="00A1633C">
        <w:t>“</w:t>
      </w:r>
      <w:r w:rsidRPr="0049076D">
        <w:t>, br</w:t>
      </w:r>
      <w:r>
        <w:t>.</w:t>
      </w:r>
      <w:r w:rsidRPr="0049076D">
        <w:t xml:space="preserve"> </w:t>
      </w:r>
      <w:r>
        <w:t>44/16</w:t>
      </w:r>
      <w:r w:rsidR="00A1633C">
        <w:t>.</w:t>
      </w:r>
      <w:r w:rsidR="00C02B71">
        <w:t>,</w:t>
      </w:r>
      <w:r>
        <w:t xml:space="preserve"> 126/19</w:t>
      </w:r>
      <w:r w:rsidR="00A1633C">
        <w:t>.</w:t>
      </w:r>
      <w:r w:rsidR="00C02B71">
        <w:t xml:space="preserve"> i 110/21.</w:t>
      </w:r>
      <w:r>
        <w:t>) (u daljnjem tekstu: važeći Zakon)</w:t>
      </w:r>
      <w:r w:rsidRPr="00315AB3">
        <w:t xml:space="preserve"> </w:t>
      </w:r>
      <w:r w:rsidRPr="00CC063D">
        <w:t xml:space="preserve">zajedno s pripadajućim podzakonskim aktima, u potpunosti je usklađen s trenutno važećom pravnom stečevinom Europske unije u području </w:t>
      </w:r>
      <w:r>
        <w:t>otvorenih investicijskih fondova s javnom ponudom</w:t>
      </w:r>
      <w:r w:rsidRPr="00CC063D">
        <w:t xml:space="preserve">. </w:t>
      </w:r>
    </w:p>
    <w:p w:rsidR="003327BD" w:rsidRPr="00CC063D" w:rsidRDefault="003327BD">
      <w:pPr>
        <w:pStyle w:val="NormalWeb"/>
        <w:spacing w:after="0" w:line="240" w:lineRule="auto"/>
        <w:jc w:val="both"/>
      </w:pPr>
    </w:p>
    <w:p w:rsidR="003327BD" w:rsidRDefault="003327BD">
      <w:pPr>
        <w:pStyle w:val="NormalWeb"/>
        <w:spacing w:after="0" w:line="240" w:lineRule="auto"/>
        <w:ind w:firstLine="708"/>
        <w:jc w:val="both"/>
      </w:pPr>
      <w:r w:rsidRPr="00CC063D">
        <w:t xml:space="preserve">Novine i dorade koje donosi ovaj </w:t>
      </w:r>
      <w:r w:rsidR="00896B87">
        <w:t>P</w:t>
      </w:r>
      <w:r w:rsidRPr="00CC063D">
        <w:t xml:space="preserve">rijedlog zakona o izmjenama i dopunama Zakona o </w:t>
      </w:r>
      <w:r>
        <w:t>otvorenim investicijskim fondovima s javnom ponudom</w:t>
      </w:r>
      <w:r w:rsidRPr="00CC063D">
        <w:t xml:space="preserve"> (u daljnjem tekstu: Prijedlog zakona) u odnosu na važeći Zakon, prvenstveno </w:t>
      </w:r>
      <w:r w:rsidR="00C02B71">
        <w:t>se odnose</w:t>
      </w:r>
      <w:r w:rsidRPr="00CC063D">
        <w:t xml:space="preserve"> </w:t>
      </w:r>
      <w:r w:rsidR="00896B87">
        <w:t>na</w:t>
      </w:r>
      <w:r w:rsidR="00896B87" w:rsidRPr="00CC063D">
        <w:t xml:space="preserve"> </w:t>
      </w:r>
      <w:r w:rsidRPr="00CC063D">
        <w:t xml:space="preserve">daljnje usklađivanje hrvatskog regulatornog okvira za </w:t>
      </w:r>
      <w:r w:rsidR="0063445E" w:rsidRPr="00CA1416">
        <w:t>otvorene investicijske fondove s javnom ponudom</w:t>
      </w:r>
      <w:r w:rsidRPr="00CA1416">
        <w:t xml:space="preserve"> s pravnom</w:t>
      </w:r>
      <w:r w:rsidRPr="00CC063D">
        <w:t xml:space="preserve"> stečevinom Europske unije, u dijelu prenošenja </w:t>
      </w:r>
      <w:r>
        <w:t xml:space="preserve">Direktive </w:t>
      </w:r>
      <w:r w:rsidR="00F86293" w:rsidRPr="00F86293">
        <w:t>(EU) 2021/2261 Europskog parlamenta i Vijeća od 15. prosinca 2021. o izmjeni Direktive 2009/65/EZ u pogledu uporabe dokumenata s ključnim informacijama od strane društava za upravljanje subjektima za zajednička ulaganja u prenosive vrijednosne papire (UCITS) (Tekst značajan za EGP) (SL L 455, 20.</w:t>
      </w:r>
      <w:r w:rsidR="00896B87">
        <w:t xml:space="preserve"> </w:t>
      </w:r>
      <w:r w:rsidR="00F86293" w:rsidRPr="00F86293">
        <w:t>12.</w:t>
      </w:r>
      <w:r w:rsidR="00896B87">
        <w:t xml:space="preserve"> </w:t>
      </w:r>
      <w:r w:rsidR="00F86293" w:rsidRPr="00F86293">
        <w:t>2021.) (u daljnjem tekstu: Direktiva</w:t>
      </w:r>
      <w:r w:rsidR="00C02B71">
        <w:t xml:space="preserve"> (EU)</w:t>
      </w:r>
      <w:r w:rsidR="00F86293" w:rsidRPr="00F86293">
        <w:t xml:space="preserve"> 2</w:t>
      </w:r>
      <w:r w:rsidR="00A23D94">
        <w:t>021</w:t>
      </w:r>
      <w:r w:rsidR="00F86293" w:rsidRPr="00F86293">
        <w:t>/</w:t>
      </w:r>
      <w:r w:rsidR="00A23D94">
        <w:t>2261</w:t>
      </w:r>
      <w:r w:rsidR="00C02B71">
        <w:t>)</w:t>
      </w:r>
      <w:r w:rsidR="00F86293" w:rsidRPr="00F86293">
        <w:t>.</w:t>
      </w:r>
      <w:r w:rsidR="00F86293" w:rsidRPr="00F86293" w:rsidDel="003F1222">
        <w:t xml:space="preserve"> </w:t>
      </w:r>
    </w:p>
    <w:p w:rsidR="003327BD" w:rsidRDefault="003327BD">
      <w:pPr>
        <w:pStyle w:val="NormalWeb"/>
        <w:spacing w:after="0" w:line="240" w:lineRule="auto"/>
        <w:jc w:val="both"/>
      </w:pPr>
    </w:p>
    <w:p w:rsidR="00A23D94" w:rsidRDefault="00C02B71">
      <w:pPr>
        <w:pStyle w:val="NormalWeb"/>
        <w:spacing w:after="0" w:line="240" w:lineRule="auto"/>
        <w:ind w:firstLine="708"/>
        <w:jc w:val="both"/>
      </w:pPr>
      <w:r>
        <w:t>Direktiva 2009/65/EZ Europskog parlamenta i Vijeća od 13. srpnja 2009. o usklađivanju zakona i drugih propisa u odnosu na subjekte za zajednička ulaganja u prenosive vrijednosne papire (UCITS) (preinačena) (Tekst značajan za EGP) (SL L 302, 17.</w:t>
      </w:r>
      <w:r w:rsidR="00B77205">
        <w:t xml:space="preserve"> </w:t>
      </w:r>
      <w:r>
        <w:t>11.</w:t>
      </w:r>
      <w:r w:rsidR="00B77205">
        <w:t xml:space="preserve"> </w:t>
      </w:r>
      <w:r>
        <w:t>2009.) (u daljnjem tekstu: Direktiva 2009/65</w:t>
      </w:r>
      <w:r w:rsidR="00F332B3">
        <w:t>)</w:t>
      </w:r>
      <w:r w:rsidR="00A23D94">
        <w:t>, koja je prenesena u važeći Zakon</w:t>
      </w:r>
      <w:r>
        <w:t>,</w:t>
      </w:r>
      <w:r w:rsidR="00A23D94">
        <w:t xml:space="preserve"> od društava za upravljanje zahtijeva da sastave kratak dokument koji sadržava ključne informacije o bitnim obilježjima UCITS fondova („ključne informacije za ulagatelje”) kako bi ulagatelji mogli shvatiti vrstu i rizike UCITS fondova koji im se nud</w:t>
      </w:r>
      <w:r w:rsidR="00B77205">
        <w:t>e</w:t>
      </w:r>
      <w:r w:rsidR="00A23D94">
        <w:t xml:space="preserve"> te na temelju toga donijeti utemeljenu odluku o ulaganju.</w:t>
      </w:r>
    </w:p>
    <w:p w:rsidR="00A23D94" w:rsidRDefault="00A23D94">
      <w:pPr>
        <w:pStyle w:val="NormalWeb"/>
        <w:spacing w:after="0" w:line="240" w:lineRule="auto"/>
        <w:jc w:val="both"/>
      </w:pPr>
    </w:p>
    <w:p w:rsidR="00A23D94" w:rsidRDefault="00C02B71" w:rsidP="009F758D">
      <w:pPr>
        <w:pStyle w:val="NormalWeb"/>
        <w:spacing w:after="0" w:line="240" w:lineRule="auto"/>
        <w:ind w:firstLine="708"/>
        <w:jc w:val="both"/>
      </w:pPr>
      <w:r>
        <w:t>Uredbom (EU) br. 1286/2014 Europskog parlamenta i Vijeća od 26. studenoga 2014. o dokumentima s ključnim informacijama za upakirane investicijske proizvode za male ulagatelje i investicijske osigurateljne proizvode (PRIIP-ovi) (Tekst značajan za EGP) (SL L 352, 9.</w:t>
      </w:r>
      <w:r w:rsidR="004C3BE9">
        <w:t xml:space="preserve"> </w:t>
      </w:r>
      <w:r>
        <w:t>12.</w:t>
      </w:r>
      <w:r w:rsidR="004C3BE9">
        <w:t xml:space="preserve"> </w:t>
      </w:r>
      <w:r>
        <w:t>2014.)</w:t>
      </w:r>
      <w:r w:rsidDel="00C02B71">
        <w:t xml:space="preserve"> </w:t>
      </w:r>
      <w:r w:rsidR="00A23D94">
        <w:t>(u daljnjem tekstu: Uredba PRIIPs) od izdavatelja upakiranih investicijskih proizvoda za male ulagatelje i investicijskih osigurateljnih proizvoda (PRIIP-ovi) zahtijeva se da prije nego što PRIIP učine dostupnim malim ulagateljima sastave i objave dokument s ključnim informacijama („dokument s ključnim informacijama”) za taj proizvod kako bi mali ulagatelji mogli razumjeti i usporediti ključna obilježja i rizike PRIIP-</w:t>
      </w:r>
      <w:r w:rsidR="004C3BE9">
        <w:t>ov</w:t>
      </w:r>
      <w:r w:rsidR="00A23D94">
        <w:t>a.</w:t>
      </w:r>
    </w:p>
    <w:p w:rsidR="00A23D94" w:rsidRDefault="00A23D94" w:rsidP="00193DB2">
      <w:pPr>
        <w:pStyle w:val="NormalWeb"/>
        <w:spacing w:after="0" w:line="240" w:lineRule="auto"/>
        <w:jc w:val="both"/>
      </w:pPr>
    </w:p>
    <w:p w:rsidR="00A23D94" w:rsidRDefault="00C02B71" w:rsidP="00126667">
      <w:pPr>
        <w:pStyle w:val="NormalWeb"/>
        <w:spacing w:after="0" w:line="240" w:lineRule="auto"/>
        <w:ind w:firstLine="708"/>
        <w:jc w:val="both"/>
      </w:pPr>
      <w:r>
        <w:t xml:space="preserve">Naime, </w:t>
      </w:r>
      <w:r w:rsidR="00745AC3">
        <w:t xml:space="preserve">otvoreni investicijski fondovi s javnom ponudom (u daljnjem tekstu: </w:t>
      </w:r>
      <w:r w:rsidR="00D27900">
        <w:t>UCITS fondovi</w:t>
      </w:r>
      <w:r w:rsidR="00745AC3">
        <w:t>)</w:t>
      </w:r>
      <w:r w:rsidR="00A23D94">
        <w:t xml:space="preserve"> se također smatraju PRIIP-ovima</w:t>
      </w:r>
      <w:r w:rsidR="00481597">
        <w:t>,</w:t>
      </w:r>
      <w:r w:rsidR="00A23D94">
        <w:t xml:space="preserve"> za koje se u skladu s Uredbom PRIIPs zahtijeva dokument s ključnim informacijama. Međutim, člankom 32. stavkom 1. </w:t>
      </w:r>
      <w:r w:rsidR="00481597">
        <w:t>U</w:t>
      </w:r>
      <w:r w:rsidR="00A23D94">
        <w:t xml:space="preserve">redbe </w:t>
      </w:r>
      <w:r w:rsidR="00481597">
        <w:t xml:space="preserve">PRIIPs propisano je da se </w:t>
      </w:r>
      <w:r w:rsidR="00A23D94">
        <w:t xml:space="preserve">društva za upravljanje i distributeri udjela u UCITS fondovima, izuzimaju </w:t>
      </w:r>
      <w:r w:rsidR="00A23D94">
        <w:lastRenderedPageBreak/>
        <w:t xml:space="preserve">od obveza utvrđenih u toj </w:t>
      </w:r>
      <w:r w:rsidR="00481597">
        <w:t>U</w:t>
      </w:r>
      <w:r w:rsidR="00A23D94">
        <w:t xml:space="preserve">redbi, a time i od zahtjeva za izradom dokumenta s ključnim informacijama, </w:t>
      </w:r>
      <w:r w:rsidR="00A23D94" w:rsidRPr="00D27900">
        <w:t>do 31. prosinca 2021.</w:t>
      </w:r>
    </w:p>
    <w:p w:rsidR="00A23D94" w:rsidRDefault="00A23D94" w:rsidP="00126667">
      <w:pPr>
        <w:pStyle w:val="NormalWeb"/>
        <w:spacing w:after="0" w:line="240" w:lineRule="auto"/>
        <w:jc w:val="both"/>
      </w:pPr>
    </w:p>
    <w:p w:rsidR="00A23D94" w:rsidRDefault="00C02B71" w:rsidP="009F758D">
      <w:pPr>
        <w:pStyle w:val="NormalWeb"/>
        <w:spacing w:after="0" w:line="240" w:lineRule="auto"/>
        <w:ind w:firstLine="708"/>
        <w:jc w:val="both"/>
      </w:pPr>
      <w:r>
        <w:t>Delegiranom uredbom Komisije (EU) 2017/653 оd 8. ožujka 2017. o dopuni Uredbe (EU) br. 1286/2014 Europskog parlamenta i Vijeća o dokumentima s ključnim informacijama za upakirane investicijske proizvode za male ulagatelje i investicijske osigurateljne proizvode (PRIIP-ovi) utvrđivanjem regulatornih tehničkih standarda u vezi s prikazom, sadržajem, preispitivanjem i revizijom dokumenata s ključnim informacijama te uvjetima za ispunjivanje zahtjeva za dostavu tih dokumenata (Tekst značajan za EGP) (C/2017/1473) (SL L 100, 12.</w:t>
      </w:r>
      <w:r w:rsidR="00481597">
        <w:t xml:space="preserve"> </w:t>
      </w:r>
      <w:r>
        <w:t>4.</w:t>
      </w:r>
      <w:r w:rsidR="00481597">
        <w:t xml:space="preserve"> </w:t>
      </w:r>
      <w:r>
        <w:t xml:space="preserve">2017.) (u daljnjem tekstu: Delegirana uredba (EU) 2017/653) </w:t>
      </w:r>
      <w:r w:rsidR="00A23D94">
        <w:t xml:space="preserve">dopunjuje se </w:t>
      </w:r>
      <w:r>
        <w:t>Uredba (EU) br. 1286/2014 Europskog parlamenta i Vijeća od 26. studenoga 2014. o dokumentima s ključnim informacijama za upakirane investicijske proizvode za male ulagatelje i investicijske osigurateljne proizvode (PRIIP-ovi) (Tekst značajan za EGP) (SL L 352, 9.</w:t>
      </w:r>
      <w:r w:rsidR="00481597">
        <w:t xml:space="preserve"> </w:t>
      </w:r>
      <w:r>
        <w:t>12.</w:t>
      </w:r>
      <w:r w:rsidR="00481597">
        <w:t xml:space="preserve"> </w:t>
      </w:r>
      <w:r>
        <w:t xml:space="preserve">2014.) </w:t>
      </w:r>
      <w:r w:rsidR="00A23D94">
        <w:t>utvrđivanjem regulatornih tehničkih standarda u vezi s prikazom, sadržajem i standardnim oblikom dokumenta s ključnim informacijama, metodologijom za prikaz rizika i nagrada te za izračuna troškova, uvjetima i minimalnom učestalosti preispitivanja informacija sadržanih u dokumentu s ključnim informacijama te uvjetima za dostavu tog dokumenta malim ulagateljima.</w:t>
      </w:r>
    </w:p>
    <w:p w:rsidR="00A23D94" w:rsidRDefault="00A23D94" w:rsidP="00193DB2">
      <w:pPr>
        <w:pStyle w:val="NormalWeb"/>
        <w:spacing w:after="0" w:line="240" w:lineRule="auto"/>
        <w:jc w:val="both"/>
      </w:pPr>
    </w:p>
    <w:p w:rsidR="00A23D94" w:rsidRDefault="00A3061E" w:rsidP="00126667">
      <w:pPr>
        <w:pStyle w:val="NormalWeb"/>
        <w:spacing w:after="0" w:line="240" w:lineRule="auto"/>
        <w:ind w:firstLine="708"/>
        <w:jc w:val="both"/>
      </w:pPr>
      <w:r>
        <w:t>Europska k</w:t>
      </w:r>
      <w:r w:rsidR="00A23D94">
        <w:t xml:space="preserve">omisija je 7. rujna 2021. donijela Delegiranu uredbu o izmjeni regulatornih tehničkih standarda utvrđenih u Delegiranoj uredbi (EU) 2017/653 u pogledu temeljne metodologije i prikaza scenarija uspješnosti, prikaza troškova i metodologije za izračun zbirnih pokazatelja troškova, prikaza i sadržaja informacija o povijesnim prinosima i prikaza troškova u okviru upakiranih investicijskih proizvoda za male ulagatelje i investicijskih osigurateljnih proizvoda (PRIIP-ovi) koji nude niz mogućnosti ulaganja te u pogledu usklađivanja prijelaznog aranžmana za izdavatelje PRIIP-ova koji nude udjele u fondovima iz članka 32. Uredbe </w:t>
      </w:r>
      <w:r w:rsidR="00CC7796">
        <w:t>PRIIPs</w:t>
      </w:r>
      <w:r w:rsidR="00A23D94">
        <w:t xml:space="preserve"> kao temeljne mogućnosti ulaganja s produljenim prijelaznim aranžmanom iz tog</w:t>
      </w:r>
      <w:r w:rsidR="006B7FB8">
        <w:t>a</w:t>
      </w:r>
      <w:r w:rsidR="00A23D94">
        <w:t xml:space="preserve"> članka. </w:t>
      </w:r>
    </w:p>
    <w:p w:rsidR="00A23D94" w:rsidRDefault="00A23D94" w:rsidP="00126667">
      <w:pPr>
        <w:pStyle w:val="NormalWeb"/>
        <w:spacing w:after="0" w:line="240" w:lineRule="auto"/>
        <w:jc w:val="both"/>
      </w:pPr>
    </w:p>
    <w:p w:rsidR="00A23D94" w:rsidRDefault="00A23D94" w:rsidP="005F6B98">
      <w:pPr>
        <w:pStyle w:val="NormalWeb"/>
        <w:spacing w:after="0" w:line="240" w:lineRule="auto"/>
        <w:ind w:firstLine="708"/>
        <w:jc w:val="both"/>
      </w:pPr>
      <w:r>
        <w:t xml:space="preserve">Kako bi se osiguralo dovoljno vremena za pripremu </w:t>
      </w:r>
      <w:r w:rsidR="006B7FB8">
        <w:t xml:space="preserve">propisane </w:t>
      </w:r>
      <w:r>
        <w:t>obvez</w:t>
      </w:r>
      <w:r w:rsidR="006B7FB8">
        <w:t>e</w:t>
      </w:r>
      <w:r>
        <w:t xml:space="preserve"> izrade dokumenta s ključnim informacijama, Uredba</w:t>
      </w:r>
      <w:r w:rsidR="00CC7796">
        <w:t xml:space="preserve"> PRIIPs</w:t>
      </w:r>
      <w:r>
        <w:t xml:space="preserve"> izmijenjena je </w:t>
      </w:r>
      <w:r w:rsidR="00C02B71">
        <w:t>Uredb</w:t>
      </w:r>
      <w:r w:rsidR="006B7FB8">
        <w:t>om</w:t>
      </w:r>
      <w:r w:rsidR="00C02B71">
        <w:t xml:space="preserve"> (EU) 2021/2259 Europskog parlamenta i Vijeća od 15. prosinca 2021. o izmjeni Uredbe (EU) br. 1286/2014 u pogledu produljenja prijelaznog aranžmana za društva za upravljanje, društva za investicije i osobe koje savjetuju o udjelima subjekata za zajednička ulaganja u prenosive vrijednosne papire (UCITS) i subjekata koji nisu UCITS ili prodaju takve udjele (Tekst značajan za EGP) (SL L 455, 20.</w:t>
      </w:r>
      <w:r w:rsidR="006B7FB8">
        <w:t xml:space="preserve"> </w:t>
      </w:r>
      <w:r w:rsidR="00C02B71">
        <w:t>12.</w:t>
      </w:r>
      <w:r w:rsidR="006B7FB8">
        <w:t xml:space="preserve"> </w:t>
      </w:r>
      <w:r w:rsidR="00C02B71">
        <w:t>2021.)</w:t>
      </w:r>
      <w:r>
        <w:t xml:space="preserve"> kako bi se prijelazni aranžman</w:t>
      </w:r>
      <w:r w:rsidR="00CC7796">
        <w:t xml:space="preserve"> </w:t>
      </w:r>
      <w:r>
        <w:t>produljio do 31. prosinca 2022.</w:t>
      </w:r>
    </w:p>
    <w:p w:rsidR="00A23D94" w:rsidRDefault="00A23D94" w:rsidP="00E65C5E">
      <w:pPr>
        <w:pStyle w:val="NormalWeb"/>
        <w:spacing w:after="0" w:line="240" w:lineRule="auto"/>
        <w:jc w:val="both"/>
      </w:pPr>
    </w:p>
    <w:p w:rsidR="00C02B71" w:rsidRDefault="00A23D94" w:rsidP="00E65C5E">
      <w:pPr>
        <w:pStyle w:val="NormalWeb"/>
        <w:spacing w:after="0" w:line="240" w:lineRule="auto"/>
        <w:ind w:firstLine="708"/>
        <w:jc w:val="both"/>
      </w:pPr>
      <w:r>
        <w:t>Ključne informacije za ulagatelje i dokument s ključnim informacijama u osnovi obuhvaćaju iste zahtjeve u pogledu informacija. Stoga je potrebno osigurati da mali ulagatelji u PRIIP-ove</w:t>
      </w:r>
      <w:r w:rsidR="006C4E44">
        <w:t>,</w:t>
      </w:r>
      <w:r>
        <w:t xml:space="preserve"> koji su zainteresi</w:t>
      </w:r>
      <w:r w:rsidR="00D27900">
        <w:t xml:space="preserve">rani </w:t>
      </w:r>
      <w:r w:rsidR="006C4E44">
        <w:t xml:space="preserve">i </w:t>
      </w:r>
      <w:r w:rsidR="00D27900">
        <w:t>za stjecanje udjela UCITS fonda</w:t>
      </w:r>
      <w:r w:rsidR="006C4E44">
        <w:t>,</w:t>
      </w:r>
      <w:r>
        <w:t xml:space="preserve"> od 1. siječnja 2023. ne dobiju oba dokumenta za isti </w:t>
      </w:r>
      <w:r w:rsidR="00CC7796">
        <w:t xml:space="preserve">financijski proizvod. Zbog toga se ovim </w:t>
      </w:r>
      <w:r w:rsidR="006C4E44">
        <w:t>P</w:t>
      </w:r>
      <w:r w:rsidR="00CC7796">
        <w:t xml:space="preserve">rijedlogom </w:t>
      </w:r>
      <w:r w:rsidR="006C4E44">
        <w:t>z</w:t>
      </w:r>
      <w:r w:rsidR="00CC7796">
        <w:t>akona propisuje</w:t>
      </w:r>
      <w:r>
        <w:t xml:space="preserve"> da se za dokument s ključnim informacijama smatra da ispunjava zahtjeve koji se primjenjuju na ključne informacije za ulagatelje. </w:t>
      </w:r>
    </w:p>
    <w:p w:rsidR="00C02B71" w:rsidRDefault="00C02B71" w:rsidP="00E65C5E">
      <w:pPr>
        <w:pStyle w:val="NormalWeb"/>
        <w:spacing w:after="0" w:line="240" w:lineRule="auto"/>
        <w:ind w:firstLine="708"/>
        <w:jc w:val="both"/>
      </w:pPr>
    </w:p>
    <w:p w:rsidR="00A23D94" w:rsidRDefault="00A23D94" w:rsidP="00B362C1">
      <w:pPr>
        <w:pStyle w:val="NormalWeb"/>
        <w:spacing w:after="0" w:line="240" w:lineRule="auto"/>
        <w:ind w:firstLine="708"/>
        <w:jc w:val="both"/>
      </w:pPr>
      <w:r>
        <w:t xml:space="preserve">Nadalje, za ulagatelje koji nisu mali ulagatelji, društva za upravljanje trebala bi nastaviti sastavljati ključne informacije za ulagatelje u skladu s </w:t>
      </w:r>
      <w:r w:rsidR="00CC7796">
        <w:t>važećim Zakonom</w:t>
      </w:r>
      <w:r>
        <w:t>, osim ako odluče sastaviti dokument s ključnim informacijama, kako je utvrđeno Uredb</w:t>
      </w:r>
      <w:r w:rsidR="006C4E44">
        <w:t>om</w:t>
      </w:r>
      <w:r>
        <w:t xml:space="preserve"> </w:t>
      </w:r>
      <w:r w:rsidR="00C02B71">
        <w:t>PRIIPs</w:t>
      </w:r>
      <w:r>
        <w:t>.</w:t>
      </w:r>
      <w:r w:rsidR="00D27900">
        <w:t xml:space="preserve"> </w:t>
      </w:r>
      <w:r>
        <w:t>U takvim slučajevima</w:t>
      </w:r>
      <w:r w:rsidR="00CC7796">
        <w:t xml:space="preserve"> </w:t>
      </w:r>
      <w:r w:rsidR="006C4E44">
        <w:t xml:space="preserve">Hrvatska agencija za nadzor financijskih usluga, </w:t>
      </w:r>
      <w:r w:rsidR="00CC7796">
        <w:t>kao</w:t>
      </w:r>
      <w:r>
        <w:t xml:space="preserve"> nadležn</w:t>
      </w:r>
      <w:r w:rsidR="00CC7796">
        <w:t>o</w:t>
      </w:r>
      <w:r>
        <w:t xml:space="preserve"> tijel</w:t>
      </w:r>
      <w:r w:rsidR="00CC7796">
        <w:t>o</w:t>
      </w:r>
      <w:r w:rsidR="006C4E44">
        <w:t>,</w:t>
      </w:r>
      <w:r>
        <w:t xml:space="preserve"> od društava za upravljanje ne bi smjela zahtijevati da dostave ključne informacije za ulagatelje, nego bi tim ulagateljima trebalo dostaviti samo dokument s ključnim informacijama.</w:t>
      </w:r>
    </w:p>
    <w:p w:rsidR="003327BD" w:rsidRDefault="003327BD" w:rsidP="00B362C1">
      <w:pPr>
        <w:pStyle w:val="NormalWeb"/>
        <w:spacing w:after="0" w:line="240" w:lineRule="auto"/>
        <w:ind w:firstLine="708"/>
        <w:jc w:val="both"/>
      </w:pPr>
    </w:p>
    <w:p w:rsidR="001B688E" w:rsidRDefault="003327BD" w:rsidP="001B688E">
      <w:pPr>
        <w:pStyle w:val="NormalWeb"/>
        <w:spacing w:after="0" w:line="240" w:lineRule="auto"/>
        <w:ind w:firstLine="708"/>
        <w:jc w:val="both"/>
      </w:pPr>
      <w:r>
        <w:lastRenderedPageBreak/>
        <w:t xml:space="preserve">Prijedlogom zakona </w:t>
      </w:r>
      <w:r w:rsidR="00A23D94">
        <w:t xml:space="preserve">predlaže se </w:t>
      </w:r>
      <w:r w:rsidR="00AE55C8">
        <w:t xml:space="preserve">također </w:t>
      </w:r>
      <w:r w:rsidR="00A23D94">
        <w:t xml:space="preserve">usklađivanje </w:t>
      </w:r>
      <w:r w:rsidR="00AE55C8">
        <w:t xml:space="preserve">novčanih </w:t>
      </w:r>
      <w:r w:rsidR="00CC7796">
        <w:t xml:space="preserve">iznosa </w:t>
      </w:r>
      <w:r w:rsidR="00AE55C8">
        <w:t xml:space="preserve">iskazanih </w:t>
      </w:r>
      <w:r w:rsidR="00CC7796">
        <w:t xml:space="preserve">u kunama u važećem Zakonu s uvođenjem eura kao službene valute u Republici Hrvatskoj. Predloženim izmjenama </w:t>
      </w:r>
      <w:r w:rsidR="00AE55C8">
        <w:t xml:space="preserve">novčani </w:t>
      </w:r>
      <w:r w:rsidR="00CC7796">
        <w:t>iznosi</w:t>
      </w:r>
      <w:r w:rsidR="00AE55C8">
        <w:t xml:space="preserve"> u kunama</w:t>
      </w:r>
      <w:r w:rsidR="00CC7796">
        <w:t xml:space="preserve"> se usklađuju s iznosima </w:t>
      </w:r>
      <w:r w:rsidR="003F4026">
        <w:t xml:space="preserve">u eurima </w:t>
      </w:r>
      <w:r w:rsidR="00CC7796">
        <w:t xml:space="preserve">propisanima Direktivom </w:t>
      </w:r>
      <w:r w:rsidR="00CC7796" w:rsidRPr="00F86293">
        <w:t>2009/65/EZ</w:t>
      </w:r>
      <w:r w:rsidR="00CC7796">
        <w:t xml:space="preserve">, a iznos raspona prekršajnih sankcija s odredbama </w:t>
      </w:r>
      <w:r w:rsidR="00EB75C0">
        <w:t>Zakona o uvođenju eura kao službene valute u Republici Hrvatskoj („Narodne novine“, broj 57/22</w:t>
      </w:r>
      <w:r w:rsidR="002C16BC">
        <w:t>.</w:t>
      </w:r>
      <w:r w:rsidR="00EB75C0">
        <w:t>)</w:t>
      </w:r>
      <w:r w:rsidR="00CC7796">
        <w:t>.</w:t>
      </w:r>
    </w:p>
    <w:p w:rsidR="00CC7796" w:rsidRDefault="00CC7796" w:rsidP="001F30F5">
      <w:pPr>
        <w:pStyle w:val="NormalWeb"/>
        <w:spacing w:after="0" w:line="240" w:lineRule="auto"/>
        <w:jc w:val="both"/>
      </w:pPr>
    </w:p>
    <w:p w:rsidR="003327BD" w:rsidRPr="00A3061E" w:rsidRDefault="00CC7796" w:rsidP="001F30F5">
      <w:pPr>
        <w:pStyle w:val="NormalWeb"/>
        <w:spacing w:after="0" w:line="240" w:lineRule="auto"/>
        <w:ind w:firstLine="708"/>
        <w:jc w:val="both"/>
      </w:pPr>
      <w:r>
        <w:t xml:space="preserve">Na kraju, manje izmjene odnose </w:t>
      </w:r>
      <w:r w:rsidR="00D57F63">
        <w:t xml:space="preserve">se </w:t>
      </w:r>
      <w:r>
        <w:t xml:space="preserve">na daljnje usklađivanje s odredbama </w:t>
      </w:r>
      <w:r w:rsidR="00A3061E" w:rsidRPr="00A3061E">
        <w:t>Direktiv</w:t>
      </w:r>
      <w:r w:rsidR="00A3061E">
        <w:t>e</w:t>
      </w:r>
      <w:r w:rsidR="00A3061E" w:rsidRPr="00A3061E">
        <w:t xml:space="preserve"> (EU) 2019/1160 Europskog parlamenta i Vijeća od 20. lipnja 2019. o izmjeni direktiva 2009/65/EZ i 2011/61/EU u pogledu prekogranične distribucije subjekata za zajednička ulaganja</w:t>
      </w:r>
      <w:r w:rsidR="00F332B3">
        <w:t xml:space="preserve"> (Tekst značajan za EGP) </w:t>
      </w:r>
      <w:r w:rsidR="009E3463" w:rsidRPr="009E3463">
        <w:t xml:space="preserve">(PE/53/2019/REV/1) </w:t>
      </w:r>
      <w:r w:rsidR="00F332B3">
        <w:t>(SL</w:t>
      </w:r>
      <w:r w:rsidR="00F332B3" w:rsidRPr="00F332B3">
        <w:t xml:space="preserve"> L 188, 12.</w:t>
      </w:r>
      <w:r w:rsidR="00D57F63">
        <w:t xml:space="preserve"> </w:t>
      </w:r>
      <w:r w:rsidR="00F332B3" w:rsidRPr="00F332B3">
        <w:t>7.</w:t>
      </w:r>
      <w:r w:rsidR="00D57F63">
        <w:t xml:space="preserve"> </w:t>
      </w:r>
      <w:r w:rsidR="00F332B3" w:rsidRPr="00F332B3">
        <w:t>2019</w:t>
      </w:r>
      <w:r w:rsidR="00F332B3">
        <w:t>.)</w:t>
      </w:r>
      <w:r w:rsidR="00A3061E">
        <w:t xml:space="preserve">, koja je u važeći Zakon prenesena </w:t>
      </w:r>
      <w:r w:rsidR="002307EB" w:rsidRPr="00125D5F">
        <w:t>Zakon</w:t>
      </w:r>
      <w:r w:rsidR="002307EB">
        <w:t>om</w:t>
      </w:r>
      <w:r w:rsidR="002307EB" w:rsidRPr="00125D5F">
        <w:t xml:space="preserve"> o izmjenama i dopunama Zakona o otvorenim investicijskim fondovima s javnom ponudom</w:t>
      </w:r>
      <w:r w:rsidR="002307EB">
        <w:t xml:space="preserve"> („Narodne novine“, br</w:t>
      </w:r>
      <w:r w:rsidR="00CA4A84">
        <w:t>oj</w:t>
      </w:r>
      <w:r w:rsidR="002307EB">
        <w:t xml:space="preserve"> 110/21.)</w:t>
      </w:r>
      <w:r w:rsidR="00A3061E">
        <w:t>.</w:t>
      </w:r>
    </w:p>
    <w:p w:rsidR="003327BD" w:rsidRPr="0049076D" w:rsidRDefault="003327BD" w:rsidP="00AD3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7BD" w:rsidRDefault="0033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9076D">
        <w:rPr>
          <w:rFonts w:ascii="Times New Roman" w:hAnsi="Times New Roman" w:cs="Times New Roman"/>
          <w:b/>
          <w:sz w:val="24"/>
          <w:szCs w:val="24"/>
        </w:rPr>
        <w:tab/>
        <w:t>OCJENA I IZVOR</w:t>
      </w:r>
      <w:r w:rsidR="00D57F63">
        <w:rPr>
          <w:rFonts w:ascii="Times New Roman" w:hAnsi="Times New Roman" w:cs="Times New Roman"/>
          <w:b/>
          <w:sz w:val="24"/>
          <w:szCs w:val="24"/>
        </w:rPr>
        <w:t>I</w:t>
      </w:r>
      <w:r w:rsidRPr="0049076D">
        <w:rPr>
          <w:rFonts w:ascii="Times New Roman" w:hAnsi="Times New Roman" w:cs="Times New Roman"/>
          <w:b/>
          <w:sz w:val="24"/>
          <w:szCs w:val="24"/>
        </w:rPr>
        <w:t xml:space="preserve"> POTREBNIH </w:t>
      </w:r>
      <w:r w:rsidR="00D57F63">
        <w:rPr>
          <w:rFonts w:ascii="Times New Roman" w:hAnsi="Times New Roman" w:cs="Times New Roman"/>
          <w:b/>
          <w:sz w:val="24"/>
          <w:szCs w:val="24"/>
        </w:rPr>
        <w:t xml:space="preserve">SREDSTAVA </w:t>
      </w:r>
      <w:r w:rsidRPr="0049076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B75C0">
        <w:rPr>
          <w:rFonts w:ascii="Times New Roman" w:hAnsi="Times New Roman" w:cs="Times New Roman"/>
          <w:b/>
          <w:sz w:val="24"/>
          <w:szCs w:val="24"/>
        </w:rPr>
        <w:t>PROVOĐENJE</w:t>
      </w:r>
      <w:r w:rsidR="00EB75C0" w:rsidRPr="0049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76D">
        <w:rPr>
          <w:rFonts w:ascii="Times New Roman" w:hAnsi="Times New Roman" w:cs="Times New Roman"/>
          <w:b/>
          <w:sz w:val="24"/>
          <w:szCs w:val="24"/>
        </w:rPr>
        <w:t>ZAKONA</w:t>
      </w:r>
    </w:p>
    <w:p w:rsidR="003327BD" w:rsidRPr="0049076D" w:rsidRDefault="0033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BD" w:rsidRDefault="0033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:rsidR="009939A6" w:rsidRDefault="009939A6" w:rsidP="000D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A6" w:rsidRDefault="009939A6" w:rsidP="00993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Pr="00B26C6F">
        <w:rPr>
          <w:rFonts w:ascii="Times New Roman" w:hAnsi="Times New Roman" w:cs="Times New Roman"/>
          <w:b/>
          <w:sz w:val="24"/>
          <w:szCs w:val="24"/>
        </w:rPr>
        <w:tab/>
        <w:t xml:space="preserve">PRIJEDLOG ZA DONOŠENJE </w:t>
      </w:r>
      <w:r w:rsidR="000B42FB">
        <w:rPr>
          <w:rFonts w:ascii="Times New Roman" w:hAnsi="Times New Roman" w:cs="Times New Roman"/>
          <w:b/>
          <w:sz w:val="24"/>
          <w:szCs w:val="24"/>
        </w:rPr>
        <w:t xml:space="preserve">ZAKONA </w:t>
      </w:r>
      <w:r w:rsidRPr="00B26C6F">
        <w:rPr>
          <w:rFonts w:ascii="Times New Roman" w:hAnsi="Times New Roman" w:cs="Times New Roman"/>
          <w:b/>
          <w:sz w:val="24"/>
          <w:szCs w:val="24"/>
        </w:rPr>
        <w:t>PO HITNOM POSTUPKU</w:t>
      </w:r>
    </w:p>
    <w:p w:rsidR="009939A6" w:rsidRDefault="009939A6" w:rsidP="000D6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A6" w:rsidRDefault="009939A6" w:rsidP="000D60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obzirom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Zakonom</w:t>
      </w:r>
      <w:r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daljnje usklađivanje hrvatskog regulatornog okvira za otvorene investicijske fondove s javnom ponudom s pravnom stečevinom Europske unije, u dijelu prenošenja Direktive (EU) 2021/2261 čiji je rok prenošenja 30. lipnja 2022. donošenje </w:t>
      </w:r>
      <w:r w:rsidRPr="00B26C6F">
        <w:rPr>
          <w:rFonts w:ascii="Times New Roman" w:hAnsi="Times New Roman" w:cs="Times New Roman"/>
          <w:sz w:val="24"/>
          <w:szCs w:val="24"/>
        </w:rPr>
        <w:t>ovoga Zakona predlaže se po hitnom postupku u skladu s člankom 206. Poslovnika Hrvatskog</w:t>
      </w:r>
      <w:r w:rsidR="000B42FB">
        <w:rPr>
          <w:rFonts w:ascii="Times New Roman" w:hAnsi="Times New Roman" w:cs="Times New Roman"/>
          <w:sz w:val="24"/>
          <w:szCs w:val="24"/>
        </w:rPr>
        <w:t>a</w:t>
      </w:r>
      <w:r w:rsidRPr="00B26C6F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</w:t>
      </w:r>
      <w:r>
        <w:rPr>
          <w:rFonts w:ascii="Times New Roman" w:hAnsi="Times New Roman" w:cs="Times New Roman"/>
          <w:sz w:val="24"/>
          <w:szCs w:val="24"/>
        </w:rPr>
        <w:t xml:space="preserve">8., 53/20., </w:t>
      </w:r>
      <w:r w:rsidRPr="00B26C6F">
        <w:rPr>
          <w:rFonts w:ascii="Times New Roman" w:hAnsi="Times New Roman" w:cs="Times New Roman"/>
          <w:sz w:val="24"/>
          <w:szCs w:val="24"/>
        </w:rPr>
        <w:t>119/20. – Odluka Ustavnog sud</w:t>
      </w:r>
      <w:r>
        <w:rPr>
          <w:rFonts w:ascii="Times New Roman" w:hAnsi="Times New Roman" w:cs="Times New Roman"/>
          <w:sz w:val="24"/>
          <w:szCs w:val="24"/>
        </w:rPr>
        <w:t>a Republike Hrvatske i 123/20.)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939A6" w:rsidRPr="009939A6" w:rsidRDefault="00F56BB1" w:rsidP="000D60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onošenje ovoga Zakona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po hitnom postupku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osiguralo pravovremeno usklađivanje zakonodavstva Republike Hrvatske s pravnom stečevinom Europske unije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izbjegavanja situacije u kojoj radi vremenskog perioda potrebnog za donošenje zakona u dva čitanja, 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bi pravovremeno stupio na snagu, tj. u skladu s rokom za prenošenje 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i u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cilju izbjegavanja situacije u kojoj bi Europska komisija 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mogla 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postupke zbog povrede prava </w:t>
      </w:r>
      <w:r w:rsid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9939A6" w:rsidRPr="00993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nepravovremenog prenošenja pravne stečevine Europske unije.</w:t>
      </w:r>
    </w:p>
    <w:p w:rsidR="003327BD" w:rsidRDefault="003327BD" w:rsidP="000D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67" w:rsidRDefault="004F61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08D" w:rsidRDefault="006B0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08D" w:rsidRDefault="006B0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08D" w:rsidRDefault="006B0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5F9" w:rsidRPr="0049076D" w:rsidRDefault="00E22F3E" w:rsidP="00CA14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F56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KONAČNI </w:t>
      </w:r>
      <w:r w:rsidR="000035F9" w:rsidRPr="00490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PRIJEDLOG ZAKONA O IZMJENAMA I DOPUNAMA ZAKONA O </w:t>
      </w:r>
      <w:r w:rsidR="008D56D3" w:rsidRPr="00490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OTVORENIM </w:t>
      </w:r>
      <w:r w:rsidR="000035F9" w:rsidRPr="004907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INVESTICIJSKIM FONDOVIMA S JAVNOM PONUDOM</w:t>
      </w:r>
    </w:p>
    <w:p w:rsidR="00020C1F" w:rsidRPr="0049076D" w:rsidRDefault="00020C1F" w:rsidP="00193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0035F9" w:rsidRPr="0049076D" w:rsidRDefault="000035F9" w:rsidP="0012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9076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Članak 1.</w:t>
      </w:r>
    </w:p>
    <w:p w:rsidR="00020C1F" w:rsidRPr="0049076D" w:rsidRDefault="00020C1F" w:rsidP="0012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7B69AE" w:rsidRDefault="000035F9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Zakonu o </w:t>
      </w:r>
      <w:r w:rsidR="004C197A"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otvorenim </w:t>
      </w: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investicijskim fondovima s javnom ponudom (</w:t>
      </w:r>
      <w:r w:rsidR="00A163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„</w:t>
      </w: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Narodne novine</w:t>
      </w:r>
      <w:r w:rsidR="00A163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br</w:t>
      </w:r>
      <w:r w:rsidR="004F61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44/16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F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E93D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126/19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F7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110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/21.</w:t>
      </w:r>
      <w:r w:rsidRPr="0049076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), </w:t>
      </w:r>
      <w:r w:rsidR="007B69AE"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članku 2. stavku 1. točka 1. mijenja se i glasi:</w:t>
      </w:r>
    </w:p>
    <w:p w:rsidR="007B69AE" w:rsidRDefault="007B69A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B69AE" w:rsidRDefault="007B69AE" w:rsidP="00E65C5E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„1. Direktiva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2009/65/EZ </w:t>
      </w:r>
      <w:r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Europskog parlamenta i Vijeća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13. </w:t>
      </w:r>
      <w:r w:rsidR="00C826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rpnja 2009. </w:t>
      </w:r>
      <w:r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usklađivanju zakona i drugih propisa koji se odnose na subjekte za zajednička ulaganja u prenosive vrijednosne papire (UCITS)</w:t>
      </w:r>
      <w:r w:rsidR="007757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(Tekst značajan za EGP) (SL L 302, 17.</w:t>
      </w:r>
      <w:r w:rsidR="007A7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757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11.</w:t>
      </w:r>
      <w:r w:rsidR="007A7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757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2009.)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kako je posljednji put izmijenjena </w:t>
      </w:r>
      <w:r w:rsidR="00E93D5E" w:rsidRPr="00E93D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Direktivom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(EU)</w:t>
      </w:r>
      <w:r w:rsidR="006A2CB2" w:rsidRP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2021/2261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Europskog parlamenta i Vijeća od 15. prosinca 2021. </w:t>
      </w:r>
      <w:r w:rsidR="006A2CB2" w:rsidRP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izmjeni Direktive 2009/65/EZ u pogledu uporabe dokumenata s ključnim informacijama od strane društava za upravljanje subjektima za zajednička ulaganja u preno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sive vrijednosne papire (UCITS) </w:t>
      </w:r>
      <w:r w:rsidR="006A2CB2" w:rsidRP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(Tekst značajan za EGP)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(SL L 455, 20.</w:t>
      </w:r>
      <w:r w:rsidR="007A7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12.</w:t>
      </w:r>
      <w:r w:rsidR="007A7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2021.)</w:t>
      </w:r>
      <w:r w:rsidR="006A2CB2" w:rsidRPr="006A2C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D20D0"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F3E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daljnjem tekstu:</w:t>
      </w:r>
      <w:r w:rsidR="00E93D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D20D0"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Direktiva 2009/65/EZ)</w:t>
      </w:r>
      <w:r w:rsidRPr="007B69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 w:rsidR="008E62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E13AB" w:rsidRPr="00CA1416" w:rsidRDefault="001E13AB" w:rsidP="00CA1416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A141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Članak 2.</w:t>
      </w:r>
    </w:p>
    <w:p w:rsidR="001E13AB" w:rsidRDefault="001E13AB" w:rsidP="00E65C5E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članku 18. stavku 1. riječi: </w:t>
      </w:r>
      <w:r w:rsidR="007035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„</w:t>
      </w:r>
      <w:r w:rsidR="007035AE" w:rsidRPr="007035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1.000.000,00 kuna</w:t>
      </w:r>
      <w:r w:rsidR="007035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 zamjenjuju se riječima: „125.000,00 eura“.</w:t>
      </w:r>
    </w:p>
    <w:p w:rsidR="000035F9" w:rsidRPr="0049076D" w:rsidRDefault="000035F9" w:rsidP="00E6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9076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Članak </w:t>
      </w:r>
      <w:r w:rsidR="0065220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</w:t>
      </w:r>
      <w:r w:rsidRPr="0049076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020C1F" w:rsidRPr="0049076D" w:rsidRDefault="00020C1F" w:rsidP="00E65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020C1F" w:rsidRDefault="00E93D5E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članku 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20. stavku 1. riječi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„dvije milijarde kuna“ zamjenjuju se riječima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„250.000.000,00 eura“, a riječi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„80.000.000,00 kuna“ zamjenjuju se riječima</w:t>
      </w:r>
      <w:r w:rsidR="00F33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A7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„</w:t>
      </w:r>
      <w:r w:rsidR="003F12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10.000.000,00 eura“. </w:t>
      </w:r>
    </w:p>
    <w:p w:rsidR="00716E64" w:rsidRDefault="00716E64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16E64" w:rsidRPr="00716E64" w:rsidRDefault="00716E64" w:rsidP="00B3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16E6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Članak </w:t>
      </w:r>
      <w:r w:rsidR="0065220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716E6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716E64" w:rsidRDefault="00716E64" w:rsidP="001F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16E64" w:rsidRDefault="00716E64" w:rsidP="001F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članku 65. stavku 1. točka 11. briše se.</w:t>
      </w:r>
    </w:p>
    <w:p w:rsidR="00397D78" w:rsidRDefault="0039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97D78" w:rsidRPr="0049076D" w:rsidRDefault="0039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Dosadašnje točke 12. i 13. postaju točke 11. i 12.</w:t>
      </w:r>
    </w:p>
    <w:p w:rsidR="00020C1F" w:rsidRPr="0049076D" w:rsidRDefault="0002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035F9" w:rsidRPr="0049076D" w:rsidRDefault="00020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52207">
        <w:rPr>
          <w:rFonts w:ascii="Times New Roman" w:hAnsi="Times New Roman" w:cs="Times New Roman"/>
          <w:b/>
          <w:sz w:val="24"/>
          <w:szCs w:val="24"/>
        </w:rPr>
        <w:t>5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020C1F" w:rsidRPr="0049076D" w:rsidRDefault="00020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143.a stavak 1. mijenja se i glasi:</w:t>
      </w:r>
    </w:p>
    <w:p w:rsidR="009946A1" w:rsidRDefault="0099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B586C">
        <w:rPr>
          <w:rFonts w:ascii="Times New Roman" w:hAnsi="Times New Roman" w:cs="Times New Roman"/>
          <w:sz w:val="24"/>
          <w:szCs w:val="24"/>
        </w:rPr>
        <w:t>(1) Društvo za upravljanje iz članka 137. stavka 1. ovoga Zakona može povući obavijest iz članka 139. stavka 1. ovoga Zakona u odnosu na sve ili dio UCITS fondova ili klasa udjela UCITS fondova kojima trguje u Republici Hrvatskoj, ako su ispunjeni svi sljedeći uvjeti:</w:t>
      </w:r>
    </w:p>
    <w:p w:rsidR="00F332B3" w:rsidRPr="007B586C" w:rsidRDefault="00F3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 xml:space="preserve">a) društvo za upravljanje dalo je opću ponudu za otkup ili isplatu svih udjela UCITS fonda na koji se odnosi povlačenje obavijesti koje drže ulagatelji u Republici Hrvatskoj, bez naplate naknada za otkup ili isplatu udjela </w:t>
      </w:r>
    </w:p>
    <w:p w:rsidR="00885922" w:rsidRPr="007B586C" w:rsidRDefault="0088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22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>b) ponuda iz točke a) ovoga stavka javno je dostupna barem 30 radnih dana te je društvo za upravljanje istu izravno ili preko financijskih posrednika pojedinačno uputilo svim ulagateljima u Republici Hrvatskoj, a čiji mu je identitet poznat</w:t>
      </w:r>
    </w:p>
    <w:p w:rsidR="007B586C" w:rsidRP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80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 xml:space="preserve">c) društvo za upravljanje je na javno dostupnom mediju, koji je uobičajen za oglašavanje UCITS fondova i prikladan za tipičnog ulagatelja u UCITS fond, što uključuje i elektronička </w:t>
      </w:r>
      <w:r w:rsidRPr="007B586C">
        <w:rPr>
          <w:rFonts w:ascii="Times New Roman" w:hAnsi="Times New Roman" w:cs="Times New Roman"/>
          <w:sz w:val="24"/>
          <w:szCs w:val="24"/>
        </w:rPr>
        <w:lastRenderedPageBreak/>
        <w:t>sredstva, objavilo namjeru povlačenja obavijesti iz članka 139. stavka 1. ovoga Zakona i navelo UCITS fond u odnosu na kojeg se obavijest povlači</w:t>
      </w:r>
    </w:p>
    <w:p w:rsidR="007B586C" w:rsidRP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6C">
        <w:rPr>
          <w:rFonts w:ascii="Times New Roman" w:hAnsi="Times New Roman" w:cs="Times New Roman"/>
          <w:sz w:val="24"/>
          <w:szCs w:val="24"/>
        </w:rPr>
        <w:t>d) društvo za upravljanje je izmijenilo ili raskinulo ugovore s financijskim posrednicima ili trećim osobama koje obavljaju distribuciju udjela UCITS fonda u odnosu na koji je obavijest povučena, a kako bi se spriječilo njihovo novo ili daljnje, izravno ili neizravno distribuiranje. Izmjene ili raskid ugovora primjenjuju se od dana povlačenja obavijesti iz članka 139. stavka 1. ovoga Zakona.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3" w:rsidRDefault="00147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586C">
        <w:rPr>
          <w:rFonts w:ascii="Times New Roman" w:hAnsi="Times New Roman" w:cs="Times New Roman"/>
          <w:sz w:val="24"/>
          <w:szCs w:val="24"/>
        </w:rPr>
        <w:t>za stavka 1. dodaje se novi stavak 2. koji glasi:</w:t>
      </w:r>
    </w:p>
    <w:p w:rsidR="00F332B3" w:rsidRDefault="00F3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B586C">
        <w:rPr>
          <w:rFonts w:ascii="Times New Roman" w:hAnsi="Times New Roman" w:cs="Times New Roman"/>
          <w:sz w:val="24"/>
          <w:szCs w:val="24"/>
        </w:rPr>
        <w:t>(2) Društvo za upravljanje dužno je u informacijama iz stavka 1. točaka a), b) i c) ovoga članka jasno navesti posljedice za ulagatelje ako ne prihvate ponudu za otkupom ili isplatom udjela UCITS fonda navedenog u stavku 1. točki c) ovoga članka.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A1" w:rsidRDefault="0068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</w:t>
      </w:r>
      <w:r w:rsidR="007B586C">
        <w:rPr>
          <w:rFonts w:ascii="Times New Roman" w:hAnsi="Times New Roman" w:cs="Times New Roman"/>
          <w:sz w:val="24"/>
          <w:szCs w:val="24"/>
        </w:rPr>
        <w:t>tavak 2. koji postaje stavak 3. mijenja se i glasi</w:t>
      </w:r>
      <w:r w:rsidR="009946A1">
        <w:rPr>
          <w:rFonts w:ascii="Times New Roman" w:hAnsi="Times New Roman" w:cs="Times New Roman"/>
          <w:sz w:val="24"/>
          <w:szCs w:val="24"/>
        </w:rPr>
        <w:t>:</w:t>
      </w:r>
    </w:p>
    <w:p w:rsidR="009946A1" w:rsidRDefault="0099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B586C">
        <w:rPr>
          <w:rFonts w:ascii="Times New Roman" w:hAnsi="Times New Roman" w:cs="Times New Roman"/>
          <w:sz w:val="24"/>
          <w:szCs w:val="24"/>
        </w:rPr>
        <w:t>(3) Informacije iz stavka 1. točaka a), b) i c) ovoga članka društvo za upravljanje iz članka 137. stavka 1. ovoga Zakona dužno je pripremiti na hrvatskom ili engleskom jeziku.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82017">
        <w:rPr>
          <w:rFonts w:ascii="Times New Roman" w:hAnsi="Times New Roman" w:cs="Times New Roman"/>
          <w:sz w:val="24"/>
          <w:szCs w:val="24"/>
        </w:rPr>
        <w:t xml:space="preserve">dosadašnjem </w:t>
      </w:r>
      <w:r>
        <w:rPr>
          <w:rFonts w:ascii="Times New Roman" w:hAnsi="Times New Roman" w:cs="Times New Roman"/>
          <w:sz w:val="24"/>
          <w:szCs w:val="24"/>
        </w:rPr>
        <w:t>stavku 3. koji postaje stavak 4. iza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„prestati s“ dodaju se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„novom ili daljnjom,“</w:t>
      </w:r>
      <w:r w:rsidR="00F62614">
        <w:rPr>
          <w:rFonts w:ascii="Times New Roman" w:hAnsi="Times New Roman" w:cs="Times New Roman"/>
          <w:sz w:val="24"/>
          <w:szCs w:val="24"/>
        </w:rPr>
        <w:t>.</w:t>
      </w:r>
    </w:p>
    <w:p w:rsidR="00434611" w:rsidRDefault="0043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11" w:rsidRPr="007B586C" w:rsidRDefault="004D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</w:t>
      </w:r>
      <w:r w:rsidR="00137721">
        <w:rPr>
          <w:rFonts w:ascii="Times New Roman" w:hAnsi="Times New Roman" w:cs="Times New Roman"/>
          <w:sz w:val="24"/>
          <w:szCs w:val="24"/>
        </w:rPr>
        <w:t xml:space="preserve">stavak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7721">
        <w:rPr>
          <w:rFonts w:ascii="Times New Roman" w:hAnsi="Times New Roman" w:cs="Times New Roman"/>
          <w:sz w:val="24"/>
          <w:szCs w:val="24"/>
        </w:rPr>
        <w:t>postaje stavak</w:t>
      </w:r>
      <w:r w:rsidR="0043461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B586C" w:rsidRDefault="007B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F9" w:rsidRDefault="008E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dosadašnjem stavku 5. koji postaje stavak 6. riječi: „stavka 4.“ zamjenjuju se riječima: „stavka 5.“.</w:t>
      </w:r>
    </w:p>
    <w:p w:rsidR="008E13F9" w:rsidRDefault="008E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21" w:rsidRDefault="0013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stavak 6. postaje stavak 7. </w:t>
      </w:r>
    </w:p>
    <w:p w:rsidR="00137721" w:rsidRPr="007B586C" w:rsidRDefault="0013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4D" w:rsidRPr="0049076D" w:rsidRDefault="003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82017">
        <w:rPr>
          <w:rFonts w:ascii="Times New Roman" w:hAnsi="Times New Roman" w:cs="Times New Roman"/>
          <w:sz w:val="24"/>
          <w:szCs w:val="24"/>
        </w:rPr>
        <w:t xml:space="preserve"> dosadašnjem</w:t>
      </w:r>
      <w:r>
        <w:rPr>
          <w:rFonts w:ascii="Times New Roman" w:hAnsi="Times New Roman" w:cs="Times New Roman"/>
          <w:sz w:val="24"/>
          <w:szCs w:val="24"/>
        </w:rPr>
        <w:t xml:space="preserve"> stavku 7. </w:t>
      </w:r>
      <w:r w:rsidR="00F62614">
        <w:rPr>
          <w:rFonts w:ascii="Times New Roman" w:hAnsi="Times New Roman" w:cs="Times New Roman"/>
          <w:sz w:val="24"/>
          <w:szCs w:val="24"/>
        </w:rPr>
        <w:t xml:space="preserve">koji postaje stavak 8. </w:t>
      </w:r>
      <w:r>
        <w:rPr>
          <w:rFonts w:ascii="Times New Roman" w:hAnsi="Times New Roman" w:cs="Times New Roman"/>
          <w:sz w:val="24"/>
          <w:szCs w:val="24"/>
        </w:rPr>
        <w:t>ispred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A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9946A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dodaju se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„Neovisno o drugim nadzornim aktivnostima i ovlastima koje ima prema odredbama ovoga Zakona,“</w:t>
      </w:r>
      <w:r w:rsidR="00F62614">
        <w:rPr>
          <w:rFonts w:ascii="Times New Roman" w:hAnsi="Times New Roman" w:cs="Times New Roman"/>
          <w:sz w:val="24"/>
          <w:szCs w:val="24"/>
        </w:rPr>
        <w:t>.</w:t>
      </w:r>
    </w:p>
    <w:p w:rsidR="00317941" w:rsidRDefault="0031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CE" w:rsidRDefault="00B15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B154CE" w:rsidRDefault="00B154CE" w:rsidP="000D6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1C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144. stavak 1. mijenja se i glasi:</w:t>
      </w:r>
    </w:p>
    <w:p w:rsid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154CE">
        <w:rPr>
          <w:rFonts w:ascii="Times New Roman" w:hAnsi="Times New Roman" w:cs="Times New Roman"/>
          <w:sz w:val="24"/>
          <w:szCs w:val="24"/>
        </w:rPr>
        <w:t xml:space="preserve">(1) Udjelima otvorenog investicijskog fonda s javnom ponudom iz treće države u Republici Hrvatskoj može trgovati: </w:t>
      </w:r>
    </w:p>
    <w:p w:rsidR="00B154CE" w:rsidRP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CE">
        <w:rPr>
          <w:rFonts w:ascii="Times New Roman" w:hAnsi="Times New Roman" w:cs="Times New Roman"/>
          <w:sz w:val="24"/>
          <w:szCs w:val="24"/>
        </w:rPr>
        <w:t xml:space="preserve">a) društvo za upravljanje iz treće države koje ima odobrenje za upravljanje tim investicijskim fondom, isključivo putem podružnice za koju je dobilo odobrenje Agencije </w:t>
      </w:r>
    </w:p>
    <w:p w:rsidR="00B154CE" w:rsidRP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CE">
        <w:rPr>
          <w:rFonts w:ascii="Times New Roman" w:hAnsi="Times New Roman" w:cs="Times New Roman"/>
          <w:sz w:val="24"/>
          <w:szCs w:val="24"/>
        </w:rPr>
        <w:t xml:space="preserve">b) društvo za upravljanje iz druge države članice koje ima odobrenje za upravljanje tim investicijskim fondom, isključivo putem podružnice ili </w:t>
      </w:r>
    </w:p>
    <w:p w:rsidR="00B154CE" w:rsidRPr="00B154CE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CE" w:rsidRPr="000D601C" w:rsidRDefault="00B154CE" w:rsidP="004E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CE">
        <w:rPr>
          <w:rFonts w:ascii="Times New Roman" w:hAnsi="Times New Roman" w:cs="Times New Roman"/>
          <w:sz w:val="24"/>
          <w:szCs w:val="24"/>
        </w:rPr>
        <w:t>c) društvo za upravljanje iz Republike Hrvatske koje ima odobrenje za upravljanje tim investicijskim fondom.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154CE" w:rsidRDefault="00B15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0B" w:rsidRPr="0049076D" w:rsidRDefault="00E3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B154CE">
        <w:rPr>
          <w:rFonts w:ascii="Times New Roman" w:hAnsi="Times New Roman" w:cs="Times New Roman"/>
          <w:b/>
          <w:sz w:val="24"/>
          <w:szCs w:val="24"/>
        </w:rPr>
        <w:t>7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E3090B" w:rsidRPr="0049076D" w:rsidRDefault="00E30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5B3" w:rsidRDefault="00E3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U članku </w:t>
      </w:r>
      <w:r w:rsidR="00FA3C56">
        <w:rPr>
          <w:rFonts w:ascii="Times New Roman" w:hAnsi="Times New Roman" w:cs="Times New Roman"/>
          <w:sz w:val="24"/>
          <w:szCs w:val="24"/>
        </w:rPr>
        <w:t>147. stavku 1.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„1.000.000,00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„125.000,00 eura“. </w:t>
      </w:r>
    </w:p>
    <w:p w:rsidR="00E46866" w:rsidRPr="0049076D" w:rsidRDefault="00E4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66" w:rsidRPr="0049076D" w:rsidRDefault="00E46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>
        <w:rPr>
          <w:rFonts w:ascii="Times New Roman" w:hAnsi="Times New Roman" w:cs="Times New Roman"/>
          <w:b/>
          <w:sz w:val="24"/>
          <w:szCs w:val="24"/>
        </w:rPr>
        <w:t>8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E46866" w:rsidRPr="0049076D" w:rsidRDefault="00E46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C56" w:rsidRDefault="0097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FA3C56">
        <w:rPr>
          <w:rFonts w:ascii="Times New Roman" w:hAnsi="Times New Roman" w:cs="Times New Roman"/>
          <w:sz w:val="24"/>
          <w:szCs w:val="24"/>
        </w:rPr>
        <w:t>154. stavku 2. iza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„o tome“ dodaju se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„pisanim putem“. </w:t>
      </w:r>
    </w:p>
    <w:p w:rsidR="004C0266" w:rsidRPr="0049076D" w:rsidRDefault="004C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4A" w:rsidRPr="0049076D" w:rsidRDefault="0057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>
        <w:rPr>
          <w:rFonts w:ascii="Times New Roman" w:hAnsi="Times New Roman" w:cs="Times New Roman"/>
          <w:b/>
          <w:sz w:val="24"/>
          <w:szCs w:val="24"/>
        </w:rPr>
        <w:t>9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57044A" w:rsidRPr="0049076D" w:rsidRDefault="00570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B3" w:rsidRDefault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U </w:t>
      </w:r>
      <w:r w:rsidR="00FA3C56">
        <w:rPr>
          <w:rFonts w:ascii="Times New Roman" w:hAnsi="Times New Roman" w:cs="Times New Roman"/>
          <w:sz w:val="24"/>
          <w:szCs w:val="24"/>
        </w:rPr>
        <w:t>članku 154.a stavku 2. točki a) iza riječi</w:t>
      </w:r>
      <w:r w:rsidR="00682017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„bez“ dodaju se riječi</w:t>
      </w:r>
      <w:r w:rsidR="00682017">
        <w:rPr>
          <w:rFonts w:ascii="Times New Roman" w:hAnsi="Times New Roman" w:cs="Times New Roman"/>
          <w:sz w:val="24"/>
          <w:szCs w:val="24"/>
        </w:rPr>
        <w:t>:</w:t>
      </w:r>
      <w:r w:rsidR="00FA3C56">
        <w:rPr>
          <w:rFonts w:ascii="Times New Roman" w:hAnsi="Times New Roman" w:cs="Times New Roman"/>
          <w:sz w:val="24"/>
          <w:szCs w:val="24"/>
        </w:rPr>
        <w:t xml:space="preserve"> „odbitaka ili“.</w:t>
      </w:r>
    </w:p>
    <w:p w:rsidR="00FA3C56" w:rsidRDefault="00FA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C56" w:rsidRPr="0049076D" w:rsidRDefault="00FA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d) riječi</w:t>
      </w:r>
      <w:r w:rsidR="006820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„daljnje distribuiranje“ zamjenjuju se riječima</w:t>
      </w:r>
      <w:r w:rsidR="006820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„novo, daljnje, izravno ili neizravno distribuiranje“</w:t>
      </w:r>
      <w:r w:rsidR="00BF6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83" w:rsidRPr="0049076D" w:rsidRDefault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Pr="0049076D" w:rsidRDefault="00E13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>Članak</w:t>
      </w:r>
      <w:r w:rsidR="00E23D83" w:rsidRPr="0049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CE">
        <w:rPr>
          <w:rFonts w:ascii="Times New Roman" w:hAnsi="Times New Roman" w:cs="Times New Roman"/>
          <w:b/>
          <w:sz w:val="24"/>
          <w:szCs w:val="24"/>
        </w:rPr>
        <w:t>10</w:t>
      </w:r>
      <w:r w:rsidR="00E23D83"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E23D83" w:rsidRPr="0049076D" w:rsidRDefault="00E2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83" w:rsidRDefault="00FA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članka 203. </w:t>
      </w:r>
      <w:r w:rsidR="00682017">
        <w:rPr>
          <w:rFonts w:ascii="Times New Roman" w:hAnsi="Times New Roman" w:cs="Times New Roman"/>
          <w:sz w:val="24"/>
          <w:szCs w:val="24"/>
        </w:rPr>
        <w:t xml:space="preserve">dodaje </w:t>
      </w:r>
      <w:r>
        <w:rPr>
          <w:rFonts w:ascii="Times New Roman" w:hAnsi="Times New Roman" w:cs="Times New Roman"/>
          <w:sz w:val="24"/>
          <w:szCs w:val="24"/>
        </w:rPr>
        <w:t xml:space="preserve">se naslov iznad članka i članak 203.a koji glase: </w:t>
      </w:r>
    </w:p>
    <w:p w:rsidR="00E23D83" w:rsidRDefault="00E2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C56" w:rsidRDefault="00C24C94">
      <w:pPr>
        <w:spacing w:beforeLines="30" w:before="72" w:afterLines="30" w:after="7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A3C5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Uporaba dokumenta s ključnim informacijama za ulagatelje prema Uredbi (EU) br. 1286/2014 </w:t>
      </w:r>
    </w:p>
    <w:p w:rsidR="009F758D" w:rsidRDefault="009F758D">
      <w:pPr>
        <w:spacing w:beforeLines="30" w:before="72" w:afterLines="30" w:after="7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3C56" w:rsidRDefault="00FA3C56">
      <w:pPr>
        <w:spacing w:beforeLines="30" w:before="72" w:afterLines="30" w:after="7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230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203.a</w:t>
      </w:r>
    </w:p>
    <w:p w:rsidR="00FA3C56" w:rsidRPr="001230C5" w:rsidRDefault="00FA3C56">
      <w:pPr>
        <w:spacing w:beforeLines="30" w:before="72" w:afterLines="30" w:after="7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A3C56" w:rsidRPr="001230C5" w:rsidRDefault="00FA3C56" w:rsidP="00CA1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C5">
        <w:rPr>
          <w:rFonts w:ascii="Times New Roman" w:hAnsi="Times New Roman" w:cs="Times New Roman"/>
          <w:sz w:val="24"/>
          <w:szCs w:val="24"/>
        </w:rPr>
        <w:t xml:space="preserve">(1) Agencija će smatrati da je dokument s ključnim informacijama usklađen sa zahtjevima iz članaka </w:t>
      </w:r>
      <w:r w:rsidR="005A4D46">
        <w:rPr>
          <w:rFonts w:ascii="Times New Roman" w:hAnsi="Times New Roman" w:cs="Times New Roman"/>
          <w:sz w:val="24"/>
          <w:szCs w:val="24"/>
        </w:rPr>
        <w:t>141., 142., 183.,</w:t>
      </w:r>
      <w:r w:rsidRPr="001230C5" w:rsidDel="005A4D46">
        <w:rPr>
          <w:rFonts w:ascii="Times New Roman" w:hAnsi="Times New Roman" w:cs="Times New Roman"/>
          <w:sz w:val="24"/>
          <w:szCs w:val="24"/>
        </w:rPr>
        <w:t xml:space="preserve"> </w:t>
      </w:r>
      <w:r w:rsidRPr="00D30F40">
        <w:rPr>
          <w:rFonts w:ascii="Times New Roman" w:hAnsi="Times New Roman" w:cs="Times New Roman"/>
          <w:sz w:val="24"/>
          <w:szCs w:val="24"/>
        </w:rPr>
        <w:t>200. do 203.</w:t>
      </w:r>
      <w:r w:rsidR="005A4D46">
        <w:rPr>
          <w:rFonts w:ascii="Times New Roman" w:hAnsi="Times New Roman" w:cs="Times New Roman"/>
          <w:sz w:val="24"/>
          <w:szCs w:val="24"/>
        </w:rPr>
        <w:t>, 208. i 211.</w:t>
      </w:r>
      <w:r w:rsidRPr="00D30F40">
        <w:rPr>
          <w:rFonts w:ascii="Times New Roman" w:hAnsi="Times New Roman" w:cs="Times New Roman"/>
          <w:sz w:val="24"/>
          <w:szCs w:val="24"/>
        </w:rPr>
        <w:t xml:space="preserve"> </w:t>
      </w:r>
      <w:r w:rsidRPr="001230C5">
        <w:rPr>
          <w:rFonts w:ascii="Times New Roman" w:hAnsi="Times New Roman" w:cs="Times New Roman"/>
          <w:sz w:val="24"/>
          <w:szCs w:val="24"/>
        </w:rPr>
        <w:t>ovoga Zakona ako društvo za upravljanje za pojedini UCITS fond kojim upravlja dokument s ključnim informacijama sastavi, dostavi, revidira</w:t>
      </w:r>
      <w:r w:rsidR="00D5254C">
        <w:rPr>
          <w:rFonts w:ascii="Times New Roman" w:hAnsi="Times New Roman" w:cs="Times New Roman"/>
          <w:sz w:val="24"/>
          <w:szCs w:val="24"/>
        </w:rPr>
        <w:t>,</w:t>
      </w:r>
      <w:r w:rsidRPr="001230C5">
        <w:rPr>
          <w:rFonts w:ascii="Times New Roman" w:hAnsi="Times New Roman" w:cs="Times New Roman"/>
          <w:sz w:val="24"/>
          <w:szCs w:val="24"/>
        </w:rPr>
        <w:t xml:space="preserve"> odnosno prevede</w:t>
      </w:r>
      <w:r w:rsidR="00D5254C" w:rsidRPr="00D5254C">
        <w:t xml:space="preserve"> </w:t>
      </w:r>
      <w:r w:rsidR="00D5254C" w:rsidRPr="00D5254C">
        <w:rPr>
          <w:rFonts w:ascii="Times New Roman" w:hAnsi="Times New Roman" w:cs="Times New Roman"/>
          <w:sz w:val="24"/>
          <w:szCs w:val="24"/>
        </w:rPr>
        <w:t>dokument s ključnim informacijama</w:t>
      </w:r>
      <w:r w:rsidRPr="001230C5">
        <w:rPr>
          <w:rFonts w:ascii="Times New Roman" w:hAnsi="Times New Roman" w:cs="Times New Roman"/>
          <w:sz w:val="24"/>
          <w:szCs w:val="24"/>
        </w:rPr>
        <w:t xml:space="preserve"> u skladu sa zahtjevima za dokumente s ključnim informacijama propisanima Uredbom (EU) br. 1286/2014</w:t>
      </w:r>
      <w:r w:rsidR="002C16BC" w:rsidRPr="002C16BC">
        <w:t xml:space="preserve"> </w:t>
      </w:r>
      <w:r w:rsidR="002C16BC" w:rsidRPr="002C16BC">
        <w:rPr>
          <w:rFonts w:ascii="Times New Roman" w:hAnsi="Times New Roman" w:cs="Times New Roman"/>
          <w:sz w:val="24"/>
          <w:szCs w:val="24"/>
        </w:rPr>
        <w:t>Europskog parlamenta i Vijeća od 26. studenoga 2014. o dokumentima s ključnim informacijama za upakirane investicijske proizvode za male ulagatelje i investicijske osigurateljne proizvode (PRIIP-ovi) (Tekst značajan za EGP) (SL L 352, 9. 12. 2014.) (u daljnjem tekstu: Uredb</w:t>
      </w:r>
      <w:r w:rsidR="002C16BC">
        <w:rPr>
          <w:rFonts w:ascii="Times New Roman" w:hAnsi="Times New Roman" w:cs="Times New Roman"/>
          <w:sz w:val="24"/>
          <w:szCs w:val="24"/>
        </w:rPr>
        <w:t xml:space="preserve">a </w:t>
      </w:r>
      <w:r w:rsidR="002C16BC" w:rsidRPr="002C16BC">
        <w:rPr>
          <w:rFonts w:ascii="Times New Roman" w:hAnsi="Times New Roman" w:cs="Times New Roman"/>
          <w:sz w:val="24"/>
          <w:szCs w:val="24"/>
        </w:rPr>
        <w:t>(EU) br. 1286/2014)</w:t>
      </w:r>
      <w:r w:rsidRPr="001230C5">
        <w:rPr>
          <w:rFonts w:ascii="Times New Roman" w:hAnsi="Times New Roman" w:cs="Times New Roman"/>
          <w:sz w:val="24"/>
          <w:szCs w:val="24"/>
        </w:rPr>
        <w:t>.</w:t>
      </w:r>
    </w:p>
    <w:p w:rsidR="00FA3C56" w:rsidRPr="001230C5" w:rsidRDefault="00FA3C56" w:rsidP="00CA1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C5">
        <w:rPr>
          <w:rFonts w:ascii="Times New Roman" w:hAnsi="Times New Roman" w:cs="Times New Roman"/>
          <w:sz w:val="24"/>
          <w:szCs w:val="24"/>
        </w:rPr>
        <w:t xml:space="preserve">(2) Ako društvo za upravljanje za pojedini </w:t>
      </w:r>
      <w:r w:rsidR="004554E1">
        <w:rPr>
          <w:rFonts w:ascii="Times New Roman" w:hAnsi="Times New Roman" w:cs="Times New Roman"/>
          <w:sz w:val="24"/>
          <w:szCs w:val="24"/>
        </w:rPr>
        <w:t xml:space="preserve">UCITS </w:t>
      </w:r>
      <w:r w:rsidRPr="001230C5">
        <w:rPr>
          <w:rFonts w:ascii="Times New Roman" w:hAnsi="Times New Roman" w:cs="Times New Roman"/>
          <w:sz w:val="24"/>
          <w:szCs w:val="24"/>
        </w:rPr>
        <w:t>fond kojim upravlja sastavi, dostavi, revidira</w:t>
      </w:r>
      <w:r w:rsidR="00D5254C">
        <w:rPr>
          <w:rFonts w:ascii="Times New Roman" w:hAnsi="Times New Roman" w:cs="Times New Roman"/>
          <w:sz w:val="24"/>
          <w:szCs w:val="24"/>
        </w:rPr>
        <w:t>, odnosno</w:t>
      </w:r>
      <w:r w:rsidRPr="001230C5">
        <w:rPr>
          <w:rFonts w:ascii="Times New Roman" w:hAnsi="Times New Roman" w:cs="Times New Roman"/>
          <w:sz w:val="24"/>
          <w:szCs w:val="24"/>
        </w:rPr>
        <w:t xml:space="preserve"> prevede dokument s ključnim informacijama u skladu sa zahtjevima za dokument s ključnim informacijama propisanima Uredbom (EU) br. 1286/2014, nije dužan izraditi ključne podatke za ulagatelje iz ove glave Zakona.</w:t>
      </w:r>
      <w:r w:rsidR="007D294A">
        <w:rPr>
          <w:rFonts w:ascii="Times New Roman" w:hAnsi="Times New Roman" w:cs="Times New Roman"/>
          <w:sz w:val="24"/>
          <w:szCs w:val="24"/>
        </w:rPr>
        <w:t>“</w:t>
      </w:r>
      <w:r w:rsidR="00534ED3">
        <w:rPr>
          <w:rFonts w:ascii="Times New Roman" w:hAnsi="Times New Roman" w:cs="Times New Roman"/>
          <w:sz w:val="24"/>
          <w:szCs w:val="24"/>
        </w:rPr>
        <w:t>.</w:t>
      </w:r>
    </w:p>
    <w:p w:rsidR="00C24C94" w:rsidRPr="0049076D" w:rsidRDefault="00C24C94" w:rsidP="0019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83" w:rsidRPr="0049076D" w:rsidRDefault="00E23D83" w:rsidP="0012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>Član</w:t>
      </w:r>
      <w:r w:rsidR="00E135D7" w:rsidRPr="0049076D">
        <w:rPr>
          <w:rFonts w:ascii="Times New Roman" w:hAnsi="Times New Roman" w:cs="Times New Roman"/>
          <w:b/>
          <w:sz w:val="24"/>
          <w:szCs w:val="24"/>
        </w:rPr>
        <w:t>ak</w:t>
      </w:r>
      <w:r w:rsidRPr="0049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CE">
        <w:rPr>
          <w:rFonts w:ascii="Times New Roman" w:hAnsi="Times New Roman" w:cs="Times New Roman"/>
          <w:b/>
          <w:sz w:val="24"/>
          <w:szCs w:val="24"/>
        </w:rPr>
        <w:t>11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E23D83" w:rsidRPr="0049076D" w:rsidRDefault="00E23D83" w:rsidP="0012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0C" w:rsidRPr="001C0ADE" w:rsidRDefault="00E23D83" w:rsidP="005F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DE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713E5" w:rsidRPr="001C0ADE">
        <w:rPr>
          <w:rFonts w:ascii="Times New Roman" w:hAnsi="Times New Roman" w:cs="Times New Roman"/>
          <w:sz w:val="24"/>
          <w:szCs w:val="24"/>
        </w:rPr>
        <w:t>24</w:t>
      </w:r>
      <w:r w:rsidR="00FA3C56" w:rsidRPr="001C0ADE">
        <w:rPr>
          <w:rFonts w:ascii="Times New Roman" w:hAnsi="Times New Roman" w:cs="Times New Roman"/>
          <w:sz w:val="24"/>
          <w:szCs w:val="24"/>
        </w:rPr>
        <w:t>2. stavku 1. riječi</w:t>
      </w:r>
      <w:r w:rsidR="00F332B3" w:rsidRPr="001C0ADE">
        <w:rPr>
          <w:rFonts w:ascii="Times New Roman" w:hAnsi="Times New Roman" w:cs="Times New Roman"/>
          <w:sz w:val="24"/>
          <w:szCs w:val="24"/>
        </w:rPr>
        <w:t>:</w:t>
      </w:r>
      <w:r w:rsidR="00FA3C56" w:rsidRPr="001C0ADE">
        <w:rPr>
          <w:rFonts w:ascii="Times New Roman" w:hAnsi="Times New Roman" w:cs="Times New Roman"/>
          <w:sz w:val="24"/>
          <w:szCs w:val="24"/>
        </w:rPr>
        <w:t xml:space="preserve"> „5.000.000,00 kuna“ zamjenjuju se riječima</w:t>
      </w:r>
      <w:r w:rsidR="00F332B3" w:rsidRPr="001C0ADE">
        <w:rPr>
          <w:rFonts w:ascii="Times New Roman" w:hAnsi="Times New Roman" w:cs="Times New Roman"/>
          <w:sz w:val="24"/>
          <w:szCs w:val="24"/>
        </w:rPr>
        <w:t>:</w:t>
      </w:r>
      <w:r w:rsidR="00FA3C56" w:rsidRPr="001C0ADE">
        <w:rPr>
          <w:rFonts w:ascii="Times New Roman" w:hAnsi="Times New Roman" w:cs="Times New Roman"/>
          <w:sz w:val="24"/>
          <w:szCs w:val="24"/>
        </w:rPr>
        <w:t xml:space="preserve"> „</w:t>
      </w:r>
      <w:r w:rsidR="006F157B" w:rsidRPr="001C0ADE">
        <w:rPr>
          <w:rFonts w:ascii="Times New Roman" w:hAnsi="Times New Roman" w:cs="Times New Roman"/>
          <w:sz w:val="24"/>
          <w:szCs w:val="24"/>
        </w:rPr>
        <w:t>600</w:t>
      </w:r>
      <w:r w:rsidR="00FA3C56" w:rsidRPr="001C0ADE">
        <w:rPr>
          <w:rFonts w:ascii="Times New Roman" w:hAnsi="Times New Roman" w:cs="Times New Roman"/>
          <w:sz w:val="24"/>
          <w:szCs w:val="24"/>
        </w:rPr>
        <w:t>.000,00 eura“.</w:t>
      </w:r>
    </w:p>
    <w:p w:rsidR="00E55D0C" w:rsidRPr="001C0ADE" w:rsidRDefault="00E55D0C" w:rsidP="00E6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D7" w:rsidRPr="001C0ADE" w:rsidRDefault="00E135D7" w:rsidP="00E6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D7" w:rsidRPr="001C0ADE" w:rsidRDefault="00E135D7" w:rsidP="00E6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D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 w:rsidRPr="001C0ADE">
        <w:rPr>
          <w:rFonts w:ascii="Times New Roman" w:hAnsi="Times New Roman" w:cs="Times New Roman"/>
          <w:b/>
          <w:sz w:val="24"/>
          <w:szCs w:val="24"/>
        </w:rPr>
        <w:t>1</w:t>
      </w:r>
      <w:r w:rsidR="00B154CE">
        <w:rPr>
          <w:rFonts w:ascii="Times New Roman" w:hAnsi="Times New Roman" w:cs="Times New Roman"/>
          <w:b/>
          <w:sz w:val="24"/>
          <w:szCs w:val="24"/>
        </w:rPr>
        <w:t>2</w:t>
      </w:r>
      <w:r w:rsidRPr="001C0ADE">
        <w:rPr>
          <w:rFonts w:ascii="Times New Roman" w:hAnsi="Times New Roman" w:cs="Times New Roman"/>
          <w:b/>
          <w:sz w:val="24"/>
          <w:szCs w:val="24"/>
        </w:rPr>
        <w:t>.</w:t>
      </w:r>
    </w:p>
    <w:p w:rsidR="00E23D83" w:rsidRPr="001C0ADE" w:rsidRDefault="00E23D83" w:rsidP="00B3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E5" w:rsidRDefault="008713E5" w:rsidP="00B3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DE">
        <w:rPr>
          <w:rFonts w:ascii="Times New Roman" w:hAnsi="Times New Roman" w:cs="Times New Roman"/>
          <w:sz w:val="24"/>
          <w:szCs w:val="24"/>
        </w:rPr>
        <w:t>U članku 245. stavku 3. riječi</w:t>
      </w:r>
      <w:r w:rsidR="00F332B3" w:rsidRPr="001C0ADE">
        <w:rPr>
          <w:rFonts w:ascii="Times New Roman" w:hAnsi="Times New Roman" w:cs="Times New Roman"/>
          <w:sz w:val="24"/>
          <w:szCs w:val="24"/>
        </w:rPr>
        <w:t>:</w:t>
      </w:r>
      <w:r w:rsidRPr="001C0ADE">
        <w:rPr>
          <w:rFonts w:ascii="Times New Roman" w:hAnsi="Times New Roman" w:cs="Times New Roman"/>
          <w:sz w:val="24"/>
          <w:szCs w:val="24"/>
        </w:rPr>
        <w:t xml:space="preserve"> „5.000.000,00 kuna“ zamjenjuju se riječima</w:t>
      </w:r>
      <w:r w:rsidR="00F332B3" w:rsidRPr="001C0ADE">
        <w:rPr>
          <w:rFonts w:ascii="Times New Roman" w:hAnsi="Times New Roman" w:cs="Times New Roman"/>
          <w:sz w:val="24"/>
          <w:szCs w:val="24"/>
        </w:rPr>
        <w:t>:</w:t>
      </w:r>
      <w:r w:rsidRPr="001C0ADE">
        <w:rPr>
          <w:rFonts w:ascii="Times New Roman" w:hAnsi="Times New Roman" w:cs="Times New Roman"/>
          <w:sz w:val="24"/>
          <w:szCs w:val="24"/>
        </w:rPr>
        <w:t xml:space="preserve"> „</w:t>
      </w:r>
      <w:r w:rsidR="006F157B" w:rsidRPr="001C0ADE">
        <w:rPr>
          <w:rFonts w:ascii="Times New Roman" w:hAnsi="Times New Roman" w:cs="Times New Roman"/>
          <w:sz w:val="24"/>
          <w:szCs w:val="24"/>
        </w:rPr>
        <w:t>600</w:t>
      </w:r>
      <w:r w:rsidRPr="001C0ADE">
        <w:rPr>
          <w:rFonts w:ascii="Times New Roman" w:hAnsi="Times New Roman" w:cs="Times New Roman"/>
          <w:sz w:val="24"/>
          <w:szCs w:val="24"/>
        </w:rPr>
        <w:t>.000,00 eura“.</w:t>
      </w:r>
    </w:p>
    <w:p w:rsidR="00981864" w:rsidRDefault="00981864" w:rsidP="001F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E" w:rsidRDefault="00817EDE" w:rsidP="001F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E" w:rsidRDefault="00817EDE" w:rsidP="00AD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3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 w:rsidRPr="00C06C38">
        <w:rPr>
          <w:rFonts w:ascii="Times New Roman" w:hAnsi="Times New Roman" w:cs="Times New Roman"/>
          <w:b/>
          <w:sz w:val="24"/>
          <w:szCs w:val="24"/>
        </w:rPr>
        <w:t>1</w:t>
      </w:r>
      <w:r w:rsidR="00B154CE">
        <w:rPr>
          <w:rFonts w:ascii="Times New Roman" w:hAnsi="Times New Roman" w:cs="Times New Roman"/>
          <w:b/>
          <w:sz w:val="24"/>
          <w:szCs w:val="24"/>
        </w:rPr>
        <w:t>3</w:t>
      </w:r>
      <w:r w:rsidRPr="00C06C38">
        <w:rPr>
          <w:rFonts w:ascii="Times New Roman" w:hAnsi="Times New Roman" w:cs="Times New Roman"/>
          <w:b/>
          <w:sz w:val="24"/>
          <w:szCs w:val="24"/>
        </w:rPr>
        <w:t>.</w:t>
      </w:r>
    </w:p>
    <w:p w:rsidR="00817EDE" w:rsidRDefault="00817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DE" w:rsidRDefault="00E5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17EDE" w:rsidRPr="00C06C38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7EDE" w:rsidRPr="00C06C38">
        <w:rPr>
          <w:rFonts w:ascii="Times New Roman" w:hAnsi="Times New Roman" w:cs="Times New Roman"/>
          <w:sz w:val="24"/>
          <w:szCs w:val="24"/>
        </w:rPr>
        <w:t xml:space="preserve"> </w:t>
      </w:r>
      <w:r w:rsidR="008713E5">
        <w:rPr>
          <w:rFonts w:ascii="Times New Roman" w:hAnsi="Times New Roman" w:cs="Times New Roman"/>
          <w:sz w:val="24"/>
          <w:szCs w:val="24"/>
        </w:rPr>
        <w:t>252. stavku 1. točki 6. podtočki d)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„80 milijuna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„10 milijuna eura“. </w:t>
      </w:r>
    </w:p>
    <w:p w:rsidR="00817EDE" w:rsidRDefault="00817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342" w:rsidRDefault="00133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3342" w:rsidRDefault="00133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42" w:rsidRPr="00133342" w:rsidRDefault="0013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42">
        <w:rPr>
          <w:rFonts w:ascii="Times New Roman" w:hAnsi="Times New Roman" w:cs="Times New Roman"/>
          <w:sz w:val="24"/>
          <w:szCs w:val="24"/>
        </w:rPr>
        <w:t>U članku 316. točki 2.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Pr="00133342">
        <w:rPr>
          <w:rFonts w:ascii="Times New Roman" w:hAnsi="Times New Roman" w:cs="Times New Roman"/>
          <w:sz w:val="24"/>
          <w:szCs w:val="24"/>
        </w:rPr>
        <w:t xml:space="preserve"> „i sklonost riziku napajajućeg UCITS fonda“ brišu se.</w:t>
      </w:r>
    </w:p>
    <w:p w:rsidR="00133342" w:rsidRPr="00133342" w:rsidRDefault="0013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42" w:rsidRPr="00133342" w:rsidRDefault="0013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42">
        <w:rPr>
          <w:rFonts w:ascii="Times New Roman" w:hAnsi="Times New Roman" w:cs="Times New Roman"/>
          <w:sz w:val="24"/>
          <w:szCs w:val="24"/>
        </w:rPr>
        <w:t xml:space="preserve">U točki 5. </w:t>
      </w:r>
      <w:r w:rsidR="000E5640">
        <w:rPr>
          <w:rFonts w:ascii="Times New Roman" w:hAnsi="Times New Roman" w:cs="Times New Roman"/>
          <w:sz w:val="24"/>
          <w:szCs w:val="24"/>
        </w:rPr>
        <w:t>iza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0E5640">
        <w:rPr>
          <w:rFonts w:ascii="Times New Roman" w:hAnsi="Times New Roman" w:cs="Times New Roman"/>
          <w:sz w:val="24"/>
          <w:szCs w:val="24"/>
        </w:rPr>
        <w:t xml:space="preserve"> „strategije</w:t>
      </w:r>
      <w:r w:rsidR="002764E8">
        <w:rPr>
          <w:rFonts w:ascii="Times New Roman" w:hAnsi="Times New Roman" w:cs="Times New Roman"/>
          <w:sz w:val="24"/>
          <w:szCs w:val="24"/>
        </w:rPr>
        <w:t xml:space="preserve"> ulaganja</w:t>
      </w:r>
      <w:r w:rsidR="000E5640">
        <w:rPr>
          <w:rFonts w:ascii="Times New Roman" w:hAnsi="Times New Roman" w:cs="Times New Roman"/>
          <w:sz w:val="24"/>
          <w:szCs w:val="24"/>
        </w:rPr>
        <w:t>“ briše se zarez i dodaje se riječ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0E5640">
        <w:rPr>
          <w:rFonts w:ascii="Times New Roman" w:hAnsi="Times New Roman" w:cs="Times New Roman"/>
          <w:sz w:val="24"/>
          <w:szCs w:val="24"/>
        </w:rPr>
        <w:t xml:space="preserve"> „te“, a </w:t>
      </w:r>
      <w:r w:rsidRPr="00133342">
        <w:rPr>
          <w:rFonts w:ascii="Times New Roman" w:hAnsi="Times New Roman" w:cs="Times New Roman"/>
          <w:sz w:val="24"/>
          <w:szCs w:val="24"/>
        </w:rPr>
        <w:t>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Pr="00133342">
        <w:rPr>
          <w:rFonts w:ascii="Times New Roman" w:hAnsi="Times New Roman" w:cs="Times New Roman"/>
          <w:sz w:val="24"/>
          <w:szCs w:val="24"/>
        </w:rPr>
        <w:t xml:space="preserve"> „i sklonost riziku“ briš</w:t>
      </w:r>
      <w:r w:rsidR="000E5640">
        <w:rPr>
          <w:rFonts w:ascii="Times New Roman" w:hAnsi="Times New Roman" w:cs="Times New Roman"/>
          <w:sz w:val="24"/>
          <w:szCs w:val="24"/>
        </w:rPr>
        <w:t>u</w:t>
      </w:r>
      <w:r w:rsidRPr="00133342"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133342" w:rsidRDefault="00133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FF" w:rsidRPr="0049076D" w:rsidRDefault="00ED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 w:rsidRPr="0049076D">
        <w:rPr>
          <w:rFonts w:ascii="Times New Roman" w:hAnsi="Times New Roman" w:cs="Times New Roman"/>
          <w:b/>
          <w:sz w:val="24"/>
          <w:szCs w:val="24"/>
        </w:rPr>
        <w:t>1</w:t>
      </w:r>
      <w:r w:rsidR="00B154CE">
        <w:rPr>
          <w:rFonts w:ascii="Times New Roman" w:hAnsi="Times New Roman" w:cs="Times New Roman"/>
          <w:b/>
          <w:sz w:val="24"/>
          <w:szCs w:val="24"/>
        </w:rPr>
        <w:t>5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ED28FF" w:rsidRPr="0049076D" w:rsidRDefault="00ED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E5" w:rsidRDefault="00ED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713E5">
        <w:rPr>
          <w:rFonts w:ascii="Times New Roman" w:hAnsi="Times New Roman" w:cs="Times New Roman"/>
          <w:sz w:val="24"/>
          <w:szCs w:val="24"/>
        </w:rPr>
        <w:t>336. stavku 1. točki 3.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„5.000.000,00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</w:t>
      </w:r>
      <w:r w:rsidR="006F157B" w:rsidRPr="001C0ADE">
        <w:rPr>
          <w:rFonts w:ascii="Times New Roman" w:hAnsi="Times New Roman" w:cs="Times New Roman"/>
          <w:sz w:val="24"/>
          <w:szCs w:val="24"/>
        </w:rPr>
        <w:t>600</w:t>
      </w:r>
      <w:r w:rsidR="008713E5" w:rsidRPr="001C0ADE">
        <w:rPr>
          <w:rFonts w:ascii="Times New Roman" w:hAnsi="Times New Roman" w:cs="Times New Roman"/>
          <w:sz w:val="24"/>
          <w:szCs w:val="24"/>
        </w:rPr>
        <w:t>.000,00 eura“.</w:t>
      </w:r>
    </w:p>
    <w:p w:rsidR="008713E5" w:rsidRDefault="0087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C9" w:rsidRPr="004E19F8" w:rsidRDefault="00D11EC9" w:rsidP="004E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F8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D11EC9" w:rsidRDefault="00D11EC9" w:rsidP="00D1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C9" w:rsidRPr="00D11EC9" w:rsidRDefault="00D11EC9" w:rsidP="00D1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</w:t>
      </w:r>
      <w:r w:rsidRPr="00D11E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1EC9">
        <w:rPr>
          <w:rFonts w:ascii="Times New Roman" w:hAnsi="Times New Roman" w:cs="Times New Roman"/>
          <w:sz w:val="24"/>
          <w:szCs w:val="24"/>
        </w:rPr>
        <w:t xml:space="preserve"> 342. </w:t>
      </w:r>
      <w:r>
        <w:rPr>
          <w:rFonts w:ascii="Times New Roman" w:hAnsi="Times New Roman" w:cs="Times New Roman"/>
          <w:sz w:val="24"/>
          <w:szCs w:val="24"/>
        </w:rPr>
        <w:t>stavku 3. riječ: „sedam“ zamjenjuje se riječju: „pet</w:t>
      </w:r>
      <w:r w:rsidR="00DA7EAA">
        <w:rPr>
          <w:rFonts w:ascii="Times New Roman" w:hAnsi="Times New Roman" w:cs="Times New Roman"/>
          <w:sz w:val="24"/>
          <w:szCs w:val="24"/>
        </w:rPr>
        <w:t xml:space="preserve"> radnih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11EC9" w:rsidRPr="00D11EC9" w:rsidRDefault="00D11EC9" w:rsidP="00D1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C9" w:rsidRDefault="00D1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E8" w:rsidRPr="0049076D" w:rsidRDefault="00735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154CE" w:rsidRPr="0049076D">
        <w:rPr>
          <w:rFonts w:ascii="Times New Roman" w:hAnsi="Times New Roman" w:cs="Times New Roman"/>
          <w:b/>
          <w:sz w:val="24"/>
          <w:szCs w:val="24"/>
        </w:rPr>
        <w:t>1</w:t>
      </w:r>
      <w:r w:rsidR="00EF3EC4">
        <w:rPr>
          <w:rFonts w:ascii="Times New Roman" w:hAnsi="Times New Roman" w:cs="Times New Roman"/>
          <w:b/>
          <w:sz w:val="24"/>
          <w:szCs w:val="24"/>
        </w:rPr>
        <w:t>7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7350E8" w:rsidRPr="0049076D" w:rsidRDefault="0073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E5" w:rsidRDefault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6D">
        <w:rPr>
          <w:rFonts w:ascii="Times New Roman" w:hAnsi="Times New Roman" w:cs="Times New Roman"/>
          <w:sz w:val="24"/>
          <w:szCs w:val="24"/>
        </w:rPr>
        <w:t xml:space="preserve">U članku </w:t>
      </w:r>
      <w:r w:rsidR="008713E5">
        <w:rPr>
          <w:rFonts w:ascii="Times New Roman" w:hAnsi="Times New Roman" w:cs="Times New Roman"/>
          <w:sz w:val="24"/>
          <w:szCs w:val="24"/>
        </w:rPr>
        <w:t>397. stavku 1. točki 56.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„1.000.000,00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8713E5">
        <w:rPr>
          <w:rFonts w:ascii="Times New Roman" w:hAnsi="Times New Roman" w:cs="Times New Roman"/>
          <w:sz w:val="24"/>
          <w:szCs w:val="24"/>
        </w:rPr>
        <w:t xml:space="preserve"> „125.000,00 eura“. </w:t>
      </w:r>
    </w:p>
    <w:p w:rsidR="008713E5" w:rsidRDefault="0087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E8" w:rsidRDefault="0027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2. mijenja se i glasi:</w:t>
      </w:r>
    </w:p>
    <w:p w:rsidR="002764E8" w:rsidRDefault="0027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E8" w:rsidRDefault="0027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54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Izračunati iznos iz stavka 1. ovoga članka izriče se u iznosu koji je višekratnik </w:t>
      </w:r>
      <w:r w:rsidR="00A25E11">
        <w:rPr>
          <w:rFonts w:ascii="Times New Roman" w:hAnsi="Times New Roman" w:cs="Times New Roman"/>
          <w:sz w:val="24"/>
          <w:szCs w:val="24"/>
        </w:rPr>
        <w:t>broja 1.000.</w:t>
      </w:r>
      <w:r>
        <w:rPr>
          <w:rFonts w:ascii="Times New Roman" w:hAnsi="Times New Roman" w:cs="Times New Roman"/>
          <w:sz w:val="24"/>
          <w:szCs w:val="24"/>
        </w:rPr>
        <w:t xml:space="preserve"> U slučaju kada je izračunati iznos iz stavka 1. ovoga članka manji od 26.540,00 eura, društvo za upravljanje kaznit će se za prekršaj iz stavka 1. ovoga članka novčanom kaznom u iznosu od </w:t>
      </w:r>
      <w:r w:rsidR="00A25E11">
        <w:rPr>
          <w:rFonts w:ascii="Times New Roman" w:hAnsi="Times New Roman" w:cs="Times New Roman"/>
          <w:sz w:val="24"/>
          <w:szCs w:val="24"/>
        </w:rPr>
        <w:t>26.540,00 do 66.360,00 eura.“.</w:t>
      </w:r>
    </w:p>
    <w:p w:rsidR="008713E5" w:rsidRDefault="0087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59" w:rsidRPr="0049076D" w:rsidRDefault="0087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4.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„20.000,00 do 40.000.000,00 kuna“</w:t>
      </w:r>
      <w:r w:rsidR="00F332B3">
        <w:rPr>
          <w:rFonts w:ascii="Times New Roman" w:hAnsi="Times New Roman" w:cs="Times New Roman"/>
          <w:sz w:val="24"/>
          <w:szCs w:val="24"/>
        </w:rPr>
        <w:t xml:space="preserve"> </w:t>
      </w:r>
      <w:r w:rsidR="00E20336">
        <w:rPr>
          <w:rFonts w:ascii="Times New Roman" w:hAnsi="Times New Roman" w:cs="Times New Roman"/>
          <w:sz w:val="24"/>
          <w:szCs w:val="24"/>
        </w:rPr>
        <w:t>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E20336">
        <w:rPr>
          <w:rFonts w:ascii="Times New Roman" w:hAnsi="Times New Roman" w:cs="Times New Roman"/>
          <w:sz w:val="24"/>
          <w:szCs w:val="24"/>
        </w:rPr>
        <w:t xml:space="preserve"> „2.650,00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C0ADE">
        <w:rPr>
          <w:rFonts w:ascii="Times New Roman" w:hAnsi="Times New Roman" w:cs="Times New Roman"/>
          <w:sz w:val="24"/>
          <w:szCs w:val="24"/>
        </w:rPr>
        <w:t xml:space="preserve">5.000.000,00 </w:t>
      </w:r>
      <w:r w:rsidR="00E20336" w:rsidRPr="001C0ADE">
        <w:rPr>
          <w:rFonts w:ascii="Times New Roman" w:hAnsi="Times New Roman" w:cs="Times New Roman"/>
          <w:sz w:val="24"/>
          <w:szCs w:val="24"/>
        </w:rPr>
        <w:t>eura“</w:t>
      </w:r>
      <w:r w:rsidR="002764E8" w:rsidRPr="001C0ADE">
        <w:rPr>
          <w:rFonts w:ascii="Times New Roman" w:hAnsi="Times New Roman" w:cs="Times New Roman"/>
          <w:sz w:val="24"/>
          <w:szCs w:val="24"/>
        </w:rPr>
        <w:t>.</w:t>
      </w:r>
    </w:p>
    <w:p w:rsidR="008F0559" w:rsidRPr="0049076D" w:rsidRDefault="008F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 w:rsidRPr="0049076D">
        <w:rPr>
          <w:rFonts w:ascii="Times New Roman" w:hAnsi="Times New Roman" w:cs="Times New Roman"/>
          <w:b/>
          <w:sz w:val="24"/>
          <w:szCs w:val="24"/>
        </w:rPr>
        <w:t>1</w:t>
      </w:r>
      <w:r w:rsidR="00EF3EC4">
        <w:rPr>
          <w:rFonts w:ascii="Times New Roman" w:hAnsi="Times New Roman" w:cs="Times New Roman"/>
          <w:b/>
          <w:sz w:val="24"/>
          <w:szCs w:val="24"/>
        </w:rPr>
        <w:t>8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8F0559" w:rsidRPr="0049076D" w:rsidRDefault="008F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36" w:rsidRDefault="00E2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398. stavku 1.</w:t>
      </w:r>
      <w:r w:rsidR="00123D7C">
        <w:rPr>
          <w:rFonts w:ascii="Times New Roman" w:hAnsi="Times New Roman" w:cs="Times New Roman"/>
          <w:sz w:val="24"/>
          <w:szCs w:val="24"/>
        </w:rPr>
        <w:t xml:space="preserve"> u uvodnoj rečenici</w:t>
      </w:r>
      <w:r>
        <w:rPr>
          <w:rFonts w:ascii="Times New Roman" w:hAnsi="Times New Roman" w:cs="Times New Roman"/>
          <w:sz w:val="24"/>
          <w:szCs w:val="24"/>
        </w:rPr>
        <w:t xml:space="preserve">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„50.000,00 do 100.000,00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„6.630,00 do 13.270,00 eura“. </w:t>
      </w:r>
    </w:p>
    <w:p w:rsidR="00E20336" w:rsidRDefault="00E2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61" w:rsidRDefault="0005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39. riječi: „stavka 4.“ zamjenjuju se riječima: „stavka 5</w:t>
      </w:r>
      <w:r w:rsidR="00D16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57961" w:rsidRDefault="0005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61" w:rsidRDefault="0005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40. riječi: </w:t>
      </w:r>
      <w:r w:rsidR="00C1723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stavka 5.“ zamjenjuju se riječima: „stavka 6.“.</w:t>
      </w:r>
    </w:p>
    <w:p w:rsidR="00057961" w:rsidRDefault="00057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36" w:rsidRDefault="00E2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„10.0</w:t>
      </w:r>
      <w:r w:rsidR="00E548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do 30.000,00 kuna“</w:t>
      </w:r>
      <w:r w:rsidR="00C918F8">
        <w:rPr>
          <w:rFonts w:ascii="Times New Roman" w:hAnsi="Times New Roman" w:cs="Times New Roman"/>
          <w:sz w:val="24"/>
          <w:szCs w:val="24"/>
        </w:rPr>
        <w:t xml:space="preserve">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C918F8">
        <w:rPr>
          <w:rFonts w:ascii="Times New Roman" w:hAnsi="Times New Roman" w:cs="Times New Roman"/>
          <w:sz w:val="24"/>
          <w:szCs w:val="24"/>
        </w:rPr>
        <w:t xml:space="preserve"> „1.320,00 do 3.980,00 eura“.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7C" w:rsidRDefault="0012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7B" w:rsidRPr="0049076D" w:rsidRDefault="00E6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 w:rsidRPr="0049076D">
        <w:rPr>
          <w:rFonts w:ascii="Times New Roman" w:hAnsi="Times New Roman" w:cs="Times New Roman"/>
          <w:b/>
          <w:sz w:val="24"/>
          <w:szCs w:val="24"/>
        </w:rPr>
        <w:t>1</w:t>
      </w:r>
      <w:r w:rsidR="00EF3EC4">
        <w:rPr>
          <w:rFonts w:ascii="Times New Roman" w:hAnsi="Times New Roman" w:cs="Times New Roman"/>
          <w:b/>
          <w:sz w:val="24"/>
          <w:szCs w:val="24"/>
        </w:rPr>
        <w:t>9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981864" w:rsidRDefault="0098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7C" w:rsidRDefault="0020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399. </w:t>
      </w:r>
      <w:r w:rsidR="002F2404">
        <w:rPr>
          <w:rFonts w:ascii="Times New Roman" w:hAnsi="Times New Roman" w:cs="Times New Roman"/>
          <w:sz w:val="24"/>
          <w:szCs w:val="24"/>
        </w:rPr>
        <w:t xml:space="preserve">u uvodnoj rečenici </w:t>
      </w:r>
      <w:r>
        <w:rPr>
          <w:rFonts w:ascii="Times New Roman" w:hAnsi="Times New Roman" w:cs="Times New Roman"/>
          <w:sz w:val="24"/>
          <w:szCs w:val="24"/>
        </w:rPr>
        <w:t>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„20.000,00 do 50.000,00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„2.650,00 do </w:t>
      </w:r>
      <w:r w:rsidR="00F609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9AD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>,00 eura“.</w:t>
      </w:r>
    </w:p>
    <w:p w:rsidR="00DD7F13" w:rsidRPr="0049076D" w:rsidRDefault="00DD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D4" w:rsidRPr="0049076D" w:rsidRDefault="005E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>
        <w:rPr>
          <w:rFonts w:ascii="Times New Roman" w:hAnsi="Times New Roman" w:cs="Times New Roman"/>
          <w:b/>
          <w:sz w:val="24"/>
          <w:szCs w:val="24"/>
        </w:rPr>
        <w:t>20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5E46D4" w:rsidRPr="0049076D" w:rsidRDefault="005E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0F" w:rsidRDefault="0020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F609AD">
        <w:rPr>
          <w:rFonts w:ascii="Times New Roman" w:hAnsi="Times New Roman" w:cs="Times New Roman"/>
          <w:sz w:val="24"/>
          <w:szCs w:val="24"/>
        </w:rPr>
        <w:t xml:space="preserve">400. stavku 1. </w:t>
      </w:r>
      <w:r w:rsidR="002F2404">
        <w:rPr>
          <w:rFonts w:ascii="Times New Roman" w:hAnsi="Times New Roman" w:cs="Times New Roman"/>
          <w:sz w:val="24"/>
          <w:szCs w:val="24"/>
        </w:rPr>
        <w:t xml:space="preserve">u uvodnoj rečenici </w:t>
      </w:r>
      <w:r w:rsidR="00F609AD">
        <w:rPr>
          <w:rFonts w:ascii="Times New Roman" w:hAnsi="Times New Roman" w:cs="Times New Roman"/>
          <w:sz w:val="24"/>
          <w:szCs w:val="24"/>
        </w:rPr>
        <w:t>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609AD">
        <w:rPr>
          <w:rFonts w:ascii="Times New Roman" w:hAnsi="Times New Roman" w:cs="Times New Roman"/>
          <w:sz w:val="24"/>
          <w:szCs w:val="24"/>
        </w:rPr>
        <w:t xml:space="preserve"> „50.000,00 do 100.000,00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 w:rsidR="00F609AD">
        <w:rPr>
          <w:rFonts w:ascii="Times New Roman" w:hAnsi="Times New Roman" w:cs="Times New Roman"/>
          <w:sz w:val="24"/>
          <w:szCs w:val="24"/>
        </w:rPr>
        <w:t xml:space="preserve"> „6.630,00 do 13.270,00 eura“. </w:t>
      </w: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„10.0</w:t>
      </w:r>
      <w:r w:rsidR="00E548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do 30.000,00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„10.0</w:t>
      </w:r>
      <w:r w:rsidR="00E548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do 30.000,00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AC7E0F" w:rsidRPr="0049076D" w:rsidRDefault="00AC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D4" w:rsidRPr="0049076D" w:rsidRDefault="005E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>
        <w:rPr>
          <w:rFonts w:ascii="Times New Roman" w:hAnsi="Times New Roman" w:cs="Times New Roman"/>
          <w:b/>
          <w:sz w:val="24"/>
          <w:szCs w:val="24"/>
        </w:rPr>
        <w:t>21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5E46D4" w:rsidRPr="0049076D" w:rsidRDefault="005E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40</w:t>
      </w:r>
      <w:r w:rsidR="003C44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stavku 1. </w:t>
      </w:r>
      <w:r w:rsidR="002F2404">
        <w:rPr>
          <w:rFonts w:ascii="Times New Roman" w:hAnsi="Times New Roman" w:cs="Times New Roman"/>
          <w:sz w:val="24"/>
          <w:szCs w:val="24"/>
        </w:rPr>
        <w:t xml:space="preserve">u uvodnoj rečenici </w:t>
      </w:r>
      <w:r>
        <w:rPr>
          <w:rFonts w:ascii="Times New Roman" w:hAnsi="Times New Roman" w:cs="Times New Roman"/>
          <w:sz w:val="24"/>
          <w:szCs w:val="24"/>
        </w:rPr>
        <w:t>riječi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„50.000,00 do 100.000,00 kuna“ zamjenjuju se riječima</w:t>
      </w:r>
      <w:r w:rsidR="00F33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„6.630,00 do 13.270,00 eura“. </w:t>
      </w: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AD" w:rsidRDefault="00F6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„10.0</w:t>
      </w:r>
      <w:r w:rsidR="00E548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do 30.000,00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AC7E0F" w:rsidRPr="0049076D" w:rsidRDefault="00AC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B38" w:rsidRPr="0049076D" w:rsidRDefault="007C4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>Članak</w:t>
      </w:r>
      <w:r w:rsidR="00C62EB5" w:rsidRPr="0049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C4">
        <w:rPr>
          <w:rFonts w:ascii="Times New Roman" w:hAnsi="Times New Roman" w:cs="Times New Roman"/>
          <w:b/>
          <w:sz w:val="24"/>
          <w:szCs w:val="24"/>
        </w:rPr>
        <w:t>22</w:t>
      </w:r>
      <w:r w:rsidR="00C62EB5"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6C4CB0" w:rsidRPr="0049076D" w:rsidRDefault="006C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497" w:rsidRDefault="00AC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3C4497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 xml:space="preserve">. stavku </w:t>
      </w:r>
      <w:r w:rsidR="003C44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98E">
        <w:rPr>
          <w:rFonts w:ascii="Times New Roman" w:hAnsi="Times New Roman" w:cs="Times New Roman"/>
          <w:sz w:val="24"/>
          <w:szCs w:val="24"/>
        </w:rPr>
        <w:t xml:space="preserve">u uvodnoj rečenici </w:t>
      </w:r>
      <w:r>
        <w:rPr>
          <w:rFonts w:ascii="Times New Roman" w:hAnsi="Times New Roman" w:cs="Times New Roman"/>
          <w:sz w:val="24"/>
          <w:szCs w:val="24"/>
        </w:rPr>
        <w:t>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497">
        <w:rPr>
          <w:rFonts w:ascii="Times New Roman" w:hAnsi="Times New Roman" w:cs="Times New Roman"/>
          <w:sz w:val="24"/>
          <w:szCs w:val="24"/>
        </w:rPr>
        <w:t>„50.000,00 do 100.000,00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 w:rsidR="003C4497">
        <w:rPr>
          <w:rFonts w:ascii="Times New Roman" w:hAnsi="Times New Roman" w:cs="Times New Roman"/>
          <w:sz w:val="24"/>
          <w:szCs w:val="24"/>
        </w:rPr>
        <w:t xml:space="preserve"> „6.630,00 do 13.270,00 eura“.</w:t>
      </w:r>
    </w:p>
    <w:p w:rsidR="003C4497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97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</w:t>
      </w:r>
      <w:r w:rsidR="00B228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do 30.000,00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3C4497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97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</w:t>
      </w:r>
      <w:r w:rsidR="00B228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do 30.000,00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F86293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Del="003C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76" w:rsidRDefault="00C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>
        <w:rPr>
          <w:rFonts w:ascii="Times New Roman" w:hAnsi="Times New Roman" w:cs="Times New Roman"/>
          <w:b/>
          <w:sz w:val="24"/>
          <w:szCs w:val="24"/>
        </w:rPr>
        <w:t>23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A3061E" w:rsidRDefault="00A30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497" w:rsidRDefault="001E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403. stavak 2. mijenja se i glasi:</w:t>
      </w:r>
    </w:p>
    <w:p w:rsidR="001E544E" w:rsidRDefault="001E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4E" w:rsidRDefault="001E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Izračunati iznos iz stavka 1. ovoga članka izriče se u iznosu koji je višekratnik broja 1.000. U slučaju kada je izračunati iznos iz stavka 1. ovoga članka manji od 26.540,00 eura, depozitar će se kazniti za prekršaj iz stavka 1. ovoga članka novčanom kaznom u iznosu od 26.540,00 do 66.360,00 eura.“.</w:t>
      </w:r>
    </w:p>
    <w:p w:rsidR="001E544E" w:rsidRDefault="001E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97" w:rsidRPr="005E2E43" w:rsidRDefault="003C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DE">
        <w:rPr>
          <w:rFonts w:ascii="Times New Roman" w:hAnsi="Times New Roman" w:cs="Times New Roman"/>
          <w:sz w:val="24"/>
          <w:szCs w:val="24"/>
        </w:rPr>
        <w:t>U stavku 4. riječi</w:t>
      </w:r>
      <w:r w:rsidR="005A7C78" w:rsidRPr="001C0ADE">
        <w:rPr>
          <w:rFonts w:ascii="Times New Roman" w:hAnsi="Times New Roman" w:cs="Times New Roman"/>
          <w:sz w:val="24"/>
          <w:szCs w:val="24"/>
        </w:rPr>
        <w:t>:</w:t>
      </w:r>
      <w:r w:rsidRPr="001C0ADE">
        <w:rPr>
          <w:rFonts w:ascii="Times New Roman" w:hAnsi="Times New Roman" w:cs="Times New Roman"/>
          <w:sz w:val="24"/>
          <w:szCs w:val="24"/>
        </w:rPr>
        <w:t xml:space="preserve"> „20.000,00 do 40.000.000,00 kuna“ zamjenjuju se riječima</w:t>
      </w:r>
      <w:r w:rsidR="005A7C78" w:rsidRPr="001C0ADE">
        <w:rPr>
          <w:rFonts w:ascii="Times New Roman" w:hAnsi="Times New Roman" w:cs="Times New Roman"/>
          <w:sz w:val="24"/>
          <w:szCs w:val="24"/>
        </w:rPr>
        <w:t>:</w:t>
      </w:r>
      <w:r w:rsidRPr="001C0ADE">
        <w:rPr>
          <w:rFonts w:ascii="Times New Roman" w:hAnsi="Times New Roman" w:cs="Times New Roman"/>
          <w:sz w:val="24"/>
          <w:szCs w:val="24"/>
        </w:rPr>
        <w:t xml:space="preserve"> „2.650,00 do 5.000.000,00 eura“</w:t>
      </w:r>
      <w:r w:rsidR="00643998" w:rsidRPr="001C0ADE">
        <w:rPr>
          <w:rFonts w:ascii="Times New Roman" w:hAnsi="Times New Roman" w:cs="Times New Roman"/>
          <w:sz w:val="24"/>
          <w:szCs w:val="24"/>
        </w:rPr>
        <w:t>.</w:t>
      </w:r>
    </w:p>
    <w:p w:rsidR="003C4497" w:rsidRPr="00635EC0" w:rsidRDefault="003C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76" w:rsidRPr="0049076D" w:rsidRDefault="00C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6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3EC4">
        <w:rPr>
          <w:rFonts w:ascii="Times New Roman" w:hAnsi="Times New Roman" w:cs="Times New Roman"/>
          <w:b/>
          <w:sz w:val="24"/>
          <w:szCs w:val="24"/>
        </w:rPr>
        <w:t>24</w:t>
      </w:r>
      <w:r w:rsidRPr="0049076D">
        <w:rPr>
          <w:rFonts w:ascii="Times New Roman" w:hAnsi="Times New Roman" w:cs="Times New Roman"/>
          <w:b/>
          <w:sz w:val="24"/>
          <w:szCs w:val="24"/>
        </w:rPr>
        <w:t>.</w:t>
      </w:r>
    </w:p>
    <w:p w:rsidR="00C45F76" w:rsidRPr="0049076D" w:rsidRDefault="00C4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50" w:rsidRDefault="005B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404. stavku 1. </w:t>
      </w:r>
      <w:r w:rsidR="0093217B">
        <w:rPr>
          <w:rFonts w:ascii="Times New Roman" w:hAnsi="Times New Roman" w:cs="Times New Roman"/>
          <w:sz w:val="24"/>
          <w:szCs w:val="24"/>
        </w:rPr>
        <w:t xml:space="preserve">u uvodnoj rečenici </w:t>
      </w:r>
      <w:r>
        <w:rPr>
          <w:rFonts w:ascii="Times New Roman" w:hAnsi="Times New Roman" w:cs="Times New Roman"/>
          <w:sz w:val="24"/>
          <w:szCs w:val="24"/>
        </w:rPr>
        <w:t>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„50.000,00 do 100.000,00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„6.630,00 do 13.270,00 eura“.</w:t>
      </w:r>
    </w:p>
    <w:p w:rsidR="00C45F76" w:rsidRDefault="00C4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50" w:rsidRDefault="005B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„10.</w:t>
      </w:r>
      <w:r w:rsidR="00C444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do 30.000,00 kuna“ zamjenjuju se riječima</w:t>
      </w:r>
      <w:r w:rsidR="005A7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„1.320,00 do 3.980,00 eura“.  </w:t>
      </w:r>
    </w:p>
    <w:p w:rsidR="00665997" w:rsidRDefault="0066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4AA4" w:rsidRDefault="00F8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EF3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84AA4" w:rsidRDefault="00F84AA4" w:rsidP="00F84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4AA4" w:rsidRPr="00BE76DE" w:rsidRDefault="00F84AA4" w:rsidP="00F84A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56">
        <w:rPr>
          <w:rFonts w:ascii="Times New Roman" w:hAnsi="Times New Roman" w:cs="Times New Roman"/>
          <w:bCs/>
          <w:sz w:val="24"/>
          <w:szCs w:val="24"/>
        </w:rPr>
        <w:t>U Zakonu o izmjenama i dopunama Zakona o otvorenim investicijskim fondovima s javnom</w:t>
      </w:r>
      <w:r>
        <w:rPr>
          <w:rFonts w:ascii="Times New Roman" w:hAnsi="Times New Roman" w:cs="Times New Roman"/>
          <w:bCs/>
          <w:sz w:val="24"/>
          <w:szCs w:val="24"/>
        </w:rPr>
        <w:t xml:space="preserve"> ponudom (,,Narodne novine“</w:t>
      </w:r>
      <w:r w:rsidRPr="00677856">
        <w:rPr>
          <w:rFonts w:ascii="Times New Roman" w:hAnsi="Times New Roman" w:cs="Times New Roman"/>
          <w:bCs/>
          <w:sz w:val="24"/>
          <w:szCs w:val="24"/>
        </w:rPr>
        <w:t xml:space="preserve">, broj </w:t>
      </w:r>
      <w:r>
        <w:rPr>
          <w:rFonts w:ascii="Times New Roman" w:hAnsi="Times New Roman" w:cs="Times New Roman"/>
          <w:bCs/>
          <w:sz w:val="24"/>
          <w:szCs w:val="24"/>
        </w:rPr>
        <w:t>110/21.</w:t>
      </w:r>
      <w:r w:rsidRPr="00677856">
        <w:rPr>
          <w:rFonts w:ascii="Times New Roman" w:hAnsi="Times New Roman" w:cs="Times New Roman"/>
          <w:bCs/>
          <w:sz w:val="24"/>
          <w:szCs w:val="24"/>
        </w:rPr>
        <w:t>), u članku</w:t>
      </w:r>
      <w:r>
        <w:rPr>
          <w:rFonts w:ascii="Times New Roman" w:hAnsi="Times New Roman" w:cs="Times New Roman"/>
          <w:bCs/>
          <w:sz w:val="24"/>
          <w:szCs w:val="24"/>
        </w:rPr>
        <w:t xml:space="preserve"> 63. riječ</w:t>
      </w:r>
      <w:r w:rsidRPr="00677856">
        <w:rPr>
          <w:rFonts w:ascii="Times New Roman" w:hAnsi="Times New Roman" w:cs="Times New Roman"/>
          <w:bCs/>
          <w:sz w:val="24"/>
          <w:szCs w:val="24"/>
        </w:rPr>
        <w:t xml:space="preserve">i: </w:t>
      </w:r>
      <w:r w:rsidRPr="00FD3BA7">
        <w:rPr>
          <w:rFonts w:ascii="Times New Roman" w:hAnsi="Times New Roman" w:cs="Times New Roman"/>
          <w:bCs/>
          <w:sz w:val="24"/>
          <w:szCs w:val="24"/>
        </w:rPr>
        <w:t>,,1. siječnja 2023.“</w:t>
      </w:r>
      <w:r w:rsidRPr="00BE7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zamjenjuj</w:t>
      </w:r>
      <w:r w:rsidRPr="00E11D56">
        <w:rPr>
          <w:rFonts w:ascii="Times New Roman" w:hAnsi="Times New Roman" w:cs="Times New Roman"/>
          <w:bCs/>
          <w:sz w:val="24"/>
          <w:szCs w:val="24"/>
        </w:rPr>
        <w:t xml:space="preserve">u se </w:t>
      </w:r>
      <w:r>
        <w:rPr>
          <w:rFonts w:ascii="Times New Roman" w:hAnsi="Times New Roman" w:cs="Times New Roman"/>
          <w:bCs/>
          <w:sz w:val="24"/>
          <w:szCs w:val="24"/>
        </w:rPr>
        <w:t>riječima</w:t>
      </w:r>
      <w:r w:rsidRPr="00E11D56">
        <w:rPr>
          <w:rFonts w:ascii="Times New Roman" w:hAnsi="Times New Roman" w:cs="Times New Roman"/>
          <w:bCs/>
          <w:sz w:val="24"/>
          <w:szCs w:val="24"/>
        </w:rPr>
        <w:t xml:space="preserve">: „osmog dana od dana objave u </w:t>
      </w:r>
      <w:r w:rsidRPr="00FD3BA7">
        <w:rPr>
          <w:rFonts w:ascii="Times New Roman" w:hAnsi="Times New Roman" w:cs="Times New Roman"/>
          <w:bCs/>
          <w:sz w:val="24"/>
          <w:szCs w:val="24"/>
        </w:rPr>
        <w:t>,,Narodnim novinama“</w:t>
      </w:r>
      <w:r w:rsidR="00B54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598">
        <w:rPr>
          <w:rFonts w:ascii="Times New Roman" w:hAnsi="Times New Roman" w:cs="Times New Roman"/>
          <w:bCs/>
          <w:sz w:val="24"/>
          <w:szCs w:val="24"/>
        </w:rPr>
        <w:t>“</w:t>
      </w:r>
      <w:r w:rsidRPr="00FD3BA7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AA4" w:rsidRDefault="00F8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4AA4" w:rsidRDefault="00F8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184A" w:rsidRDefault="00D8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Stupanje na snagu</w:t>
      </w:r>
    </w:p>
    <w:p w:rsidR="005F39E1" w:rsidRDefault="005F3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54B8C" w:rsidRPr="00954B8C" w:rsidRDefault="009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4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EF3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</w:t>
      </w:r>
      <w:r w:rsidRPr="00954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54B8C" w:rsidRPr="00954B8C" w:rsidRDefault="0095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34ED3" w:rsidRPr="001C0ADE" w:rsidRDefault="0095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osmog</w:t>
      </w:r>
      <w:r w:rsidR="00B11B4B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„Narodnim novinama“, osim članka 1. i </w:t>
      </w:r>
      <w:r w:rsidR="00366D65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243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1C2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Zakona 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B11B4B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stupaju na snagu 1. siječnja 2023. te članaka </w:t>
      </w:r>
      <w:r w:rsidR="0065220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2., 3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r w:rsidR="00243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1609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3CB0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43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1609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90714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243CB0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43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90714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3E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243CB0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43C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11609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3E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17.</w:t>
      </w:r>
      <w:r w:rsidR="0011609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211E4E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211E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16097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90714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6306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AF2581" w:rsidRPr="001C0A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stupaju na snagu na dan uvođenja eura kao službene valute Republike Hrvatske. </w:t>
      </w:r>
    </w:p>
    <w:p w:rsidR="00BE76DE" w:rsidRDefault="00BE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4CE" w:rsidRDefault="00B15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7BD" w:rsidRPr="00954B8C" w:rsidRDefault="0033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 xml:space="preserve">OBRAZLOŽENJE </w:t>
      </w:r>
    </w:p>
    <w:p w:rsidR="003327BD" w:rsidRPr="00954B8C" w:rsidRDefault="0033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30067B" w:rsidRPr="004F5B97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članak 1. </w:t>
      </w:r>
    </w:p>
    <w:p w:rsidR="004F5B97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Obzirom da se Prijedlogom </w:t>
      </w:r>
      <w:r w:rsidR="00D1659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akona prenosi pravna stečevina, točnije </w:t>
      </w:r>
      <w:r w:rsidR="00FE74E3" w:rsidRPr="00FE74E3">
        <w:rPr>
          <w:rFonts w:ascii="Times New Roman" w:hAnsi="Times New Roman" w:cs="Times New Roman"/>
          <w:color w:val="000000"/>
          <w:sz w:val="24"/>
          <w:szCs w:val="24"/>
        </w:rPr>
        <w:t>Direktiva (EU) 2021/2261 Europskog parlamenta i Vijeća od 15. prosinca 2021. o izmjeni Direktive 2009/65/EZ u pogledu uporabe dokumenata s ključnim informacijama od strane društava za upravljanje subjektima za zajednička ulaganja u prenosive vrijednosne papire (UCITS) (Tekst značajan za EGP)</w:t>
      </w:r>
      <w:r w:rsidR="00FE74E3">
        <w:rPr>
          <w:rFonts w:ascii="Times New Roman" w:hAnsi="Times New Roman" w:cs="Times New Roman"/>
          <w:color w:val="000000"/>
          <w:sz w:val="24"/>
          <w:szCs w:val="24"/>
        </w:rPr>
        <w:t xml:space="preserve"> (SL </w:t>
      </w:r>
      <w:r w:rsidR="00FE74E3" w:rsidRPr="00FE74E3">
        <w:rPr>
          <w:rFonts w:ascii="Times New Roman" w:hAnsi="Times New Roman" w:cs="Times New Roman"/>
          <w:color w:val="000000"/>
          <w:sz w:val="24"/>
          <w:szCs w:val="24"/>
        </w:rPr>
        <w:t>L 455, 20.</w:t>
      </w:r>
      <w:r w:rsidR="00B67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4E3" w:rsidRPr="00FE74E3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B67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4E3" w:rsidRPr="00FE74E3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FE74E3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E3463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Direktiva (EU) 2021/2261)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koja mijenja već prenesenu Direktivu 20</w:t>
      </w:r>
      <w:r w:rsidR="006F15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9/65/EZ</w:t>
      </w:r>
      <w:r w:rsidR="00FE74E3" w:rsidRPr="00FE74E3">
        <w:t xml:space="preserve"> </w:t>
      </w:r>
      <w:r w:rsidR="00FE74E3" w:rsidRP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Europskog parlamenta i Vijeća od 13. srpnja 2009. o usklađivanju zakona i drugih propisa u odnosu na subjekte za zajednička ulaganja u prenosive vrijednosne papire (UCITS) (preinačena) </w:t>
      </w:r>
      <w:r w:rsid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FE74E3" w:rsidRP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Tekst značajan za EGP</w:t>
      </w:r>
      <w:r w:rsid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 (SL</w:t>
      </w:r>
      <w:r w:rsidR="00FE74E3" w:rsidRP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 302, 17.</w:t>
      </w:r>
      <w:r w:rsidR="00B67C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E74E3" w:rsidRP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11.</w:t>
      </w:r>
      <w:r w:rsidR="00B67C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E74E3" w:rsidRP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</w:t>
      </w:r>
      <w:r w:rsidR="00FE74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.) (u daljnjem tekstu: Direktiva 2009/65)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ista se navodi u odredbi o prenošenju pravne stečevine. </w:t>
      </w:r>
    </w:p>
    <w:p w:rsidR="004F5B97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B97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F5B9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2. </w:t>
      </w:r>
    </w:p>
    <w:p w:rsidR="00652207" w:rsidRDefault="008209DC" w:rsidP="006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Novčani i</w:t>
      </w:r>
      <w:r w:rsidR="00652207">
        <w:rPr>
          <w:rFonts w:ascii="Times New Roman" w:hAnsi="Times New Roman" w:cs="Times New Roman"/>
          <w:color w:val="000000"/>
          <w:sz w:val="24"/>
          <w:szCs w:val="24"/>
        </w:rPr>
        <w:t xml:space="preserve">znos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kunama </w:t>
      </w:r>
      <w:r w:rsidR="00652207">
        <w:rPr>
          <w:rFonts w:ascii="Times New Roman" w:hAnsi="Times New Roman" w:cs="Times New Roman"/>
          <w:color w:val="000000"/>
          <w:sz w:val="24"/>
          <w:szCs w:val="24"/>
        </w:rPr>
        <w:t>usklađuj</w:t>
      </w:r>
      <w:r w:rsidR="00B67C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52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652207">
        <w:rPr>
          <w:rFonts w:ascii="Times New Roman" w:hAnsi="Times New Roman" w:cs="Times New Roman"/>
          <w:color w:val="000000"/>
          <w:sz w:val="24"/>
          <w:szCs w:val="24"/>
        </w:rPr>
        <w:t>s iznos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B67C0B">
        <w:rPr>
          <w:rFonts w:ascii="Times New Roman" w:hAnsi="Times New Roman" w:cs="Times New Roman"/>
          <w:color w:val="000000"/>
          <w:sz w:val="24"/>
          <w:szCs w:val="24"/>
        </w:rPr>
        <w:t xml:space="preserve"> u eurima</w:t>
      </w:r>
      <w:r w:rsidR="00652207">
        <w:rPr>
          <w:rFonts w:ascii="Times New Roman" w:hAnsi="Times New Roman" w:cs="Times New Roman"/>
          <w:color w:val="000000"/>
          <w:sz w:val="24"/>
          <w:szCs w:val="24"/>
        </w:rPr>
        <w:t xml:space="preserve"> propisanim člankom 7. Direktive </w:t>
      </w:r>
      <w:r w:rsidR="00652207"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 w:rsidR="006522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52207" w:rsidRDefault="006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652207" w:rsidRDefault="006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Uz članak 3.</w:t>
      </w:r>
    </w:p>
    <w:p w:rsidR="004F5B97" w:rsidRDefault="0082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Novčani i</w:t>
      </w:r>
      <w:r w:rsidR="004F5B97">
        <w:rPr>
          <w:rFonts w:ascii="Times New Roman" w:hAnsi="Times New Roman" w:cs="Times New Roman"/>
          <w:color w:val="000000"/>
          <w:sz w:val="24"/>
          <w:szCs w:val="24"/>
        </w:rPr>
        <w:t xml:space="preserve">znosi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kunama </w:t>
      </w:r>
      <w:r w:rsidR="004F5B97">
        <w:rPr>
          <w:rFonts w:ascii="Times New Roman" w:hAnsi="Times New Roman" w:cs="Times New Roman"/>
          <w:color w:val="000000"/>
          <w:sz w:val="24"/>
          <w:szCs w:val="24"/>
        </w:rPr>
        <w:t xml:space="preserve">usklađuju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4F5B9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>iznosima</w:t>
      </w:r>
      <w:r w:rsidR="004F5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C0B">
        <w:rPr>
          <w:rFonts w:ascii="Times New Roman" w:hAnsi="Times New Roman" w:cs="Times New Roman"/>
          <w:color w:val="000000"/>
          <w:sz w:val="24"/>
          <w:szCs w:val="24"/>
        </w:rPr>
        <w:t xml:space="preserve">u eurima </w:t>
      </w:r>
      <w:r w:rsidR="004F5B97">
        <w:rPr>
          <w:rFonts w:ascii="Times New Roman" w:hAnsi="Times New Roman" w:cs="Times New Roman"/>
          <w:color w:val="000000"/>
          <w:sz w:val="24"/>
          <w:szCs w:val="24"/>
        </w:rPr>
        <w:t xml:space="preserve">propisanim člankom 7. Direktive </w:t>
      </w:r>
      <w:r w:rsidR="004F5B97"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 w:rsidR="004F5B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BD7E38" w:rsidRDefault="00BD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D7E38" w:rsidRDefault="00BD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D7E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</w:t>
      </w:r>
      <w:r w:rsidR="0065220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BD7E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BD7E38" w:rsidRPr="00BD7E38" w:rsidRDefault="00B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Prijedlogom izmjena </w:t>
      </w:r>
      <w:r w:rsidR="00BD7E38" w:rsidRPr="00BD7E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članku 65.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važećeg Zakona </w:t>
      </w:r>
      <w:r w:rsidR="00BD7E38" w:rsidRPr="00BD7E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sadržaj mrežne stranice društva za upravljanje usklađuje</w:t>
      </w:r>
      <w:r w:rsidR="00B67C0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</w:t>
      </w:r>
      <w:r w:rsidR="00BD7E38" w:rsidRPr="00BD7E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 posljednjim izmjenama sadržaja prospekta UCITS fonda u dijelu prikazivanja informacija o rizicima.</w:t>
      </w:r>
    </w:p>
    <w:p w:rsidR="004F5B97" w:rsidRPr="00BD7E38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B97" w:rsidRDefault="004F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F5B9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</w:t>
      </w:r>
      <w:r w:rsidR="0065220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</w:t>
      </w:r>
      <w:r w:rsidRPr="004F5B9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</w:p>
    <w:p w:rsidR="004F5B97" w:rsidRDefault="00B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Prijedlogom i</w:t>
      </w:r>
      <w:r w:rsidR="004F5B97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zmjena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odredbi </w:t>
      </w:r>
      <w:r w:rsidR="004F5B97" w:rsidRPr="007A156E">
        <w:rPr>
          <w:rFonts w:ascii="Times New Roman" w:hAnsi="Times New Roman" w:cs="Times New Roman"/>
          <w:color w:val="000000"/>
          <w:sz w:val="24"/>
          <w:szCs w:val="24"/>
        </w:rPr>
        <w:t>u članku 143.a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važećeg Zakona</w:t>
      </w:r>
      <w:r w:rsidR="004F5B97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iste se </w:t>
      </w:r>
      <w:r w:rsidR="00807A7F">
        <w:rPr>
          <w:rFonts w:ascii="Times New Roman" w:hAnsi="Times New Roman" w:cs="Times New Roman"/>
          <w:color w:val="000000"/>
          <w:sz w:val="24"/>
          <w:szCs w:val="24"/>
        </w:rPr>
        <w:t xml:space="preserve">dodatno </w:t>
      </w:r>
      <w:r w:rsidR="004F5B97" w:rsidRPr="007A156E">
        <w:rPr>
          <w:rFonts w:ascii="Times New Roman" w:hAnsi="Times New Roman" w:cs="Times New Roman"/>
          <w:color w:val="000000"/>
          <w:sz w:val="24"/>
          <w:szCs w:val="24"/>
        </w:rPr>
        <w:t>usklađuju s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 izričajem</w:t>
      </w:r>
      <w:r w:rsidR="004F5B97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odredb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D1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Direktiv</w:t>
      </w:r>
      <w:r w:rsidR="00807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 xml:space="preserve"> (EU) 2019/1160 Europskog parlamenta i Vijeća od 20. lipnja 2019. o izmjeni direktiva 2009/65/EZ i 2011/61/EU u pogledu prekogranične distribucije subjekata za zajednička ulaganja (Tekst značajan za EGP)</w:t>
      </w:r>
      <w:r w:rsidR="009E34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PE/53/2019/REV/1</w:t>
      </w:r>
      <w:r w:rsidR="009E3463">
        <w:rPr>
          <w:rFonts w:ascii="Times New Roman" w:hAnsi="Times New Roman" w:cs="Times New Roman"/>
          <w:color w:val="000000"/>
          <w:sz w:val="24"/>
          <w:szCs w:val="24"/>
        </w:rPr>
        <w:t xml:space="preserve">) (SL 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L 188, 12.</w:t>
      </w:r>
      <w:r w:rsidR="00807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07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E3463">
        <w:rPr>
          <w:rFonts w:ascii="Times New Roman" w:hAnsi="Times New Roman" w:cs="Times New Roman"/>
          <w:color w:val="000000"/>
          <w:sz w:val="24"/>
          <w:szCs w:val="24"/>
        </w:rPr>
        <w:t xml:space="preserve">9.) (u daljnjem tekstu: </w:t>
      </w:r>
      <w:r w:rsidR="009E3463" w:rsidRPr="009E3463">
        <w:rPr>
          <w:rFonts w:ascii="Times New Roman" w:hAnsi="Times New Roman" w:cs="Times New Roman"/>
          <w:color w:val="000000"/>
          <w:sz w:val="24"/>
          <w:szCs w:val="24"/>
        </w:rPr>
        <w:t>Direktiva (EU) 2019/1160</w:t>
      </w:r>
      <w:r w:rsidR="009E346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4CE" w:rsidRPr="000D601C" w:rsidRDefault="00B1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01C">
        <w:rPr>
          <w:rFonts w:ascii="Times New Roman" w:hAnsi="Times New Roman" w:cs="Times New Roman"/>
          <w:b/>
          <w:color w:val="000000"/>
          <w:sz w:val="24"/>
          <w:szCs w:val="24"/>
        </w:rPr>
        <w:t>Uz članak 6.</w:t>
      </w:r>
    </w:p>
    <w:p w:rsidR="00B154CE" w:rsidRDefault="00B1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cilju postizanja bolje pravne jasnoće teksta, članak 144. važećeg Zakona izmijenjen je na način da je razvidno kako na području Republike Hrvatske udjelima otvorenih investicijskih fondova s javnom ponudom iz trećih država može trgovati isključivo ono društvo za upravljanje koje upravlja tim investicijskim fondom.</w:t>
      </w:r>
    </w:p>
    <w:p w:rsidR="00B154CE" w:rsidRDefault="00B1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56E" w:rsidRP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članak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Iznos minimalnog temeljnog kapitala društva za upravljanje se usklađuje s iznosom</w:t>
      </w:r>
      <w:r w:rsidR="004615BB">
        <w:rPr>
          <w:rFonts w:ascii="Times New Roman" w:hAnsi="Times New Roman" w:cs="Times New Roman"/>
          <w:color w:val="000000"/>
          <w:sz w:val="24"/>
          <w:szCs w:val="24"/>
        </w:rPr>
        <w:t xml:space="preserve"> u eurima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propisanim člankom 7. Direktive </w:t>
      </w:r>
      <w:r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>Uz član</w:t>
      </w:r>
      <w:r w:rsidR="001657CE">
        <w:rPr>
          <w:rFonts w:ascii="Times New Roman" w:hAnsi="Times New Roman" w:cs="Times New Roman"/>
          <w:b/>
          <w:color w:val="000000"/>
          <w:sz w:val="24"/>
          <w:szCs w:val="24"/>
        </w:rPr>
        <w:t>ke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156E" w:rsidRDefault="00B7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Prijedlogom i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zmjena u članku 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154. </w:t>
      </w:r>
      <w:r w:rsidR="005E6053">
        <w:rPr>
          <w:rFonts w:ascii="Times New Roman" w:hAnsi="Times New Roman" w:cs="Times New Roman"/>
          <w:color w:val="000000"/>
          <w:sz w:val="24"/>
          <w:szCs w:val="24"/>
        </w:rPr>
        <w:t>i članku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 154.a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>, dodatno se odredbe važećeg Zakona usklađuju s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 izričajem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odredb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Direktive (EU) 2019/1160</w:t>
      </w:r>
      <w:r w:rsidR="002B6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E0D">
        <w:rPr>
          <w:rFonts w:ascii="Times New Roman" w:hAnsi="Times New Roman" w:cs="Times New Roman"/>
          <w:color w:val="000000"/>
          <w:sz w:val="24"/>
          <w:szCs w:val="24"/>
        </w:rPr>
        <w:t xml:space="preserve">kako bi se detaljnije odredila postupanja društva za upravljanje koje trguje udjelima UCITS fonda u državi članici domaćinu UCITS fonda vezana uz obavijest o namjeri početka trgovanja udjelima UCITS fonda. 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56E" w:rsidRP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članak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Prijedlogom </w:t>
      </w:r>
      <w:r w:rsidR="008F198C">
        <w:rPr>
          <w:rFonts w:ascii="Times New Roman" w:hAnsi="Times New Roman" w:cs="Times New Roman"/>
          <w:color w:val="000000"/>
          <w:sz w:val="24"/>
          <w:szCs w:val="24"/>
        </w:rPr>
        <w:t>odredbi</w:t>
      </w:r>
      <w:r w:rsidR="005E6053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56E">
        <w:rPr>
          <w:rFonts w:ascii="Times New Roman" w:hAnsi="Times New Roman" w:cs="Times New Roman"/>
          <w:color w:val="000000"/>
          <w:sz w:val="24"/>
          <w:szCs w:val="24"/>
        </w:rPr>
        <w:t>novog</w:t>
      </w:r>
      <w:r w:rsidR="005E60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članka 203.a prenosi se u važeći Zakon odredba članka 1. Direktive (EU) 2021/2261</w:t>
      </w:r>
      <w:r w:rsidR="003B30ED">
        <w:rPr>
          <w:rFonts w:ascii="Times New Roman" w:hAnsi="Times New Roman" w:cs="Times New Roman"/>
          <w:color w:val="000000"/>
          <w:sz w:val="24"/>
          <w:szCs w:val="24"/>
        </w:rPr>
        <w:t xml:space="preserve"> kojom je propisano da će nadležna tijela smatrati da dokument s ključnim informacijama, sastavljen u skladu s</w:t>
      </w:r>
      <w:r w:rsidR="003655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B30ED">
        <w:rPr>
          <w:rFonts w:ascii="Times New Roman" w:hAnsi="Times New Roman" w:cs="Times New Roman"/>
          <w:color w:val="000000"/>
          <w:sz w:val="24"/>
          <w:szCs w:val="24"/>
        </w:rPr>
        <w:t xml:space="preserve"> zahtjevima</w:t>
      </w:r>
      <w:r w:rsidR="0036558D">
        <w:rPr>
          <w:rFonts w:ascii="Times New Roman" w:hAnsi="Times New Roman" w:cs="Times New Roman"/>
          <w:color w:val="000000"/>
          <w:sz w:val="24"/>
          <w:szCs w:val="24"/>
        </w:rPr>
        <w:t xml:space="preserve"> za dokumente s ključnim informacijama</w:t>
      </w:r>
      <w:r w:rsidR="003B30ED">
        <w:rPr>
          <w:rFonts w:ascii="Times New Roman" w:hAnsi="Times New Roman" w:cs="Times New Roman"/>
          <w:color w:val="000000"/>
          <w:sz w:val="24"/>
          <w:szCs w:val="24"/>
        </w:rPr>
        <w:t xml:space="preserve"> propisanim</w:t>
      </w:r>
      <w:r w:rsidR="003655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B30ED">
        <w:rPr>
          <w:rFonts w:ascii="Times New Roman" w:hAnsi="Times New Roman" w:cs="Times New Roman"/>
          <w:color w:val="000000"/>
          <w:sz w:val="24"/>
          <w:szCs w:val="24"/>
        </w:rPr>
        <w:t xml:space="preserve"> Uredbom (EU) 1286/2014, ispunjava zahtjeve koji se primjenjuju na ključne informacije za ulagatelje, kako je utvrđeno </w:t>
      </w:r>
      <w:r w:rsidR="0036558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3B30ED">
        <w:rPr>
          <w:rFonts w:ascii="Times New Roman" w:hAnsi="Times New Roman" w:cs="Times New Roman"/>
          <w:color w:val="000000"/>
          <w:sz w:val="24"/>
          <w:szCs w:val="24"/>
        </w:rPr>
        <w:t>člancima 78. do 82. i čla</w:t>
      </w:r>
      <w:r w:rsidR="0036558D">
        <w:rPr>
          <w:rFonts w:ascii="Times New Roman" w:hAnsi="Times New Roman" w:cs="Times New Roman"/>
          <w:color w:val="000000"/>
          <w:sz w:val="24"/>
          <w:szCs w:val="24"/>
        </w:rPr>
        <w:t>nku 94. Direktive 2009/65/EZ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>Uz član</w:t>
      </w:r>
      <w:r w:rsidR="001657CE">
        <w:rPr>
          <w:rFonts w:ascii="Times New Roman" w:hAnsi="Times New Roman" w:cs="Times New Roman"/>
          <w:b/>
          <w:color w:val="000000"/>
          <w:sz w:val="24"/>
          <w:szCs w:val="24"/>
        </w:rPr>
        <w:t>ke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A156E" w:rsidRDefault="005E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Iznosi p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>ostojeći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pragov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u kunama u člancima 242. i 245.</w:t>
      </w:r>
      <w:r w:rsidR="00B740E5">
        <w:rPr>
          <w:rFonts w:ascii="Times New Roman" w:hAnsi="Times New Roman" w:cs="Times New Roman"/>
          <w:color w:val="000000"/>
          <w:sz w:val="24"/>
          <w:szCs w:val="24"/>
        </w:rPr>
        <w:t xml:space="preserve"> važećeg Zakona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98C">
        <w:rPr>
          <w:rFonts w:ascii="Times New Roman" w:hAnsi="Times New Roman" w:cs="Times New Roman"/>
          <w:color w:val="000000"/>
          <w:sz w:val="24"/>
          <w:szCs w:val="24"/>
        </w:rPr>
        <w:t xml:space="preserve">zamjenjuju se i </w:t>
      </w:r>
      <w:r w:rsidR="007A156E" w:rsidRPr="001C0ADE">
        <w:rPr>
          <w:rFonts w:ascii="Times New Roman" w:hAnsi="Times New Roman" w:cs="Times New Roman"/>
          <w:color w:val="000000"/>
          <w:sz w:val="24"/>
          <w:szCs w:val="24"/>
        </w:rPr>
        <w:t>propisuju u približnom iznosu</w:t>
      </w:r>
      <w:r w:rsidRPr="001C0ADE">
        <w:rPr>
          <w:rFonts w:ascii="Times New Roman" w:hAnsi="Times New Roman" w:cs="Times New Roman"/>
          <w:color w:val="000000"/>
          <w:sz w:val="24"/>
          <w:szCs w:val="24"/>
        </w:rPr>
        <w:t xml:space="preserve"> u eurima</w:t>
      </w:r>
      <w:r w:rsidR="007A156E" w:rsidRPr="001C0ADE">
        <w:rPr>
          <w:rFonts w:ascii="Times New Roman" w:hAnsi="Times New Roman" w:cs="Times New Roman"/>
          <w:color w:val="000000"/>
          <w:sz w:val="24"/>
          <w:szCs w:val="24"/>
        </w:rPr>
        <w:t xml:space="preserve">. Prag nije definiran europskim propisima niti je korišten, </w:t>
      </w:r>
      <w:r w:rsidR="006809BF" w:rsidRPr="001C0ADE">
        <w:rPr>
          <w:rFonts w:ascii="Times New Roman" w:hAnsi="Times New Roman" w:cs="Times New Roman"/>
          <w:color w:val="000000"/>
          <w:sz w:val="24"/>
          <w:szCs w:val="24"/>
        </w:rPr>
        <w:t>pa je u korist adresata snižen</w:t>
      </w:r>
      <w:r w:rsidR="007A156E" w:rsidRPr="001C0ADE">
        <w:rPr>
          <w:rFonts w:ascii="Times New Roman" w:hAnsi="Times New Roman" w:cs="Times New Roman"/>
          <w:color w:val="000000"/>
          <w:sz w:val="24"/>
          <w:szCs w:val="24"/>
        </w:rPr>
        <w:t xml:space="preserve"> na približni okrugli iznos</w:t>
      </w:r>
      <w:r w:rsidRPr="001C0ADE">
        <w:rPr>
          <w:rFonts w:ascii="Times New Roman" w:hAnsi="Times New Roman" w:cs="Times New Roman"/>
          <w:color w:val="000000"/>
          <w:sz w:val="24"/>
          <w:szCs w:val="24"/>
        </w:rPr>
        <w:t xml:space="preserve"> u eurima</w:t>
      </w:r>
      <w:r w:rsidR="007A156E" w:rsidRPr="001C0A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56E" w:rsidRDefault="007A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 član</w:t>
      </w:r>
      <w:r w:rsidR="005E605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 </w:t>
      </w:r>
      <w:r w:rsidR="00B154CE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7A15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156E" w:rsidRPr="007064BA" w:rsidRDefault="005E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Propisani i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znosi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novčanih </w:t>
      </w:r>
      <w:r w:rsidR="007A156E" w:rsidRPr="007A156E">
        <w:rPr>
          <w:rFonts w:ascii="Times New Roman" w:hAnsi="Times New Roman" w:cs="Times New Roman"/>
          <w:color w:val="000000"/>
          <w:sz w:val="24"/>
          <w:szCs w:val="24"/>
        </w:rPr>
        <w:t xml:space="preserve">kazni u kunama u važećem Zakonu usklađuju se s 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>uvođenjem eura kao služben</w:t>
      </w:r>
      <w:r w:rsidR="00B8321A">
        <w:rPr>
          <w:rFonts w:ascii="Times New Roman" w:hAnsi="Times New Roman" w:cs="Times New Roman"/>
          <w:color w:val="000000"/>
          <w:sz w:val="24"/>
          <w:szCs w:val="24"/>
        </w:rPr>
        <w:t>e valute u Republici Hrvatskoj</w:t>
      </w:r>
      <w:r w:rsidR="007A156E">
        <w:rPr>
          <w:rFonts w:ascii="Times New Roman" w:hAnsi="Times New Roman" w:cs="Times New Roman"/>
          <w:color w:val="000000"/>
          <w:sz w:val="24"/>
          <w:szCs w:val="24"/>
        </w:rPr>
        <w:t xml:space="preserve">, osim u dijelu u kojemu su </w:t>
      </w:r>
      <w:r w:rsidR="007B75E2">
        <w:rPr>
          <w:rFonts w:ascii="Times New Roman" w:hAnsi="Times New Roman" w:cs="Times New Roman"/>
          <w:color w:val="000000"/>
          <w:sz w:val="24"/>
          <w:szCs w:val="24"/>
        </w:rPr>
        <w:t>minimalni iznosi najviše kazne u eurima propisan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75E2">
        <w:rPr>
          <w:rFonts w:ascii="Times New Roman" w:hAnsi="Times New Roman" w:cs="Times New Roman"/>
          <w:color w:val="000000"/>
          <w:sz w:val="24"/>
          <w:szCs w:val="24"/>
        </w:rPr>
        <w:t xml:space="preserve"> člankom 99. Direktive </w:t>
      </w:r>
      <w:r w:rsidR="007B75E2"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 w:rsidR="007B75E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657CE" w:rsidRDefault="0016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657CE" w:rsidRDefault="0016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57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</w:t>
      </w:r>
      <w:r w:rsidR="00B154CE" w:rsidRPr="001657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="00B154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1657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1657CE" w:rsidRPr="001657CE" w:rsidRDefault="00D6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Predloženim i</w:t>
      </w:r>
      <w:r w:rsidR="001657CE" w:rsidRPr="001657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zmjenama u članku 316</w:t>
      </w:r>
      <w:r w:rsidR="00D60A9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B740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važećeg Zakona</w:t>
      </w:r>
      <w:r w:rsidR="001657CE" w:rsidRPr="001657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usklađuje se sadržaj prospekta napajajućeg UCITS fonda sa sadržajem prospekta UCITS fonda</w:t>
      </w:r>
      <w:r w:rsidR="001657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657CE" w:rsidRPr="001657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 dijelu prikazivanja informacija o rizicima.</w:t>
      </w:r>
    </w:p>
    <w:p w:rsidR="000E5640" w:rsidRDefault="000E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11EC9" w:rsidRDefault="005E6053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članke </w:t>
      </w:r>
      <w:r w:rsidR="00B154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</w:p>
    <w:p w:rsidR="00D11EC9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064BA">
        <w:rPr>
          <w:rFonts w:ascii="Times New Roman" w:hAnsi="Times New Roman" w:cs="Times New Roman"/>
          <w:color w:val="000000"/>
          <w:sz w:val="24"/>
          <w:szCs w:val="24"/>
        </w:rPr>
        <w:t>Propisani iznosi novčanih kazni u kunama u važećem Zakonu usklađuju se s uvođenjem eura kao službene valute u Republici Hrvatskoj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osim u dijelu u kojemu su minimalni iznosi najviše kazne u eurima propisani člankom 99. Direktive </w:t>
      </w:r>
      <w:r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11EC9" w:rsidRPr="004E19F8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11EC9" w:rsidRDefault="00D11EC9" w:rsidP="005E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E19F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Uz članak 16.</w:t>
      </w:r>
    </w:p>
    <w:p w:rsidR="00D11EC9" w:rsidRPr="004E19F8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E19F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Predložena je izmjena u cilju izjednačavanja broja dana za isplatu ulagateljima kod dospijeća fonda osnovanog na određeno vrijeme s isplatom kod klasičnog otkupa udjela, a kako je navedeno u članku 119. stavku 4. važećeg Zakona.</w:t>
      </w:r>
    </w:p>
    <w:p w:rsidR="00D11EC9" w:rsidRPr="0083061F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D11EC9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Uz članke 17. do 2</w:t>
      </w:r>
      <w:r w:rsidR="00EF3EC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</w:p>
    <w:p w:rsidR="00D11EC9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064BA">
        <w:rPr>
          <w:rFonts w:ascii="Times New Roman" w:hAnsi="Times New Roman" w:cs="Times New Roman"/>
          <w:color w:val="000000"/>
          <w:sz w:val="24"/>
          <w:szCs w:val="24"/>
        </w:rPr>
        <w:t>Propisani iznosi novčanih kazni u kunama u važećem Zakonu usklađuju se s uvođenjem eura kao službene valute u Republici Hrvatskoj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osim u dijelu u kojemu su minimalni iznosi najviše kazne u eurima propisani člankom 99. Direktive </w:t>
      </w:r>
      <w:r w:rsidRPr="00ED20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2009/65/EZ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11EC9" w:rsidRPr="0083061F" w:rsidRDefault="00D11EC9" w:rsidP="00D1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7B75E2" w:rsidRDefault="007B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B75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</w:t>
      </w:r>
      <w:r w:rsidR="00EF3EC4" w:rsidRPr="007B75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="00EF3EC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</w:t>
      </w:r>
      <w:r w:rsidRPr="007B75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</w:p>
    <w:p w:rsidR="0043334B" w:rsidRPr="00BE76DE" w:rsidRDefault="0043334B" w:rsidP="0043334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32BC">
        <w:rPr>
          <w:rFonts w:ascii="Times New Roman" w:hAnsi="Times New Roman"/>
          <w:sz w:val="24"/>
          <w:szCs w:val="24"/>
        </w:rPr>
        <w:t>bog uočene pogreške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677856">
        <w:rPr>
          <w:rFonts w:ascii="Times New Roman" w:hAnsi="Times New Roman" w:cs="Times New Roman"/>
          <w:bCs/>
          <w:sz w:val="24"/>
          <w:szCs w:val="24"/>
        </w:rPr>
        <w:t xml:space="preserve"> Zakonu o izmjenama i dopunama Zakona o otvorenim investicijskim fondovima s javnom</w:t>
      </w:r>
      <w:r>
        <w:rPr>
          <w:rFonts w:ascii="Times New Roman" w:hAnsi="Times New Roman" w:cs="Times New Roman"/>
          <w:bCs/>
          <w:sz w:val="24"/>
          <w:szCs w:val="24"/>
        </w:rPr>
        <w:t xml:space="preserve"> ponudom (,,Narodne novine“</w:t>
      </w:r>
      <w:r w:rsidRPr="00677856">
        <w:rPr>
          <w:rFonts w:ascii="Times New Roman" w:hAnsi="Times New Roman" w:cs="Times New Roman"/>
          <w:bCs/>
          <w:sz w:val="24"/>
          <w:szCs w:val="24"/>
        </w:rPr>
        <w:t xml:space="preserve">, broj </w:t>
      </w:r>
      <w:r>
        <w:rPr>
          <w:rFonts w:ascii="Times New Roman" w:hAnsi="Times New Roman" w:cs="Times New Roman"/>
          <w:bCs/>
          <w:sz w:val="24"/>
          <w:szCs w:val="24"/>
        </w:rPr>
        <w:t>110/21.</w:t>
      </w:r>
      <w:r w:rsidRPr="00677856">
        <w:rPr>
          <w:rFonts w:ascii="Times New Roman" w:hAnsi="Times New Roman" w:cs="Times New Roman"/>
          <w:bCs/>
          <w:sz w:val="24"/>
          <w:szCs w:val="24"/>
        </w:rPr>
        <w:t>), u članku</w:t>
      </w:r>
      <w:r>
        <w:rPr>
          <w:rFonts w:ascii="Times New Roman" w:hAnsi="Times New Roman" w:cs="Times New Roman"/>
          <w:bCs/>
          <w:sz w:val="24"/>
          <w:szCs w:val="24"/>
        </w:rPr>
        <w:t xml:space="preserve"> 63. </w:t>
      </w:r>
      <w:r w:rsidR="00634264">
        <w:rPr>
          <w:rFonts w:ascii="Times New Roman" w:hAnsi="Times New Roman" w:cs="Times New Roman"/>
          <w:bCs/>
          <w:sz w:val="24"/>
          <w:szCs w:val="24"/>
        </w:rPr>
        <w:t>izvršen je ispravak stupanja na snagu.</w:t>
      </w:r>
    </w:p>
    <w:p w:rsidR="0043334B" w:rsidRDefault="0043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43334B" w:rsidRPr="000D601C" w:rsidRDefault="0043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Uz članak </w:t>
      </w:r>
      <w:r w:rsidR="00EF3EC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986892" w:rsidRDefault="00B740E5" w:rsidP="00193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B75E2">
        <w:rPr>
          <w:rFonts w:ascii="Times New Roman" w:hAnsi="Times New Roman" w:cs="Times New Roman"/>
          <w:color w:val="000000"/>
          <w:sz w:val="24"/>
          <w:szCs w:val="24"/>
        </w:rPr>
        <w:t>ropisano je stupanje na snagu Zakona</w:t>
      </w:r>
      <w:r w:rsidR="00AF2581">
        <w:rPr>
          <w:rFonts w:ascii="Times New Roman" w:hAnsi="Times New Roman" w:cs="Times New Roman"/>
          <w:color w:val="000000"/>
          <w:sz w:val="24"/>
          <w:szCs w:val="24"/>
        </w:rPr>
        <w:t xml:space="preserve"> u skladu s člankom 2. </w:t>
      </w:r>
      <w:r w:rsidR="00AF2581" w:rsidRPr="007A156E">
        <w:rPr>
          <w:rFonts w:ascii="Times New Roman" w:hAnsi="Times New Roman" w:cs="Times New Roman"/>
          <w:color w:val="000000"/>
          <w:sz w:val="24"/>
          <w:szCs w:val="24"/>
        </w:rPr>
        <w:t>Direktive (EU) 2021/2261</w:t>
      </w:r>
      <w:r w:rsidR="00AF25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75E2">
        <w:rPr>
          <w:rFonts w:ascii="Times New Roman" w:hAnsi="Times New Roman" w:cs="Times New Roman"/>
          <w:color w:val="000000"/>
          <w:sz w:val="24"/>
          <w:szCs w:val="24"/>
        </w:rPr>
        <w:t xml:space="preserve"> Isto tako, </w:t>
      </w:r>
      <w:r w:rsidR="00AF2581">
        <w:rPr>
          <w:rFonts w:ascii="Times New Roman" w:hAnsi="Times New Roman" w:cs="Times New Roman"/>
          <w:color w:val="000000"/>
          <w:sz w:val="24"/>
          <w:szCs w:val="24"/>
        </w:rPr>
        <w:t>propisano je da izmjene</w:t>
      </w:r>
      <w:r w:rsidR="00D52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980">
        <w:rPr>
          <w:rFonts w:ascii="Times New Roman" w:hAnsi="Times New Roman" w:cs="Times New Roman"/>
          <w:color w:val="000000"/>
          <w:sz w:val="24"/>
          <w:szCs w:val="24"/>
        </w:rPr>
        <w:t xml:space="preserve">novčanih iznosa u kunama </w:t>
      </w:r>
      <w:r w:rsidR="00AF2581">
        <w:rPr>
          <w:rFonts w:ascii="Times New Roman" w:hAnsi="Times New Roman" w:cs="Times New Roman"/>
          <w:color w:val="000000"/>
          <w:sz w:val="24"/>
          <w:szCs w:val="24"/>
        </w:rPr>
        <w:t xml:space="preserve">u iznose </w:t>
      </w:r>
      <w:r w:rsidR="00D61980">
        <w:rPr>
          <w:rFonts w:ascii="Times New Roman" w:hAnsi="Times New Roman" w:cs="Times New Roman"/>
          <w:color w:val="000000"/>
          <w:sz w:val="24"/>
          <w:szCs w:val="24"/>
        </w:rPr>
        <w:t xml:space="preserve">u eurima </w:t>
      </w:r>
      <w:r w:rsidR="00AF2581">
        <w:rPr>
          <w:rFonts w:ascii="Times New Roman" w:hAnsi="Times New Roman" w:cs="Times New Roman"/>
          <w:color w:val="000000"/>
          <w:sz w:val="24"/>
          <w:szCs w:val="24"/>
        </w:rPr>
        <w:t xml:space="preserve">stupaju na snagu na dan uvođenja eura kao službene valute Republike Hrvatske. </w:t>
      </w:r>
    </w:p>
    <w:p w:rsidR="00986892" w:rsidRDefault="009868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86892" w:rsidRDefault="00986892" w:rsidP="0098689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 xml:space="preserve">TEKST ODREDBI VAŽEĆEG ZAKONA KOJE SE MIJENJAJU, </w:t>
      </w:r>
    </w:p>
    <w:p w:rsidR="00986892" w:rsidRDefault="00986892" w:rsidP="0098689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ODNOSNO DOPUNJUJU</w:t>
      </w:r>
    </w:p>
    <w:p w:rsidR="00986892" w:rsidRDefault="00986892" w:rsidP="00CA1416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AD35B2" w:rsidRPr="00CA1416" w:rsidRDefault="00AD35B2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CA1416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Prijenos propisa Europske unije</w:t>
      </w:r>
    </w:p>
    <w:p w:rsidR="00AD35B2" w:rsidRDefault="00AD35B2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CA1416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Članak 2.</w:t>
      </w:r>
    </w:p>
    <w:p w:rsidR="00AD35B2" w:rsidRPr="00CA1416" w:rsidRDefault="00AD35B2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(1) Ovim Zakonom u hrvatsko zakonodavstvo preuzimaju se sljedeći akti Europske unije:</w:t>
      </w:r>
    </w:p>
    <w:p w:rsid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Direktiva 2009/65/EZ Europskog parlamenta i Vijeća od 13. srpnja 2009. o usklađivanju zakona i drugih propisa koji se odnose na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subjekte za zajednička ulaganja u prenosive vrijednosne papire (UCITS) (Tekst značajan za EGP) (SL L 302, 17. 11. 2009.), kako je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posljednji put izmijenjena Direktivom (EU) 2019/1160 Europskog parlamenta i Vijeća od 20. lipnja 2019. o izmjeni direktiva 2009/65/EZ 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2011/61/EU u pogledu prekogranične distribucije subjekata za zajednička ulaganja (Tekst značajan za EGP) (SL L 188, 12. 7. 2019.) (u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daljnjem tekstu: Direktiva 2009/65/EZ)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 članci 2. do 7., članci 20. do 23. te članci 26. do 29. Direktive Komisije 2010/44/EU od 1. srpnja 2010. o provedbi Direktive 2009/65/EZ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Europskog parlamenta i Vijeća u vezi određenih odredbi o pripajanjima ili spajanjima fondova, strukturama glavnih i napajajućih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fondova i postupku obavješćivanja (Direktiva Komisije 2010/44/EU)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3. članci 9. do 12. Direktive Komisije 2010/43/EU od 1. srpnja 2010. o provedbi Direktive 2009/65/EZ Europskog parlamenta i Vijeća u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pogledu organizacijskih zahtjeva, sukoba interesa, poslovanja, upravljanja rizicima i sadržaja sporazuma između depozitara i društva za</w:t>
      </w: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upravljanje (Direktiva Komisije 2010/43/EU)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 članak 11. Direktive 2010/78/EU Europskog parlamenta i Vijeća od 24. studenoga 2010. o izmjeni direktiva 98/26/EZ, 2002/87/EZ,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2003/6/EZ, 2003/41/EZ, 2003/71/EZ, 2004/39/EZ, 2004/109/EZ, 2005/60/EZ, 2006/48/EZ, 2006/49/EZ i 2009/65/EZ u pogledu ovlasti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Europskog nadzornog tijela (Europskog nadzornog tijela za bankarstvo), Europskog nadzornog tijela (Europskog nadzornog tijela za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osiguranje i strukovno mirovinsko osiguranje) i Europskog nadzornog tijela (Europskog nadzornog tijela za vrijednosne papire i tržišta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kapitala) (Direktiva 2010/78/EU)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5. članak 2. Direktive 2013/14/EU Europskog parlamenta i Vijeća od 21. svibnja 2013. o izmjeni Direktive 2003/41/EZ o djelatnostima 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nadzoru institucija za strukovno mirovinsko osiguranje, Direktive 2009/65/EZ o usklađivanju zakona i drugih propisa u odnosu na</w:t>
      </w: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subjekte za zajednička ulaganja u prenosive vrijednosne papire (UCITS) i Direktive 2011/61/EU o upraviteljima alternativnih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investicijskih fondova u odnosu na preveliko oslanjanje na kreditne rejtinge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6. Direktiva 2014/91/EU Europskog parlamenta i Vijeća od 23. srpnja 2014. o izmjeni Direktive 2009/65/EZ o usklađivanju zakona i drugih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propisa u odnosu na subjekte za zajednička ulaganja u prenosive vrijednosne papire (UCITS) u pogledu poslova depozitara, politika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nagrađivanja i sankcija (Direktiva 2014/91/EU)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E33321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7. članak 30. Direktive 2002/87/EZ Europskog parlamenta i Vijeća od 16. prosinca 2002. o dodatnom nadzoru kreditnih institucija,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društava za osiguranje i investicijskih društava u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nancijskom konglomeratu i o izmjeni i dopuni direktiva Vijeća 73/239/EEZ,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79/267/EEZ,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92/49/EEZ, 92/96/EEZ, 93/6/EEZ i 93/22/EEZ i direktiva 98/78/EZ i 2000/12/EZ Europskog parlamenta i Vijeća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8. članak 2. stavak 22. Direktive 2011/89/EU Europskog parlamenta i Vijeća od 16. studenoga 2011. o izmjeni direktiva 98/78/EZ,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2002/87/EZ, 2006/48/EZ i 2009/138/EZ u odnosu na dodatni nadzor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nancijskih subjekata u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nancijskom konglomeratu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9. Direktiva (EU) 2019/2034 Europskog parlamenta i Vijeća od 27. studenoga 2019. o bonitetnom nadzoru nad investicijskim društvima 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izmjeni direktiva 2002/87/EZ, 2009/65/EZ, 201 1/61/EU, 2013/36/EU, 2014/59/EU i 2014/65/EU (Tekst značajan za EGP) (SL L 314, 5. 12.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2019.).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(2) Hrvatska agencija za nadzor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nancijskih usluga je nadležna za provedbu i nadzor primjene ure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dbi Europske unije donesenih na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temelju direktiva iz stavka 1. ovoga članka, a koje uključuju:</w:t>
      </w:r>
    </w:p>
    <w:p w:rsid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Uredbu Komisije (EU) br. 583/2010 od 1. srpnja 2010. o provedbi Direktive 2009/65/EZ Europskog parlamenta i Vijeća u vezi s ključnim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informacijama za ulagatelje i uvjetima koje je potrebno ispuniti prilikom dostavljanja ključnih informacija ulagateljima ili prospekta na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trajnom mediju koji nije papir ili putem mrežne stranice (Uredba Komisije (EU) br. 583/2010) i</w:t>
      </w: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 Uredbu Komisije (EU) br. 584/2010 od 1. srpnja 2010. o provedbi Direktive 2009/65/EZ Europskog parlamenta i Vijeća u vezi oblika i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sadržaja standardne obavijesti i potvrde UCITS-a, korištenja elektroničke komunikacije između nadležnih nadzornih tijela za potrebe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obavješćivanja i postupaka izravnog nadzora i istražnih radnji i razmjene informacija između nadležnih tijela (Uredba Komisije (EU) br.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584/2010).</w:t>
      </w:r>
    </w:p>
    <w:p w:rsid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(3) Ovim Zakonom osigurava se provedba sljedećih akata Europske unije: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 Uredbe (EU) 2019/1156 Europskog parlamenta i Vijeća od 20. lipnja 2019. o olakšavanju prekogranične distribucije subjekata za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zajednička ulaganja i izmjeni uredaba (EU) br. 345/2013, (EU) br. 346/2013 i (EU) br. 1286/2014 (Tekst značajan za EGP) (SL L 188, 12. 7.</w:t>
      </w: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2019.) (u daljnjem tekstu: Uredba (EU) 2019/1156)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2. Uredbe (EU) 2019/2033 Europskog parlamenta i Vijeća od 27. studenoga 2019. o bonitetnim zahtjevima za investicijska društva i o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izmjeni uredaba (EU) br. 1093/2010, (EU) br. 575/2013, (EU) br. 600/2014 i (EU) br. 806/2014 (Tekst značajan za EGP) (SL L 314, 5. 12. 2019.)</w:t>
      </w:r>
    </w:p>
    <w:p w:rsidR="00AD35B2" w:rsidRPr="00AD35B2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(u daljnjem tekstu: Uredba (EU) 2019/2033).</w:t>
      </w:r>
    </w:p>
    <w:p w:rsidR="00E33321" w:rsidRDefault="00E33321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7A156E" w:rsidRDefault="00AD35B2" w:rsidP="00AD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(4) Kada je ovim Zakonom propisana ovlast Hrvatske agencije za nadzor </w:t>
      </w:r>
      <w:r w:rsidR="00771A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nancijskih usluga za donošenje pravilnika, taj pravilnik donosi</w:t>
      </w:r>
      <w:r w:rsidR="00771A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Upravno vijeće Hrvatske agencije za nadzor </w:t>
      </w:r>
      <w:r w:rsidR="00771A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fi</w:t>
      </w:r>
      <w:r w:rsidRPr="00AD35B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nancijskih usluga.</w:t>
      </w:r>
    </w:p>
    <w:p w:rsidR="001E13AB" w:rsidRDefault="00E33321" w:rsidP="001E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POGLAVLJE II.</w:t>
      </w:r>
    </w:p>
    <w:p w:rsidR="001E13AB" w:rsidRPr="00CA1416" w:rsidRDefault="001E13AB" w:rsidP="001E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Temeljni kapital društva za upravljanje</w:t>
      </w:r>
    </w:p>
    <w:p w:rsidR="001E13AB" w:rsidRDefault="001E13AB" w:rsidP="001E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18.</w:t>
      </w:r>
    </w:p>
    <w:p w:rsidR="001E13AB" w:rsidRPr="00CA1416" w:rsidRDefault="001E13AB" w:rsidP="001E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3AB" w:rsidRPr="001E13AB" w:rsidRDefault="001E13AB" w:rsidP="00CA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AB">
        <w:rPr>
          <w:rFonts w:ascii="Times New Roman" w:hAnsi="Times New Roman" w:cs="Times New Roman"/>
          <w:color w:val="000000"/>
          <w:sz w:val="24"/>
          <w:szCs w:val="24"/>
        </w:rPr>
        <w:t>(1) Najniži iznos temeljnog kapitala društva za upravljanje iznosi 1.000.000,00 kuna.</w:t>
      </w:r>
    </w:p>
    <w:p w:rsidR="001E13AB" w:rsidRDefault="001E13AB" w:rsidP="001E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A26" w:rsidRDefault="001E13AB" w:rsidP="001E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AB">
        <w:rPr>
          <w:rFonts w:ascii="Times New Roman" w:hAnsi="Times New Roman" w:cs="Times New Roman"/>
          <w:color w:val="000000"/>
          <w:sz w:val="24"/>
          <w:szCs w:val="24"/>
        </w:rPr>
        <w:t>(2) Temeljni kapital iz stavka 1. ovoga članka mora u cijelosti biti uplaćen u novcu, a dionice koje ga čine ne mogu biti izdane prije uplate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3AB">
        <w:rPr>
          <w:rFonts w:ascii="Times New Roman" w:hAnsi="Times New Roman" w:cs="Times New Roman"/>
          <w:color w:val="000000"/>
          <w:sz w:val="24"/>
          <w:szCs w:val="24"/>
        </w:rPr>
        <w:t xml:space="preserve">punog iznosa za koji se izdaju. Kada se društvo za </w:t>
      </w:r>
      <w:r w:rsidRPr="001E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upravljanje osniva kao društvo s ograničenom odgovornošću, puni iznos temeljnih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3AB">
        <w:rPr>
          <w:rFonts w:ascii="Times New Roman" w:hAnsi="Times New Roman" w:cs="Times New Roman"/>
          <w:color w:val="000000"/>
          <w:sz w:val="24"/>
          <w:szCs w:val="24"/>
        </w:rPr>
        <w:t>uloga mora biti uplaćen u cijelosti u novcu prije upisa društva u sudski registar.</w:t>
      </w:r>
    </w:p>
    <w:p w:rsidR="001E13AB" w:rsidRDefault="001E13AB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Dodatni iznos kapitala društva za upravljanje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20.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(1) Kada neto vrijednost imovine investicijskih fondova kojima upravlja društvo za upravljanje prelazi dvije milijarde kuna, društvo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upravljanje je dužno osigurati dodatni iznos kapitala jednak 0,02% iznosa za koji neto vrijednost imovine investicijskih fondova kojima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upravlja društvo za upravljanje prelazi dvije milijarde kuna, no zahtijevani ukupni iznos temeljnog kapitala i dodatni iznos kapitala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smiju prelaziti 80.000.000,00 kuna.</w:t>
      </w: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(2) U smislu stavka 1. ovoga članka sljedeća neto vrijednost imovine smatra se neto vrijednošću imovine investicijskih fondova kojima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upravlja društvo za upravljanje: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1. neto vrijednost imovine UCITS fondova kojima upravlja društvo za upravljanje, uključujući neto vrijednost imovine za koju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delegiralo poslove upravljanja drugom društvu za upravljanje, no isključujući neto vrijednost imovine kojom upravlja na temelju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delegiranja poslova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2. neto vrijednost imovine alternativnih investicijskih fondova kojima upravlja društvo za upravljanje, uključujući neto vrijednost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imovine za koju je delegiralo poslove upravljanja drugom društvu za upravljanje, no isključujući neto vrijednost imovine kojom upravlja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na temelju delegiranja poslova.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(3) Društvo za upravljanje koje obavlja djelatnosti upravljanja portfeljem, upravljanja alternativnim investicijskim fondovima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upravljanja dobrovoljnim mirovinskim fondovima dužno je, uz odredbe ovoga Zakona, poštivati i kapitalne zahtjeve propisane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odredbama zakona koji uređuje tržište kapitala, odnosno propisima koji uređuju osnivanje i poslovanje alternativnih investicijskih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fondova i dobrovoljnih mirovinskih fondova.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(4) Agencija će pravilnikom propisati dodatne kapitalne zahtjeve za društva za upravljanje koja osim djelatnosti upravljanja UCITS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fondovima obavljaju djelatnosti upravljanja alternativnim investicijskim fondovima, upravljanja dobrovoljnim mirovinskim fondovima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ili upravljanja portfeljem.</w:t>
      </w: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Mrežna stranica društva za upravljanje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65.</w:t>
      </w:r>
    </w:p>
    <w:p w:rsidR="00126667" w:rsidRPr="00126667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(1) Društvo za upravljanje mora imati, redovito ažurirati i održavati svoju mrežnu stranicu koja sadržava najmanje sljedeće podatke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informacije: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1. opće podatke o društvu za upravljanje (tvrtka, pravni oblik, sjedište i mjesto uprave, ako ono nije isto kao sjedište, broj odobrenja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rad koji je izdala Agencija, kao i datum osnivanja i upisa u sudski registar, iznos temeljnog kapitala, osnivači i članovi)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2. osnovne podatke o članovima uprave, nadzornog odbora i prokuristima društva za upravljanje (osobna imena, kratke životopise)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3. popis djelatnosti iz članka 13. ovoga Zakona za koje društvo ima izdano odobrenje za rad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4. polugodišnje i revidirane godišnje izvještaje UCITS fondova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 xml:space="preserve">5. polugodišnje i revidirane godišnje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nancijske izvještaje društva za upravljanje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6. opće podatke o depozitaru UCITS fonda (tvrtka, pravni oblik, sjedište i adresa uprave, podaci i broj odobrenja nadležne institucije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obavljanje poslova depozitara, iznos temeljnog kapitala) i popis svih trećih osoba s kojima depozitar ima sklopljen ugovor o delegiranju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poslova iz članka 221. ovoga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7. popis UCITS fondova kojima društvo za upravljanje upravlja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8. prospekt, pravila UCITS fonda te ključne podatke za ulagatelje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9. popis delegiranih poslova s naznakom trećih osoba na koju su ti poslovi delegirani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10. mjesečni izvještaj iz članka 212. ovoga Zakona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11. sažeti tabelarni prikaz rizika vezanih uz društvo za upravljanje i UCITS fond sa stupnjem utjecaja svakog rizika na društvo i UCITS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fond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12. cijenu udjela UCITS fondova kojima upravlja i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13. sve obavijesti vezane uz društvo za upravljanje i UCITS fond te druge podatke predviđene ovim Zakonom.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(2) Agencija će pravilnikom odrediti dodatne podatke i informacije koje mora sadržavati mrežna stranica društva za upravljanje, za 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smatra da su važni za ulagatelje, tržište i javnost.</w:t>
      </w: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Povlačenje obavijesti o trgovanju udjelima UCITS fonda u Republici Hrvatskoj osnovanog u drugoj državi</w:t>
      </w:r>
      <w:r w:rsidR="00C8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članici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143.a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(1) Društvo za upravljanje iz članka 137. stavka 1. ovoga Zakona može povući obavijest iz članka 139. stavka 1. ovoga Zakona u odnosu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sve ili dio UCITS fondova ili klasa udjela UCITS fondova kojima trguje u Republici Hrvatskoj.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(2) Informacije koje odgovaraju onima iz članka 154.a stavka 2. točaka a), b) i c) ovoga Zakona društvo za upravljanje iz članka 137. stavka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1. ovoga Zakona dužno je pripremiti na hrvatskom ili engleskom jeziku.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(3) Od dana povlačenja obavijesti iz stavka 1. ovoga članka društvo za upravljanje dužno je u Republici Hrvatskoj prestati s izravnom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neizravnom distribucijom udjela UCITS fonda u odnosu na koji je povučena obavijest.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(4) Društvo za upravljanje iz članka 137. stavka 1. ovoga Zakona koje povuče obavijest iz članka 139. stavka 1. ovoga Zakona dužno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ulagateljima u Republici Hrvatskoj koji ostanu imatelji udjela UCITS fonda u odnosu na koji je obavijest povučena osigurati svu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 xml:space="preserve">dokumentaciju i informacije koje osigurava ulagateljima tog UCITS fonda u matičnoj državi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članici UCITS fonda, što uključuje prospekt,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pravila, ključne podatke za ulagatelje te polugodišnje i revidirane godišnje izvještaje UCITS fonda, na jeziku kako je propisano člankom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142. ovoga Zakona.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(5) Društvo za upravljanje može informacije iz stavka 4. ovoga članka ulagateljima u Republici Hrvatskoj osigurati upotrebom</w:t>
      </w: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elektroničkih ili drugih sredstava komunikacije, uz uvjet da su informacije i komunikacijska sredstva ulagateljima dostupna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hrvatskom ili engleskom jeziku.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(6) U odnosu na društvo za upravljanje koje povuče obavijest iz članka 139. stavka 1. ovoga Zakona, a u Republici Hrvatskoj ostanu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imatelji udjela UCITS fonda u odnosu na koji je obavijest povučena, Agencija će imati ista prava i obveze kao što ima u skladu s člankom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381. stavkom 2., člankom 346. stavkom 5. točkom 6. i člankom 391. ovoga Zakona.</w:t>
      </w:r>
    </w:p>
    <w:p w:rsidR="00E33321" w:rsidRDefault="00E33321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(7) Agencija neće od društva za upravljanje koje je u Republici Hrvatskoj povuklo obavijesti iz članka 139. stavka 1. ovoga Zakona tražiti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usklađenost sa zahtjevima o oglašavanju UCITS fonda iz glave II. ovoga dijela, a koji su objavljeni na mrežnim stranicama Agencije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skladu s člankom 5. Uredbe (EU) 2019/1156.</w:t>
      </w:r>
    </w:p>
    <w:p w:rsidR="00F06B48" w:rsidRDefault="00F06B48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Default="00F06B48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POGLAVLJE IV.</w:t>
      </w:r>
    </w:p>
    <w:p w:rsidR="00F06B48" w:rsidRPr="00F06B48" w:rsidRDefault="00F06B48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TRGOVANJE UDJELIMA OTVORENOG INVESTICIJSKOG FONDA S JAVNOM PONUDOM IZ TRE</w:t>
      </w:r>
      <w:r w:rsidRPr="00F06B48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AVE U REPUBLICI</w:t>
      </w:r>
      <w:r w:rsid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HRVATSKOJ</w:t>
      </w:r>
    </w:p>
    <w:p w:rsidR="00F06B48" w:rsidRDefault="00F06B48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B48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lanak 144.</w:t>
      </w:r>
    </w:p>
    <w:p w:rsidR="00E33321" w:rsidRPr="00F06B48" w:rsidRDefault="00E33321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(1) Udjelima otvorenog investicijskog fonda s javnom ponudom iz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ave u Republici Hrvatskoj mo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trgovati: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a)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 iz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ave, isklju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ivo putem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za koju je dobilo odobrenje Agencije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b)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 iz druge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ave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lanice, isklju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ivo putem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ili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c)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 iz Republike Hrvatske.</w:t>
      </w:r>
    </w:p>
    <w:p w:rsid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(2)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tvo za upravljanje iz stavka 1. ovoga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lanka u Republici Hrvatskoj mo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trgovati samo udjelima otvorenog investicijskog fonda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javnom ponudom iz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ave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iji ulagatelji imaju barem jednaku razinu za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tite kao ulagatelji u UCITS fondove i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ija se imovina ula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u skladu s na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elom razdiobe rizika.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(3)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 iz stavka 1. to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ke a) ovoga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lanka du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no je podnijeti zahtjev za izdavanje odobrenja za osnivanje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</w:t>
      </w: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kojem prila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1. akt o osnivanju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2. izvadak iz sudskog ili drugog odgovaraju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eg registra za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3. osniva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ki akt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</w:t>
      </w: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revidirane godi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nje </w:t>
      </w:r>
      <w:r w:rsidR="006A5587">
        <w:rPr>
          <w:rFonts w:ascii="Times New Roman" w:hAnsi="Times New Roman" w:cs="Times New Roman" w:hint="eastAsia"/>
          <w:color w:val="000000"/>
          <w:sz w:val="24"/>
          <w:szCs w:val="24"/>
        </w:rPr>
        <w:t>financijske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 izvje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taje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za posljednje dvije poslovne godine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5. ako iz izvatka iz to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ke 2. ovoga stavka nije vidljiv podatak o osniva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ima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upravljanje, ispravu s podacima o osniva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E33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i njihovim udjelima u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tvu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6. poslovni plan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za tri godine njegova rada, s organizacijskom strukturom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i nacrtom</w:t>
      </w:r>
      <w:r w:rsidR="00E33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upravljanja rizicima te detaljnim opisom poslova koje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namjerava obavljati u Republici Hrvatskoj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7. podatke o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lanovima uprave i nadzornog odbora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8. podatke o sustavu za za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titu ulagatelja kojega je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tvo za upravljanje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lan, kada je to primjenjivo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9. izjavu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tva za upravljanje da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njegova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nica u Republici Hrvatskoj voditi svu dokumentaciju nastalu za vrijeme poslovanja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u Republici Hrvatskoj na hrvatskom jeziku i pohranjivati je u sjedi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tu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i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10. drugu dokumentaciju, prema potrebi.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(4) Agencija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izdati odobrenje za osnivanje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ako na temelju podataka kojima raspola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i dokumentacije prilo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ene uz zahtjev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za izdavanje odobrenja ocijeni da je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nica osposobljena za poslovanje u skladu s odredbama ovoga Zakona.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(5) Agencija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odbiti zahtjev za izdavanje odobrenja za osnivanje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ako: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1. osobe ovla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tene za zastupanje osniva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nice ne ispunjavaju uvjete za obavljanje funkcije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lana uprave iz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lanaka 35. i 36. ovoga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Zakona ili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2. s obzirom na propise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ave u kojoj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tvo za upravljanje ima sjedi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te te na praksu pri provedbi tih propisa, postoji vjerojatnost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da bi bilo ote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ano obavljanje nadzora nad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nicom u skladu s odredbama ovoga Zakona.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(6) Na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nicu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iz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ave na odgovaraju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 se na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in primjenjuju sljede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odredbe ovoga Zakona i propisa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donesenih na temelju ovoga Zakona:</w:t>
      </w: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1. dijela drugoga poglavlja 5.</w:t>
      </w:r>
    </w:p>
    <w:p w:rsidR="00F06B48" w:rsidRP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 xml:space="preserve">2. dijela 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estoga glave 1. poglavlja 4. i</w:t>
      </w:r>
    </w:p>
    <w:p w:rsidR="00E33321" w:rsidRDefault="00E33321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48" w:rsidRDefault="00F06B48" w:rsidP="00F0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48">
        <w:rPr>
          <w:rFonts w:ascii="Times New Roman" w:hAnsi="Times New Roman" w:cs="Times New Roman"/>
          <w:color w:val="000000"/>
          <w:sz w:val="24"/>
          <w:szCs w:val="24"/>
        </w:rPr>
        <w:t>(7) Na osobe ovla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tene za zastupanje osniva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 podru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nice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 iz tre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e dr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ave na odgovaraju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 se na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in primjenjuju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odredbe ovoga Zakona koje se odnose na upravu dru</w:t>
      </w:r>
      <w:r w:rsidRPr="00F06B48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F06B48">
        <w:rPr>
          <w:rFonts w:ascii="Times New Roman" w:hAnsi="Times New Roman" w:cs="Times New Roman"/>
          <w:color w:val="000000"/>
          <w:sz w:val="24"/>
          <w:szCs w:val="24"/>
        </w:rPr>
        <w:t>tva za upravljanje.</w:t>
      </w: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Posebna pravila za trgovanje udjelima otvorenih investicijskih fondova s javnom ponudom iz treće države</w:t>
      </w:r>
    </w:p>
    <w:p w:rsidR="00126667" w:rsidRPr="00CA1416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147.</w:t>
      </w:r>
    </w:p>
    <w:p w:rsidR="00126667" w:rsidRPr="00126667" w:rsidRDefault="00126667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(1) Kao uvjet za izdavanje odobrenja za trgovanje udjelima otvorenog investicijskog fonda s javnom ponudom iz treće države u Republici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 xml:space="preserve">Hrvatskoj, Agencija od društva za upravljanje iz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lastRenderedPageBreak/>
        <w:t>treće države može zatražiti da kod kreditne institucije sa sjedištem u Republici Hrvatskoj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na računu uplati iznos od najmanje 1.000.000,00 kuna u svrhu osiguranja isplata imatelja udjela otvorenog investicijskog fonda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javnom ponudom kojim društvo iz treće države upravlja i čijim udjelima namjerava trgovati u Republici Hrvatskoj.</w:t>
      </w:r>
    </w:p>
    <w:p w:rsidR="00771A26" w:rsidRDefault="00771A26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P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(2) Nakon dobivanja odobrenja za trgovanje udjelima društvo za upravljanje iz treće države obvezno je održavati iznos na posebnom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računu iz stavka 1. ovoga članka kroz cijelo vrijeme trgovanja udjelima u Republici Hrvatskoj te ga povećavati na odgovarajući način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primjenom odredbi iz članka 20. stavka 1. ovoga Zakona.</w:t>
      </w:r>
    </w:p>
    <w:p w:rsidR="00771A26" w:rsidRDefault="00771A26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667" w:rsidRDefault="00126667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7">
        <w:rPr>
          <w:rFonts w:ascii="Times New Roman" w:hAnsi="Times New Roman" w:cs="Times New Roman"/>
          <w:color w:val="000000"/>
          <w:sz w:val="24"/>
          <w:szCs w:val="24"/>
        </w:rPr>
        <w:t>(3) Agencija će pravilnikom detaljnije propisati pravila i uvjete za trgovanje udjelima otvorenih investicijskih fondova s javnom ponudom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667">
        <w:rPr>
          <w:rFonts w:ascii="Times New Roman" w:hAnsi="Times New Roman" w:cs="Times New Roman"/>
          <w:color w:val="000000"/>
          <w:sz w:val="24"/>
          <w:szCs w:val="24"/>
        </w:rPr>
        <w:t>iz treće države.</w:t>
      </w:r>
    </w:p>
    <w:p w:rsidR="007B1AE3" w:rsidRDefault="007B1AE3" w:rsidP="0012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Obavijest o promjenama dokumentacije</w:t>
      </w: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154.</w:t>
      </w: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(1) Društvo za upravljanje koje trguje udjelima UCITS fonda u državi članici domaćinu UCITS fonda dužno je nadležnom tijelu države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članice domaćina UCITS fonda omogućiti elektronski pristup prijevodima važeće dokumentacije UCITS fonda iz članka 151. stavka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ovoga Zakona i obavještavati nadležno tijelo države članice domaćina UCITS fonda o svim promjenama te dokumentacije.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(2) Ako društvo za upravljanje namjerava promijeniti podatke u obavijesti iz članka 151. stavaka 1. i 2. ovoga Zakona odnosno podatke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klasama udjela UCITS fonda koji su predmet trgovanja u državi članici domaćinu UCITS fonda, minimalno 30 dana prije uvođenja tih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promjena mora o tome obavijestiti Agenciju i nadležno tijelo države članice domaćina UCITS fonda.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(3) Ako bi namjeravana promjena iz stavka 2. ovoga članka dovela do toga da društvo za upravljanje ne bi više bilo usklađeno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odredbama ovoga Zakona, Agencija će u roku od 15 radnih dana od zaprimanja svih informacija iz stavka 2. ovoga članka zabraniti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provođenje namjeravane promjene i o tome obavijestiti nadležno tijelo države članice domaćina UCITS fonda.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(4) Ako je protivno stavku 3. ovoga članka namjeravana promjena provedena i zbog nje društvo za upravljanje više nije usklađeno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odredbama ovoga Zakona, Agencija će poduzeti odgovarajuće mjere u skladu s dijelom četrnaestim ovoga Zakona, uključujući i zabranu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trgovanja udjelima UCITS fonda i o tome bez odgode obavijestiti nadležno tijelo države članice domaćina UCITS fonda.</w:t>
      </w:r>
    </w:p>
    <w:p w:rsid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Povlačenje obavijesti o trgovanju udjelima UCITS fonda u državi članici domaćinu UCITS fonda</w:t>
      </w: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154.a</w:t>
      </w:r>
    </w:p>
    <w:p w:rsidR="007B1AE3" w:rsidRPr="00CA1416" w:rsidRDefault="007B1AE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(1) Društvo za upravljanje može povući obavijest iz članka 151. stavka 1. ovoga Zakona u odnosu na sve ili dio UCITS fondova ili klasa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udjela UCITS fondova te u odnosu na sve ili pojedinu državu članicu domaćina UCITS fonda.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(2) Društvo za upravljanje koje želi povući obavijesti iz članka 151. stavka 1. ovoga Zakona mora dostaviti obavijest Agenciji i uz 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priložiti dokaze o ispunjavanju sljedećih uvjeta:</w:t>
      </w: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a) da je društvo za upravljanje dalo opću ponudu za otkup ili isplatu svih udjela UCITS fonda na koji se odnosi povlačenje obavijesti 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drže ulagatelji u državi članici domaćinu UCITS fonda u odnosu na koju je obavijest povučena, bez naplate naknada za otkup ili isplatu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udjela</w:t>
      </w:r>
    </w:p>
    <w:p w:rsidR="00E33321" w:rsidRDefault="00E33321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b) da je ponuda iz točke a) ovoga stavka javno dostupna barem 30 radnih dana te da je društvo za upravljanje istu izravno ili preko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inancijskih posrednika pojedinačno uputilo svim ulagateljima u državi članici domaćinu UCITS fonda u odnosu na koju je obavijest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povučena, a čiji mu je identitet poznat</w:t>
      </w:r>
    </w:p>
    <w:p w:rsidR="00E33321" w:rsidRDefault="00E33321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c) da je društvo za upravljanje na javno dostupnom mediju, koji je uobičajen za oglašavanje UCITS fondova i prikladan za tipičnog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ulagatelja u UCITS fond, što uključuje i elektronička sredstva, objavilo namjeru povlačenja obavijesti iz članka 151. stavka 1. ovoga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Zakona i navelo UCITS fond i državu članicu domaćina UCITS fonda u odnosu na koje se obavijest povlači</w:t>
      </w:r>
    </w:p>
    <w:p w:rsidR="00E33321" w:rsidRDefault="00E33321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 xml:space="preserve">d) da je društvo za upravljanje izmijenilo ili raskinulo ugovore s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nancijskim posrednicima ili trećim osobama koje obavljaju distribuciju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udjela UCITS fonda u odnosu na koji je obavijest povučena, a kako bi se spriječilo njihovo daljnje distribuiranje. Izmjene ili raskid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ugovora primjenjuju se od dana povlačenja obavijesti iz članka 151. stavka 1. ovoga Zakona.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(3) Društvo za upravljanje dužno je u informacijama iz stavka 2. točaka a), b) i c) ovoga članka jasno navesti posljedice za ulagatelje 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ne prihvate ponudu za otkupom ili isplatom udjela UCITS fonda navedenog u stavku 2. točki c) ovoga članka.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(4) Društvo za upravljanje dužno je informacije iz stavka 2. točaka a), b) i c) ovoga članka objaviti i dostavi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Agenciji na službenom jeziku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ili jednom od službenih jezika države članice domaćina UCITS fonda u odnosu na koju je obavijest povučena ili na jeziku koji odobri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nadležno tijelo te države članice.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(5) Od dana povlačenja obavijesti iz članka 151. stavka 1. ovoga Zakona društvo za upravljanje dužno je prestati s izravnom ili neizravnom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distribucijom udjela UCITS fonda u odnosu na koji je povučena obavijest u državi članici domaćinu UCITS fonda u odnosu na koju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povučena obavijest.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(6) Agencija će provjeriti je li obavijest iz stavka 2. ovoga članka potpuna te će je najkasnije u roku od 15 radnih dana od dana zaprimanja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potpune obavijesti iz stavka 2. ovoga članka proslijediti nadležnom tijelu države članice domaćina UCITS fonda navedene u stavku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točki c) ovoga članka i ESMA-i.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(7) Agencija će o prosljeđivanju obavijesti u skladu sa stavkom 6. ovoga članka bez odgode obavijestiti društvo za upravljanje.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(8) Društvo za upravljanje dužno je osigurati ulagateljima koji ostanu imatelji udjela UCITS fonda iz stavka 2. točke c) ovoga članka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Agenciji svu dokumentaciju i informacije koje osigurava ulagateljima tog UCITS fonda u Republici Hrvatskoj, što uključuje prospekt,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pravila, ključne podatke za ulagatelje te polugodišnje i revidirane godišnje izvještaje UCITS fonda, na jeziku kako je propisano člankom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153. ovoga Zakona.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P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(9) Društvo za upravljanje može informacije iz stavka 8. ovoga članka osigurati upotrebom elektroničkih ili drugih sredstava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 xml:space="preserve">komunikacije, uz uvjet da su informacije i komunikacijska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lastRenderedPageBreak/>
        <w:t>sredstva ulagateljima dostupna na službenom jeziku ili jednom od službenih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jezika države članice domaćina UCITS fonda u kojoj se nalaze ulagatelji UCITS fonda ili na jeziku koji su odobrila nadležna tijela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države članice.</w:t>
      </w:r>
    </w:p>
    <w:p w:rsidR="00771A26" w:rsidRDefault="00771A26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Default="007B1AE3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E3">
        <w:rPr>
          <w:rFonts w:ascii="Times New Roman" w:hAnsi="Times New Roman" w:cs="Times New Roman"/>
          <w:color w:val="000000"/>
          <w:sz w:val="24"/>
          <w:szCs w:val="24"/>
        </w:rPr>
        <w:t>(10) Agencija će nadležnom tijelu države članice domaćina UCITS fonda navedenoj u stavku 2. točki c) ovoga članka proslijediti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AE3">
        <w:rPr>
          <w:rFonts w:ascii="Times New Roman" w:hAnsi="Times New Roman" w:cs="Times New Roman"/>
          <w:color w:val="000000"/>
          <w:sz w:val="24"/>
          <w:szCs w:val="24"/>
        </w:rPr>
        <w:t>informacije o svim izmjenama dokumenata iz članka 151. stavka 3. ovoga Zakona.</w:t>
      </w:r>
    </w:p>
    <w:p w:rsidR="005F6B98" w:rsidRDefault="005F6B98" w:rsidP="007B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B98" w:rsidRPr="00CA1416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Dostavljanje promjena ključnih podataka za ulagatelje Agenciji</w:t>
      </w:r>
    </w:p>
    <w:p w:rsidR="005F6B98" w:rsidRPr="00CA1416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203.</w:t>
      </w:r>
    </w:p>
    <w:p w:rsidR="005F6B98" w:rsidRPr="00CA1416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B98" w:rsidRDefault="005F6B98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98">
        <w:rPr>
          <w:rFonts w:ascii="Times New Roman" w:hAnsi="Times New Roman" w:cs="Times New Roman"/>
          <w:color w:val="000000"/>
          <w:sz w:val="24"/>
          <w:szCs w:val="24"/>
        </w:rPr>
        <w:t>Društvo za upravljanje dužno je dostaviti Agenciji izmijenjene ključne podatake za ulagatelje za svaki UCITS fond kojim upravlja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B98">
        <w:rPr>
          <w:rFonts w:ascii="Times New Roman" w:hAnsi="Times New Roman" w:cs="Times New Roman"/>
          <w:color w:val="000000"/>
          <w:sz w:val="24"/>
          <w:szCs w:val="24"/>
        </w:rPr>
        <w:t>Republici Hrvatskoj najkasnije pet dana prije njihove objave javnosti.</w:t>
      </w:r>
    </w:p>
    <w:p w:rsidR="005F6B98" w:rsidRDefault="005F6B98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B98" w:rsidRPr="00CA1416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Vrijednost imovine UCITS fonda</w:t>
      </w:r>
    </w:p>
    <w:p w:rsidR="005F6B98" w:rsidRPr="00CA1416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242.</w:t>
      </w:r>
    </w:p>
    <w:p w:rsidR="005F6B98" w:rsidRPr="005F6B98" w:rsidRDefault="005F6B98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6B98" w:rsidRPr="005F6B98" w:rsidRDefault="005F6B98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98">
        <w:rPr>
          <w:rFonts w:ascii="Times New Roman" w:hAnsi="Times New Roman" w:cs="Times New Roman"/>
          <w:color w:val="000000"/>
          <w:sz w:val="24"/>
          <w:szCs w:val="24"/>
        </w:rPr>
        <w:t>(1) Vrijednost imovine UCITS fonda ne smije pasti ispod 5.000.000,00 kuna tijekom tri uzastopna kalendarska mjeseca, a ako se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B98">
        <w:rPr>
          <w:rFonts w:ascii="Times New Roman" w:hAnsi="Times New Roman" w:cs="Times New Roman"/>
          <w:color w:val="000000"/>
          <w:sz w:val="24"/>
          <w:szCs w:val="24"/>
        </w:rPr>
        <w:t>dogodi, UCITS fond mora biti likvidiran ili pripojen nekom drugom UCITS fondu.</w:t>
      </w:r>
    </w:p>
    <w:p w:rsidR="00771A26" w:rsidRDefault="00771A26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AE3" w:rsidRDefault="005F6B98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B98">
        <w:rPr>
          <w:rFonts w:ascii="Times New Roman" w:hAnsi="Times New Roman" w:cs="Times New Roman"/>
          <w:color w:val="000000"/>
          <w:sz w:val="24"/>
          <w:szCs w:val="24"/>
        </w:rPr>
        <w:t>(2) Pri utvrđivanju vrijednosti imovine UCITS fonda iz stavka 1. ovoga članka koristi se prosječna neto vrijednost imovine UCITS fonda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B98">
        <w:rPr>
          <w:rFonts w:ascii="Times New Roman" w:hAnsi="Times New Roman" w:cs="Times New Roman"/>
          <w:color w:val="000000"/>
          <w:sz w:val="24"/>
          <w:szCs w:val="24"/>
        </w:rPr>
        <w:t>izračunata kao prosječna vrijednost dnevnih neto vrijednosti imovine kroz tri uzastopna kalendarska mjeseca.</w:t>
      </w:r>
    </w:p>
    <w:p w:rsidR="007E4560" w:rsidRDefault="007E4560" w:rsidP="005F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CA1416" w:rsidRDefault="007E4560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Početna ponuda udjela</w:t>
      </w:r>
    </w:p>
    <w:p w:rsidR="007E4560" w:rsidRPr="00CA1416" w:rsidRDefault="007E4560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245.</w:t>
      </w:r>
    </w:p>
    <w:p w:rsidR="00813472" w:rsidRPr="00CA1416" w:rsidRDefault="00813472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(1) Početna ponuda udjela UCITS fonda smije započeti tek po objavljivanju prospekta UCITS fonda u skladu s člankom 189. ovoga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Zakona.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(2) Društvo za upravljanje dužno je, u okviru prospekta ili kao naknadnu obavijest, na svojoj mrežnoj stranici objaviti datume početka i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završetka početne ponude udjela, kao i datum do kojega će ulagateljima isplatiti uplaćena novčana sredstva u slučaju da okončanjem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razdoblja za početnu ponudu nije prikupljen predviđeni iznos najniže vrijednosti imovine UCITS fonda.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(3) Razdoblje početne ponude udjela u UCITS fondu ne smije trajati dulje od 30 dana od dana početka početne ponude. Tijekom tog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razdoblja ukupni iznos primljenih novčanih sredstava drži se na računu UCITS fonda otvorenom kod depozitara i ne smije se ulagati sve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do trenutka kada UCITS fond ne prijeđe zakonom utvrđeni prag najniže vrijednosti imovine UCITS fonda od 5.000.000,00 kuna.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(4) Ulaganje prikupljenih novčanih sredstava smije početi tek po isteku razdoblja početne ponude.</w:t>
      </w:r>
    </w:p>
    <w:p w:rsidR="00E33321" w:rsidRDefault="00E33321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(5) Cijena izdanja i dodjela udjela ulagateljima određeni su člankom 172. ovoga Zakona.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(6) Prije uspješnog okončanja početne ponude udjela u UCITS fondu ulagateljima se ne zaračunavaju i ne naplaćuju nikakve naknade.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(7) Ulagatelji nemaju pravo na isplatu uplaćenih novčanih sredstava za vrijeme trajanja početne ponude udjela UCITS fonda.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(8) U slučaju da okončanjem razdoblja za početnu ponudu nije prikupljen predviđeni iznos najniže vrijednosti imovine UCITS fonda,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društvo za upravljanje dužno je vratiti uplaćena sredstva ulagateljima u roku od 15 dana.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(9) Ako se UCITS fond ne osnuje u roku od tri mjeseca od izdavanja odobrenja za osnivanje i upravljanje UCITS fondom, odobrenje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prestaje važiti, a Agencija će rješenjem ukinuti odobrenje za osnivanje i upravljanje UCITS fondom.</w:t>
      </w:r>
    </w:p>
    <w:p w:rsidR="00771A26" w:rsidRDefault="00771A26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560" w:rsidRP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60">
        <w:rPr>
          <w:rFonts w:ascii="Times New Roman" w:hAnsi="Times New Roman" w:cs="Times New Roman"/>
          <w:color w:val="000000"/>
          <w:sz w:val="24"/>
          <w:szCs w:val="24"/>
        </w:rPr>
        <w:t>(10) Po okončanju razdoblja početne ponude udjela društvo za upravljanje je dužno bez odgode obavijestiti Agenciju o ishodu početne</w:t>
      </w:r>
      <w:r w:rsidR="008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560">
        <w:rPr>
          <w:rFonts w:ascii="Times New Roman" w:hAnsi="Times New Roman" w:cs="Times New Roman"/>
          <w:color w:val="000000"/>
          <w:sz w:val="24"/>
          <w:szCs w:val="24"/>
        </w:rPr>
        <w:t>ponude.</w:t>
      </w:r>
    </w:p>
    <w:p w:rsidR="007E4560" w:rsidRDefault="007E4560" w:rsidP="007E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21" w:rsidRDefault="00E3332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POGLAVLJE III.</w:t>
      </w:r>
    </w:p>
    <w:p w:rsidR="00E65C5E" w:rsidRPr="00CA1416" w:rsidRDefault="00E65C5E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Dozvoljena ulaganja UCITS fonda</w:t>
      </w:r>
    </w:p>
    <w:p w:rsidR="00E65C5E" w:rsidRPr="00CA1416" w:rsidRDefault="00E65C5E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252.</w:t>
      </w:r>
    </w:p>
    <w:p w:rsidR="00E65C5E" w:rsidRPr="00CA1416" w:rsidRDefault="00E65C5E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(1) Imovina UCITS fonda isključivo se može sastojati od: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1. prenosivih vrijednosnih papira ili instrumenata tržišta novca: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a) koji su uvršteni ili se njima trguje na uređenom tržištu u smislu zakona kojim se uređuje tržište kapitala u Republici Hrvatskoj i/ili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državi članici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b) kojima se trguje na drugom uređenom tržištu u Republici Hrvatskoj i/ili državi članici, koje redovito pos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luje, priznato je i otvoreno za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javnost i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c) koji su uvršteni u službenu kotaciju burze u trećoj državi ili kojima se trguje na drugom uređenom tržištu u trećoj državi koje redovito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posluje, priznato je i otvoreno za javnost, pod uvjetom da je takvo ulaganje predviđeno prospektom UCITS fonda.</w:t>
      </w: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2. nedavno izdanih prenosivih vrijednosnih papira, pod sljedećim uvjetima: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a) uvjeti izdanja uključuju obvezu da će izdavatelj podnijeti zahtjev za uvrštenje u službenu kotaciju burze ili na drugo uređeno tržište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koje redovito posluje, priznato je i otvoreno za javnost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b) takvo ulaganje predviđeno je prospektom i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c) uvrštenje će se izvršiti u roku od jedne godine od dana izdanja.</w:t>
      </w: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3. udjela UCITS fondova koji su odobrenje za rad dobili u Republici Hrvatskoj ili drugoj državi članici te udjela drugih investicijskih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fondova koji zadovoljavaju uvjete iz članka 4. stavka 1. točke 2. podtočka a) i b) ovoga Zakona koji su odobrenje za rad dobili u Republici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Hrvatskoj, drugoj državi članici ili u trećoj državi, pod sljedećim uvjetima: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a) takvi drugi investicijski fondovi su dobili odobrenje za rad od strane Agencije odnosno nadležnog tijela matične države članice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nadležnog tijela treće države s kojima je osigurana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suradnja s Agencijom, a koji podliježu nadzoru za koji Agencija smatra da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istovjetan s onime propisanim ovim Zakonom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b) razina zaštite za imatelje udjela drugih investicijskih fondova istovjetna je s onom koja je propisana za imatelje udjela UCITS fondova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te su, posebice, propisi za odvojenost imovine, zaduživanje, davanje zajmova i prodaju prenosivih vrijednosnih papira i instrumenata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tržišta novca bez pokrića istovjetni sa zahtjevima propisanima ovim Zakonom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c) o poslovanju drugih investicijskih fondova izvještava se u polugodišnjim i revidiranim godišnjim izvještajima kako bi se omogućila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procjena imovine i obveza, dobiti i poslovanja tijekom izvještajnog razdoblja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d) prospektom UCITS fonda ili drugog investicijskog fonda čiji se udjeli ili dionice namjeravaju stjecati predviđeno je da ukupno najviše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10% neto imovine investicijskog fonda može biti uloženo u udjele ili dionice drugog UCITS fonda ili drugih investicijskih fondova.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4. depozita kod kreditnih institucija koji su povratni na zahtjev ili daju pravo opoziva i dospijevaju za najviše 12 mjeseci, pod uvjetom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kreditna institucija ima registrirano sjedište u Republici Hrvatskoj ili drugoj državi članici ili, ako kreditna institucija ima registrirano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sjedište u trećoj državi, pod uvjetom da podliježe nadzoru za koji Agencija smatra da je istovjetan s onime propisanim pravom Europske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unije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nancijskih izvedenica kojima se trguje na uređenim tržištima iz točke 1. ovoga stavka ili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nancijskih izvedenica kojima se trguje izvan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uređenih tržišta iz točke 1. ovoga stavka (OTC izvedenice) pod sljedećim uvjetima: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a) temeljna imovina izvedenice sastoji se od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nancijskih instrumenata obuhvaćenih točkama 1. do 6. ovoga stavka,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nancijskih indeksa,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kamatnih stopa, deviznih tečajeva ili valuta, u koje UCITS fond može ulagati u skladu sa svojim investicijskim ciljevima navedenim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prospektu fonda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b) druge ugovorne strane u transakcijama s OTC izvedenicama su institucije koje podliježu bonitetnom nadzoru te pripadaju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kategorijama koje propiše Agencija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c) OTC izvedenice podliježu svakodnevnom pouzdanom i provjerljivom vrednovanju te ih je u svakom trenutku moguće prodati,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likvidirati ili zatvoriti prijebojnom transakcijom po njihovoj fer vrijednosti na zahtjev UCITS fonda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d) da se u navedene instrumente ulaže isključivo u svrhu zaštite imovine UCITS fonda ili sa svrhom postizanja ciljeva ulaganja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e) prospektom UCITS fonda predviđeno je ulaganje u takve instrumente i prikazan je utjecaj takvih instrumenata na rizičnost UCITS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fonda.</w:t>
      </w: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6. instrumenata tržišta novca iz članka 4. stavka 1. točke 25. ovoga Zakona kojima se ne trguje na uređenim tržištima iz točke 1. ovoga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stavka, a čije je izdanje ili izdavatelj reguliran u svrhu zaštite ulagatelja i štednih uloga, na način da:</w:t>
      </w: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izdala ih je ili za njih jamči Republika Hrvatska, jedinice lokalne ili područne (regionalne) samouprave ili Hrvatska narodna banka,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druga država članica, jedinice lokalne ili područne (regionalne) samouprave ili središnja banka druge drž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članice, Europska središnja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banka, Europska unija ili Europska investicijska banka, treća država ili, u slučaju federalne države, jedna od članica koje čine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federaciju, ili javno međunarodno tijelo kojemu pripada jedna ili više država članica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b) izdalo ih je društvo čijim se vrijednosnim papirima trguje na uređenim tržištima iz točke 1. ovoga stavka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c) izdao ih je ili za njih jamči subjekt koji podliježe bonitetnom nadzoru nadležnog tijela države članice u skladu s kriterijima de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niranim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pravom Europske unije ili subjekt koji podliježe ili udovoljava pravilima nadzora koja su prema mišljenju Agencije barem jednako stroga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kao ona propisana pravom Europske unije ili</w:t>
      </w:r>
    </w:p>
    <w:p w:rsidR="00E33321" w:rsidRDefault="00E33321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d) izdala ih je druga osoba svrstana u kategorije koje propiše Agencija, pod uvjetom da ulaganja u takve instrumente podliježu zaštiti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ulagatelja jednakoj onoj propisanoj podtočkama a), b) ili c) ove točke te pod uvjetom da je izdavatelj društvo čiji kapital i rezerve iznose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najmanje 80 milijuna kuna i koje sastavlja i objavljuje svoje godišnje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nancijske izvještaje u skladu s propisima kojima se uređuje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računovodstvo poduzetnika i primjena standarda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nancijskog izvještavanja, da je izdavatelj subjekt koji se, unutar grupe društava koja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obuhvaća jedno ili nekoliko društava čije su dionice uvrštene na neko od uređenih tržišta, bavi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nanciranjem te grupe, ili da je izdavatelj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 xml:space="preserve">subjekt čiji je predmet poslovanja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nanciranje posebnih subjekata za sekuritizaciju koja koriste bankovne kreditne linije.</w:t>
      </w:r>
    </w:p>
    <w:p w:rsidR="00771A26" w:rsidRDefault="00771A26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(2) Najviše 10% neto vrijednosti imovine UCITS fonda može se uložiti u prenosive vrijednosne papire i instrumente tržišta novca koji nisu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navedeni u stavku 1. točkama 1., 2. i 6. ovoga članka.</w:t>
      </w:r>
    </w:p>
    <w:p w:rsidR="00771A26" w:rsidRDefault="00771A26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(3) Imovina UCITS fondova ne smije se ulagati u plemenite metale niti u potvrde koje ih predstavljaju.</w:t>
      </w:r>
    </w:p>
    <w:p w:rsidR="00771A26" w:rsidRDefault="00771A26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P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(4) Imovina UCITS fondova može se držati u novcu na računu.</w:t>
      </w:r>
    </w:p>
    <w:p w:rsidR="00771A26" w:rsidRDefault="00771A26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5E" w:rsidRDefault="00E65C5E" w:rsidP="00E65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5E">
        <w:rPr>
          <w:rFonts w:ascii="Times New Roman" w:hAnsi="Times New Roman" w:cs="Times New Roman"/>
          <w:color w:val="000000"/>
          <w:sz w:val="24"/>
          <w:szCs w:val="24"/>
        </w:rPr>
        <w:t>(5) Agencija će pravilnikom detaljnije odrediti dozvoljena ulaganja UCITS fondova, tržišta koja smatra uređenima te institucije koje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smatraju drugom ugovornom stranom iz stavka 1. točke 5. podtočke b) ovoga članka i kategorije drugih izdavatelja iz stavka 1. točke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5E">
        <w:rPr>
          <w:rFonts w:ascii="Times New Roman" w:hAnsi="Times New Roman" w:cs="Times New Roman"/>
          <w:color w:val="000000"/>
          <w:sz w:val="24"/>
          <w:szCs w:val="24"/>
        </w:rPr>
        <w:t>podtočke d) ovoga članka.</w:t>
      </w:r>
    </w:p>
    <w:p w:rsidR="00E33321" w:rsidRPr="00E33321" w:rsidRDefault="00E33321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POGLAVLJE VI.</w:t>
      </w:r>
    </w:p>
    <w:p w:rsidR="00E65C5E" w:rsidRDefault="00E33321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PROSPEKT, POLUGODI</w:t>
      </w:r>
      <w:r w:rsidRPr="00E33321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Š</w:t>
      </w: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NJI I REVIDIRANI GODI</w:t>
      </w:r>
      <w:r w:rsidRPr="00E33321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Š</w:t>
      </w: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NJI IZVJE</w:t>
      </w:r>
      <w:r w:rsidRPr="00E33321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Š</w:t>
      </w: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TAJI NAPAJAJU</w:t>
      </w:r>
      <w:r w:rsidRPr="00E33321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Ć</w:t>
      </w:r>
      <w:r w:rsidRPr="00E3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 UCITS FONDA</w:t>
      </w:r>
    </w:p>
    <w:p w:rsidR="00363E13" w:rsidRPr="00CA1416" w:rsidRDefault="00363E1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Prospekt napajajućeg UCITS fonda</w:t>
      </w:r>
    </w:p>
    <w:p w:rsidR="00363E13" w:rsidRPr="00CA1416" w:rsidRDefault="00363E1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316.</w:t>
      </w:r>
    </w:p>
    <w:p w:rsidR="00363E13" w:rsidRPr="00363E13" w:rsidRDefault="00363E13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Prospekt napajajućeg UCITS fonda, pored odredaba iz članka 191. ovoga Zakona, sadržava:</w:t>
      </w:r>
    </w:p>
    <w:p w:rsidR="00771A26" w:rsidRDefault="00771A26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1. izjavu da je riječ o napajajućem UCITS fondu koji najmanje 85% svoje imovine ulaže u udjele glavnog UCITS fonda te naziv glavnog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UCITS fonda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ciljeve ulaganja i strategiju ulaganja napajajućeg UCITS fonda, s opisom rizika povezanih s ulaganjem u udjele glavnog UCITS fonda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l rizičnosti i sklonost riziku napajajućeg UCITS fonda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3. izjavu da su prinosi napajajućeg i glavnog UCITS fonda jednaki ili u kojoj se mjeri i iz kojeg razloga razlikuju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4. opis ulaganja preostalih sredstava napajajućeg UCITS fonda iz članka 307. ovoga Zakona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 xml:space="preserve">5. kratak i jasan opis svojstava glavnog UCITS fonda, njegova investicijskog cilja i strategije ulaganja, </w:t>
      </w:r>
      <w:r w:rsidR="006A5587">
        <w:rPr>
          <w:rFonts w:ascii="Times New Roman" w:hAnsi="Times New Roman" w:cs="Times New Roman"/>
          <w:color w:val="000000"/>
          <w:sz w:val="24"/>
          <w:szCs w:val="24"/>
        </w:rPr>
        <w:t>profil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 xml:space="preserve"> rizičnosti i sklonost riziku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6. naznaku mjesta na kojem je i načina na koji je moguće dobiti prospekt glavnog UCITS fonda te dodatne informacije o glavnom UCITS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fondu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7. sažetak sporazuma između društava za upravljanje glavnog i napajajućeg UCITS fonda, odnosno internih pravila poslovanja iz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303. ovoga Zakona te mjesto na kojem je moguće dobiti dodatne informacije o tome sporazumu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P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8. opis svih naknada ili troškova koji napajajući UCITS fond plaća glavnom UCITS fondu na temelju njegova ulaganja u udjele glavnog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E13">
        <w:rPr>
          <w:rFonts w:ascii="Times New Roman" w:hAnsi="Times New Roman" w:cs="Times New Roman"/>
          <w:color w:val="000000"/>
          <w:sz w:val="24"/>
          <w:szCs w:val="24"/>
        </w:rPr>
        <w:t>UCITS fonda, kao i ukupnih troškova napajajućeg i glavnog UCITS fonda i</w:t>
      </w:r>
    </w:p>
    <w:p w:rsidR="00E33321" w:rsidRDefault="00E33321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E13" w:rsidRDefault="00363E13" w:rsidP="00363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E13">
        <w:rPr>
          <w:rFonts w:ascii="Times New Roman" w:hAnsi="Times New Roman" w:cs="Times New Roman"/>
          <w:color w:val="000000"/>
          <w:sz w:val="24"/>
          <w:szCs w:val="24"/>
        </w:rPr>
        <w:t>9. opis poreznih učinaka na napajajući UCITS fond vezanih uz ulaganje u udjele glavnog UCITS fonda.</w:t>
      </w:r>
    </w:p>
    <w:p w:rsidR="000065CB" w:rsidRPr="000065CB" w:rsidRDefault="000065CB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 TRINAESTI</w:t>
      </w:r>
    </w:p>
    <w:p w:rsidR="00B362C1" w:rsidRDefault="000065CB" w:rsidP="000D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LIKVIDACIJA I PRESTANAK UCITS FONDA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Razlozi za likvidaciju UCITS fonda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336.</w:t>
      </w:r>
    </w:p>
    <w:p w:rsidR="00B362C1" w:rsidRPr="00B362C1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Likvidacija UCITS fonda provodi se u sljedećim slučajevima: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prilikom dobrovoljnog prestanka obavljanja djelatnosti društva za upravljanje, ako upravljanje UCITS fondom nije preneseno drugom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društvu za upravljanje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ako depozitar prestane poslovati u svojstvu depozitara ili ako Agencija ukine izdanu suglasnost na izbor depozitara, a društvo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upravljanje ne postupi u skladu s člankom 237. stavkom 3. ovoga Zakona ili ako Agencija odbije ili odbaci zahtjev iz članka 237. stavka 4.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ako prosječna dnevna neto vrijednost imovine UCITS fonda s javnom ponudom padne ispod 5.000.000,00 kuna tijekom tri uzastopna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kalendarska mjeseca, a nije započet postupak pripajanja toga UCITS fonda nekom drugom UCITS fondu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ako je društvu za upravljanje ukinuto ili mu je prestalo važiti odobrenje za rad ili je nad njime otvoren stečajni postupak ili pokrenut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postupak likvidacije, a upravljanje UCITS fondom nije preneseno na novo društvo za upravljanje u skladu s odredbama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kada Agencija, kao posebnu nadzornu mjeru, naloži upravi društva za upravljanje likvidaciju UCITS fonda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u drugim slučajevima predviđenima ovim Zakonom, propisima donesenim na temelju ovoga Zakona i prospektom UCITS fonda.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Odmah nakon nastupa razloga za početak likvidacije društvo za upravljanje, odnosno likvidator donosi odluku o likvidaciji UCITS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fonda.</w:t>
      </w: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Pr="00ED5ABE" w:rsidRDefault="00ED5ABE" w:rsidP="004E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Prestanak UCITS fonda osnovanog na odre</w:t>
      </w:r>
      <w:r w:rsidRPr="00ED5ABE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eno vrijeme</w:t>
      </w:r>
    </w:p>
    <w:p w:rsidR="00ED5ABE" w:rsidRDefault="00ED5ABE" w:rsidP="004E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ABE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lanak 342.</w:t>
      </w:r>
    </w:p>
    <w:p w:rsidR="00ED5ABE" w:rsidRPr="00ED5ABE" w:rsidRDefault="00ED5ABE" w:rsidP="004E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(1) Kada je UCITS fond osnovan na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 vrijeme, u njegovom se prospektu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uje datum prestanka UCITS fonda.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(2) Kada je UCITS fond osnovan na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 vrijeme, dru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tvo za upravljanje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dan prije prestanka postojanja UCITS fonda izra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unati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cijenu udjela toga UCITS fonda te po toj cijeni izvr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iti otkup svih udjela i u potpunosti isplatiti ulagatelje.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(3) Isplata sredstava na ra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une ulagatelja provest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se najkasnije u roku od sedam dana nakon prestanka UCITS fonda.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(4) Dru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tvo za upravljanje mo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donijeti odluku o prestanku UCITS fonda osnovanog na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 vrijeme i prije datuma prestanka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enog njegovim prospektom ako je ostvarena svrha toga UCITS fonda ili je takva odluka u interesu ulagatelja u taj UCITS fond,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takva je mogu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nost predvi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ena prospektom UCITS fonda.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(5) U slu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aju prestanka UCITS fonda osnovanog na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 vrijeme prije datuma prestanka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enog njegovim prospektom dru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tvo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upravljanje je o svojoj odluci du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no bez odgode obavijestiti Agenciju i ulagatelje te ne smije ulagateljima naplatiti izlaznu naknadu.</w:t>
      </w: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(6) Ako dru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tvo za ulaganje ne ispuni obveze iz stavaka 2. i 3. ovoga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lanka u predvi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enim rokovima, UCITS fond osnovan na odre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vrijeme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se nakon datuma prestanka smatrati UCITS fondom u likvidaciji.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>(7) Ako dru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š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tvo za upravljanje utvrdi da ne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biti u mogu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nosti ispuniti obveze iz stavaka 2. i 3. ovoga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lanka u predvi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đ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enim rokovima,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ž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no je o tome bez odgode obavijestiti Agenciju i ulagatelje.</w:t>
      </w:r>
    </w:p>
    <w:p w:rsidR="00ED5ABE" w:rsidRP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BE">
        <w:rPr>
          <w:rFonts w:ascii="Times New Roman" w:hAnsi="Times New Roman" w:cs="Times New Roman"/>
          <w:color w:val="000000"/>
          <w:sz w:val="24"/>
          <w:szCs w:val="24"/>
        </w:rPr>
        <w:t xml:space="preserve">(8) Agencija 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ć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e pravilnikom detaljnije urediti uvjete i na</w:t>
      </w:r>
      <w:r w:rsidRPr="00ED5ABE">
        <w:rPr>
          <w:rFonts w:ascii="Times New Roman" w:hAnsi="Times New Roman" w:cs="Times New Roman" w:hint="eastAsia"/>
          <w:color w:val="000000"/>
          <w:sz w:val="24"/>
          <w:szCs w:val="24"/>
        </w:rPr>
        <w:t>č</w:t>
      </w:r>
      <w:r w:rsidRPr="00ED5ABE">
        <w:rPr>
          <w:rFonts w:ascii="Times New Roman" w:hAnsi="Times New Roman" w:cs="Times New Roman"/>
          <w:color w:val="000000"/>
          <w:sz w:val="24"/>
          <w:szCs w:val="24"/>
        </w:rPr>
        <w:t>in prestanka fonda.</w:t>
      </w:r>
    </w:p>
    <w:p w:rsidR="00ED5ABE" w:rsidRDefault="00ED5ABE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ADE">
        <w:rPr>
          <w:rFonts w:ascii="Times New Roman" w:hAnsi="Times New Roman" w:cs="Times New Roman"/>
          <w:b/>
          <w:color w:val="000000"/>
          <w:sz w:val="24"/>
          <w:szCs w:val="24"/>
        </w:rPr>
        <w:t>Teži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prekršaji društva za upravljanje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397.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1% do 10% od ukupnog prihoda ostvarenog u godini počinjenja prekr</w:t>
      </w:r>
      <w:r>
        <w:rPr>
          <w:rFonts w:ascii="Times New Roman" w:hAnsi="Times New Roman" w:cs="Times New Roman"/>
          <w:color w:val="000000"/>
          <w:sz w:val="24"/>
          <w:szCs w:val="24"/>
        </w:rPr>
        <w:t>šaja, koji je utvrđen službenim 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nancijskim izvještajima za tu godinu, kaznit će se za prekršaj društvo za upravljanje ako: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posluje u obliku različitom od onoga propisanog člankom 12. stavcima 1. i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obavlja djelatnosti iz članka 13. ovoga Zakona za koje nije dobilo odobrenje za rad Agencije ili ih nije upisalo kao djelatnost u sudski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registar, u skladu s odredbom članka 15.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obavlja druge djelatnosti protivno članku 15. stavku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obavlja poslove upravljanja fondovima protivno odredbama članka 15.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svoju djelatnost obavlja izvan područja iz članka 15.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regulatorni kapital društva za upravljanje nije u skladu s odredbama pravilnika iz članka 19.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7. osim djelatnosti upravljanja UCITS fondovima obavlja djelatnosti osnivanja i upravljanja alternativnim investicijskim fondovima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upravljanja dobrovoljnim mirovinskim fondovima ili upravljanja portfeljem, a ne ispunjava dodatne kapitalne zahtjeve propisane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pravilnikom iz članka 20.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8. regulatorni kapital društva za upravljanje nije u svakom trenutku veći ili jednak većem od iznosa iz članka 21. stavka 1. ili 3. ovoga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 ili stavke općih troškova iz članka 21. stavka 1. točke 2. ovoga Zakona nisu u skladu s odredbama članka 13. Uredbe (EU) br.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2019/2033.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9. o ispunjenju kapitalnih zahtjeva iz članka 21. ovoga Zakona ne izvještava Agenciju najmanje jednom u šest mjeseci, u skladu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22. stavka 1. ovoga Zakona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10. su vrste ili sadržaj izvještaja o izračunu regulatornog kapitala i/ili rokovi njihove dostave protivni odredbama pravilnika iz članka 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11. protivno odredbama članka 29. stavka 1. ovoga Zakona ima ili stekne kontrolu ili kvali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cirani udjel u investicijskom društvu, kreditnoj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instituciji koja pruža investicijske usluge i obavlja investicijske aktivnosti u skladu s odredbama zakona koji uređuje tržište kapitala,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odnosno koja obavlja odgovarajuće usluge u skladu s odredbama zakona koji uređuje osnivanje i poslovanje kreditnih institucija,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društvu za osiguranje, društvu za reosiguranje, mirovinskom društvu za upravljanje obveznim ili dobrovoljnim mirovinskim fondovima,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mirovinskom osiguravajućem društvu, faktoring-društvu ili leasing-društvu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12. ima ili stekne dionice ili udjele u depozitaru, protivno odredbama članka 29.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13. ima ili stekne dionice ili udjele u osobi na koju je depozitar delegirao poslove iz članka 221. ovoga Zakona, protivno odredbama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29.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14. funkciju člana uprave društva za upravljanje, protivno odredbama članka 39. stavka 1. ovoga Zakona, obavlja osoba koja nije dobila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odobrenje Agencije za obavljanje funkcije člana uprave društva za upravljanje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15.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1. točke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16.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1. točke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17.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1. točke 3. ovoga Zakona na način da u svome poslovanju ne postupe u najboljem interesu UCITS fondova ili ulagatelja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 UCITS fondove kojima upravljaju, ili postupe na način kojim se ne štititi integritet tržišta kapitala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18.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1. točke 4. ovoga Zakona na način da nisu uspostavili ili učinkovito koristili sredstva ili procese potrebne za uredno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obavljanje djelatnosti društva za upravljanje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19.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1. točke 5. ovoga Zakona na način da nisu poduzeli sve razumne mjere za sprečavanje negativnog utjecaja sukoba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interesa na interese UCITS fondova ili njihovih ulagatelja ili osigurali da se prema UCITS fondovima i njihovim ulagateljima postupa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pošteno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20. društvo za upravljanje, odnosno članovi njegove uprave ili prokuristi ili članovi nadzornog odbora protivno odredbama članka 47.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stavka 1. točke 6. ovoga Zakona ne primjene odredbe Zakona i propisa donesenih na temelju Zakona na način koji promovira najbolje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interese ulagatelja i integritet tržišta kapitala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21. društvo za upravljanje, odnosno članovi njegove uprave ili prokuristi ili članovi nadzornog odbora postupe protivno odredbama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47. stavka 2. ovoga Zakona na način da su u svojem poslovanju stavili svoje interese ili interese povezanih osoba ispred interesa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ulagatelja ili UCITS fonda ili integriteta tržišta kapitala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22. ne uspostavi sveobuhvatan i učinkovit sustav upravljanja rizicima za društvo za upravljanje i UCITS fondove kojima upravlja u skladu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 odredbama članka 56.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23. kao društvo za upravljanje koje je izloženo sekuritizaciji ili društvo za upravljanje koje upravlja pojedinim UCITS fondom koji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izložen sekuritizaciji ne napravi pisanu procjenu, kada je to dužan u skladu s odredbom članka 56.a stavka 1. ovoga Zakona, a u svezi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odredbom članka 5. Uredbe (EU) 2017/2402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24. kao društvo za upravljanje koje je izloženo sekuritizaciji ili društvo za upravljanje koji upravlja pojedinim UCITS fondom koji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izložen sekuritizaciji ne napravi pisanu procjenu kako okolnosti vezane uz predmetnu sekuritizaciju utječu ili mogu utjecati na interese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ulagatelja u pojedini UCITS fond, kada je to dužan u skladu s odredbom članka 56.a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25. kao društvo za upravljanje koje je izloženo sekuritizaciji ili društvo za upravljanje koje upravlja pojedinim UCITS fondom koji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izložen sekuritizaciji pisanu procjenu iz članka 56.a stavka 2. ovoga Zakona ne ažurira u skladu s odredbama članka 56.a stavka 4. ovoga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26. kao društvo za upravljanje koje je izloženo sekuritizaciji ili društvo za upravljanje koje upravlja pojedinim UCITS fondom koji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izložen sekuritizaciji u smislu članka 56.a stavka 2. ovoga Zakona ne usvoji ili ne poduzme mjere za smanjenje izloženosti odnosno druge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odgovarajuće korektivne mjere, kada je to dužno u skladu s odredbom članka 56.a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27. kao društvo za upravljanje koje je izloženo sekuritizaciji ili društvo za upravljanje koje upravlja pojedinim UCITS fondom koji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izložen sekuritizaciji u smislu članka 56.a stavka 2. ovoga Zakona ne ažurira mjere iz članka 56.a stavka 3. ovoga Zakona u skladu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56.a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28. kao društvo za upravljanje koje je izloženo sekuritizaciji ili UAIF koji upravlja pojedinim AIF-om koji je izložen sekuritizaciji u smislu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56.a stavka 2. ovoga Zakona ne vodi evidencije o mjerama iz članka 56.a stavka 3. ovoga Zakona u skladu s odredbama članka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56.a stavka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29. protivno odredbama članka 69. stavka 1. ovoga Zakona, poslove koje je dužno obavljati delegira trećim osobama bez odobrenja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30. delegira poslove na treće osobe bez da ispuni uvjete propisane odredbama članka 70.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31. protivno odredbama članka 85. stavka 2. ovoga Zakona, preuzme poslove upravljanja UCITS fondom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32. nije sposobno pravovremeno ispuniti svoju dospjelu obvezu ili nije trajno sposobno ispunjavati sve svoje obveze, suprotno obvezi 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106. stavka 1. točke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33. ne upravlja UCITS fondom na način da je UCITS fond sposoban pravovremeno ispunjavati svoje dospjele obveze ili na način da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UCITS fond trajno sposoban ispunjavati sve svoje obveze, suprotno obvezi iz članka 106. stavka 1. točke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34. suprotno zabrani iz članka 107. točke 1. članka ovoga Zakona obavlja djelatnost posredovanja u kupnji i prodaji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financijskih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instrumenata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35. suprotno zabrani iz članka 107. točke 2. ovoga Zakona stječe ili otuđuje imovinu UCITS fonda kojim upravlja za svoj račun ili račun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relevantnih osoba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36. suprotno zabrani iz članka 107. točke 3. ovoga Zakona kupi sredstvima UCITS fonda imovinu ili sklopi posao koji nije predviđen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njegovim prospektom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37. suprotno zabrani iz članka 107. točke 5. ovoga Zakona nenaplatno otuđi imovinu UCITS fonda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38. suprotno zabrani iz članka 107. točke 6. ovoga Zakona stekne ili otuđi imovinu UCITS fondova kojima upravlja po cijeni nepovoljnijoj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 tržišne cijene ili procijenjene vrijednosti predmetne imovine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39. suprotno zabrani iz članka 107. točke 7. ovoga Zakona neposredno ili posredno, istodobno ili s odgodom, dogovori prodaju, kupnju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prijenos imovine između dva UCITS fonda kojima upravlja isto društvo za upravljanje ili između UCITS fonda i alternativnog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investicijskog fonda, dobrovoljnog mirovinskog fonda ili individualnog portfelja ako društvo za upravljanje njima upravlja, pod uvjetima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različitim od tržišnih uvjeta ili uvjetima koji jedan UCITS fond, alternativni investicijski fond, dobrovoljni mirovinski fond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individualni portfelj stavi u povoljniji položaj u odnosu na drugi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40. suprotno zabrani iz članka 107. točke 8. ovoga Zakona preuzme obveze u vezi s imovinom koja u trenutku preuzimanja tih obveza 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vlasništvo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41. suprotno zabrani iz članka 107. točke 9. ovoga Zakona za svoj račun stekne ili otuđi udjele u UCITS fondu kojim upravlja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42. suprotno zabrani iz članka 107. točke 10. ovoga Zakona izda drugi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 instrument osim udjela u UCITS fondu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43. suprotno zabrani iz članka 107. točke 11. ovoga Zakona uloži imovinu UCITS fonda u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nancijske instrumente kojih je ono izdavatelj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44. suprotno zabrani iz članka 107. točke 12. ovoga Zakona isplati dividendu ili bonus radniku ili upravi ako ne ispunjava kapitalne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zahtjeve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45. suprotno zabrani iz članka 107. točke 13. ovoga Zakona provede prodaju bez pokrića prenosivih vrijednosnih papira, instrumenata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tržišta novca ili drugih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nancijskih instrumenata iz članka 252. stavka 1. točaka 3., 5. ili 6. ovoga Zakona za račun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46. suprotno zabrani iz članka 107. točke 14. ovoga Zakona postupi protivno odredbama prospekta UCITS fonda kojim upravlja, a osobito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 odnosu na odredbe o ograničenjima ulaganja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47. suprotno zabrani iz članka 108. stavka 1. točke 1. ovoga Zakona uzme ili odobriti zajam ili sklopi drugi pravni posao koji je po svojim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ekonomskim učincima jednak zajmu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48. suprotno zabrani iz članka 108. stavka 1. točke 2. ovoga Zakona preuzme jamstvo ili izda garanciju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49. suprotno zabrani iz članka 108. stavka 2. ovoga Zakona imovinu UCITS fonda založi ili na bilo koji način optereti, prenese ili ustupi 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svrhu osiguranja tražbine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50. su UCITS fondovi, zajedno s portfeljima kojima upravlja suprotno članku 109. stavku 1. točki a) ovoga Zakona, imatelji više od 25%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dionica s pravom glasa jednog te istog izdavatelja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51. su UCITS fondovi, zajedno s portfeljima kojim upravlja suprotno članku 109. stavku 1. točki b) ovoga Zakona, imatelji više od 10%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dionica bez prava glasa jednog te istog izdavatelja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52. su UCITS fondovi, zajedno s portfeljima kojim upravlja suprotno članku 109. stavku 1. točki c) ovoga Zakona, imatelji više od 10%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dužničkih vrijednosnih papira koje je izdao jedan te isti izdavatelj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53. su UCITS fondovi, zajedno s portfeljima kojim upravlja suprotno članku 109. stavku 1. točki d) ovoga Zakona, imatelji više od više od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25% udjela pojedinoga investicijskog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54. su UCITS fondovi, zajedno s portfeljima kojim upravlja suprotno članku 109. stavku 1. točki e) ovoga Zakona, imatelji više od 10%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instrumenata tržišta novca koje je izdao jedan te isti izdavatelj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CB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55. vodeći registar udjela UCITS fonda priopći podatke o ulagateljima, stanju udjela te uplatama i isplatama protivno odredbama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114. stavka 1. ovoga Zakona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56. kao društvo za upravljanje iz treće države trguje udjelima otvorenih investicijskih fondova s javnom ponudom iz treće države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protivno odredbama članka 147. stavka 1. ovoga Zakona na način da na račun kod kreditne institucije sa sjedištem u Republici Hrvatskoj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prethodno ne uplati iznos od najmanje 1.000.000,00 kuna u svrhu osiguranja isplata imatelja udjela otvorenog investicijskog fonda 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javnom ponudom kojim društvo iz treće države upravlja i čijim udjelima namjerava trgovati u Republici Hrvatskoj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57. ne utvrđuje vrijednost imovine UCITS fonda, odnosno cijene udjela, u skladu s odredbama članka 168.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9CC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58. obustavu izdavanja i otkupa udjela UCITS fonda ne provodi u skladu s odredbama članka 177. stavaka 1. do 5. ili članka 178. stavaka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1. i 4. ovoga Zakona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59. za UCITS fond kojim upravlja ne usvoji prospekt UCITS fonda u skladu s odredbama glave druge dijela osmog ovoga Zakona,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suprotno odredbi članka 183. stavka 1. točke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60. ne postupi u skladu s odredbama članka 183. stavka 1. točke 2. ovoga Zakona na način da za UCITS fond kojim upravlja ne usvoji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pravila UCITS fonda u skladu s odredbama glave treće dijela osmog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61. ne postupi u skladu s odredbama članka 183. stavka 1. točke 3. ovoga Zakona na način da za UCITS fond ne izradi ključne podatke za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ulagatelje, prema odredbama glave četvrte dijela osmog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62. ne postupi u skladu s odredbama članka 183. stavka 1. točke 4. ovoga Zakona na način da za UCITS fond kojim upravlja ne usvoji ili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ne objavi polugodišnji ili revidirani godišnji izvještaj u skladu s glavom pet dijela osmog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63. ne postupi u skladu s odredbama članka 183. stavka 1. točke 5. ovoga Zakona na način da u vezi s poslovanjem UCITS fonda ne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obavještava redovito ulagatelje o objavama na koje je obvezan prema odredbama glave sedme dijela osmog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9CC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64. započne javnu ponudu udjela UCITS fonda na području Republike Hrvatske protivno odredbama članka 188. stavka 1. ovoga Zakona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65. sljedeći radni dan nakon zaprimanja odobrenja Agencije iz članka 193. stavka 1. ovoga Zakona na svojim mrežnim stranicama 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vidljivom mjestu ne objavi obavijest o bitnim promjenama prospekta u skladu s odredbama članka 193.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66. u roku od sedam dana od dana zaprimanja odobrenja Agencije iz članka 193. stavka 1. ovoga Zakona ne pošalje svim ulagateljima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obavijest o bitnim promjenama prospekta u skladu s odredbom članka 193.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67. ne objavi pravila UCITS fonda, kao i njihove izmjene i dopune, u skladu s odredbama članka 199.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68. suprotno članku 200. stavku 1. ovoga Zakona ključni podaci za ulagatelje pojedinog UCITS fonda kojim upravlja ne sadrže jasan,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nedvosmislen i prosječnome ulagatelju razumljiv opis bitnih karakteristika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69. suprotno članku 200. stavku 2. ovoga Zakona ključni podaci za ulagatelje pojedinog UCITS fonda kojim upravlja dovode u zabludu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70. suprotno članku 200. stavku 3. ovoga Zakona ključni podaci za ulagatelje pojedinog UCITS fonda kojim upravlja prosječnom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ulagatelju ne omogućuju razumijevanje vrste i značaja rizika, uz ocjenu posljedica stjecanja udjela u UCITS fondu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71. suprotno članku 200. stavku 4. ovoga Zakona ključni podaci za ulagatelje nisu u skladu sa sadržajem prospekta i pravilima UCITS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72. suprotno članku 200. stavku 5. ovoga Zakona ključni podaci za ulagatelje pojedinog UCITS fonda kojim upravlja ne predstavljaju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sveobuhvatnu sadržajnu cjelinu ili nisu razumljivi ulagatelju bez pozivanja ili upućivanja na druge dokumente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73. ključni podaci za ulagatelje pojedinog UCITS fonda kojim upravlja ne sadrže sve podatke propisane člankom 201.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74. ne ažurira redovito ključne podatke za ulagatelje, u skladu s odredbama članka 202.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75. protivno odredbama članka 217. stavka 1. ili stavka 2. ovoga Zakona izabere ili promijeni depozitara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76. protivno odredbama članka 217. stavka 1. ili stavka 2. ovoga Zakona napravi bitne promjene ugovora o obavljanju poslova depozitara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77. protivno odredbama članka 233. stavka 1. ovoga Zakona promijeni depozitara bez suglasnosti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78. postupi protivno odredbama pravilnika iz članka 237. stavka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79. izdaje druge vrste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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nancijskih instrumenata, osim udjela UCITS fonda, protivno odredbama članka 241.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80. protivno odredbama članka 243. stavka 1. ovoga Zakona, osnuje UCITS fond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81. započne početnu ponudu udjela UCITS fonda prije objavljivanja prospekta protivno odredbama članka 245.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82. ne vrati uplaćena sredstva ulagateljima u roku i uz uvjete iz članka 245. stavka 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83. naplaćuje naknade ili troškove koji nisu predviđeni odredbama članka 247. ovoga Zakona, suprotno odredbi članka 247. stavka 1.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84. naplaćuje naknade ili troškove koji nisu predviđeni odredbama članka 248. ovoga Zakona, suprotno odredbi članka 248. stavka 1.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85. ulaže imovinu UCITS fonda protivno ograničenjima propisanima odredbama članka 252.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86. ulaže imovinu UCITS fonda protivno ograničenju propisanim člankom 255. stavkom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87. nije uspostavilo ili ne koristi proces upravljanja rizicima koji u svakom trenutku omogućuje praćenje i mjerenje rizika svake pojedine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pozicije u portfelju UCITS fonda i njegova utjecaja na ukupni pro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l rizičnosti portfelja UCITS fonda, protivno obvezi iz članka 253. stavka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88. nije uspostavilo proces za točnu i neovisnu procjenu vrijednosti OTC izvedenica u skladu s odredbom članka 253. stavka 2. ovoga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89. koristi tehnike i instrumente vezane uz prenosive vrijednosne papire i instrumente tržišta novca na način da ih dovode do odstupanja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od investicijskih ciljeva navedenih u prospektu fonda, protivno zabrani iz članka 253. stavka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90. nije osiguralo da ukupna izloženost UCITS fonda prema 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nancijskim izvedenicama nije veća od neto vrijednosti imovine fonda,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suprotno obvezi iz članka 253.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91. imovinu UCITS fonda uloži u 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nancijske izvedenice suprotno odredbi članka 253. stavka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92. imovinu UCITS fonda uloži u vrijednosni papir ili instrument tržišta novca koji sadržava ugrađenu izvedenicu, a u odnosu na tu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izvedenicu ne primijeni zahtjeve iz članka 253. ovoga Zakona, protivno odredbama članka 253. stavka 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93. ulaže imovinu UCITS fonda protivno ograničenjima ulaganja iz članka 254. ovoga Zakona, suprotno odredbi članka 254. stavka 1.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94. ulaže imovinu UCITS fonda protivno odredbama članka 255. stavka 1. ovoga Zakona, a ne uskladi ulaganja fonda u roku iz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259. stavaka 2., 3. ili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95. ulaže imovinu UCITS fonda protivno odredbama članka 256. ovoga Zakona, a ne uskladi ulaganja fonda u roku iz članka 259. stavaka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2., 3. ili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96. ulaže imovinu UCITS fonda protivno odredbama članka 257. stavka 1. ovoga Zakona, a ne uskladi ulaganja fonda u roku iz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259. stavaka 2., 3. ili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97. zaračuna ulaznu ili izlaznu naknadu protivno odredbama članka 257.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98. ulaže imovinu UCITS fonda protivno odredbama članka 258. stavka 1. ovoga Zakona, a ne uskladi ulaganja fonda u roku iz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259. stavaka 2., 3. ili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99. protivno odredbama članka 267. stavka 1. ovoga Zakona, društvo za upravljanje fondom prenositeljem započne provođenje postupka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pripajanja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100. društvo za upravljanje fondom prenositeljem provede prijenos imovine i obveza te zamjenu udjela prilikom p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ripajanja UCITS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fondova, a da revizor prethodno nije izdao pozitivno mišljenje o pripajanju, protivno odredbama članka 279.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101. društvo za upravljanje fondom preuzimateljem provede prijenos imovine i obveza te zamjenu udjela prilikom pripajanja UCITS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fondova, a da revizor prethodno nije izdao pozitivno mišljenje o pripajanju, protivno odredbama članka 279.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102. napajajući UCITS fond ne ulaže najmanje 85% svoje imovine u udjele glavnog UCITS fonda, u skladu s odredbama članka 293.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103. osnuje napajajući UCITS fond bez odobrenja Agencije, protivno odredbama članka 294.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104. društvo za upravljanje koje upravlja glavnim UCITS fondom ne obavijesti Agenciju u skladu s odredbama članka 310. stavka 1. ovoga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 o svakom napajajućem UCITS fondu tog glavnog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105. društvo za upravljanje koje upravlja glavnim UCITS fondom napajajućem UCITS fondu naplati ulazne i izlazne naknade, protivno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311.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106. društvo za upravljanje koje upravlja glavnim UCITS fondom ne osigura da su društvu za upravljanje napajajućim UCITS fondom,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Agenciji, depozitaru i revizoru napajajućeg UCITS fonda u najkraćem mogućem roku dostupne informacije i podaci u skladu 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312. ovoga Zakona i/ili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107. nakon nastupa razloga za početak likvidacije ne donese odluku o likvidaciji UCITS fonda, u skladu s odredbama članka 336. stavka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108. suprotno članku 342. stavku 2. ovoga Zakona ne izračuna cijenu udjela dan prije prestanka postojanja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109. suprotno članku 342. stavku 3. ovoga Zakona isplatu sredstava koja su izračunata na temelju odredbe stavka 2. istoga članka 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račune ulagatelja ne provede u roku od sedam dana nakon prestanka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110. suprotno članku 342. stavku 5. ovoga Zakona u slučaju prestanka UCITS fonda osnovanog na određeno vrijeme prije datuma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prestanka određenog njegovim prospektom ne obavijesti ulagatelje i Agenciju o toj odluci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111. suprotno članku 342. stavku 5. ovoga Zakona u slučaju prestanka UCITS fonda osnovanog na određeno vrijeme prije datuma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prestanka određenog njegovim prospektom ulagateljima naplati izlaznu naknadu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112. suprotno članku 343. stavku 1. ovoga Zakona donese odluku o produljenju trajanja UCITS fonda, a ta mogućnost nije predviđena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prospektom UCITS fonda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113. suprotno članku 343. stavku 2. ovoga Zakona o odluci o produljenju UCITS fonda ne obavijesti Agenciju i ulagatelje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114. suprotno članku 343. stavku 3. ovoga Zakona odbije otkupiti udjele na dan predviđenog prestanka UCIS fonda ulagateljima koji žele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istupiti iz UCITS fonda zbog produljenja njegova trajanja.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Izračunati iznos iz stavka 1. ovoga članka izriče se u iznosu koji je višekratnik iznosa od 1000,00 kuna. U slučaju kada je izračunati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iznos iz stavka 1. ovoga članka manji od 200.000,00 kuna, društvo za upravljanje kaznit će se za prekršaj iz stavka 1. ovoga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novčanom kaznom u iznosu od 200.000,00 do 500.000,00 kuna.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(3) U slučaju da je društvo za upravljanje ili odgovorna osoba društva za upravljanje prekršajem iz stavka 1. ovoga članka ostvarila korist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ili spriječila gubitak, a iznos tako ostvarene koristi ili spriječenog gubitka je moguće utvrditi u novčanom iznosu, društvo za upravljanje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ili odgovorna osoba društva za upravljanje kaznit će se za prekršaj iz stavka 1. ovoga članka novčanom kaznom u visini dvostruko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utvrđenog iznosa tako ostvarene koristi odnosno spriječenog gubitka, čak i ako taj iznos prelazi propisani maksimum iz stavka 1.,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odnosno iz stavka 2. ovoga članka ili iz stavka 4. ovoga članka.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(4) Novčanom kaznom u iznosu od 20.000,00 do 40.000.000,00 kuna kaznit će se za prekršaj iz stavka 1. ovoga članka i odgovorna osoba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društva za upravljanje.</w:t>
      </w:r>
    </w:p>
    <w:p w:rsidR="001A29CC" w:rsidRPr="00B362C1" w:rsidRDefault="001A29CC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Lakši prekršaji društva za upravljanje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398.</w:t>
      </w:r>
    </w:p>
    <w:p w:rsidR="001A29CC" w:rsidRPr="00CA1416" w:rsidRDefault="001A29CC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50.000,00 do 100.000,00 kuna kaznit će se za prekršaj društvo za upravljanje ako:</w:t>
      </w:r>
    </w:p>
    <w:p w:rsidR="001A29CC" w:rsidRDefault="001A29CC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u roku od tri dana ne izvijesti Agenciju o svakoj bitnoj promjeni podataka navedenih u zahtjevu za izdavanje odobrenja za rad, 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skladu s odredbama članka 28.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se o održanim sastancima ili sjednicama organa društva za upravljanje ne vode zapisnici, u skladu s odredbama članka 34. stavka 2.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nije u roku od tri dana Agenciju izvijestilo o prestanku mandata pojedinog člana uprave ili nadzornog odbora te navelo razloge za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prestanak mandata, u skladu s odredbama članka 34.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nije uspostavilo, ne provodi ili redovito ne ažurira, procjenjuje i nadzire, učinkovite i primjerene opće organizacijske uvjete te nije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uspostavilo, ne provodi ili redovito ne ažurira, procjenjuje i nadzire politike, mjere i postupke iz članka 48.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ne organizira poslovanje na način da svodi rizik sukoba interesa na najmanju moguću mjeru u skladu s odredbama članka 49. ovoga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protivno odredbama članka 50. stavka 1. ovoga Zakona, društvo za upravljanje koje obavlja djelatnost upravljanja portfeljem iz članka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13. stavka 1. točke 2. podtočke a) ovoga Zakona,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ulaže dio ili cijelu imovinu portfelja kojima upravlja u udjele fondova kojima upravlja,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bez prethodnog odobrenja klijenta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7. obavlja djelatnost upravljanja portfeljem iz članka 13. stavka 1. točke 2. podtočke a) ovoga Zakona, a ne poduzme razumne mjere za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prepoznavanje, upravljanje, praćenje, sprječavanje ili objavljivanje sukoba interesa klijentima, ili ako ne utvrdi odgovarajuće kriterije za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određivanje tipova sukoba interesa čije postojanje može biti štetno za interese klijenata i UCITS fondova kojima društvo upravlja, 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skladu s odredbama članka 50.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8. obavljajući djelatnost upravljanja dobrovoljnim mirovinskim fondovima iz članka 13. stavka 2. točke 2. ovoga Zakona, uloži dio ili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cijelu imovinu dobrovoljnog mirovinskog fonda kojim upravlja u udjele UCITS fondova ili AIF-ova kojima upravlja protivno odredbama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50.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9. ne postupi u skladu s odredbama članka 52. stavaka 1. i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10. funkcija interne revizije ne obavlja poslove propisane odredbama članka 55.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11. nije poduzelo sve primjerene mjere potrebne da bi se osiguralo njegovo neprekidno i redovito poslovanje, u skladu s odredbama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58.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12. nije propisalo i implementiralo jasne politike primitaka za sve kategorije radnika, upravu i nadzorni odbor, s namjerom sprječavanja 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upravljanja sukobom interesa i preuzimanja neprimjerenih rizika, u skladu s odredbama članka 59.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13. glede procedure postupanja, evidencije i poslovne dokumentacije ne postupi u skladu s odredbama članka 62.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14. ne rješava pritužbe ulagatelja u skladu s odredbama članka 63.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15. nema, redovito ne ažurira ili ne održava svoju mrežnu stranicu sa sadržajem propisanim člankom 65.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9CC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16. ne ispunjava organizacijske zahtjeve propisane pravilnikom iz članka 66. ovoga Zakona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17. ne izrađuje ili ne dostavlja izvještaje društva za upravljanje Agenciji u rokovima ili na način propisan pravilnikom iz članka 67. stavka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3. ovoga Zakona, odnosno pravilnikom iz članka 67.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18. ne postupi u skladu s odredbama članka 69. stavka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19. ne propiše ili ne implementira interne politike i procedure u skladu s odredbama članka 73.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20. sazna za stjecanje ili otuđenje kvali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ciranog udjela u društvu, koje je izazvalo prelazak ili smanjenje ispod 20%, 30% ili 50%, a o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tome bez odgode ne obavijesti Agenciju u skladu s odredbama članka 78.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 najkasnije do 31. ožujka tekuće godine Agenciji ne dostavi popis imena/naziva svih dioničara, kao i imatelja kvali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ciranih udjela 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veličinom pojedinih udjela, sa stanjem na dan 1. siječnja tekuće godine, u skladu s odredbama članka 78.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22. društvo prenositelj ne objavi informaciju o prijenosu upravljanja ili ne obavijesti sve ulagatelje o 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prijenosu, u skladu s odredbama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88.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23. društvo preuzimatelj ne objavi informaciju o prijenosu upravljanja ili ne obavijesti sve ulagatelje o prijenosu, u skladu s odredbama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88.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24. postupak naknade štete ne provede u skladu s pravilnikom iz članka 110. stavka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25. ulagatelju najmanje jednom godišnje ne dostavi izvadak o stanju i prometima udjelima u UCITS fondu kojih je imatelj, u skladu 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odredbom članka 115.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26. na zahtjev ulagatelja ili njihovih zastupnika ne dostavi izvadak o stanju i prometima udjela, prema odredbama članka 115. stavka 4.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27. vodi registar ili objavljuje podatke iz registra udjela protivno pravilniku iz članka 120.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28. Agenciji ne dostavi obavijest o svakoj promjeni podataka iz obavijesti i dokumentacije iz članka 123. ovoga Zakona, u skladu s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124.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29. ne obavijesti Agenciju prema odredbama članka 125.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30. protivno odredbama članka 128. stavka 2. ovoga Zakona, osnuje podružnicu u trećoj državi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31. društvo za upravljanje iz druge države članice Agenciji ne dostavi obavijest o svakoj promjeni podataka iz potvrde, obavijesti i priloga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prema odredbama članka 131.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32. društvo za upravljanje iz članka 137. stavka 1. ovoga Zakona koje trguje udjelima UCITS fonda osnovanog u drugoj državi članici u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Republici Hrvatskoj, ne obavijesti Agenciju prema odredbama članka 140.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33. društvo za upravljanje iz članka 137. stavka 1. ovoga Zakona ne postupi u skladu s odredbama članka 140.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34. kao društvo za upravljanje iz druge države članice koje u Republici Hrvatskoj za trgovanje udjelima UCITS fonda osnovanog u drugoj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državi članici u Republici Hrvatskoj nije osiguralo sustave za obavljanje zadataka iz članka 138.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35. kao društvo za upravljanje iz druge države članice sukladno odredbi članka 138. stavka 2. ovoga Zakona učestalo ne dostavlja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ulagateljima na njihov zahtjev na trajnom mediju informacije iz stavka 1. istoga članka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36. kao društvo za upravljanje iz druge države članice nije osiguralo da sustavi za obavljanje zadataka iz članka 138. stavaka 1., 2. i 3.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 ispunjavaju uvjete iz točaka a) i b) stavka 5. istoga članka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37. kao društvo za upravljanje iz druge države članice ne postupi na način i u rokovima propisanim odredbom članka 140. stavka 2.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38. društvo za upravljanje iz druge države članice koje na području Republike Hrvatske trguje udjelima UCITS fondova protivno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143.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39. kao društvo za upravljanje iz druge države članice koje je povuklo obavijest iz članka 139. ovoga Zakona ulagateljima u Republici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Hrvatskoj koji ostanu imatelji udjela u UCITS fondu u odnosu na koji je obavijest povučena ne osigura svu dokumentaciju i informacije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koje je dužno osigurati, u skladu s odredbom članka 143.a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40. kao društvo za upravljanje iz druge države članice u pogledu osiguranja informacija upotrebom elektroničkih ili drugih sredstava</w:t>
      </w:r>
      <w:r w:rsidR="001A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komunikacije iz članka 143.a stavka 4. ovoga Zakona ne postupi sukladno odredbi članka 143.a stavka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41. protivno odredbama članka 144. stavka 3. ovoga Zakona, društvo za upravljanje iz treće države osnuje podružnicu u Republici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Hrvatskoj bez odobrenja Agencije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42. društvo za upravljanje iz članka 150. stavka 1. ovoga Zakona prije početka trgovanja Agenciji ne dostavi obavijest o namjeri početka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trgovanja, u skladu s odredbama članka 151.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43. ne postupi u skladu s odredbom članka 154.a stavka 2. ovoga Zakona na način da o povlačenju obavijesti iz članka 151. stavka 1.ovoga Zakona ne obavijesti Agenciju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44. u informacijama iz članka 154.a stavka 2. točaka a), b) i c) ovoga Zakona ne navede jasno posljedice za ulagatelje ako ne prihvate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ponudu za otkupom ili isplatom udjela UCITS fonda, suprotno odredbi članka 154.a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45. ne ispunjava dužnosti propisane odredbom članka 154.a stavka 4. ovoga Zakona na način da informacije iz članka 154.a stavka 2.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točaka a), b) i c) ovoga Zakona ne objavi na službenom jeziku ili jednom od službenih jezika države članice domaćina UCITS fonda u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odnosu na koju je obavijest povučena ili na jeziku koji odobri nadležno tijelo te države članice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46. ne prestane s distribucijom udjela UCITS fonda u odnosu na koji je povučena obavijest u državi članici domaćinu UCITS fonda u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odnosu na koju je povučena obavijest suprotno odredbi članka 154.a stavka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47. ne osigura ulagateljima koji ostanu imatelji udjela UCITS fonda iz članka 154.a stavka 2. točke c) ovoga Zakona i Agenciji svu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dokumentaciju i informacije koje osigurava ulagateljima tog UCITS fonda u Republici Hrvatskoj kako je propisano stavkom 8. istoga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48. ako u pogledu osiguranja informacija upotrebom elektroničkih ili drugih sredstava komunikacije iz članka 154.a stavka 8. ovoga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 ne postupi sukladno odredbi članka 154.a stavka 9. ovoga Zakona na način da osigura da su informacije i komunikacijska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sredstva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ulagateljima dostupna na službenom jeziku ili jednom od službenih jezika države članice domaćina UCITS fonda u kojoj se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nalaze ulagatelji UCITS fonda ili na jeziku koji su odobrila nadležna tijela te države članice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49. prije početka trgovanja o tome ne obavijesti Agenciju, u skladu s odredbama članka 155.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50. protivno odredbama članka 156. stavka 2. ovoga Zakona, oglašava UCITS fondove čiji se udjeli ne smiju distribuirati na području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Republike Hrvatske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51. ne osigura da je sav promidžbeni sadržaj o UCITS fondovima koji izrađuje ili odobrava za distribuciju u skladu s odredbama članka 4.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Uredbe (EU) 2019/1156, protivno članku 157. stavku 1. ovoga Zakona</w:t>
      </w:r>
      <w:r w:rsidR="0075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52. ne osigura da su promidžbeni sadržaj o UCITS fondovima koji izrađuje ili odobrava za daljnju distribuciju odobrile osobe ovlaštene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zastupanje društva za upravljanje, protivno članku 157. stavku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53. Agenciji ne dostavi obavijest iz članka 165. stavka 2. ovoga Zakona na način ili u rokovima propisanim pravilnikom iz članka 165.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54. u slučaju da izračun i kontrola neto vrijednosti imovine UCITS fonda traju dulje od dva radna dana ne postupi u skladu s odredbama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169. stavka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55. otkup obavi in specie, a on nije predviđen prospektom UCITS fonda ili ga obavi na način koji nije u skladu s odredbama članka 175.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56. ne postupi u skladu s odredbama pravilnika iz članka 181.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57. više od dva puta u razdoblju od tri godine ne postupi u skladu s odredbama članka 182.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58. ne postupi u skladu s odredbama članka 189.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59. ne ažurira prospekt UCITS fonda u dijelu koji se odnosi na nebitne promjene prospekta u protekloj poslovnoj godini i ne objavi ga 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skladu s odredbama članka 194.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60. ne dostavi ažurirani prospekt UCITS fonda u skladu s odredbama članka 194.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61. ne dostavi Agenciji sve promjene ključnih podataka za ulagatelje za svaki UCITS fond kojim upravlja u Republici Hrvatskoj, u skladu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 odredbama članka 203.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62. ne izrađuje ili ne dostavlja polugodišnje i revidirane godišnje izvještaje Agenciji u rokovima ili na 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način propisan odredbama članka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204. stavka 2., članka 206. ili članka 207. ovoga Zakona ili odredbama pravilnika iz članka 205. stavka 4. i članka 206. stavka 2. ovoga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63. društvo za upravljanje iz druge države članice ne postupi u skladu s odredbama članka 209.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64. ne omogući uvid u prospekt i posljednje polugodišnje i revidirane godišnje izvještaje UCITS fonda, u skladu s odredbama članka 210.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stavaka 1. i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65. ne dostavi ulagatelju besplatno tiskani prospekt i ključne podatke za ulagatelje, u skladu s odredbama članka 211. stavka 3. ovoga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66. ne dostavi ulagateljima posljednje revidirane godišnje izvještaje ili polugodišnje izvještaje UCITS fonda, u skladu s odredbama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211. stavka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67. ne izrađuje mjesečne izvještaje o poslovanju UCITS fonda ili ga ne objavljuje u skladu s odredbama članka 212. stavka 1. ovoga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68. ne objavljuje i ne obavještava o svakom pravnom i poslovnom događaju u vezi s društvom za upravljanje i UCITS fondom kojim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upravlja, u skladu s odredbama članka 213.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69. više od dva puta u razdoblju od tri godine ne dostavi dodatne informacije ulagateljima na njihov zahtjev, u skladu s člankom 214.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70. izda udjele protivno odredbama članka 246.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71. ne iskaže pokazatelj ukupnih troškova UCITS fonda u skladu s odredbama članka 250.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72. postupi protivno pravilniku iz članka 261.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73. društvo za upravljanje fondom preuzimateljem ne obavijesti sve imatelje udjela u fondu preuzimatelju u skladu s odredbama članka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271. stavcima 1. i 2. ovoga Zakona, odnosno, društvo za upravljanje fondom prenositeljem ne obavijesti sve imatelje udjela u fondu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prenositelju u skladu s odredbama članka 271. stavcima 3. i 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CB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74. imatelju udjela ne da kopiju revizorskog izvješća o pripajanju, u skladu s odredbama članka 277. stavka 2. ovoga Zakona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75. ne uskladi imovinu fonda preuzimatelja s odredbama ovoga Zakona i prospektom fonda preuzimatelja u roku iz članka 279. stavka 7.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76. društvo za upravljanje fondom preuzimateljem ne obavijestiti Agenciju i depozitara fonda preuzimatelja u skladu s odredbama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članka 280.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77. društvo za upravljanje fondom preuzimateljem na svojim mrežnim stranicama ne objavi informaciju o provedbi statusne promjene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pripajanja, u skladu s odredbama članka 281.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78. ne dostavi obavijest iz članka 301. stavka 1. ovoga Zakona u skladu s odredbama članka 301. stavka 2. ili članka 3. ovoga Zakona ili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pravilnika iz članka 335. stavka 1. točke 1. ili točke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79. društvo za upravljanje glavnog UCITS fonda koje ne sklopi sporazum o razmjeni svih informacija i dokumentacije s društvom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upravljanje napajajućim UCITS fondom, u skladu s odredbama članka 303. stavka 1. ovoga Zakona ili pravilnika iz članka 335. stavka 1.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točke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80. društvo za upravljanje napajajućim UCITS fondom koje ne sklopi sporazum o razmjeni svih informacija i dokumentacije s društvom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 upravljanje glavnog UCITS fonda, u skladu s odredbama članka 303. stavka 1. ovoga Zakona ili pravilnika iz članka 335. stavka 1. točke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81. društvo za upravljanje koje upravlja napajajućim UCITS fondom, ne dostavi depozitaru napajajućeg UCITS fonda sve informacije 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vezi s glavnim UCITS fondom, u skladu s odredbama članka 305.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82. društvo za upravljanje koje upravlja napajajućim UCITS fondom ne prati učinkovito prikladnost upravljanja i poslovanja glavnog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UCITS fonda, u skladu s odredbama članka 313. stavka 1. ovoga Zakona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Novčanom kaznom u iznosu od 10.000,00 do 30.000,00 kuna kaznit će se za prekršaj iz stavka 1. ovoga članka i odgovorna osoba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društva za upravljanje.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Prekršaji određenih </w:t>
      </w:r>
      <w:r w:rsidR="000065CB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zičkih osoba vezanih uz društvo za upravljanje ili depozitara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399.</w:t>
      </w:r>
    </w:p>
    <w:p w:rsidR="001F30F5" w:rsidRPr="00B362C1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Novčanom kaznom u iznosu od 20.000,00 do 50.000,00 kuna kaznit će se za prekršaj: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članovi uprave društva za upravljanje ako ne vode poslove društva za upravljanje, u skladu s odredbama članka 35. stavka 3. ovoga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član/članovi uprave društva za upravljanje ako ne vode poslovanje društva za upravljanje u skladu s odredbama članka 36. stavka 4.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član uprave ili prokurist društva za upravljanje ako postupi protivno odredbama članka 37.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član nadzornog odbora koji ne postupa u skladu s odredbama članka 46.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upravitelji ili ostali radnici depozitara ili njegovi prokuristi ili punomoćnici ako postupe protivno odredbama članka 229. stavka 4.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 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članovi uprave i ostali radnici društva za upravljanje ili njegovi prokuristi ili punomoćnici ako postupe protivno odredbama članka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229. stavka 5. ovoga Zakona.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Prekršaji likvidatora UCITS fonda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400.</w:t>
      </w:r>
    </w:p>
    <w:p w:rsidR="001F30F5" w:rsidRPr="00CA1416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50.000,00 do 100.000,00 kuna kaznit će se za prekršaj likvidator UCITS fonda kao pravna osoba ako: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likvidaciju UCITS fonda ne provede u skladu s odredbama članka 336.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ne postupi u skladu s odredbama članka 338. stavaka 1. i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postupi protivno zabranama propisanima odredbama članka 339. stavka 1. ovoga Zakona ili odredbama pravilnika iz članka 341. ovoga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 i/ili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ne postupi u skladu s odredbama članka 339. stavka 3. ovoga Zakona, u odnosu na dostavu izvješća Agenciji.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Novčanom kaznom u iznosu od 10.000,00 do 30.000,00 kuna kaznit će se za prekršaj iz stavka 1. ovoga članka i odgovorna osoba 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likvidatoru pravnoj osobi.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(3) Novčanom kaznom u iznosu od 10.000,00 do 30.000,00 kuna kaznit će se za prekršaj iz stavka 1. ovoga članka likvidator kao 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zička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osoba.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Prekršaji revizora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401.</w:t>
      </w:r>
    </w:p>
    <w:p w:rsidR="001F30F5" w:rsidRPr="00B362C1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50.000,00 do 100.000,00 kuna kaznit će se za prekršaj revizor:</w:t>
      </w:r>
    </w:p>
    <w:p w:rsidR="001F30F5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UCITS fonda koje tijekom revizije godišnjih izvještaja ne postupi u skladu s odredbama članka 169. stavka 8.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društva za upravljanje koje tijekom revizije godišnjih izvještaja društva za upravljanje ne postupi u skladu s odredbama članka 68.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stavaka 1., 4. ili 7.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UCITS fonda koje tijekom revizije godišnjih izvještaja UCITS fonda ne postupi u skladu s odredbama članka 206. stavaka 1. i 2. ovoga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CB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ako ne preda depozitaru revizorsko izvješće u skladu s odredbama članka 230.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glavnog UCITS fonda koji ne sklopi sporazum o razmjeni svih informacija s revizorskim društvom napajajućeg UCITS fonda, u skladu s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306. stavka 1. ovoga Zakona ili pravilnika iz članka 335. stavka 1. točke 4. ovoga Zakona i/ili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napajajućeg UCITS fonda koji ne sklopi sporazum o razmjeni svih informacija s revizorskim društvom glavnog UCITS fonda, u skladu s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306. stavka 1. ovoga Zakona ili pravilnika iz članka 335. stavka 1. točke 4. ovoga Zakona.</w:t>
      </w:r>
    </w:p>
    <w:p w:rsidR="001F30F5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Novčanom kaznom u iznosu od 10.000,00 do 30.000,00 kuna kaznit će se za prekršaj iz stavka 1. ovoga članka odgovorna osoba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revizora koji je pravna osoba iz stavka 1. ovoga članka.</w:t>
      </w:r>
    </w:p>
    <w:p w:rsidR="001F30F5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Prekršaji ostalih osoba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402.</w:t>
      </w:r>
    </w:p>
    <w:p w:rsidR="001F30F5" w:rsidRPr="00B362C1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50.000,00 do 100.000,00 kuna kaznit će se za prekršaj pravna osoba:</w:t>
      </w:r>
    </w:p>
    <w:p w:rsidR="001F30F5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koja koristi izraz »za upravljanje UCITS fondovima«, »za upravljanje investicijskim fondovima« ili »za upravljanje fondovima« ili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izvedenice tih riječi za potrebe tvrtke, dijela tvrtke ili promidžbe, a nema odobrenje Agencije, odnosno nadležnog tijela, prema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12. stavaka 3., 4. ili 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koja u Republici Hrvatskoj obavlja djelatnosti društva za upravljanje protivno odredbama članka 14.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ako kao treća osoba dalje delegira obavljanje delegiranih poslova društva za upravljanje, protivno odredbama članka 70. stavka 6.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koja izravno ili neizravno stekne ili poveća kvali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cirani udjel u društvu za upravljanje, a prethodno Agenciji ne podnese zahtjev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izdavanje suglasnosti, u skladu s odredbama članka 74.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koja nije prethodno Agenciju pisanim putem izvijestila o namjeri izravnog ili posrednog otpuštanja kvali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ciranog udjela u društvu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upravljanje, u skladu s odredbom članka 75.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koja nije prethodno Agenciju pisanim putem izvijestila o namjeri smanjenja udjela u društvu za upravljanje na način da se udio 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kapitalu ili glasačkim pravima te osobe smanji ispod granice od 20%, 30% ili 50% ili da društvo za upravljanje prestaje biti društvo kći te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osobe, u skladu s odredbom članka 75.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7. ako vodeći registar udjela UCITS fonda postupi protivno odredbama članka 114.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8. ako vodi registar ili objavljuje podatke iz registra udjela protivno pravilniku iz članka 120.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9. koja nije određena člankom 136. ovoga Zakona, a u Republici Hrvatskoj trguje udjelima UCITS fonda osnovanog u Republici Hrvatskoj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10. ako kao osoba iz članka 164. ovoga Zakona postupi protivno odredbama članka 166.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11. ako na zahtjev Agencije ne dostavi izvješća ili podatke ili ako Agenciji onemogući pregled dijela poslovanja, kontrolu poslovnih</w:t>
      </w: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knjiga i poslovne dokumentacije, protivno odredbama članka 362. stavka 2. ovoga Zakona.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Novčanom kaznom u iznosu od 10.000,00 do 30.000,00 kuna kaznit će se za prekršaj iz stavka 1. ovoga članka i odgovorna osoba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subjekta koji je pravna osoba iz stavka 1. ovoga članka.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(3) Novčanom kaznom u iznosu od 10.000,00 do 30.000,00 kuna kaznit će se za prekršaj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zička osoba:</w:t>
      </w:r>
    </w:p>
    <w:p w:rsidR="001F30F5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koja izravno ili neizravno stekne ili poveća kvali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cirani udjel u društvu za upravljanje, a prethodno Agenciji ne podnese zahtjev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izdavanje suglasnosti, u skladu s odredbama članka 74.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koja nije prethodno Agenciju pisanim putem izvijestila o namjeri izravnog ili posrednog otpuštanja kvali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ciranog udjela u društvu za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upravljanje, u skladu s odredbom članka 75.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koja nije prethodno Agenciju pisanim putem izvijestila o namjeri smanjenja udjela u društvu za upravljanje na način da se udio u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kapitalu ili glasačkim pravima te osobe smanji ispod granice od 20%, 30% ili 50% ili da društvo za upravljanje prestaje biti društvo kći te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osobe, u skladu s odredbom članka 75.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ako na zahtjev Agencije ne dostavi izvješća ili podatke ili ako Agenciji onemogući pregled dijela poslovanja, kontrolu poslovnih knjiga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 poslovne dokumentacije, protivno odredbama članka 362. stavka 2. ovoga Zakona.</w:t>
      </w:r>
    </w:p>
    <w:p w:rsidR="001F30F5" w:rsidRPr="00B362C1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Teži prekršaji depozitara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403.</w:t>
      </w:r>
    </w:p>
    <w:p w:rsidR="001F30F5" w:rsidRPr="00B362C1" w:rsidRDefault="001F30F5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1% do 10% od ukupnog prihoda ostvarenog od obavljanja poslova depozitara u godini počinjenja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prekršaja, koji je utvrđen službenim </w:t>
      </w:r>
      <w:r w:rsidR="001F30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nancijskim izvještajima za tu godinu, kaznit će se za prekršaj depozitar ako:</w:t>
      </w:r>
    </w:p>
    <w:p w:rsidR="001F30F5" w:rsidRDefault="001F30F5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ne obavlja poslove upravljanja UCITS fondom koje nije moguće odgađati, u skladu s odredbama članka 91.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ne obustavi izdavanje i otkup udjela UCITS fonda, u skladu s odredbama članka 91.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3. glede izbora drugog društva za upravljanje ili prijenosa poslova upravljanja postupi protivno odredbama članka 92.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ne započne ili ne provede likvidaciju UCITS fonda u skladu s odredbama članka 95.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ne osigurava da društvo za upravljanje izračunava vrijednost imovine UCITS fondova te cijenu udjela u UCITS fondu u skladu s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usvojenim računovodstvenim politikama, odnosno metodologijama vrednovanja, važećim propisima i prospektom UCITS fonda, prema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odredbama članka 169. stavka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ako prilikom kontrole izračuna neto vrijednosti imovine UCITS fonda utvrdi netočnost ili nepravilnost, a o tome ne obavijesti društvo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za upravljanje, prema odredbama članka 169. stavka 6.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7. ne obavi za UCTS fond kontrolne poslove propisane odredbama članka 219.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8. ne prati tijek novca UCITS fonda u skladu s odredbama članka 220.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9. ne pohranjuje imovinu UCITS fonda u skladu s odredbama članka 221. stavka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ne ispunjava svoje obveze iz članka 221.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11. ponovno koristi imovinu UCITS fonda protivno odredbama članka 222.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12. imovinu UCITS fonda ne čuva i ne vodi tako da se u svakom trenutku može jasno odrediti i razlučiti imovina koja pripada UCITS</w:t>
      </w:r>
      <w:r w:rsidR="0000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fondu, u skladu s odredbama članka 223. stavka 1. ovoga Zakona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13. delegira poslove i dužnosti na treće osobe protivno odredbama članka 224.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14. u slučaju gubitka </w:t>
      </w:r>
      <w:r w:rsidR="000065C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065CB" w:rsidRPr="00B362C1">
        <w:rPr>
          <w:rFonts w:ascii="Times New Roman" w:hAnsi="Times New Roman" w:cs="Times New Roman"/>
          <w:color w:val="000000"/>
          <w:sz w:val="24"/>
          <w:szCs w:val="24"/>
        </w:rPr>
        <w:t>inancijskih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 instrumenata koji su pohranjeni na skrbništvo ne vrati u imovinu UCITS fonda </w:t>
      </w:r>
      <w:r w:rsidR="000065C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065CB" w:rsidRPr="00B362C1">
        <w:rPr>
          <w:rFonts w:ascii="Times New Roman" w:hAnsi="Times New Roman" w:cs="Times New Roman"/>
          <w:color w:val="000000"/>
          <w:sz w:val="24"/>
          <w:szCs w:val="24"/>
        </w:rPr>
        <w:t>inancijski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 xml:space="preserve"> instrument</w:t>
      </w:r>
      <w:r w:rsidR="00006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iste vrste ili odgovarajući iznos novčanih sredstava bez nepotrebnog kašnjenja, u skladu s odredbama članka 226. stavka 2.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15. ako glede evidencija o kršenjima i obavijesti depozitara o pitanjima važnima za nadzor postupi protivno odredbama članka 228. ovoga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16. postupi protivno odredbama članka 229.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17. postupi protivno odredbi članka 235. stavka 1. ovoga Zakona i/ili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18. postupi protivno odredbama pravilnika iz članka 237. stavka 8. ovoga Zakona.</w:t>
      </w:r>
    </w:p>
    <w:p w:rsidR="00E3700A" w:rsidRPr="00B362C1" w:rsidRDefault="00E3700A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Izračunati iznos iz stavka 1. ovoga članka izriče se u iznosu koji je višekratnik iznosa od 1000,00 kuna. U slučaju kada je izračunati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iznos iz stavka 1. ovoga članka manji od 200.000,00 kuna, depozitar će se kazniti za prekršaj iz stavka 1. ovoga članka novčanom kaznom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u iznosu od 200.000,00 do 500.000,00 kuna.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(3) U slučaju da je depozitar ili odgovorna osoba depozitara prekršajem iz stavka 1. ovoga članka ostvarila korist ili spriječila gubitak, a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iznos tako ostvarene koristi ili spriječenog gubitka je moguće utvrditi u novčanom iznosu, depozitar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ili odgovorna osoba depozitara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kaznit će se za prekršaj iz stavka 1. ovoga članka novčanom kaznom u visini dvostruko utvrđenog iznosa tako ostvarene koristi odnosno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spriječenog gubitka, čak i ako taj iznos prelazi propisani maksimum iz stavka 1. ovoga članka, odnosno iz stavka 2. ovoga članka ili iz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stavka 4. ovoga članka.</w:t>
      </w:r>
    </w:p>
    <w:p w:rsidR="00771A26" w:rsidRDefault="00771A26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(4) Novčanom kaznom u iznosu od 20.000,00 do 40.000.000,00 kuna kaznit će se za prekršaj iz stavka 1. ovoga članka i odgovorna osoba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depozitara.</w:t>
      </w:r>
    </w:p>
    <w:p w:rsidR="00E3700A" w:rsidRPr="00B362C1" w:rsidRDefault="00E3700A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Lakši prekršaji depozitara</w:t>
      </w:r>
    </w:p>
    <w:p w:rsidR="00B362C1" w:rsidRPr="00CA1416" w:rsidRDefault="00B362C1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16">
        <w:rPr>
          <w:rFonts w:ascii="Times New Roman" w:hAnsi="Times New Roman" w:cs="Times New Roman"/>
          <w:b/>
          <w:color w:val="000000"/>
          <w:sz w:val="24"/>
          <w:szCs w:val="24"/>
        </w:rPr>
        <w:t>Članak 404.</w:t>
      </w:r>
    </w:p>
    <w:p w:rsidR="00E3700A" w:rsidRPr="00B362C1" w:rsidRDefault="00E3700A" w:rsidP="00CA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(1) Novčanom kaznom u iznosu od 50.000,00 do 100.000,00 kuna kaznit će se za prekršaj depozitar ako:</w:t>
      </w:r>
    </w:p>
    <w:p w:rsidR="00E3700A" w:rsidRDefault="00E3700A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1. ne postupi u skladu s člankom 225. stavkom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2. ne obavijesti Agenciju i društvo za upravljanje u skladu s člankom 232. stavkom 1.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depozitar glavnog UCITS fonda koji ne sklopi sporazum o razmjeni svih informacija s depozitarom napajajućeg UCITS fonda, u skladu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 odredbama članka 304. stavka 1. ovoga Zakona ili pravilnika iz članka 335. stavka 1. točke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4. depozitar napajajućeg UCITS fonda koji ne sklopi sporazum o razmjeni svih informacija s depozitarom glavnog UCITS fonda, u skladu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s odredbama članka 304. stavka 1. ovoga Zakona ili pravilnika iz članka 335. stavka 1. točke 3. ovoga Zakona</w:t>
      </w:r>
    </w:p>
    <w:p w:rsidR="000065CB" w:rsidRDefault="000065CB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5. ako kao depozitar glavnog UCITS fonda utvrdi kršenje koje bi moglo negativno utjecati na položaj napajajućeg UCITS fonda, a ne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postupi u skladu s odredbama članka 305. stavka 2. ovoga Zakona ili pravilnika iz članka 335. stavka 1. točke 5. ovoga Zakona i/ili</w:t>
      </w:r>
    </w:p>
    <w:p w:rsidR="00B362C1" w:rsidRP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6. ne postupi u skladu s odredbama članka 338. stavka 3. ovoga Zakona.</w:t>
      </w:r>
    </w:p>
    <w:p w:rsidR="00E3700A" w:rsidRDefault="00E3700A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1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1">
        <w:rPr>
          <w:rFonts w:ascii="Times New Roman" w:hAnsi="Times New Roman" w:cs="Times New Roman"/>
          <w:color w:val="000000"/>
          <w:sz w:val="24"/>
          <w:szCs w:val="24"/>
        </w:rPr>
        <w:t>(2) Novčanom kaznom u iznosu od 10.000,00 do 30.000,00 kuna kaznit će se za prekršaj iz stavka 1. ovoga članka i odgovorna osoba</w:t>
      </w:r>
      <w:r w:rsidR="00E37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1">
        <w:rPr>
          <w:rFonts w:ascii="Times New Roman" w:hAnsi="Times New Roman" w:cs="Times New Roman"/>
          <w:color w:val="000000"/>
          <w:sz w:val="24"/>
          <w:szCs w:val="24"/>
        </w:rPr>
        <w:t>depozitara.</w:t>
      </w:r>
    </w:p>
    <w:p w:rsidR="00B362C1" w:rsidRPr="007A156E" w:rsidRDefault="00B362C1" w:rsidP="00B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62C1" w:rsidRPr="007A156E" w:rsidSect="00485FA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A0" w:rsidRDefault="002713A0" w:rsidP="006D26DE">
      <w:pPr>
        <w:spacing w:after="0" w:line="240" w:lineRule="auto"/>
      </w:pPr>
      <w:r>
        <w:separator/>
      </w:r>
    </w:p>
  </w:endnote>
  <w:endnote w:type="continuationSeparator" w:id="0">
    <w:p w:rsidR="002713A0" w:rsidRDefault="002713A0" w:rsidP="006D26DE">
      <w:pPr>
        <w:spacing w:after="0" w:line="240" w:lineRule="auto"/>
      </w:pPr>
      <w:r>
        <w:continuationSeparator/>
      </w:r>
    </w:p>
  </w:endnote>
  <w:endnote w:type="continuationNotice" w:id="1">
    <w:p w:rsidR="002713A0" w:rsidRDefault="00271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3081"/>
      <w:docPartObj>
        <w:docPartGallery w:val="Page Numbers (Bottom of Page)"/>
        <w:docPartUnique/>
      </w:docPartObj>
    </w:sdtPr>
    <w:sdtEndPr/>
    <w:sdtContent>
      <w:p w:rsidR="00B54B0C" w:rsidRDefault="00B54B0C">
        <w:pPr>
          <w:pStyle w:val="Footer"/>
          <w:jc w:val="center"/>
        </w:pPr>
        <w:r w:rsidRPr="00CA1416">
          <w:rPr>
            <w:rFonts w:ascii="Times New Roman" w:hAnsi="Times New Roman" w:cs="Times New Roman"/>
          </w:rPr>
          <w:fldChar w:fldCharType="begin"/>
        </w:r>
        <w:r w:rsidRPr="00CA1416">
          <w:rPr>
            <w:rFonts w:ascii="Times New Roman" w:hAnsi="Times New Roman" w:cs="Times New Roman"/>
          </w:rPr>
          <w:instrText>PAGE   \* MERGEFORMAT</w:instrText>
        </w:r>
        <w:r w:rsidRPr="00CA1416">
          <w:rPr>
            <w:rFonts w:ascii="Times New Roman" w:hAnsi="Times New Roman" w:cs="Times New Roman"/>
          </w:rPr>
          <w:fldChar w:fldCharType="separate"/>
        </w:r>
        <w:r w:rsidR="004D03FA">
          <w:rPr>
            <w:rFonts w:ascii="Times New Roman" w:hAnsi="Times New Roman" w:cs="Times New Roman"/>
            <w:noProof/>
          </w:rPr>
          <w:t>2</w:t>
        </w:r>
        <w:r w:rsidRPr="00CA1416">
          <w:rPr>
            <w:rFonts w:ascii="Times New Roman" w:hAnsi="Times New Roman" w:cs="Times New Roman"/>
          </w:rPr>
          <w:fldChar w:fldCharType="end"/>
        </w:r>
      </w:p>
    </w:sdtContent>
  </w:sdt>
  <w:p w:rsidR="00B54B0C" w:rsidRDefault="00B5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A0" w:rsidRDefault="002713A0" w:rsidP="006D26DE">
      <w:pPr>
        <w:spacing w:after="0" w:line="240" w:lineRule="auto"/>
      </w:pPr>
      <w:r>
        <w:separator/>
      </w:r>
    </w:p>
  </w:footnote>
  <w:footnote w:type="continuationSeparator" w:id="0">
    <w:p w:rsidR="002713A0" w:rsidRDefault="002713A0" w:rsidP="006D26DE">
      <w:pPr>
        <w:spacing w:after="0" w:line="240" w:lineRule="auto"/>
      </w:pPr>
      <w:r>
        <w:continuationSeparator/>
      </w:r>
    </w:p>
  </w:footnote>
  <w:footnote w:type="continuationNotice" w:id="1">
    <w:p w:rsidR="002713A0" w:rsidRDefault="002713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9CB"/>
    <w:multiLevelType w:val="hybridMultilevel"/>
    <w:tmpl w:val="1B98DE0E"/>
    <w:lvl w:ilvl="0" w:tplc="6DACC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67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870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E71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C3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051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8C2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E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20B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60F32"/>
    <w:multiLevelType w:val="hybridMultilevel"/>
    <w:tmpl w:val="44D4D8F6"/>
    <w:lvl w:ilvl="0" w:tplc="041A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CC1450B"/>
    <w:multiLevelType w:val="hybridMultilevel"/>
    <w:tmpl w:val="E006E5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4A5"/>
    <w:multiLevelType w:val="hybridMultilevel"/>
    <w:tmpl w:val="691E2B10"/>
    <w:lvl w:ilvl="0" w:tplc="A75E6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CC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4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6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A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076E52"/>
    <w:multiLevelType w:val="hybridMultilevel"/>
    <w:tmpl w:val="0BAC0DBE"/>
    <w:lvl w:ilvl="0" w:tplc="88AA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0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C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455589"/>
    <w:multiLevelType w:val="hybridMultilevel"/>
    <w:tmpl w:val="514A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267D"/>
    <w:multiLevelType w:val="hybridMultilevel"/>
    <w:tmpl w:val="9A82D31C"/>
    <w:lvl w:ilvl="0" w:tplc="6DACC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6D4F"/>
    <w:multiLevelType w:val="hybridMultilevel"/>
    <w:tmpl w:val="5C2C818E"/>
    <w:lvl w:ilvl="0" w:tplc="6DACC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21C4"/>
    <w:multiLevelType w:val="hybridMultilevel"/>
    <w:tmpl w:val="2816419A"/>
    <w:lvl w:ilvl="0" w:tplc="35F6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89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CE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1C5FD1"/>
    <w:multiLevelType w:val="hybridMultilevel"/>
    <w:tmpl w:val="27983434"/>
    <w:lvl w:ilvl="0" w:tplc="2F4A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4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E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8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C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230B9D"/>
    <w:multiLevelType w:val="hybridMultilevel"/>
    <w:tmpl w:val="7D22FAB2"/>
    <w:lvl w:ilvl="0" w:tplc="3276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6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6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B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94714A"/>
    <w:multiLevelType w:val="hybridMultilevel"/>
    <w:tmpl w:val="FA74F2E8"/>
    <w:lvl w:ilvl="0" w:tplc="2E806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8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4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A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4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9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27C57"/>
    <w:multiLevelType w:val="hybridMultilevel"/>
    <w:tmpl w:val="DEAAA9C6"/>
    <w:lvl w:ilvl="0" w:tplc="A75E6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000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66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A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4510EE"/>
    <w:multiLevelType w:val="hybridMultilevel"/>
    <w:tmpl w:val="7996E83A"/>
    <w:lvl w:ilvl="0" w:tplc="8F727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CA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64E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EC8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603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BD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8E4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253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1007B"/>
    <w:multiLevelType w:val="hybridMultilevel"/>
    <w:tmpl w:val="4BB82A64"/>
    <w:lvl w:ilvl="0" w:tplc="6DACC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F9"/>
    <w:rsid w:val="00000972"/>
    <w:rsid w:val="00000E95"/>
    <w:rsid w:val="0000115D"/>
    <w:rsid w:val="000035B6"/>
    <w:rsid w:val="000035F9"/>
    <w:rsid w:val="00004C5D"/>
    <w:rsid w:val="00006262"/>
    <w:rsid w:val="000065CB"/>
    <w:rsid w:val="00010D0D"/>
    <w:rsid w:val="00011190"/>
    <w:rsid w:val="00017D78"/>
    <w:rsid w:val="00017EDF"/>
    <w:rsid w:val="00020C1F"/>
    <w:rsid w:val="00032EFC"/>
    <w:rsid w:val="00033007"/>
    <w:rsid w:val="00033BB7"/>
    <w:rsid w:val="00043139"/>
    <w:rsid w:val="0004707B"/>
    <w:rsid w:val="0004779F"/>
    <w:rsid w:val="0005216C"/>
    <w:rsid w:val="0005559B"/>
    <w:rsid w:val="00056ACA"/>
    <w:rsid w:val="00057771"/>
    <w:rsid w:val="00057961"/>
    <w:rsid w:val="00060BF2"/>
    <w:rsid w:val="0006211A"/>
    <w:rsid w:val="000629A5"/>
    <w:rsid w:val="00062D86"/>
    <w:rsid w:val="00062EFF"/>
    <w:rsid w:val="00063F11"/>
    <w:rsid w:val="00064311"/>
    <w:rsid w:val="0006776E"/>
    <w:rsid w:val="00067A12"/>
    <w:rsid w:val="00067E18"/>
    <w:rsid w:val="00072376"/>
    <w:rsid w:val="00075752"/>
    <w:rsid w:val="00080BE0"/>
    <w:rsid w:val="00081BFB"/>
    <w:rsid w:val="00090714"/>
    <w:rsid w:val="00092955"/>
    <w:rsid w:val="00095C9D"/>
    <w:rsid w:val="000964DD"/>
    <w:rsid w:val="00097171"/>
    <w:rsid w:val="00097D8C"/>
    <w:rsid w:val="000A25BE"/>
    <w:rsid w:val="000A2E26"/>
    <w:rsid w:val="000B3098"/>
    <w:rsid w:val="000B3349"/>
    <w:rsid w:val="000B42FB"/>
    <w:rsid w:val="000B6D2B"/>
    <w:rsid w:val="000C28AC"/>
    <w:rsid w:val="000C2A43"/>
    <w:rsid w:val="000C5BAD"/>
    <w:rsid w:val="000C5D57"/>
    <w:rsid w:val="000C6CD5"/>
    <w:rsid w:val="000C7650"/>
    <w:rsid w:val="000D0CB5"/>
    <w:rsid w:val="000D1F8A"/>
    <w:rsid w:val="000D32E2"/>
    <w:rsid w:val="000D380E"/>
    <w:rsid w:val="000D49F1"/>
    <w:rsid w:val="000D601C"/>
    <w:rsid w:val="000D7C81"/>
    <w:rsid w:val="000E1219"/>
    <w:rsid w:val="000E2356"/>
    <w:rsid w:val="000E30CB"/>
    <w:rsid w:val="000E4CAE"/>
    <w:rsid w:val="000E5640"/>
    <w:rsid w:val="000E58E7"/>
    <w:rsid w:val="000E598D"/>
    <w:rsid w:val="000E6980"/>
    <w:rsid w:val="000E6A28"/>
    <w:rsid w:val="000F2CFD"/>
    <w:rsid w:val="000F3C42"/>
    <w:rsid w:val="000F5304"/>
    <w:rsid w:val="000F5EC4"/>
    <w:rsid w:val="00104455"/>
    <w:rsid w:val="0010450F"/>
    <w:rsid w:val="00104E9B"/>
    <w:rsid w:val="00107834"/>
    <w:rsid w:val="001121C0"/>
    <w:rsid w:val="00116097"/>
    <w:rsid w:val="001166F7"/>
    <w:rsid w:val="0011746D"/>
    <w:rsid w:val="00123D7C"/>
    <w:rsid w:val="0012471C"/>
    <w:rsid w:val="00126299"/>
    <w:rsid w:val="00126667"/>
    <w:rsid w:val="0012786E"/>
    <w:rsid w:val="00127F8C"/>
    <w:rsid w:val="00131B48"/>
    <w:rsid w:val="00133342"/>
    <w:rsid w:val="00135276"/>
    <w:rsid w:val="00136062"/>
    <w:rsid w:val="0013610B"/>
    <w:rsid w:val="00137721"/>
    <w:rsid w:val="00141F1B"/>
    <w:rsid w:val="00143890"/>
    <w:rsid w:val="001438A5"/>
    <w:rsid w:val="0014633E"/>
    <w:rsid w:val="00146CEF"/>
    <w:rsid w:val="00147523"/>
    <w:rsid w:val="00147680"/>
    <w:rsid w:val="00147EF0"/>
    <w:rsid w:val="001521AE"/>
    <w:rsid w:val="00157F46"/>
    <w:rsid w:val="00161107"/>
    <w:rsid w:val="0016114C"/>
    <w:rsid w:val="001613DA"/>
    <w:rsid w:val="00162A7D"/>
    <w:rsid w:val="001647B6"/>
    <w:rsid w:val="001651DA"/>
    <w:rsid w:val="001657CE"/>
    <w:rsid w:val="001675C2"/>
    <w:rsid w:val="00170E76"/>
    <w:rsid w:val="00175C0D"/>
    <w:rsid w:val="001765CB"/>
    <w:rsid w:val="0018041E"/>
    <w:rsid w:val="00181B48"/>
    <w:rsid w:val="00182AF4"/>
    <w:rsid w:val="00182DE0"/>
    <w:rsid w:val="001879FC"/>
    <w:rsid w:val="001921E8"/>
    <w:rsid w:val="001932BC"/>
    <w:rsid w:val="0019366F"/>
    <w:rsid w:val="00193DB2"/>
    <w:rsid w:val="00194C81"/>
    <w:rsid w:val="00195092"/>
    <w:rsid w:val="00195AF4"/>
    <w:rsid w:val="001A04C6"/>
    <w:rsid w:val="001A2751"/>
    <w:rsid w:val="001A29CC"/>
    <w:rsid w:val="001A2A14"/>
    <w:rsid w:val="001A2F9E"/>
    <w:rsid w:val="001A49C1"/>
    <w:rsid w:val="001A69E5"/>
    <w:rsid w:val="001B02F3"/>
    <w:rsid w:val="001B272F"/>
    <w:rsid w:val="001B3FDF"/>
    <w:rsid w:val="001B4516"/>
    <w:rsid w:val="001B688E"/>
    <w:rsid w:val="001B6EB4"/>
    <w:rsid w:val="001B71A1"/>
    <w:rsid w:val="001C0ADE"/>
    <w:rsid w:val="001C3072"/>
    <w:rsid w:val="001C323E"/>
    <w:rsid w:val="001C4A1B"/>
    <w:rsid w:val="001C5575"/>
    <w:rsid w:val="001C6DC6"/>
    <w:rsid w:val="001C715D"/>
    <w:rsid w:val="001C7E46"/>
    <w:rsid w:val="001C7E5E"/>
    <w:rsid w:val="001D1F53"/>
    <w:rsid w:val="001D4282"/>
    <w:rsid w:val="001D6256"/>
    <w:rsid w:val="001D658E"/>
    <w:rsid w:val="001D6AF7"/>
    <w:rsid w:val="001D6E95"/>
    <w:rsid w:val="001D7D9A"/>
    <w:rsid w:val="001E0794"/>
    <w:rsid w:val="001E13AB"/>
    <w:rsid w:val="001E544E"/>
    <w:rsid w:val="001E7A4C"/>
    <w:rsid w:val="001F25EC"/>
    <w:rsid w:val="001F30F5"/>
    <w:rsid w:val="001F334F"/>
    <w:rsid w:val="001F4C89"/>
    <w:rsid w:val="001F7465"/>
    <w:rsid w:val="001F74D4"/>
    <w:rsid w:val="00202FD1"/>
    <w:rsid w:val="00205D3A"/>
    <w:rsid w:val="00206CB4"/>
    <w:rsid w:val="002071C2"/>
    <w:rsid w:val="00211E4E"/>
    <w:rsid w:val="00213D08"/>
    <w:rsid w:val="002143D9"/>
    <w:rsid w:val="002148EB"/>
    <w:rsid w:val="002210FA"/>
    <w:rsid w:val="00221295"/>
    <w:rsid w:val="00222DA9"/>
    <w:rsid w:val="00224CC9"/>
    <w:rsid w:val="002307EB"/>
    <w:rsid w:val="002312C1"/>
    <w:rsid w:val="00233D69"/>
    <w:rsid w:val="00235CAE"/>
    <w:rsid w:val="0024286A"/>
    <w:rsid w:val="00243C95"/>
    <w:rsid w:val="00243CB0"/>
    <w:rsid w:val="00245150"/>
    <w:rsid w:val="0025132A"/>
    <w:rsid w:val="00252506"/>
    <w:rsid w:val="00260F74"/>
    <w:rsid w:val="002611E6"/>
    <w:rsid w:val="00262C16"/>
    <w:rsid w:val="00263EFB"/>
    <w:rsid w:val="00265567"/>
    <w:rsid w:val="00267F0B"/>
    <w:rsid w:val="00270CB3"/>
    <w:rsid w:val="002713A0"/>
    <w:rsid w:val="00271588"/>
    <w:rsid w:val="00274AB5"/>
    <w:rsid w:val="002764E8"/>
    <w:rsid w:val="00283316"/>
    <w:rsid w:val="00286D91"/>
    <w:rsid w:val="00287097"/>
    <w:rsid w:val="00290F52"/>
    <w:rsid w:val="00294C23"/>
    <w:rsid w:val="002A0112"/>
    <w:rsid w:val="002A0A1D"/>
    <w:rsid w:val="002A4080"/>
    <w:rsid w:val="002A42EE"/>
    <w:rsid w:val="002A5781"/>
    <w:rsid w:val="002A5D82"/>
    <w:rsid w:val="002B2325"/>
    <w:rsid w:val="002B6402"/>
    <w:rsid w:val="002B6FD9"/>
    <w:rsid w:val="002C141A"/>
    <w:rsid w:val="002C16BC"/>
    <w:rsid w:val="002C5DD9"/>
    <w:rsid w:val="002D2B46"/>
    <w:rsid w:val="002F2404"/>
    <w:rsid w:val="0030067B"/>
    <w:rsid w:val="00301D07"/>
    <w:rsid w:val="003020A3"/>
    <w:rsid w:val="00302573"/>
    <w:rsid w:val="00303110"/>
    <w:rsid w:val="003042C6"/>
    <w:rsid w:val="0030478F"/>
    <w:rsid w:val="00304D4D"/>
    <w:rsid w:val="003050CA"/>
    <w:rsid w:val="0031246E"/>
    <w:rsid w:val="00315232"/>
    <w:rsid w:val="00315AB3"/>
    <w:rsid w:val="00317941"/>
    <w:rsid w:val="00317C1D"/>
    <w:rsid w:val="003216E8"/>
    <w:rsid w:val="00321B04"/>
    <w:rsid w:val="003222B5"/>
    <w:rsid w:val="00322A63"/>
    <w:rsid w:val="00323E71"/>
    <w:rsid w:val="00326D14"/>
    <w:rsid w:val="00330A7A"/>
    <w:rsid w:val="00331D7D"/>
    <w:rsid w:val="003327BD"/>
    <w:rsid w:val="00333DBA"/>
    <w:rsid w:val="0033414D"/>
    <w:rsid w:val="00334877"/>
    <w:rsid w:val="00341DE6"/>
    <w:rsid w:val="00343683"/>
    <w:rsid w:val="003440DE"/>
    <w:rsid w:val="00345B2D"/>
    <w:rsid w:val="00347748"/>
    <w:rsid w:val="00352B81"/>
    <w:rsid w:val="0036098E"/>
    <w:rsid w:val="00363E13"/>
    <w:rsid w:val="0036558D"/>
    <w:rsid w:val="00366D65"/>
    <w:rsid w:val="00366F0D"/>
    <w:rsid w:val="00371596"/>
    <w:rsid w:val="003743BF"/>
    <w:rsid w:val="00383B4C"/>
    <w:rsid w:val="00387D4E"/>
    <w:rsid w:val="0039493C"/>
    <w:rsid w:val="00397D78"/>
    <w:rsid w:val="003A4C79"/>
    <w:rsid w:val="003A50EC"/>
    <w:rsid w:val="003A564B"/>
    <w:rsid w:val="003A671D"/>
    <w:rsid w:val="003B188A"/>
    <w:rsid w:val="003B30ED"/>
    <w:rsid w:val="003B4CB0"/>
    <w:rsid w:val="003B5A9F"/>
    <w:rsid w:val="003C108A"/>
    <w:rsid w:val="003C2A20"/>
    <w:rsid w:val="003C2D59"/>
    <w:rsid w:val="003C4497"/>
    <w:rsid w:val="003C50E9"/>
    <w:rsid w:val="003D0FCF"/>
    <w:rsid w:val="003D1C56"/>
    <w:rsid w:val="003D40F9"/>
    <w:rsid w:val="003D4850"/>
    <w:rsid w:val="003D4A70"/>
    <w:rsid w:val="003D7265"/>
    <w:rsid w:val="003D7279"/>
    <w:rsid w:val="003E0CEF"/>
    <w:rsid w:val="003E16D8"/>
    <w:rsid w:val="003E3873"/>
    <w:rsid w:val="003E3CF5"/>
    <w:rsid w:val="003E4150"/>
    <w:rsid w:val="003E4F33"/>
    <w:rsid w:val="003E53BC"/>
    <w:rsid w:val="003E7568"/>
    <w:rsid w:val="003F1222"/>
    <w:rsid w:val="003F194C"/>
    <w:rsid w:val="003F23CF"/>
    <w:rsid w:val="003F4026"/>
    <w:rsid w:val="004034E9"/>
    <w:rsid w:val="004038A1"/>
    <w:rsid w:val="0040465D"/>
    <w:rsid w:val="00405D0F"/>
    <w:rsid w:val="00407887"/>
    <w:rsid w:val="004134A7"/>
    <w:rsid w:val="004141E9"/>
    <w:rsid w:val="00414F54"/>
    <w:rsid w:val="00415068"/>
    <w:rsid w:val="00416841"/>
    <w:rsid w:val="00417799"/>
    <w:rsid w:val="0042159F"/>
    <w:rsid w:val="004223BE"/>
    <w:rsid w:val="00424B36"/>
    <w:rsid w:val="00427E10"/>
    <w:rsid w:val="004304FC"/>
    <w:rsid w:val="00430D61"/>
    <w:rsid w:val="00431879"/>
    <w:rsid w:val="00431E6F"/>
    <w:rsid w:val="00433081"/>
    <w:rsid w:val="0043334B"/>
    <w:rsid w:val="00434611"/>
    <w:rsid w:val="0043560D"/>
    <w:rsid w:val="004371CD"/>
    <w:rsid w:val="00437D99"/>
    <w:rsid w:val="004425D8"/>
    <w:rsid w:val="00442C98"/>
    <w:rsid w:val="00443DEA"/>
    <w:rsid w:val="00445C7A"/>
    <w:rsid w:val="00445D4E"/>
    <w:rsid w:val="004510DF"/>
    <w:rsid w:val="004542C8"/>
    <w:rsid w:val="004554E1"/>
    <w:rsid w:val="00457DFE"/>
    <w:rsid w:val="004615BB"/>
    <w:rsid w:val="0046164C"/>
    <w:rsid w:val="00461D4E"/>
    <w:rsid w:val="00463D3B"/>
    <w:rsid w:val="004646B7"/>
    <w:rsid w:val="00465F28"/>
    <w:rsid w:val="00473EFE"/>
    <w:rsid w:val="0047417A"/>
    <w:rsid w:val="00481597"/>
    <w:rsid w:val="00481F5A"/>
    <w:rsid w:val="004826D9"/>
    <w:rsid w:val="004830BF"/>
    <w:rsid w:val="00483BA4"/>
    <w:rsid w:val="00485154"/>
    <w:rsid w:val="00485FAD"/>
    <w:rsid w:val="004867D0"/>
    <w:rsid w:val="0048749A"/>
    <w:rsid w:val="0049076D"/>
    <w:rsid w:val="00495114"/>
    <w:rsid w:val="004A03E6"/>
    <w:rsid w:val="004A2C7B"/>
    <w:rsid w:val="004A3047"/>
    <w:rsid w:val="004A63FB"/>
    <w:rsid w:val="004B31A0"/>
    <w:rsid w:val="004C0266"/>
    <w:rsid w:val="004C197A"/>
    <w:rsid w:val="004C3BE9"/>
    <w:rsid w:val="004C5F88"/>
    <w:rsid w:val="004C6BF7"/>
    <w:rsid w:val="004D0090"/>
    <w:rsid w:val="004D03FA"/>
    <w:rsid w:val="004D5807"/>
    <w:rsid w:val="004D5B8E"/>
    <w:rsid w:val="004D6B5C"/>
    <w:rsid w:val="004D7B48"/>
    <w:rsid w:val="004E19F8"/>
    <w:rsid w:val="004E1E1A"/>
    <w:rsid w:val="004F0069"/>
    <w:rsid w:val="004F12F0"/>
    <w:rsid w:val="004F20BA"/>
    <w:rsid w:val="004F33D4"/>
    <w:rsid w:val="004F3E31"/>
    <w:rsid w:val="004F4249"/>
    <w:rsid w:val="004F5B97"/>
    <w:rsid w:val="004F6167"/>
    <w:rsid w:val="004F7F59"/>
    <w:rsid w:val="00500493"/>
    <w:rsid w:val="00503FD6"/>
    <w:rsid w:val="0050646D"/>
    <w:rsid w:val="005075B2"/>
    <w:rsid w:val="00510F1B"/>
    <w:rsid w:val="00512D14"/>
    <w:rsid w:val="0051567C"/>
    <w:rsid w:val="00515AFD"/>
    <w:rsid w:val="005219B0"/>
    <w:rsid w:val="00521E3C"/>
    <w:rsid w:val="00523430"/>
    <w:rsid w:val="00525C8C"/>
    <w:rsid w:val="00527CBA"/>
    <w:rsid w:val="00534ED3"/>
    <w:rsid w:val="00534F12"/>
    <w:rsid w:val="00536BB3"/>
    <w:rsid w:val="0054459B"/>
    <w:rsid w:val="00547938"/>
    <w:rsid w:val="00550F56"/>
    <w:rsid w:val="005517C7"/>
    <w:rsid w:val="0056007D"/>
    <w:rsid w:val="00560785"/>
    <w:rsid w:val="00563278"/>
    <w:rsid w:val="00563DB9"/>
    <w:rsid w:val="00564D88"/>
    <w:rsid w:val="00565130"/>
    <w:rsid w:val="0057044A"/>
    <w:rsid w:val="00570D2B"/>
    <w:rsid w:val="00571724"/>
    <w:rsid w:val="0057262F"/>
    <w:rsid w:val="0057643A"/>
    <w:rsid w:val="00580668"/>
    <w:rsid w:val="0058087B"/>
    <w:rsid w:val="00581A4C"/>
    <w:rsid w:val="00592039"/>
    <w:rsid w:val="00592A22"/>
    <w:rsid w:val="005A1B88"/>
    <w:rsid w:val="005A22A3"/>
    <w:rsid w:val="005A3EBC"/>
    <w:rsid w:val="005A431C"/>
    <w:rsid w:val="005A4D46"/>
    <w:rsid w:val="005A52AA"/>
    <w:rsid w:val="005A605C"/>
    <w:rsid w:val="005A6C59"/>
    <w:rsid w:val="005A7C78"/>
    <w:rsid w:val="005B1D4E"/>
    <w:rsid w:val="005B3623"/>
    <w:rsid w:val="005B3850"/>
    <w:rsid w:val="005B5897"/>
    <w:rsid w:val="005B6171"/>
    <w:rsid w:val="005B618C"/>
    <w:rsid w:val="005B6BF5"/>
    <w:rsid w:val="005C0AA1"/>
    <w:rsid w:val="005C3453"/>
    <w:rsid w:val="005D26E4"/>
    <w:rsid w:val="005D4505"/>
    <w:rsid w:val="005D67DD"/>
    <w:rsid w:val="005E0BD2"/>
    <w:rsid w:val="005E1C7A"/>
    <w:rsid w:val="005E27C2"/>
    <w:rsid w:val="005E2E43"/>
    <w:rsid w:val="005E37F4"/>
    <w:rsid w:val="005E46D4"/>
    <w:rsid w:val="005E4F05"/>
    <w:rsid w:val="005E5425"/>
    <w:rsid w:val="005E6053"/>
    <w:rsid w:val="005E6120"/>
    <w:rsid w:val="005F39E1"/>
    <w:rsid w:val="005F4173"/>
    <w:rsid w:val="005F62A7"/>
    <w:rsid w:val="005F6B98"/>
    <w:rsid w:val="0060333F"/>
    <w:rsid w:val="0060531A"/>
    <w:rsid w:val="00605A8D"/>
    <w:rsid w:val="00605B71"/>
    <w:rsid w:val="00610478"/>
    <w:rsid w:val="00613F39"/>
    <w:rsid w:val="00615936"/>
    <w:rsid w:val="00617E4E"/>
    <w:rsid w:val="0062294D"/>
    <w:rsid w:val="00625042"/>
    <w:rsid w:val="0062602E"/>
    <w:rsid w:val="006311F5"/>
    <w:rsid w:val="00634163"/>
    <w:rsid w:val="00634264"/>
    <w:rsid w:val="0063445E"/>
    <w:rsid w:val="00635EC0"/>
    <w:rsid w:val="00637A9D"/>
    <w:rsid w:val="00642521"/>
    <w:rsid w:val="00643998"/>
    <w:rsid w:val="00643ADA"/>
    <w:rsid w:val="00644148"/>
    <w:rsid w:val="00644A0A"/>
    <w:rsid w:val="00644B09"/>
    <w:rsid w:val="00646642"/>
    <w:rsid w:val="00646E51"/>
    <w:rsid w:val="00646E54"/>
    <w:rsid w:val="006505D6"/>
    <w:rsid w:val="0065193A"/>
    <w:rsid w:val="00652207"/>
    <w:rsid w:val="006600B0"/>
    <w:rsid w:val="006610F4"/>
    <w:rsid w:val="00665997"/>
    <w:rsid w:val="00670493"/>
    <w:rsid w:val="00671AE1"/>
    <w:rsid w:val="00672093"/>
    <w:rsid w:val="0067348A"/>
    <w:rsid w:val="006809BF"/>
    <w:rsid w:val="00682017"/>
    <w:rsid w:val="006843AE"/>
    <w:rsid w:val="00685826"/>
    <w:rsid w:val="00690C8E"/>
    <w:rsid w:val="00691C96"/>
    <w:rsid w:val="00692133"/>
    <w:rsid w:val="0069312C"/>
    <w:rsid w:val="006A0B6D"/>
    <w:rsid w:val="006A2CB2"/>
    <w:rsid w:val="006A3F12"/>
    <w:rsid w:val="006A5587"/>
    <w:rsid w:val="006A6797"/>
    <w:rsid w:val="006A74FB"/>
    <w:rsid w:val="006B008D"/>
    <w:rsid w:val="006B2324"/>
    <w:rsid w:val="006B2A4B"/>
    <w:rsid w:val="006B6AC6"/>
    <w:rsid w:val="006B7FB8"/>
    <w:rsid w:val="006C0DD6"/>
    <w:rsid w:val="006C162C"/>
    <w:rsid w:val="006C1BB1"/>
    <w:rsid w:val="006C4C6B"/>
    <w:rsid w:val="006C4CB0"/>
    <w:rsid w:val="006C4E44"/>
    <w:rsid w:val="006C4ED6"/>
    <w:rsid w:val="006C5C82"/>
    <w:rsid w:val="006C70E0"/>
    <w:rsid w:val="006C775A"/>
    <w:rsid w:val="006D26DE"/>
    <w:rsid w:val="006D4609"/>
    <w:rsid w:val="006D47F1"/>
    <w:rsid w:val="006D6103"/>
    <w:rsid w:val="006D62D4"/>
    <w:rsid w:val="006D72BF"/>
    <w:rsid w:val="006D7368"/>
    <w:rsid w:val="006D7C37"/>
    <w:rsid w:val="006E24FF"/>
    <w:rsid w:val="006E2C2C"/>
    <w:rsid w:val="006E3020"/>
    <w:rsid w:val="006E4119"/>
    <w:rsid w:val="006E7274"/>
    <w:rsid w:val="006F157B"/>
    <w:rsid w:val="007009BB"/>
    <w:rsid w:val="007020EE"/>
    <w:rsid w:val="0070244F"/>
    <w:rsid w:val="00702BF1"/>
    <w:rsid w:val="007035AE"/>
    <w:rsid w:val="00703D27"/>
    <w:rsid w:val="00704237"/>
    <w:rsid w:val="007064BA"/>
    <w:rsid w:val="007072C6"/>
    <w:rsid w:val="00714806"/>
    <w:rsid w:val="00716E64"/>
    <w:rsid w:val="00723FF9"/>
    <w:rsid w:val="00724C0F"/>
    <w:rsid w:val="0073021C"/>
    <w:rsid w:val="00732992"/>
    <w:rsid w:val="00733D81"/>
    <w:rsid w:val="007348B5"/>
    <w:rsid w:val="007350E8"/>
    <w:rsid w:val="007356E0"/>
    <w:rsid w:val="00742DCA"/>
    <w:rsid w:val="00743378"/>
    <w:rsid w:val="00745AC3"/>
    <w:rsid w:val="00746DCD"/>
    <w:rsid w:val="00747CF2"/>
    <w:rsid w:val="00747F33"/>
    <w:rsid w:val="00751403"/>
    <w:rsid w:val="007522D5"/>
    <w:rsid w:val="00752C75"/>
    <w:rsid w:val="007568E5"/>
    <w:rsid w:val="00756935"/>
    <w:rsid w:val="00756CDA"/>
    <w:rsid w:val="00760766"/>
    <w:rsid w:val="00760DB9"/>
    <w:rsid w:val="00761C96"/>
    <w:rsid w:val="00764C22"/>
    <w:rsid w:val="00765A17"/>
    <w:rsid w:val="00770F5E"/>
    <w:rsid w:val="00771A26"/>
    <w:rsid w:val="00774E0D"/>
    <w:rsid w:val="00775741"/>
    <w:rsid w:val="00777127"/>
    <w:rsid w:val="00780B2D"/>
    <w:rsid w:val="007812FF"/>
    <w:rsid w:val="00791536"/>
    <w:rsid w:val="00793DD3"/>
    <w:rsid w:val="007A1312"/>
    <w:rsid w:val="007A156E"/>
    <w:rsid w:val="007A15D8"/>
    <w:rsid w:val="007A5121"/>
    <w:rsid w:val="007A70DE"/>
    <w:rsid w:val="007A7F4A"/>
    <w:rsid w:val="007B1AE3"/>
    <w:rsid w:val="007B2206"/>
    <w:rsid w:val="007B33BF"/>
    <w:rsid w:val="007B49E9"/>
    <w:rsid w:val="007B54F7"/>
    <w:rsid w:val="007B586C"/>
    <w:rsid w:val="007B661A"/>
    <w:rsid w:val="007B69AE"/>
    <w:rsid w:val="007B6FD2"/>
    <w:rsid w:val="007B75E2"/>
    <w:rsid w:val="007C3023"/>
    <w:rsid w:val="007C31A9"/>
    <w:rsid w:val="007C335E"/>
    <w:rsid w:val="007C338F"/>
    <w:rsid w:val="007C4580"/>
    <w:rsid w:val="007C45F7"/>
    <w:rsid w:val="007C4B38"/>
    <w:rsid w:val="007C52F2"/>
    <w:rsid w:val="007C6503"/>
    <w:rsid w:val="007C66E4"/>
    <w:rsid w:val="007D294A"/>
    <w:rsid w:val="007D3EB4"/>
    <w:rsid w:val="007D59CE"/>
    <w:rsid w:val="007E4560"/>
    <w:rsid w:val="007E4B8E"/>
    <w:rsid w:val="007E545A"/>
    <w:rsid w:val="007E57E7"/>
    <w:rsid w:val="007E753F"/>
    <w:rsid w:val="007E77D3"/>
    <w:rsid w:val="007F4D3D"/>
    <w:rsid w:val="007F5050"/>
    <w:rsid w:val="00800133"/>
    <w:rsid w:val="008019BE"/>
    <w:rsid w:val="00801F1D"/>
    <w:rsid w:val="008025F2"/>
    <w:rsid w:val="00807A7F"/>
    <w:rsid w:val="00811E1A"/>
    <w:rsid w:val="0081239D"/>
    <w:rsid w:val="00813472"/>
    <w:rsid w:val="0081793F"/>
    <w:rsid w:val="00817EDE"/>
    <w:rsid w:val="008209DC"/>
    <w:rsid w:val="00821937"/>
    <w:rsid w:val="00830C07"/>
    <w:rsid w:val="008347B8"/>
    <w:rsid w:val="00843549"/>
    <w:rsid w:val="0084626C"/>
    <w:rsid w:val="008476C2"/>
    <w:rsid w:val="008532A9"/>
    <w:rsid w:val="00853944"/>
    <w:rsid w:val="00853F92"/>
    <w:rsid w:val="00855AA8"/>
    <w:rsid w:val="0086052E"/>
    <w:rsid w:val="00861EDF"/>
    <w:rsid w:val="00864E27"/>
    <w:rsid w:val="00866DB3"/>
    <w:rsid w:val="008672A4"/>
    <w:rsid w:val="0087089D"/>
    <w:rsid w:val="008713E5"/>
    <w:rsid w:val="0087204C"/>
    <w:rsid w:val="00874F6D"/>
    <w:rsid w:val="00875E9F"/>
    <w:rsid w:val="008772E5"/>
    <w:rsid w:val="008803C4"/>
    <w:rsid w:val="00881252"/>
    <w:rsid w:val="00881278"/>
    <w:rsid w:val="00885922"/>
    <w:rsid w:val="00885CCB"/>
    <w:rsid w:val="00896B87"/>
    <w:rsid w:val="008A7766"/>
    <w:rsid w:val="008B3FE2"/>
    <w:rsid w:val="008B648C"/>
    <w:rsid w:val="008B68D4"/>
    <w:rsid w:val="008C33DE"/>
    <w:rsid w:val="008C41BD"/>
    <w:rsid w:val="008C4BF1"/>
    <w:rsid w:val="008C5110"/>
    <w:rsid w:val="008C537C"/>
    <w:rsid w:val="008C556F"/>
    <w:rsid w:val="008D1475"/>
    <w:rsid w:val="008D56D3"/>
    <w:rsid w:val="008D5999"/>
    <w:rsid w:val="008D5FB0"/>
    <w:rsid w:val="008E13F9"/>
    <w:rsid w:val="008E435B"/>
    <w:rsid w:val="008E628B"/>
    <w:rsid w:val="008F036D"/>
    <w:rsid w:val="008F0559"/>
    <w:rsid w:val="008F0A5B"/>
    <w:rsid w:val="008F0E02"/>
    <w:rsid w:val="008F16EB"/>
    <w:rsid w:val="008F1864"/>
    <w:rsid w:val="008F198C"/>
    <w:rsid w:val="008F5D4E"/>
    <w:rsid w:val="008F61B1"/>
    <w:rsid w:val="008F65A7"/>
    <w:rsid w:val="00901FE7"/>
    <w:rsid w:val="00903ED7"/>
    <w:rsid w:val="00904F63"/>
    <w:rsid w:val="00906286"/>
    <w:rsid w:val="0091114B"/>
    <w:rsid w:val="00911AFB"/>
    <w:rsid w:val="00911E6C"/>
    <w:rsid w:val="00914498"/>
    <w:rsid w:val="00916A80"/>
    <w:rsid w:val="00916B51"/>
    <w:rsid w:val="00925B5F"/>
    <w:rsid w:val="00931682"/>
    <w:rsid w:val="0093217B"/>
    <w:rsid w:val="00933C81"/>
    <w:rsid w:val="00940893"/>
    <w:rsid w:val="0094594D"/>
    <w:rsid w:val="009461DF"/>
    <w:rsid w:val="00951F3B"/>
    <w:rsid w:val="009540B8"/>
    <w:rsid w:val="00954B8C"/>
    <w:rsid w:val="00955E73"/>
    <w:rsid w:val="00956A62"/>
    <w:rsid w:val="00960A00"/>
    <w:rsid w:val="00961784"/>
    <w:rsid w:val="0096248B"/>
    <w:rsid w:val="00962670"/>
    <w:rsid w:val="0096278A"/>
    <w:rsid w:val="0096624C"/>
    <w:rsid w:val="00966C23"/>
    <w:rsid w:val="009670F8"/>
    <w:rsid w:val="00971AD1"/>
    <w:rsid w:val="009735B3"/>
    <w:rsid w:val="00973DD9"/>
    <w:rsid w:val="00974EE7"/>
    <w:rsid w:val="00975385"/>
    <w:rsid w:val="009771DD"/>
    <w:rsid w:val="009776A3"/>
    <w:rsid w:val="00980EA8"/>
    <w:rsid w:val="00981864"/>
    <w:rsid w:val="00981CFA"/>
    <w:rsid w:val="00983A77"/>
    <w:rsid w:val="009852AE"/>
    <w:rsid w:val="00985C19"/>
    <w:rsid w:val="0098672A"/>
    <w:rsid w:val="00986892"/>
    <w:rsid w:val="00987AF1"/>
    <w:rsid w:val="009922B2"/>
    <w:rsid w:val="009928A3"/>
    <w:rsid w:val="009939A6"/>
    <w:rsid w:val="00993B66"/>
    <w:rsid w:val="009946A1"/>
    <w:rsid w:val="0099478D"/>
    <w:rsid w:val="009A184A"/>
    <w:rsid w:val="009A3A8F"/>
    <w:rsid w:val="009B36F2"/>
    <w:rsid w:val="009B3EA9"/>
    <w:rsid w:val="009B65B4"/>
    <w:rsid w:val="009B6F8A"/>
    <w:rsid w:val="009B7326"/>
    <w:rsid w:val="009B7534"/>
    <w:rsid w:val="009C1160"/>
    <w:rsid w:val="009C304F"/>
    <w:rsid w:val="009C48BD"/>
    <w:rsid w:val="009C4CE4"/>
    <w:rsid w:val="009D0CAE"/>
    <w:rsid w:val="009D0D9A"/>
    <w:rsid w:val="009D1F6D"/>
    <w:rsid w:val="009D23EF"/>
    <w:rsid w:val="009D2DEB"/>
    <w:rsid w:val="009D6BDE"/>
    <w:rsid w:val="009D7CAC"/>
    <w:rsid w:val="009E09AB"/>
    <w:rsid w:val="009E0C2A"/>
    <w:rsid w:val="009E1ABB"/>
    <w:rsid w:val="009E2A2D"/>
    <w:rsid w:val="009E3463"/>
    <w:rsid w:val="009E4DB8"/>
    <w:rsid w:val="009E5CA2"/>
    <w:rsid w:val="009E6268"/>
    <w:rsid w:val="009F3128"/>
    <w:rsid w:val="009F4120"/>
    <w:rsid w:val="009F5158"/>
    <w:rsid w:val="009F6E9D"/>
    <w:rsid w:val="009F7072"/>
    <w:rsid w:val="009F7287"/>
    <w:rsid w:val="009F758D"/>
    <w:rsid w:val="00A06BAC"/>
    <w:rsid w:val="00A11E8D"/>
    <w:rsid w:val="00A14F92"/>
    <w:rsid w:val="00A14FE7"/>
    <w:rsid w:val="00A1633C"/>
    <w:rsid w:val="00A1705B"/>
    <w:rsid w:val="00A17283"/>
    <w:rsid w:val="00A200F8"/>
    <w:rsid w:val="00A21B2C"/>
    <w:rsid w:val="00A23C2D"/>
    <w:rsid w:val="00A23D94"/>
    <w:rsid w:val="00A2462A"/>
    <w:rsid w:val="00A25406"/>
    <w:rsid w:val="00A25580"/>
    <w:rsid w:val="00A25E11"/>
    <w:rsid w:val="00A3061E"/>
    <w:rsid w:val="00A30BB3"/>
    <w:rsid w:val="00A32822"/>
    <w:rsid w:val="00A34C43"/>
    <w:rsid w:val="00A401DE"/>
    <w:rsid w:val="00A41A8F"/>
    <w:rsid w:val="00A43AA6"/>
    <w:rsid w:val="00A456C6"/>
    <w:rsid w:val="00A4684E"/>
    <w:rsid w:val="00A47298"/>
    <w:rsid w:val="00A5039C"/>
    <w:rsid w:val="00A529D0"/>
    <w:rsid w:val="00A54D3B"/>
    <w:rsid w:val="00A55623"/>
    <w:rsid w:val="00A57B45"/>
    <w:rsid w:val="00A61F09"/>
    <w:rsid w:val="00A63990"/>
    <w:rsid w:val="00A66038"/>
    <w:rsid w:val="00A66419"/>
    <w:rsid w:val="00A6654A"/>
    <w:rsid w:val="00A66ACE"/>
    <w:rsid w:val="00A724AE"/>
    <w:rsid w:val="00A73E4A"/>
    <w:rsid w:val="00A75331"/>
    <w:rsid w:val="00A76445"/>
    <w:rsid w:val="00A77A14"/>
    <w:rsid w:val="00A80266"/>
    <w:rsid w:val="00A822BC"/>
    <w:rsid w:val="00A83732"/>
    <w:rsid w:val="00A83782"/>
    <w:rsid w:val="00A8538E"/>
    <w:rsid w:val="00A92B10"/>
    <w:rsid w:val="00A95175"/>
    <w:rsid w:val="00A97AB0"/>
    <w:rsid w:val="00AA00BC"/>
    <w:rsid w:val="00AA0F8D"/>
    <w:rsid w:val="00AA12F7"/>
    <w:rsid w:val="00AA1467"/>
    <w:rsid w:val="00AA2453"/>
    <w:rsid w:val="00AA697E"/>
    <w:rsid w:val="00AB0C30"/>
    <w:rsid w:val="00AB0D36"/>
    <w:rsid w:val="00AB1261"/>
    <w:rsid w:val="00AB208E"/>
    <w:rsid w:val="00AB508D"/>
    <w:rsid w:val="00AB5BCF"/>
    <w:rsid w:val="00AB5CA0"/>
    <w:rsid w:val="00AB63D6"/>
    <w:rsid w:val="00AC2C5E"/>
    <w:rsid w:val="00AC2D0F"/>
    <w:rsid w:val="00AC2FC8"/>
    <w:rsid w:val="00AC3418"/>
    <w:rsid w:val="00AC399F"/>
    <w:rsid w:val="00AC5593"/>
    <w:rsid w:val="00AC7E0F"/>
    <w:rsid w:val="00AD285C"/>
    <w:rsid w:val="00AD2B6B"/>
    <w:rsid w:val="00AD35B2"/>
    <w:rsid w:val="00AD5035"/>
    <w:rsid w:val="00AE134A"/>
    <w:rsid w:val="00AE1A78"/>
    <w:rsid w:val="00AE3F1C"/>
    <w:rsid w:val="00AE45E0"/>
    <w:rsid w:val="00AE55C8"/>
    <w:rsid w:val="00AE5945"/>
    <w:rsid w:val="00AE6D38"/>
    <w:rsid w:val="00AE7B6B"/>
    <w:rsid w:val="00AF2581"/>
    <w:rsid w:val="00AF50DB"/>
    <w:rsid w:val="00AF5988"/>
    <w:rsid w:val="00AF67A2"/>
    <w:rsid w:val="00B01009"/>
    <w:rsid w:val="00B10317"/>
    <w:rsid w:val="00B11B4B"/>
    <w:rsid w:val="00B154CE"/>
    <w:rsid w:val="00B20A16"/>
    <w:rsid w:val="00B21077"/>
    <w:rsid w:val="00B228F4"/>
    <w:rsid w:val="00B23609"/>
    <w:rsid w:val="00B26153"/>
    <w:rsid w:val="00B2702F"/>
    <w:rsid w:val="00B34207"/>
    <w:rsid w:val="00B359F7"/>
    <w:rsid w:val="00B362C1"/>
    <w:rsid w:val="00B365FF"/>
    <w:rsid w:val="00B37D7C"/>
    <w:rsid w:val="00B43BE6"/>
    <w:rsid w:val="00B4482F"/>
    <w:rsid w:val="00B4652E"/>
    <w:rsid w:val="00B478C2"/>
    <w:rsid w:val="00B47D06"/>
    <w:rsid w:val="00B514FF"/>
    <w:rsid w:val="00B52D2C"/>
    <w:rsid w:val="00B53E92"/>
    <w:rsid w:val="00B54B0C"/>
    <w:rsid w:val="00B56B19"/>
    <w:rsid w:val="00B63BE1"/>
    <w:rsid w:val="00B65CDA"/>
    <w:rsid w:val="00B6624D"/>
    <w:rsid w:val="00B67AF6"/>
    <w:rsid w:val="00B67C0B"/>
    <w:rsid w:val="00B71811"/>
    <w:rsid w:val="00B71DBF"/>
    <w:rsid w:val="00B73B85"/>
    <w:rsid w:val="00B740E5"/>
    <w:rsid w:val="00B741C5"/>
    <w:rsid w:val="00B74F62"/>
    <w:rsid w:val="00B769E5"/>
    <w:rsid w:val="00B77205"/>
    <w:rsid w:val="00B81298"/>
    <w:rsid w:val="00B82DFD"/>
    <w:rsid w:val="00B8321A"/>
    <w:rsid w:val="00B85664"/>
    <w:rsid w:val="00B87BB0"/>
    <w:rsid w:val="00B904D7"/>
    <w:rsid w:val="00B90BF9"/>
    <w:rsid w:val="00B93B30"/>
    <w:rsid w:val="00B95B2F"/>
    <w:rsid w:val="00B978BA"/>
    <w:rsid w:val="00BA1987"/>
    <w:rsid w:val="00BA342C"/>
    <w:rsid w:val="00BA435F"/>
    <w:rsid w:val="00BB208F"/>
    <w:rsid w:val="00BC41DE"/>
    <w:rsid w:val="00BC6411"/>
    <w:rsid w:val="00BC66C0"/>
    <w:rsid w:val="00BC764C"/>
    <w:rsid w:val="00BD404B"/>
    <w:rsid w:val="00BD4319"/>
    <w:rsid w:val="00BD7E38"/>
    <w:rsid w:val="00BD7FBE"/>
    <w:rsid w:val="00BE132B"/>
    <w:rsid w:val="00BE14F6"/>
    <w:rsid w:val="00BE26DA"/>
    <w:rsid w:val="00BE2729"/>
    <w:rsid w:val="00BE44DF"/>
    <w:rsid w:val="00BE4C3C"/>
    <w:rsid w:val="00BE76DE"/>
    <w:rsid w:val="00BF0F9E"/>
    <w:rsid w:val="00BF62D6"/>
    <w:rsid w:val="00BF75FF"/>
    <w:rsid w:val="00C0147B"/>
    <w:rsid w:val="00C02B71"/>
    <w:rsid w:val="00C041DB"/>
    <w:rsid w:val="00C05EB8"/>
    <w:rsid w:val="00C06C38"/>
    <w:rsid w:val="00C07410"/>
    <w:rsid w:val="00C10BF4"/>
    <w:rsid w:val="00C12EC4"/>
    <w:rsid w:val="00C13874"/>
    <w:rsid w:val="00C14977"/>
    <w:rsid w:val="00C15EB7"/>
    <w:rsid w:val="00C16864"/>
    <w:rsid w:val="00C1723D"/>
    <w:rsid w:val="00C24C94"/>
    <w:rsid w:val="00C30861"/>
    <w:rsid w:val="00C32CEF"/>
    <w:rsid w:val="00C333E2"/>
    <w:rsid w:val="00C36001"/>
    <w:rsid w:val="00C40CD8"/>
    <w:rsid w:val="00C41354"/>
    <w:rsid w:val="00C44435"/>
    <w:rsid w:val="00C45A63"/>
    <w:rsid w:val="00C45F76"/>
    <w:rsid w:val="00C4627C"/>
    <w:rsid w:val="00C4785D"/>
    <w:rsid w:val="00C501DF"/>
    <w:rsid w:val="00C5088F"/>
    <w:rsid w:val="00C53229"/>
    <w:rsid w:val="00C5475F"/>
    <w:rsid w:val="00C547D3"/>
    <w:rsid w:val="00C55A30"/>
    <w:rsid w:val="00C5670E"/>
    <w:rsid w:val="00C579F4"/>
    <w:rsid w:val="00C62EB5"/>
    <w:rsid w:val="00C63211"/>
    <w:rsid w:val="00C65E3F"/>
    <w:rsid w:val="00C7094C"/>
    <w:rsid w:val="00C710D6"/>
    <w:rsid w:val="00C76F8B"/>
    <w:rsid w:val="00C771F2"/>
    <w:rsid w:val="00C773BD"/>
    <w:rsid w:val="00C77C9A"/>
    <w:rsid w:val="00C801F2"/>
    <w:rsid w:val="00C818D3"/>
    <w:rsid w:val="00C81FB6"/>
    <w:rsid w:val="00C823DF"/>
    <w:rsid w:val="00C825F0"/>
    <w:rsid w:val="00C82659"/>
    <w:rsid w:val="00C83479"/>
    <w:rsid w:val="00C851B9"/>
    <w:rsid w:val="00C8579C"/>
    <w:rsid w:val="00C85BB0"/>
    <w:rsid w:val="00C86C50"/>
    <w:rsid w:val="00C918F8"/>
    <w:rsid w:val="00C9343B"/>
    <w:rsid w:val="00C946C7"/>
    <w:rsid w:val="00C94F3A"/>
    <w:rsid w:val="00CA1416"/>
    <w:rsid w:val="00CA3F23"/>
    <w:rsid w:val="00CA4A84"/>
    <w:rsid w:val="00CA4B2A"/>
    <w:rsid w:val="00CA674C"/>
    <w:rsid w:val="00CA750F"/>
    <w:rsid w:val="00CA7D83"/>
    <w:rsid w:val="00CB1E67"/>
    <w:rsid w:val="00CB3FB4"/>
    <w:rsid w:val="00CB4542"/>
    <w:rsid w:val="00CB5877"/>
    <w:rsid w:val="00CC053D"/>
    <w:rsid w:val="00CC5F2E"/>
    <w:rsid w:val="00CC68F8"/>
    <w:rsid w:val="00CC7796"/>
    <w:rsid w:val="00CE2450"/>
    <w:rsid w:val="00CE494C"/>
    <w:rsid w:val="00CE7817"/>
    <w:rsid w:val="00CF08B4"/>
    <w:rsid w:val="00CF5EB9"/>
    <w:rsid w:val="00CF65A7"/>
    <w:rsid w:val="00CF6840"/>
    <w:rsid w:val="00CF7343"/>
    <w:rsid w:val="00CF7357"/>
    <w:rsid w:val="00D01C9A"/>
    <w:rsid w:val="00D0314C"/>
    <w:rsid w:val="00D035A8"/>
    <w:rsid w:val="00D03CCB"/>
    <w:rsid w:val="00D04343"/>
    <w:rsid w:val="00D11EC9"/>
    <w:rsid w:val="00D13873"/>
    <w:rsid w:val="00D15AF5"/>
    <w:rsid w:val="00D15F9D"/>
    <w:rsid w:val="00D16598"/>
    <w:rsid w:val="00D25340"/>
    <w:rsid w:val="00D27900"/>
    <w:rsid w:val="00D30D80"/>
    <w:rsid w:val="00D30F40"/>
    <w:rsid w:val="00D31652"/>
    <w:rsid w:val="00D34076"/>
    <w:rsid w:val="00D34E15"/>
    <w:rsid w:val="00D35543"/>
    <w:rsid w:val="00D3622A"/>
    <w:rsid w:val="00D376A9"/>
    <w:rsid w:val="00D41F55"/>
    <w:rsid w:val="00D42800"/>
    <w:rsid w:val="00D5254C"/>
    <w:rsid w:val="00D539DC"/>
    <w:rsid w:val="00D54C96"/>
    <w:rsid w:val="00D57F63"/>
    <w:rsid w:val="00D6000D"/>
    <w:rsid w:val="00D60A96"/>
    <w:rsid w:val="00D61980"/>
    <w:rsid w:val="00D62667"/>
    <w:rsid w:val="00D634FF"/>
    <w:rsid w:val="00D650B9"/>
    <w:rsid w:val="00D6516D"/>
    <w:rsid w:val="00D67A61"/>
    <w:rsid w:val="00D7195C"/>
    <w:rsid w:val="00D73774"/>
    <w:rsid w:val="00D74BF0"/>
    <w:rsid w:val="00D7758B"/>
    <w:rsid w:val="00D81550"/>
    <w:rsid w:val="00D81FEB"/>
    <w:rsid w:val="00D83E07"/>
    <w:rsid w:val="00D851DE"/>
    <w:rsid w:val="00D8628F"/>
    <w:rsid w:val="00D86684"/>
    <w:rsid w:val="00D87114"/>
    <w:rsid w:val="00D913DF"/>
    <w:rsid w:val="00D918AC"/>
    <w:rsid w:val="00DA15DE"/>
    <w:rsid w:val="00DA1EDA"/>
    <w:rsid w:val="00DA26F7"/>
    <w:rsid w:val="00DA2945"/>
    <w:rsid w:val="00DA3BA2"/>
    <w:rsid w:val="00DA41E2"/>
    <w:rsid w:val="00DA581C"/>
    <w:rsid w:val="00DA5C90"/>
    <w:rsid w:val="00DA6966"/>
    <w:rsid w:val="00DA7EAA"/>
    <w:rsid w:val="00DB0C3E"/>
    <w:rsid w:val="00DB1630"/>
    <w:rsid w:val="00DB16A8"/>
    <w:rsid w:val="00DB1CF2"/>
    <w:rsid w:val="00DB39A5"/>
    <w:rsid w:val="00DB3CF8"/>
    <w:rsid w:val="00DB3D01"/>
    <w:rsid w:val="00DB5D8A"/>
    <w:rsid w:val="00DB64F3"/>
    <w:rsid w:val="00DB7D03"/>
    <w:rsid w:val="00DC40E7"/>
    <w:rsid w:val="00DC6A74"/>
    <w:rsid w:val="00DD419B"/>
    <w:rsid w:val="00DD45F8"/>
    <w:rsid w:val="00DD5098"/>
    <w:rsid w:val="00DD6BF8"/>
    <w:rsid w:val="00DD6C9B"/>
    <w:rsid w:val="00DD78B9"/>
    <w:rsid w:val="00DD7F13"/>
    <w:rsid w:val="00DE3CAB"/>
    <w:rsid w:val="00DE43CE"/>
    <w:rsid w:val="00DE4667"/>
    <w:rsid w:val="00DE52E6"/>
    <w:rsid w:val="00DE6C61"/>
    <w:rsid w:val="00DE6FBC"/>
    <w:rsid w:val="00DF1BFA"/>
    <w:rsid w:val="00DF27FF"/>
    <w:rsid w:val="00DF455B"/>
    <w:rsid w:val="00E007FA"/>
    <w:rsid w:val="00E027D5"/>
    <w:rsid w:val="00E03155"/>
    <w:rsid w:val="00E03671"/>
    <w:rsid w:val="00E060D4"/>
    <w:rsid w:val="00E101DC"/>
    <w:rsid w:val="00E106D7"/>
    <w:rsid w:val="00E11D56"/>
    <w:rsid w:val="00E129CE"/>
    <w:rsid w:val="00E135D7"/>
    <w:rsid w:val="00E146FC"/>
    <w:rsid w:val="00E14B8E"/>
    <w:rsid w:val="00E15307"/>
    <w:rsid w:val="00E17956"/>
    <w:rsid w:val="00E1799E"/>
    <w:rsid w:val="00E20336"/>
    <w:rsid w:val="00E22D3A"/>
    <w:rsid w:val="00E22F3E"/>
    <w:rsid w:val="00E235FA"/>
    <w:rsid w:val="00E23D83"/>
    <w:rsid w:val="00E24862"/>
    <w:rsid w:val="00E24FD5"/>
    <w:rsid w:val="00E3090B"/>
    <w:rsid w:val="00E33321"/>
    <w:rsid w:val="00E3700A"/>
    <w:rsid w:val="00E402C3"/>
    <w:rsid w:val="00E44C26"/>
    <w:rsid w:val="00E46866"/>
    <w:rsid w:val="00E4782E"/>
    <w:rsid w:val="00E535EC"/>
    <w:rsid w:val="00E54842"/>
    <w:rsid w:val="00E55D0C"/>
    <w:rsid w:val="00E60125"/>
    <w:rsid w:val="00E60C6F"/>
    <w:rsid w:val="00E62A7B"/>
    <w:rsid w:val="00E62FF9"/>
    <w:rsid w:val="00E644F5"/>
    <w:rsid w:val="00E65C5E"/>
    <w:rsid w:val="00E662C7"/>
    <w:rsid w:val="00E665D8"/>
    <w:rsid w:val="00E669F9"/>
    <w:rsid w:val="00E74F56"/>
    <w:rsid w:val="00E8024E"/>
    <w:rsid w:val="00E80500"/>
    <w:rsid w:val="00E84656"/>
    <w:rsid w:val="00E851A6"/>
    <w:rsid w:val="00E86B06"/>
    <w:rsid w:val="00E86E43"/>
    <w:rsid w:val="00E87C4A"/>
    <w:rsid w:val="00E90711"/>
    <w:rsid w:val="00E93D5E"/>
    <w:rsid w:val="00EA0B9D"/>
    <w:rsid w:val="00EA5142"/>
    <w:rsid w:val="00EA66B5"/>
    <w:rsid w:val="00EA67CC"/>
    <w:rsid w:val="00EA6EC8"/>
    <w:rsid w:val="00EB1527"/>
    <w:rsid w:val="00EB1F68"/>
    <w:rsid w:val="00EB37CB"/>
    <w:rsid w:val="00EB75C0"/>
    <w:rsid w:val="00EC0407"/>
    <w:rsid w:val="00EC1A6A"/>
    <w:rsid w:val="00EC2C32"/>
    <w:rsid w:val="00EC5248"/>
    <w:rsid w:val="00EC5404"/>
    <w:rsid w:val="00EC64CA"/>
    <w:rsid w:val="00EC77DC"/>
    <w:rsid w:val="00ED20D0"/>
    <w:rsid w:val="00ED28FF"/>
    <w:rsid w:val="00ED3903"/>
    <w:rsid w:val="00ED45A0"/>
    <w:rsid w:val="00ED5ABE"/>
    <w:rsid w:val="00ED6C2D"/>
    <w:rsid w:val="00ED7769"/>
    <w:rsid w:val="00ED7E3B"/>
    <w:rsid w:val="00EE187D"/>
    <w:rsid w:val="00EE1A53"/>
    <w:rsid w:val="00EE6426"/>
    <w:rsid w:val="00EE7C4E"/>
    <w:rsid w:val="00EF3D87"/>
    <w:rsid w:val="00EF3EC4"/>
    <w:rsid w:val="00EF46FE"/>
    <w:rsid w:val="00EF51E2"/>
    <w:rsid w:val="00EF5BCE"/>
    <w:rsid w:val="00EF678A"/>
    <w:rsid w:val="00EF75B8"/>
    <w:rsid w:val="00EF7C77"/>
    <w:rsid w:val="00F03459"/>
    <w:rsid w:val="00F03F16"/>
    <w:rsid w:val="00F0585B"/>
    <w:rsid w:val="00F06B48"/>
    <w:rsid w:val="00F06D27"/>
    <w:rsid w:val="00F0785F"/>
    <w:rsid w:val="00F07E3D"/>
    <w:rsid w:val="00F10AE4"/>
    <w:rsid w:val="00F12A8E"/>
    <w:rsid w:val="00F16A16"/>
    <w:rsid w:val="00F17617"/>
    <w:rsid w:val="00F176BD"/>
    <w:rsid w:val="00F21BAA"/>
    <w:rsid w:val="00F2238A"/>
    <w:rsid w:val="00F25E93"/>
    <w:rsid w:val="00F278B9"/>
    <w:rsid w:val="00F27CCA"/>
    <w:rsid w:val="00F30139"/>
    <w:rsid w:val="00F31CDC"/>
    <w:rsid w:val="00F332B3"/>
    <w:rsid w:val="00F33365"/>
    <w:rsid w:val="00F339C4"/>
    <w:rsid w:val="00F33A79"/>
    <w:rsid w:val="00F355F4"/>
    <w:rsid w:val="00F431CB"/>
    <w:rsid w:val="00F4374A"/>
    <w:rsid w:val="00F52AC6"/>
    <w:rsid w:val="00F53564"/>
    <w:rsid w:val="00F536CF"/>
    <w:rsid w:val="00F54468"/>
    <w:rsid w:val="00F548A8"/>
    <w:rsid w:val="00F56BB1"/>
    <w:rsid w:val="00F609AD"/>
    <w:rsid w:val="00F62614"/>
    <w:rsid w:val="00F667E5"/>
    <w:rsid w:val="00F70F72"/>
    <w:rsid w:val="00F71C1B"/>
    <w:rsid w:val="00F720A5"/>
    <w:rsid w:val="00F72C94"/>
    <w:rsid w:val="00F72D40"/>
    <w:rsid w:val="00F73B35"/>
    <w:rsid w:val="00F74045"/>
    <w:rsid w:val="00F758E3"/>
    <w:rsid w:val="00F762CC"/>
    <w:rsid w:val="00F7733C"/>
    <w:rsid w:val="00F80EF5"/>
    <w:rsid w:val="00F8136D"/>
    <w:rsid w:val="00F8242F"/>
    <w:rsid w:val="00F83CF7"/>
    <w:rsid w:val="00F84AA4"/>
    <w:rsid w:val="00F8594D"/>
    <w:rsid w:val="00F86293"/>
    <w:rsid w:val="00F875EA"/>
    <w:rsid w:val="00F91D0D"/>
    <w:rsid w:val="00F9386B"/>
    <w:rsid w:val="00F94643"/>
    <w:rsid w:val="00F96306"/>
    <w:rsid w:val="00F96C78"/>
    <w:rsid w:val="00FA0585"/>
    <w:rsid w:val="00FA3C56"/>
    <w:rsid w:val="00FA5031"/>
    <w:rsid w:val="00FA6113"/>
    <w:rsid w:val="00FA6191"/>
    <w:rsid w:val="00FA7CB8"/>
    <w:rsid w:val="00FB12C3"/>
    <w:rsid w:val="00FB299D"/>
    <w:rsid w:val="00FB4598"/>
    <w:rsid w:val="00FB5D2B"/>
    <w:rsid w:val="00FC1286"/>
    <w:rsid w:val="00FC1F65"/>
    <w:rsid w:val="00FC2E35"/>
    <w:rsid w:val="00FC36D0"/>
    <w:rsid w:val="00FC3CFA"/>
    <w:rsid w:val="00FC5418"/>
    <w:rsid w:val="00FC6732"/>
    <w:rsid w:val="00FC763E"/>
    <w:rsid w:val="00FD1AB9"/>
    <w:rsid w:val="00FD1BEF"/>
    <w:rsid w:val="00FD22FA"/>
    <w:rsid w:val="00FD302D"/>
    <w:rsid w:val="00FD3BA7"/>
    <w:rsid w:val="00FD45C3"/>
    <w:rsid w:val="00FE6C6C"/>
    <w:rsid w:val="00FE74E3"/>
    <w:rsid w:val="00FF0BA1"/>
    <w:rsid w:val="00FF3ABD"/>
    <w:rsid w:val="00FF6268"/>
    <w:rsid w:val="00FF65A6"/>
    <w:rsid w:val="00FF6CCC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74F7-7643-485D-8AE2-48BEA24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67B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F9"/>
  </w:style>
  <w:style w:type="paragraph" w:styleId="Footer">
    <w:name w:val="footer"/>
    <w:basedOn w:val="Normal"/>
    <w:link w:val="FooterChar"/>
    <w:uiPriority w:val="99"/>
    <w:unhideWhenUsed/>
    <w:rsid w:val="0000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F9"/>
  </w:style>
  <w:style w:type="table" w:styleId="TableGrid">
    <w:name w:val="Table Grid"/>
    <w:basedOn w:val="TableNormal"/>
    <w:rsid w:val="0000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C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B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16"/>
    <w:rPr>
      <w:b/>
      <w:bCs/>
      <w:sz w:val="20"/>
      <w:szCs w:val="20"/>
    </w:rPr>
  </w:style>
  <w:style w:type="numbering" w:customStyle="1" w:styleId="Bezpopisa1">
    <w:name w:val="Bez popisa1"/>
    <w:next w:val="NoList"/>
    <w:uiPriority w:val="99"/>
    <w:semiHidden/>
    <w:unhideWhenUsed/>
    <w:rsid w:val="00954B8C"/>
  </w:style>
  <w:style w:type="paragraph" w:customStyle="1" w:styleId="Default">
    <w:name w:val="Default"/>
    <w:rsid w:val="0095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customStyle="1" w:styleId="bold">
    <w:name w:val="bold"/>
    <w:basedOn w:val="DefaultParagraphFont"/>
    <w:rsid w:val="00954B8C"/>
    <w:rPr>
      <w:b/>
      <w:bCs/>
    </w:rPr>
  </w:style>
  <w:style w:type="character" w:customStyle="1" w:styleId="italic1">
    <w:name w:val="italic1"/>
    <w:basedOn w:val="DefaultParagraphFont"/>
    <w:rsid w:val="00954B8C"/>
    <w:rPr>
      <w:i/>
      <w:iCs/>
    </w:rPr>
  </w:style>
  <w:style w:type="paragraph" w:customStyle="1" w:styleId="ti-section-22">
    <w:name w:val="ti-section-22"/>
    <w:basedOn w:val="Normal"/>
    <w:rsid w:val="00954B8C"/>
    <w:pPr>
      <w:spacing w:before="75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i-art2">
    <w:name w:val="ti-art2"/>
    <w:basedOn w:val="Normal"/>
    <w:rsid w:val="00954B8C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sti-art2">
    <w:name w:val="sti-art2"/>
    <w:basedOn w:val="Normal"/>
    <w:rsid w:val="00954B8C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2">
    <w:name w:val="normal2"/>
    <w:basedOn w:val="Normal"/>
    <w:rsid w:val="00954B8C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54B8C"/>
    <w:rPr>
      <w:strike w:val="0"/>
      <w:dstrike w:val="0"/>
      <w:color w:val="3366CC"/>
      <w:u w:val="none"/>
      <w:effect w:val="none"/>
    </w:rPr>
  </w:style>
  <w:style w:type="character" w:customStyle="1" w:styleId="super">
    <w:name w:val="super"/>
    <w:basedOn w:val="DefaultParagraphFont"/>
    <w:rsid w:val="00954B8C"/>
    <w:rPr>
      <w:sz w:val="17"/>
      <w:szCs w:val="17"/>
      <w:vertAlign w:val="superscript"/>
    </w:rPr>
  </w:style>
  <w:style w:type="paragraph" w:customStyle="1" w:styleId="note2">
    <w:name w:val="note2"/>
    <w:basedOn w:val="Normal"/>
    <w:rsid w:val="00954B8C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paragraph" w:styleId="Revision">
    <w:name w:val="Revision"/>
    <w:hidden/>
    <w:uiPriority w:val="99"/>
    <w:semiHidden/>
    <w:rsid w:val="0095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-ti2">
    <w:name w:val="doc-ti2"/>
    <w:basedOn w:val="Normal"/>
    <w:rsid w:val="00954B8C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1">
    <w:name w:val="Normal1"/>
    <w:basedOn w:val="Normal"/>
    <w:rsid w:val="009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next w:val="NormalWeb"/>
    <w:uiPriority w:val="99"/>
    <w:semiHidden/>
    <w:unhideWhenUsed/>
    <w:rsid w:val="009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54B8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54B8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basedOn w:val="DefaultParagraphFont"/>
    <w:link w:val="BodyText5"/>
    <w:locked/>
    <w:rsid w:val="00954B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"/>
    <w:rsid w:val="00954B8C"/>
    <w:pPr>
      <w:widowControl w:val="0"/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B8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54B8C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59"/>
    <w:rsid w:val="00954B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9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9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954B8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1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0067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2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j-normal">
    <w:name w:val="oj-normal"/>
    <w:basedOn w:val="Normal"/>
    <w:rsid w:val="00F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j-super">
    <w:name w:val="oj-super"/>
    <w:rsid w:val="00FA3C56"/>
  </w:style>
  <w:style w:type="paragraph" w:customStyle="1" w:styleId="oj-ti-art">
    <w:name w:val="oj-ti-art"/>
    <w:basedOn w:val="Normal"/>
    <w:rsid w:val="006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3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0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2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7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98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17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0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7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64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1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40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414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28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06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178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5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1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2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o_x0020_zakona xmlns="b8eef236-1ad4-42b0-8ba3-396be4c59b5d" xsi:nil="true"/>
    <Kategorija xmlns="b8eef236-1ad4-42b0-8ba3-396be4c59b5d" xsi:nil="true"/>
    <Tema xmlns="b8eef236-1ad4-42b0-8ba3-396be4c59b5d" xsi:nil="true"/>
    <Vrsta_x0020_dokumenta xmlns="b8eef236-1ad4-42b0-8ba3-396be4c59b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ravni akt" ma:contentTypeID="0x0101006FE83B677E461A44B2EA29254EC8B6CD00C8A6DB00893F62419E7F901021A9FD26" ma:contentTypeVersion="35" ma:contentTypeDescription="" ma:contentTypeScope="" ma:versionID="618a1353c9683fc4d465fd485d41dce8">
  <xsd:schema xmlns:xsd="http://www.w3.org/2001/XMLSchema" xmlns:xs="http://www.w3.org/2001/XMLSchema" xmlns:p="http://schemas.microsoft.com/office/2006/metadata/properties" xmlns:ns2="b8eef236-1ad4-42b0-8ba3-396be4c59b5d" targetNamespace="http://schemas.microsoft.com/office/2006/metadata/properties" ma:root="true" ma:fieldsID="9e1761702f41e544cb1d4120051bd8bf" ns2:_="">
    <xsd:import namespace="b8eef236-1ad4-42b0-8ba3-396be4c59b5d"/>
    <xsd:element name="properties">
      <xsd:complexType>
        <xsd:sequence>
          <xsd:element name="documentManagement">
            <xsd:complexType>
              <xsd:all>
                <xsd:element ref="ns2:Kategorija" minOccurs="0"/>
                <xsd:element ref="ns2:Vrsta_x0020_dokumenta" minOccurs="0"/>
                <xsd:element ref="ns2:Tema" minOccurs="0"/>
                <xsd:element ref="ns2:Dio_x0020_zako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f236-1ad4-42b0-8ba3-396be4c59b5d" elementFormDefault="qualified">
    <xsd:import namespace="http://schemas.microsoft.com/office/2006/documentManagement/types"/>
    <xsd:import namespace="http://schemas.microsoft.com/office/infopath/2007/PartnerControls"/>
    <xsd:element name="Kategorija" ma:index="8" nillable="true" ma:displayName="Kategorija" ma:format="Dropdown" ma:internalName="Kategorija" ma:readOnly="false">
      <xsd:simpleType>
        <xsd:restriction base="dms:Choice">
          <xsd:enumeration value="Nacrt zakona"/>
          <xsd:enumeration value="Relevantna regulativa"/>
          <xsd:enumeration value="Pomoćni dokumenti"/>
          <xsd:enumeration value="Ostalo"/>
        </xsd:restriction>
      </xsd:simpleType>
    </xsd:element>
    <xsd:element name="Vrsta_x0020_dokumenta" ma:index="9" nillable="true" ma:displayName="Vrsta dokumenta" ma:format="Dropdown" ma:internalName="Vrsta_x0020_dokumenta" ma:readOnly="false">
      <xsd:simpleType>
        <xsd:restriction base="dms:Choice">
          <xsd:enumeration value="HR Zakon"/>
          <xsd:enumeration value="HR Pravilnik"/>
          <xsd:enumeration value="EU Direktiva"/>
          <xsd:enumeration value="EU Uredbe"/>
          <xsd:enumeration value="ESMA Smjernica"/>
          <xsd:enumeration value="RTS_ITS draft"/>
        </xsd:restriction>
      </xsd:simpleType>
    </xsd:element>
    <xsd:element name="Tema" ma:index="10" nillable="true" ma:displayName="Tema" ma:format="Dropdown" ma:internalName="Tema" ma:readOnly="false">
      <xsd:simpleType>
        <xsd:restriction base="dms:Choice">
          <xsd:enumeration value="Investicijska društva"/>
          <xsd:enumeration value="Uređena tržišta"/>
          <xsd:enumeration value="Sektor za tržište kapitala"/>
          <xsd:enumeration value="Sektor za investicijska društva"/>
          <xsd:enumeration value="Zajednički"/>
        </xsd:restriction>
      </xsd:simpleType>
    </xsd:element>
    <xsd:element name="Dio_x0020_zakona" ma:index="11" nillable="true" ma:displayName="Dio zakona" ma:description="Dio zakona na koji se dokument odnosi" ma:format="Dropdown" ma:internalName="Dio_x0020_zakona" ma:readOnly="false">
      <xsd:simpleType>
        <xsd:restriction base="dms:Choice">
          <xsd:enumeration value="Opći dio"/>
          <xsd:enumeration value="Investicijska društva"/>
          <xsd:enumeration value="Uređeno tržište"/>
          <xsd:enumeration value="Prospekt"/>
          <xsd:enumeration value="Transparentnost"/>
          <xsd:enumeration value="Zlouporaba tržišta"/>
          <xsd:enumeration value="Suradnja s nadležnim tijelima"/>
          <xsd:enumeration value="Prekršajne odred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D1D6-5BE6-466C-9A82-31E3321C1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668DD-4535-46D5-B32D-B7C69A4476FA}">
  <ds:schemaRefs>
    <ds:schemaRef ds:uri="http://schemas.microsoft.com/office/2006/metadata/properties"/>
    <ds:schemaRef ds:uri="http://schemas.microsoft.com/office/infopath/2007/PartnerControls"/>
    <ds:schemaRef ds:uri="b8eef236-1ad4-42b0-8ba3-396be4c59b5d"/>
  </ds:schemaRefs>
</ds:datastoreItem>
</file>

<file path=customXml/itemProps3.xml><?xml version="1.0" encoding="utf-8"?>
<ds:datastoreItem xmlns:ds="http://schemas.openxmlformats.org/officeDocument/2006/customXml" ds:itemID="{8A88DECE-D966-471F-958E-62A5E6EC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f236-1ad4-42b0-8ba3-396be4c59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083BE-5701-405C-812D-053F2EF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16789</Words>
  <Characters>95703</Characters>
  <Application>Microsoft Office Word</Application>
  <DocSecurity>0</DocSecurity>
  <Lines>797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Sunčica Marini</cp:lastModifiedBy>
  <cp:revision>2</cp:revision>
  <cp:lastPrinted>2022-04-01T14:03:00Z</cp:lastPrinted>
  <dcterms:created xsi:type="dcterms:W3CDTF">2022-06-02T16:17:00Z</dcterms:created>
  <dcterms:modified xsi:type="dcterms:W3CDTF">2022-06-02T16:17:00Z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0x0101006FE83B677E461A44B2EA29254EC8B6CD00C8A6DB00893F62419E7F901021A9FD26</vt:lpwstr>
  </property>
</Properties>
</file>