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02F2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AB164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41B00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8BB2078" wp14:editId="3DD992B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65CA863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BB4D28D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42FE5D57" w14:textId="42DA86FD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961F0F">
        <w:rPr>
          <w:rFonts w:ascii="Times New Roman" w:hAnsi="Times New Roman" w:cs="Times New Roman"/>
          <w:sz w:val="24"/>
          <w:szCs w:val="24"/>
        </w:rPr>
        <w:t xml:space="preserve">15. lipnja </w:t>
      </w:r>
      <w:bookmarkStart w:id="0" w:name="_GoBack"/>
      <w:bookmarkEnd w:id="0"/>
      <w:r w:rsidR="00560748" w:rsidRPr="00F23A41">
        <w:rPr>
          <w:rFonts w:ascii="Times New Roman" w:hAnsi="Times New Roman" w:cs="Times New Roman"/>
          <w:sz w:val="24"/>
          <w:szCs w:val="24"/>
        </w:rPr>
        <w:t>202</w:t>
      </w:r>
      <w:r w:rsidR="00262B12">
        <w:rPr>
          <w:rFonts w:ascii="Times New Roman" w:hAnsi="Times New Roman" w:cs="Times New Roman"/>
          <w:sz w:val="24"/>
          <w:szCs w:val="24"/>
        </w:rPr>
        <w:t>2</w:t>
      </w:r>
      <w:r w:rsidR="00560748" w:rsidRPr="00F23A41">
        <w:rPr>
          <w:rFonts w:ascii="Times New Roman" w:hAnsi="Times New Roman" w:cs="Times New Roman"/>
          <w:sz w:val="24"/>
          <w:szCs w:val="24"/>
        </w:rPr>
        <w:t>.</w:t>
      </w:r>
    </w:p>
    <w:p w14:paraId="334F9E95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0839B04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13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3FC65281" w14:textId="77777777" w:rsidTr="00040CBF">
        <w:tc>
          <w:tcPr>
            <w:tcW w:w="1942" w:type="dxa"/>
          </w:tcPr>
          <w:p w14:paraId="23DE969C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2D44B451" w14:textId="683DA476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</w:t>
            </w:r>
            <w:r w:rsidR="00F31B80">
              <w:rPr>
                <w:sz w:val="24"/>
                <w:szCs w:val="24"/>
              </w:rPr>
              <w:t xml:space="preserve"> i održivog razvoja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13265786" w14:textId="77777777" w:rsidTr="00040CBF">
        <w:tc>
          <w:tcPr>
            <w:tcW w:w="1937" w:type="dxa"/>
          </w:tcPr>
          <w:p w14:paraId="3657F8DA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625C89FB" w14:textId="66EEB76B" w:rsidR="00560748" w:rsidRPr="00E14F24" w:rsidRDefault="00560748" w:rsidP="00F62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 w:rsidR="00271ABB">
              <w:rPr>
                <w:sz w:val="24"/>
                <w:szCs w:val="24"/>
              </w:rPr>
              <w:t>o</w:t>
            </w:r>
            <w:r w:rsidR="00F23A41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 xml:space="preserve">o </w:t>
            </w:r>
            <w:r w:rsidR="00CC06B8" w:rsidRPr="00CC06B8">
              <w:rPr>
                <w:sz w:val="24"/>
                <w:szCs w:val="24"/>
              </w:rPr>
              <w:t>usvajanju Izmjen</w:t>
            </w:r>
            <w:r w:rsidR="005466CB">
              <w:rPr>
                <w:sz w:val="24"/>
                <w:szCs w:val="24"/>
              </w:rPr>
              <w:t>e</w:t>
            </w:r>
            <w:r w:rsidR="00383F00">
              <w:rPr>
                <w:sz w:val="24"/>
                <w:szCs w:val="24"/>
              </w:rPr>
              <w:t xml:space="preserve"> </w:t>
            </w:r>
            <w:r w:rsidR="001065D7">
              <w:t xml:space="preserve"> </w:t>
            </w:r>
            <w:r w:rsidR="001065D7" w:rsidRPr="001065D7">
              <w:rPr>
                <w:sz w:val="24"/>
                <w:szCs w:val="24"/>
              </w:rPr>
              <w:t xml:space="preserve">Programa "Mikro i mali zajmovi za ruralni razvoj" </w:t>
            </w:r>
          </w:p>
        </w:tc>
      </w:tr>
    </w:tbl>
    <w:p w14:paraId="40F87464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695E976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02A1223" w14:textId="09BF55C8" w:rsidR="00CB44D7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067A05" w14:textId="77777777" w:rsidR="00CB44D7" w:rsidRPr="004C2A12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83D939" w14:textId="1D68C033" w:rsidR="00CC06B8" w:rsidRDefault="00CC06B8" w:rsidP="005466CB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2. Zakona o Vladi Republike Hrvatske (Narodne novine, br. 150/11, 119/14, 93/16 i 116/18) i članka 9. stavka 1. Zakona o poticanju razvoja malog gospodarstva (Narodne novine, br. 29/02, 63/07, 53/12, 56/13 i 121/16), Vlada Republike Hrvatske je na sjednici održanoj </w:t>
      </w:r>
      <w:r w:rsidR="009206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="00546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62B1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466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 </w:t>
      </w:r>
    </w:p>
    <w:p w14:paraId="05313D85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1DAAD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F0400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12495616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3F9D78" w14:textId="6EFF7276" w:rsidR="00361584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usvajanju Izmjen</w:t>
      </w:r>
      <w:r w:rsidR="00546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0F68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</w:t>
      </w:r>
      <w:r w:rsidR="001065D7" w:rsidRPr="001065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"Mikro i mali zajmovi za ruralni razvoj" </w:t>
      </w:r>
    </w:p>
    <w:p w14:paraId="33FAE6F7" w14:textId="56EA7A30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5E6631" w14:textId="77777777" w:rsidR="005466CB" w:rsidRDefault="005466CB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7B687F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864B704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D66ABD" w14:textId="1EC9C488" w:rsidR="0078645C" w:rsidRDefault="0078645C" w:rsidP="0078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95BFB7" w14:textId="18C6AADF" w:rsidR="0078645C" w:rsidRPr="00CF3298" w:rsidRDefault="00CF3298" w:rsidP="005466CB">
      <w:pPr>
        <w:pStyle w:val="box463034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  <w:r w:rsidRPr="00CF3298">
        <w:rPr>
          <w:lang w:val="hr-HR" w:eastAsia="hr-HR"/>
        </w:rPr>
        <w:t>Usvaja</w:t>
      </w:r>
      <w:r w:rsidR="00DA7D97">
        <w:rPr>
          <w:lang w:val="hr-HR" w:eastAsia="hr-HR"/>
        </w:rPr>
        <w:t xml:space="preserve"> se Izmjena</w:t>
      </w:r>
      <w:r w:rsidRPr="00CF3298">
        <w:rPr>
          <w:lang w:val="hr-HR" w:eastAsia="hr-HR"/>
        </w:rPr>
        <w:t xml:space="preserve"> </w:t>
      </w:r>
      <w:r w:rsidR="00361584" w:rsidRPr="00361584">
        <w:rPr>
          <w:color w:val="231F20"/>
          <w:lang w:val="hr-HR"/>
        </w:rPr>
        <w:t>Programa "Mikro i mali zajmovi za ruralni razvoj" (Narodne novine, br. 57/18</w:t>
      </w:r>
      <w:r w:rsidR="009206B7">
        <w:rPr>
          <w:color w:val="231F20"/>
          <w:lang w:val="hr-HR"/>
        </w:rPr>
        <w:t>,</w:t>
      </w:r>
      <w:r w:rsidR="00361584" w:rsidRPr="00361584">
        <w:rPr>
          <w:color w:val="231F20"/>
          <w:lang w:val="hr-HR"/>
        </w:rPr>
        <w:t xml:space="preserve"> </w:t>
      </w:r>
      <w:r w:rsidR="00361584" w:rsidRPr="00AD11D0">
        <w:rPr>
          <w:color w:val="231F20"/>
          <w:lang w:val="hr-HR"/>
        </w:rPr>
        <w:t>41/20</w:t>
      </w:r>
      <w:r w:rsidR="00AD11D0" w:rsidRPr="00AD11D0">
        <w:rPr>
          <w:color w:val="231F20"/>
          <w:lang w:val="hr-HR"/>
        </w:rPr>
        <w:t xml:space="preserve">, </w:t>
      </w:r>
      <w:r w:rsidR="009206B7" w:rsidRPr="00AD11D0">
        <w:rPr>
          <w:color w:val="231F20"/>
          <w:lang w:val="hr-HR"/>
        </w:rPr>
        <w:t>133/20</w:t>
      </w:r>
      <w:r w:rsidR="00AD11D0" w:rsidRPr="00AD11D0">
        <w:rPr>
          <w:color w:val="231F20"/>
          <w:lang w:val="hr-HR"/>
        </w:rPr>
        <w:t xml:space="preserve"> i 97/21</w:t>
      </w:r>
      <w:r w:rsidR="00361584" w:rsidRPr="00AD11D0">
        <w:rPr>
          <w:color w:val="231F20"/>
          <w:lang w:val="hr-HR"/>
        </w:rPr>
        <w:t>).</w:t>
      </w:r>
    </w:p>
    <w:p w14:paraId="65BD8D23" w14:textId="77777777" w:rsidR="00CC06B8" w:rsidRPr="005C6C67" w:rsidRDefault="00CC06B8" w:rsidP="00CC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C60C4" w14:textId="6A3E13C8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F6269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F6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iz stavka 1. ove točke sastavn</w:t>
      </w:r>
      <w:r w:rsidR="0078645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0B64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28790C0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E632C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76BF5C88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AB818" w14:textId="0A50B0FD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Zahtjevi prema Program</w:t>
      </w:r>
      <w:r w:rsidR="00A8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točke I. ove Odluke zaprimljeni do dana </w:t>
      </w:r>
      <w:r w:rsidR="00F62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stupanja na snagu ove Odluke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obradit će se po uvjetima iz Programa koji su bili na snazi na dan njihova zaprimanja.</w:t>
      </w:r>
    </w:p>
    <w:p w14:paraId="17454A43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83EA223" w14:textId="197B943A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786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75DF0296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732796" w14:textId="77777777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donošenja, a objavit će se u Narodnim novinama.</w:t>
      </w:r>
    </w:p>
    <w:p w14:paraId="25DBF3C4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237F99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6E2B87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62CAB92B" w14:textId="24DFFDC0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40167CC0" w14:textId="39BCAEF6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90EBB6" w14:textId="50AF5E83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C9A6AC" w14:textId="3D0C0195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A57697" w14:textId="36C340F1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9F3F54" w14:textId="77777777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C6FE2F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151226A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614C0C" w14:textId="72AF19CF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Andrej Plenković</w:t>
      </w:r>
    </w:p>
    <w:p w14:paraId="427E0845" w14:textId="274D7B4B" w:rsidR="00224211" w:rsidRDefault="00224211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27FB6CC" w14:textId="5894A60C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9B2F073" w14:textId="40BF60AA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8EC4163" w14:textId="6A952E75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82420E2" w14:textId="1D0E6AE6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27C981" w14:textId="11DDAFB1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A9D8C5" w14:textId="77777777" w:rsidR="00B105C3" w:rsidRDefault="00B105C3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7AA71A2" w14:textId="33600915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F099F5" w14:textId="6ED18EC1" w:rsidR="005C6C67" w:rsidRDefault="00361584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6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IZMJENA PROGRAMA "MIKRO I MALI ZAJMOVI ZA RURALNI RAZVOJ" </w:t>
      </w:r>
    </w:p>
    <w:p w14:paraId="2640DC4A" w14:textId="77777777" w:rsidR="00361584" w:rsidRDefault="00361584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0B0DA02" w14:textId="51C6C4CB" w:rsidR="00361584" w:rsidRDefault="00361584" w:rsidP="00361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1" w:name="_Hlk572070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Programu "Mikro i mali zajmovi za ruralni razvoj</w:t>
      </w:r>
      <w:bookmarkStart w:id="2" w:name="_Hlk5720539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"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(Narodne novine, br. 57/18</w:t>
      </w:r>
      <w:r w:rsidR="00920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87018C">
        <w:t xml:space="preserve"> </w:t>
      </w:r>
      <w:r w:rsidRPr="00870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41/20</w:t>
      </w:r>
      <w:r w:rsidR="00515D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920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133/20</w:t>
      </w:r>
      <w:r w:rsidR="00515D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97/21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</w:t>
      </w:r>
      <w:r w:rsidR="00920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</w:t>
      </w:r>
      <w:r w:rsidR="00515D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920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</w:t>
      </w:r>
      <w:r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"</w:t>
      </w:r>
      <w:r w:rsidR="009206B7" w:rsidRPr="009206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UVJETI DEFINIRANI PROGRAMOM</w:t>
      </w:r>
      <w:r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</w:t>
      </w:r>
      <w:r w:rsidR="007273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15D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mijenja se i glasi</w:t>
      </w:r>
      <w:r w:rsidR="00BB28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bookmarkEnd w:id="2"/>
    <w:p w14:paraId="09A3550C" w14:textId="77777777" w:rsidR="005C6C67" w:rsidRDefault="005C6C67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tbl>
      <w:tblPr>
        <w:tblW w:w="10743" w:type="dxa"/>
        <w:tblCellSpacing w:w="15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804"/>
        <w:gridCol w:w="2804"/>
        <w:gridCol w:w="2977"/>
      </w:tblGrid>
      <w:tr w:rsidR="005A29DE" w14:paraId="5A376D26" w14:textId="77777777" w:rsidTr="000B077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7154671" w14:textId="77777777" w:rsidR="005A29DE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Značajka/Proizvod (financijski instrument)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63C18FE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Mali zajam za ruralni razvoj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A97AE1A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Mikro zajam za ruralni razvoj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7FEEF85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Mikro zajam za obrtna sredstva za ruralni razvoj</w:t>
            </w:r>
          </w:p>
        </w:tc>
      </w:tr>
      <w:tr w:rsidR="005A29DE" w14:paraId="30B3807C" w14:textId="77777777" w:rsidTr="000B077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B632E9D" w14:textId="77777777" w:rsidR="005A29DE" w:rsidRPr="00A174DB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1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skupina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6FFEE6A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Mikro, mali i srednji subjekti malog gospodarstva, a prema uvjetima propisanim mjerama PRR-a prihvatljivim za financiranje iz ovog instrumenta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36A26E2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Mikro i mali subjekti malog gospodarstva, a prema uvjetima propisanim mjerama PRR-a prihvatljivim za financiranje iz ovog instrumenta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A6285CA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Mikro i mali subjekti malog gospodarstva, a prema uvjetima propisanim mjerama PRR-a prihvatljivim za financiranje iz ovog instrumenta</w:t>
            </w:r>
          </w:p>
        </w:tc>
      </w:tr>
      <w:tr w:rsidR="005A29DE" w14:paraId="34DE4067" w14:textId="77777777" w:rsidTr="000B077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154D050" w14:textId="77777777" w:rsidR="005A29DE" w:rsidRPr="00A174DB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1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Iznos zajma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DC880E6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 25.000,01 eura do 100.000 eura u kunskoj protuvrijednosti po srednjem tečaju HNB-a na dan podnošenja zahtjeva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005F0DC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 1.000 eura do 25.000 eura u kunskoj protuvrijednosti po srednjem tečaju HNB-a na dan podnošenja zahtjeva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EF62B0C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 1.000 eura do 25.000 eura u kunskoj protuvrijednosti po srednjem tečaju HNB-a na dan podnošenja zahtjeva</w:t>
            </w:r>
          </w:p>
        </w:tc>
      </w:tr>
      <w:tr w:rsidR="005A29DE" w14:paraId="481B5C96" w14:textId="77777777" w:rsidTr="000B077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D598F7A" w14:textId="77777777" w:rsidR="005A29DE" w:rsidRPr="00A174DB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1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Namjena zajma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FE20FE9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osnovna sredstva</w:t>
            </w:r>
          </w:p>
          <w:p w14:paraId="1E89609F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obrtna sredstva do </w:t>
            </w:r>
            <w:proofErr w:type="spellStart"/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30% iznosa zajma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74C7AB9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osnovna sredstva</w:t>
            </w:r>
          </w:p>
          <w:p w14:paraId="6C0CBF34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obrtna sredstva do </w:t>
            </w:r>
            <w:proofErr w:type="spellStart"/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max</w:t>
            </w:r>
            <w:proofErr w:type="spellEnd"/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30% iznosa zajma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0103057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obrtna sredstva </w:t>
            </w:r>
          </w:p>
        </w:tc>
      </w:tr>
      <w:tr w:rsidR="005A29DE" w14:paraId="5A27D021" w14:textId="77777777" w:rsidTr="000B077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CBBBE4F" w14:textId="77777777" w:rsidR="005A29DE" w:rsidRPr="00A174DB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1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Minimalni rok otplate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980B20B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93B2590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D1CEFC8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 mjeseci</w:t>
            </w:r>
          </w:p>
        </w:tc>
      </w:tr>
      <w:tr w:rsidR="005A29DE" w14:paraId="18390538" w14:textId="77777777" w:rsidTr="000B077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4686139" w14:textId="77777777" w:rsidR="005A29DE" w:rsidRPr="00A174DB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1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Maksimalni rok otplate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3669C60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 10 godina uključujući poček, a do 12 godina uključujući poček za ulaganje u nove višegodišnje nasade i  za ulaganja u turizam u ruralnim područjima u jedinicama lokalne i područne (regionalne) samouprave iz I. – IV. skupine prema indeksu razvijenosti. Minimalno 50% investicije mora se izravno odnositi na ulaganje u podizanje višegodišnjih nasada ili u sektor turizma u ruralnim područjima)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289F274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 5 godina uključujući poček, a do 7 godina uključujući poček za ulaganja u turizam u ruralnim područjima u jedinicama lokalne i područne (regionalne) samouprave iz I. – IV. skupine prema indeksu razvijenosti. Minimalno 50% investicije mora se izravno odnositi na ulaganje u sektor turizma u ruralnim područjima)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127356A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godine</w:t>
            </w:r>
          </w:p>
        </w:tc>
      </w:tr>
      <w:tr w:rsidR="005A29DE" w14:paraId="219E2D73" w14:textId="77777777" w:rsidTr="000B077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E89E36C" w14:textId="77777777" w:rsidR="005A29DE" w:rsidRPr="00A174DB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1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Kamatna stopa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AE69B45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0,1% i 0,25%, ovisno o razvijenosti JLS ulaganja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DF9BA1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0,1% i 0,25%, ovisno o razvijenosti JLS ulaganja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C62492E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0,5% </w:t>
            </w:r>
          </w:p>
        </w:tc>
      </w:tr>
      <w:tr w:rsidR="005A29DE" w14:paraId="7F7AF123" w14:textId="77777777" w:rsidTr="000B077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C42500C" w14:textId="77777777" w:rsidR="005A29DE" w:rsidRPr="00A174DB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1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Naknada za obradu zahtjeva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705A9D6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F51498A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0%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C7F01F6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0%</w:t>
            </w:r>
          </w:p>
        </w:tc>
      </w:tr>
      <w:tr w:rsidR="005A29DE" w14:paraId="21D0E644" w14:textId="77777777" w:rsidTr="000B077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A81C374" w14:textId="77777777" w:rsidR="005A29DE" w:rsidRPr="00A174DB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1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Poček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F33F6CE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 12 mjeseci ukoliko je otplata minimalno 2 godine, a do 60 mjeseci za ulaganja u nove višegodišnje nasade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790297C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 12 mjeseci ukoliko je otplata minimalno 2 godine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0943C10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 12 mjeseci ukoliko je otplata minimalno 2 godine</w:t>
            </w:r>
          </w:p>
        </w:tc>
      </w:tr>
      <w:tr w:rsidR="005A29DE" w14:paraId="639FF84B" w14:textId="77777777" w:rsidTr="000B077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61E77DF" w14:textId="77777777" w:rsidR="005A29DE" w:rsidRPr="00A174DB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1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Instrumenti osiguranja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9E9968E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Zadužnice, ostali instrumenti osiguranja prema procjeni rizika</w:t>
            </w:r>
          </w:p>
        </w:tc>
        <w:tc>
          <w:tcPr>
            <w:tcW w:w="27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14198AE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Zadužnice, ostali instrumenti osiguranja prema procjeni rizika</w:t>
            </w:r>
          </w:p>
        </w:tc>
        <w:tc>
          <w:tcPr>
            <w:tcW w:w="2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C8B35E8" w14:textId="77777777" w:rsidR="005A29DE" w:rsidRPr="006A0A51" w:rsidRDefault="005A29DE" w:rsidP="000B0776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A0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Zadužnice, ostali instrumenti osiguranja prema procjeni rizika</w:t>
            </w:r>
          </w:p>
        </w:tc>
      </w:tr>
    </w:tbl>
    <w:p w14:paraId="0F95DDB3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2AE762" w14:textId="21129915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1877F09" w14:textId="77777777" w:rsidR="007F1657" w:rsidRDefault="007F1657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4F0209F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OBRAZLOŽENJE</w:t>
      </w:r>
    </w:p>
    <w:p w14:paraId="0B202A77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15A8EFB" w14:textId="77777777" w:rsidR="00202AD2" w:rsidRPr="009206B7" w:rsidRDefault="00202AD2" w:rsidP="009206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3" w:name="_Hlk77658802"/>
    </w:p>
    <w:p w14:paraId="1C103228" w14:textId="55747FC9" w:rsidR="005645B0" w:rsidRDefault="009206B7" w:rsidP="009206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Osluškujući potrebe </w:t>
      </w:r>
      <w:r w:rsidR="004A240C"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potencijalnih korisnika/krajnjih primatelja</w:t>
      </w:r>
      <w:r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Ministarstvo poljoprivrede je, u suradnji s HAMAG-BICRO-om i Agencijom za plaćanja u poljoprivredi, ribarstvu i ruralnom razvoju, izmijenilo Sporazum o financiranju na način </w:t>
      </w:r>
      <w:r w:rsidR="005645B0"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se rok otplate</w:t>
      </w:r>
      <w:r w:rsidR="00757A99"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zajma</w:t>
      </w:r>
      <w:r w:rsidR="005645B0"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Mikro investicijske zajmove produljio s dosadašnjih 5 godina na novi rok do 7 godina te za Male investicijske zajmove </w:t>
      </w:r>
      <w:r w:rsidR="00CD4881"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dosadašnjih 10 godina na novi rok do 12 godina uz poček </w:t>
      </w:r>
      <w:r w:rsidR="00FA203D"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otplati</w:t>
      </w:r>
      <w:r w:rsidR="00CD4881"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</w:t>
      </w:r>
      <w:r w:rsidR="007F1657"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 godina</w:t>
      </w:r>
      <w:r w:rsidR="00CD4881"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kod Malih investicijskih zajmova. </w:t>
      </w:r>
    </w:p>
    <w:p w14:paraId="71572A8B" w14:textId="77777777" w:rsidR="002C3E20" w:rsidRPr="000F67CB" w:rsidRDefault="002C3E20" w:rsidP="009206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27A370" w14:textId="0ADA1A7E" w:rsidR="00CD4881" w:rsidRPr="000F67CB" w:rsidRDefault="00CD4881" w:rsidP="009206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Dulj</w:t>
      </w:r>
      <w:r w:rsidR="005962A6"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rokovi otplate odnose se na ulaganja u podizanje višegodišnjih nasada te ulaganja u ruralni turizam u jedinicama lokalne samouprave iz I.-IV. skupine prema indeksu razvijenosti. </w:t>
      </w:r>
    </w:p>
    <w:p w14:paraId="32C36552" w14:textId="7233DD7A" w:rsidR="005962A6" w:rsidRPr="000F67CB" w:rsidRDefault="005962A6" w:rsidP="009206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Poček do </w:t>
      </w:r>
      <w:r w:rsidR="001B4FC5"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 godina</w:t>
      </w:r>
      <w:r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kod Malih investicijskih zajmova odnosi na ulaganja u podizanje </w:t>
      </w:r>
      <w:r w:rsidR="00FA203D"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višegodišnjih</w:t>
      </w:r>
      <w:r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nasada</w:t>
      </w:r>
      <w:r w:rsidR="00FA203D"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kako bi </w:t>
      </w:r>
      <w:r w:rsidR="000F67CB"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FA203D"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početak otplate zajma uskladio s početkom ostvarivanja prihoda od trajnog nasada. </w:t>
      </w:r>
    </w:p>
    <w:p w14:paraId="04383B24" w14:textId="2B75C9C0" w:rsidR="005645B0" w:rsidRPr="000F67CB" w:rsidRDefault="005645B0" w:rsidP="009206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C98604" w14:textId="2EADBD7C" w:rsidR="00FA203D" w:rsidRDefault="00FA203D" w:rsidP="009206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F67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izmjenom nastoji se povećati ulaganja u ruralni turizam u slabije razvijenim jedinicama lokalne i regionalne samouprave te povećati ulaganje u sektor „Voćarstvo i maslinarstvo“. Temeljem podataka o provedbi FI, 2% od ukupno isplaćenih sredstava odnosi se na sektor voćarstva i maslinarstva.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A4B15A3" w14:textId="0D89F505" w:rsidR="007E1570" w:rsidRDefault="007E1570" w:rsidP="009206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78B683" w14:textId="6F4F82A4" w:rsidR="00967F7C" w:rsidRPr="00967F7C" w:rsidRDefault="00967F7C" w:rsidP="00967F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Pr="00967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orisnik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967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/krajnj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</w:t>
      </w:r>
      <w:r w:rsidRPr="00967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primatelj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967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Pr="00967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ajam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967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odobr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ava</w:t>
      </w:r>
      <w:r w:rsidRPr="00967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 povoljnijim uvjetima od tržišnih te se Korisniku zajma isplatom sredstava zajma dodjeljuje potpora male</w:t>
      </w:r>
      <w:r w:rsidR="00622AE3" w:rsidRPr="00622AE3">
        <w:t xml:space="preserve"> </w:t>
      </w:r>
      <w:r w:rsidR="00622AE3">
        <w:rPr>
          <w:rFonts w:ascii="Times New Roman" w:hAnsi="Times New Roman" w:cs="Times New Roman"/>
        </w:rPr>
        <w:t>i</w:t>
      </w:r>
      <w:r w:rsidR="00622AE3">
        <w:t>/</w:t>
      </w:r>
      <w:r w:rsidR="00622AE3" w:rsidRPr="00622A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javna potpora</w:t>
      </w:r>
      <w:r w:rsidRPr="00967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vrijednosti o čemu HAMAG-BICRO Korisniku zajma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šalje </w:t>
      </w:r>
      <w:r w:rsidRPr="00967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posebnu obavijest.</w:t>
      </w:r>
    </w:p>
    <w:p w14:paraId="5FFE6607" w14:textId="72364F8B" w:rsidR="00967F7C" w:rsidRDefault="00967F7C" w:rsidP="00967F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C7765DD" w14:textId="09DEF4C1" w:rsidR="005A29DE" w:rsidRDefault="00967F7C" w:rsidP="00967F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7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Iznos potpore male vrijednosti izračunava se na temelju Uredbe Komisije EU, broj 1407/2013, od 18. prosinca 2013. godine, o primjeni članaka 107. i 108. Ugovora o funkcioniranju Europske unije na de </w:t>
      </w:r>
      <w:proofErr w:type="spellStart"/>
      <w:r w:rsidRPr="00967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minimis</w:t>
      </w:r>
      <w:proofErr w:type="spellEnd"/>
      <w:r w:rsidRPr="00967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potpore</w:t>
      </w:r>
      <w:r w:rsidR="005A29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BD7D4D9" w14:textId="5F0D65CB" w:rsidR="005A29DE" w:rsidRDefault="005A29DE" w:rsidP="00967F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06F4A4" w14:textId="2CD37173" w:rsidR="005A29DE" w:rsidRDefault="005A29DE" w:rsidP="00967F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29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 javne potpore izračunava se na temelju Priloga 2 Uredbe (EU) br. 1305/2013 Europskog parlamenta i Vijeća od 17.prosinca 2013. o potpori ruralnom razvoju iz Europskog poljoprivrednog fonda za ruralni razvoj i stavljanju izvan snage Uredbe Vijeća br. 1698/2005.</w:t>
      </w:r>
    </w:p>
    <w:p w14:paraId="789D3AA3" w14:textId="77777777" w:rsidR="005A29DE" w:rsidRDefault="005A29DE" w:rsidP="00967F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bookmarkEnd w:id="3"/>
    <w:p w14:paraId="0D0B7397" w14:textId="77777777" w:rsidR="003A0492" w:rsidRPr="00740A19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9. stavka 1. Zakona o poticanju razvoja malog gospodarstva (Narodne novine, br. 29/02, 63/07, 53/12, 56/13 i 121/16) Vlada Republike Hrvatske, na prijedlog Ministarstva gospodarstva i održivog razvoja, utvrđuje kriterije i uvjete za davanje jamstava za kredite.</w:t>
      </w:r>
    </w:p>
    <w:p w14:paraId="3375F42E" w14:textId="154CA083" w:rsidR="001F1597" w:rsidRPr="00740A19" w:rsidRDefault="001F1597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805FA6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navedenog, predlaže se donošenje Odluke o usvajanju Izmjena Program "Mikro i mali zajmovi za ruralni razvoj"</w:t>
      </w:r>
      <w:r w:rsidRPr="00740A19">
        <w:t xml:space="preserve"> 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Hrvatske agencije za malo gospodarstvo, inovacije i investicije.</w:t>
      </w:r>
    </w:p>
    <w:p w14:paraId="18E23ADC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F8DA19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C7C781" w14:textId="77777777" w:rsidR="003A0492" w:rsidRDefault="003A0492" w:rsidP="003A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D5EC24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D109E7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2E27D7" w14:textId="39D90623" w:rsidR="00CB44D7" w:rsidRPr="00364721" w:rsidRDefault="00CB44D7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sectPr w:rsidR="00CB44D7" w:rsidRPr="00364721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EEC3" w14:textId="77777777" w:rsidR="00BB3B16" w:rsidRDefault="00BB3B16" w:rsidP="00F23A41">
      <w:pPr>
        <w:spacing w:after="0" w:line="240" w:lineRule="auto"/>
      </w:pPr>
      <w:r>
        <w:separator/>
      </w:r>
    </w:p>
  </w:endnote>
  <w:endnote w:type="continuationSeparator" w:id="0">
    <w:p w14:paraId="04846186" w14:textId="77777777" w:rsidR="00BB3B16" w:rsidRDefault="00BB3B16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8124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5F1FD1F" w14:textId="77777777" w:rsidR="003731FD" w:rsidRPr="00E14F24" w:rsidRDefault="00BB3B16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F51EC" w14:textId="77777777" w:rsidR="00BB3B16" w:rsidRDefault="00BB3B16" w:rsidP="00F23A41">
      <w:pPr>
        <w:spacing w:after="0" w:line="240" w:lineRule="auto"/>
      </w:pPr>
      <w:r>
        <w:separator/>
      </w:r>
    </w:p>
  </w:footnote>
  <w:footnote w:type="continuationSeparator" w:id="0">
    <w:p w14:paraId="2FB047E8" w14:textId="77777777" w:rsidR="00BB3B16" w:rsidRDefault="00BB3B16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0600F"/>
    <w:rsid w:val="00015B47"/>
    <w:rsid w:val="000247A8"/>
    <w:rsid w:val="00086902"/>
    <w:rsid w:val="00095787"/>
    <w:rsid w:val="000B3C44"/>
    <w:rsid w:val="000C7475"/>
    <w:rsid w:val="000F67CB"/>
    <w:rsid w:val="000F689F"/>
    <w:rsid w:val="001065D7"/>
    <w:rsid w:val="001B4FC5"/>
    <w:rsid w:val="001D63A7"/>
    <w:rsid w:val="001F1597"/>
    <w:rsid w:val="001F60DD"/>
    <w:rsid w:val="00202AD2"/>
    <w:rsid w:val="00224211"/>
    <w:rsid w:val="00262B12"/>
    <w:rsid w:val="00271ABB"/>
    <w:rsid w:val="0027360F"/>
    <w:rsid w:val="00290891"/>
    <w:rsid w:val="002C3E20"/>
    <w:rsid w:val="002F4D30"/>
    <w:rsid w:val="003433A7"/>
    <w:rsid w:val="00345F2F"/>
    <w:rsid w:val="00361584"/>
    <w:rsid w:val="0036362A"/>
    <w:rsid w:val="00376F2E"/>
    <w:rsid w:val="00383F00"/>
    <w:rsid w:val="003A0492"/>
    <w:rsid w:val="003A30D3"/>
    <w:rsid w:val="00461F54"/>
    <w:rsid w:val="004A240C"/>
    <w:rsid w:val="004B54FC"/>
    <w:rsid w:val="004C0B43"/>
    <w:rsid w:val="004F3C90"/>
    <w:rsid w:val="004F6703"/>
    <w:rsid w:val="005101FC"/>
    <w:rsid w:val="00512407"/>
    <w:rsid w:val="00515DA7"/>
    <w:rsid w:val="005466CB"/>
    <w:rsid w:val="00560748"/>
    <w:rsid w:val="005645B0"/>
    <w:rsid w:val="0057161B"/>
    <w:rsid w:val="005962A6"/>
    <w:rsid w:val="005A29DE"/>
    <w:rsid w:val="005C6C67"/>
    <w:rsid w:val="005D05F7"/>
    <w:rsid w:val="005F5DC8"/>
    <w:rsid w:val="00622AE3"/>
    <w:rsid w:val="0062537B"/>
    <w:rsid w:val="00656820"/>
    <w:rsid w:val="0068296C"/>
    <w:rsid w:val="006B7D97"/>
    <w:rsid w:val="006D1C7E"/>
    <w:rsid w:val="006D52FE"/>
    <w:rsid w:val="006E4129"/>
    <w:rsid w:val="007001F8"/>
    <w:rsid w:val="007273A8"/>
    <w:rsid w:val="00740A19"/>
    <w:rsid w:val="00757A99"/>
    <w:rsid w:val="007627BC"/>
    <w:rsid w:val="00775603"/>
    <w:rsid w:val="00777894"/>
    <w:rsid w:val="0078645C"/>
    <w:rsid w:val="007D3246"/>
    <w:rsid w:val="007E1570"/>
    <w:rsid w:val="007F1657"/>
    <w:rsid w:val="0080148B"/>
    <w:rsid w:val="00850B64"/>
    <w:rsid w:val="0087018C"/>
    <w:rsid w:val="008867AA"/>
    <w:rsid w:val="008976C8"/>
    <w:rsid w:val="008A505C"/>
    <w:rsid w:val="009206B7"/>
    <w:rsid w:val="00961F0F"/>
    <w:rsid w:val="00967F7C"/>
    <w:rsid w:val="00984EFC"/>
    <w:rsid w:val="00A00F2F"/>
    <w:rsid w:val="00A07485"/>
    <w:rsid w:val="00A80E4C"/>
    <w:rsid w:val="00A823FC"/>
    <w:rsid w:val="00A93952"/>
    <w:rsid w:val="00AB033F"/>
    <w:rsid w:val="00AD11D0"/>
    <w:rsid w:val="00AE431D"/>
    <w:rsid w:val="00B105C3"/>
    <w:rsid w:val="00B15D2D"/>
    <w:rsid w:val="00B936CB"/>
    <w:rsid w:val="00BB2820"/>
    <w:rsid w:val="00BB3B16"/>
    <w:rsid w:val="00BC2311"/>
    <w:rsid w:val="00BE0CA0"/>
    <w:rsid w:val="00C144F1"/>
    <w:rsid w:val="00C15723"/>
    <w:rsid w:val="00C472FE"/>
    <w:rsid w:val="00C76430"/>
    <w:rsid w:val="00CA3BA6"/>
    <w:rsid w:val="00CB44D7"/>
    <w:rsid w:val="00CC06B8"/>
    <w:rsid w:val="00CD4881"/>
    <w:rsid w:val="00CF0459"/>
    <w:rsid w:val="00CF3298"/>
    <w:rsid w:val="00D0151C"/>
    <w:rsid w:val="00D03138"/>
    <w:rsid w:val="00D25A8A"/>
    <w:rsid w:val="00D30769"/>
    <w:rsid w:val="00D566EF"/>
    <w:rsid w:val="00D66ED9"/>
    <w:rsid w:val="00DA7D97"/>
    <w:rsid w:val="00DC1AB2"/>
    <w:rsid w:val="00DC261E"/>
    <w:rsid w:val="00DD638F"/>
    <w:rsid w:val="00DD6AA3"/>
    <w:rsid w:val="00DF7EDD"/>
    <w:rsid w:val="00E135D0"/>
    <w:rsid w:val="00E14CE5"/>
    <w:rsid w:val="00E16A25"/>
    <w:rsid w:val="00E21668"/>
    <w:rsid w:val="00E61117"/>
    <w:rsid w:val="00E755FE"/>
    <w:rsid w:val="00E8666E"/>
    <w:rsid w:val="00E94A96"/>
    <w:rsid w:val="00EC73D6"/>
    <w:rsid w:val="00ED7D5A"/>
    <w:rsid w:val="00EE2993"/>
    <w:rsid w:val="00EE674F"/>
    <w:rsid w:val="00F03889"/>
    <w:rsid w:val="00F038AC"/>
    <w:rsid w:val="00F20466"/>
    <w:rsid w:val="00F23A41"/>
    <w:rsid w:val="00F31B80"/>
    <w:rsid w:val="00F6269B"/>
    <w:rsid w:val="00F91B6D"/>
    <w:rsid w:val="00FA0B51"/>
    <w:rsid w:val="00FA203D"/>
    <w:rsid w:val="00FC6374"/>
    <w:rsid w:val="00FE0BFF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EE1F9"/>
  <w15:docId w15:val="{91A96E89-02A0-4A65-AC6C-9ADD9E9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3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63034">
    <w:name w:val="box_463034"/>
    <w:basedOn w:val="Normal"/>
    <w:rsid w:val="0078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15DA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BB2820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qFormat/>
    <w:rsid w:val="00BB28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,f Char"/>
    <w:basedOn w:val="DefaultParagraphFont"/>
    <w:link w:val="Footnotetext1"/>
    <w:uiPriority w:val="99"/>
    <w:rsid w:val="00BB28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820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B282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B28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AZJMDCZ6QSYZ-1849078857-17148</_dlc_DocId>
    <_dlc_DocIdUrl xmlns="a494813a-d0d8-4dad-94cb-0d196f36ba15">
      <Url>https://ekoordinacije.vlada.hr/koordinacija-gospodarstvo/_layouts/15/DocIdRedir.aspx?ID=AZJMDCZ6QSYZ-1849078857-17148</Url>
      <Description>AZJMDCZ6QSYZ-1849078857-17148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03A6-C0DC-44BA-A0C1-898A4045E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5B311-08D8-4E69-B786-AD010FC3A1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38CC4C-0A4F-4D43-9CDA-FB7C89961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40FD8-4287-4BA8-BD16-42700E7B8951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84FE3250-A635-47EC-9964-C2FC8624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Maja Lebarović</cp:lastModifiedBy>
  <cp:revision>3</cp:revision>
  <cp:lastPrinted>2020-03-16T14:35:00Z</cp:lastPrinted>
  <dcterms:created xsi:type="dcterms:W3CDTF">2022-06-06T08:14:00Z</dcterms:created>
  <dcterms:modified xsi:type="dcterms:W3CDTF">2022-06-06T10:58:00Z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c1f4e400-7512-486c-a23f-d228eee12ca6</vt:lpwstr>
  </property>
</Properties>
</file>