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A6E9D" w14:textId="77777777" w:rsidR="001A37B5" w:rsidRPr="005D72CF" w:rsidRDefault="001A37B5" w:rsidP="001A37B5">
      <w:pPr>
        <w:rPr>
          <w:rFonts w:ascii="Times New Roman" w:hAnsi="Times New Roman" w:cs="Times New Roman"/>
          <w:color w:val="auto"/>
          <w:sz w:val="18"/>
          <w:szCs w:val="18"/>
        </w:rPr>
      </w:pPr>
    </w:p>
    <w:p w14:paraId="45825FCA" w14:textId="77777777" w:rsidR="001A37B5" w:rsidRPr="005D72CF" w:rsidRDefault="001A37B5" w:rsidP="001A37B5">
      <w:pPr>
        <w:rPr>
          <w:rFonts w:ascii="Times New Roman" w:hAnsi="Times New Roman" w:cs="Times New Roman"/>
          <w:b/>
          <w:color w:val="auto"/>
          <w:sz w:val="22"/>
          <w:szCs w:val="22"/>
        </w:rPr>
      </w:pPr>
      <w:r w:rsidRPr="005D72CF">
        <w:rPr>
          <w:rFonts w:ascii="Times New Roman" w:hAnsi="Times New Roman" w:cs="Times New Roman"/>
          <w:color w:val="auto"/>
          <w:sz w:val="22"/>
          <w:szCs w:val="22"/>
          <w:u w:val="single"/>
        </w:rPr>
        <w:fldChar w:fldCharType="begin"/>
      </w:r>
      <w:r w:rsidRPr="005D72CF">
        <w:rPr>
          <w:rFonts w:ascii="Times New Roman" w:hAnsi="Times New Roman" w:cs="Times New Roman"/>
          <w:color w:val="auto"/>
          <w:sz w:val="22"/>
          <w:szCs w:val="22"/>
          <w:u w:val="single"/>
        </w:rPr>
        <w:instrText xml:space="preserve"> INCLUDEPICTURE "http://www.inet.hr/~box/images/grb-rh.gif" \* MERGEFORMATINET </w:instrText>
      </w:r>
      <w:r w:rsidRPr="005D72CF">
        <w:rPr>
          <w:rFonts w:ascii="Times New Roman" w:hAnsi="Times New Roman" w:cs="Times New Roman"/>
          <w:color w:val="auto"/>
          <w:sz w:val="22"/>
          <w:szCs w:val="22"/>
          <w:u w:val="single"/>
        </w:rPr>
        <w:fldChar w:fldCharType="end"/>
      </w:r>
    </w:p>
    <w:p w14:paraId="35A1B1A8" w14:textId="77777777" w:rsidR="001A37B5" w:rsidRPr="005D72CF" w:rsidRDefault="001A37B5" w:rsidP="001A37B5">
      <w:pPr>
        <w:rPr>
          <w:rFonts w:ascii="Times New Roman" w:hAnsi="Times New Roman" w:cs="Times New Roman"/>
          <w:b/>
          <w:color w:val="auto"/>
        </w:rPr>
      </w:pPr>
    </w:p>
    <w:p w14:paraId="17295BBE" w14:textId="77777777" w:rsidR="001A37B5" w:rsidRPr="005D72CF" w:rsidRDefault="001A37B5" w:rsidP="001A37B5">
      <w:pPr>
        <w:spacing w:after="200" w:line="276" w:lineRule="auto"/>
        <w:jc w:val="center"/>
        <w:rPr>
          <w:rFonts w:ascii="Times New Roman" w:eastAsia="Calibri" w:hAnsi="Times New Roman" w:cs="Times New Roman"/>
          <w:color w:val="auto"/>
          <w:sz w:val="22"/>
          <w:szCs w:val="22"/>
          <w:lang w:eastAsia="en-US"/>
        </w:rPr>
      </w:pPr>
      <w:r w:rsidRPr="005D72CF">
        <w:rPr>
          <w:rFonts w:ascii="Times New Roman" w:eastAsia="Calibri" w:hAnsi="Times New Roman" w:cs="Times New Roman"/>
          <w:noProof/>
          <w:color w:val="auto"/>
          <w:sz w:val="22"/>
          <w:szCs w:val="22"/>
        </w:rPr>
        <w:drawing>
          <wp:inline distT="0" distB="0" distL="0" distR="0" wp14:anchorId="1C400FEA" wp14:editId="60AF51EE">
            <wp:extent cx="508000" cy="6858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noFill/>
                    <a:ln>
                      <a:noFill/>
                    </a:ln>
                  </pic:spPr>
                </pic:pic>
              </a:graphicData>
            </a:graphic>
          </wp:inline>
        </w:drawing>
      </w:r>
      <w:r w:rsidRPr="005D72CF">
        <w:rPr>
          <w:rFonts w:ascii="Times New Roman" w:eastAsia="Calibri" w:hAnsi="Times New Roman" w:cs="Times New Roman"/>
          <w:color w:val="auto"/>
          <w:sz w:val="22"/>
          <w:szCs w:val="22"/>
          <w:lang w:eastAsia="en-US"/>
        </w:rPr>
        <w:fldChar w:fldCharType="begin"/>
      </w:r>
      <w:r w:rsidRPr="005D72CF">
        <w:rPr>
          <w:rFonts w:ascii="Times New Roman" w:eastAsia="Calibri" w:hAnsi="Times New Roman" w:cs="Times New Roman"/>
          <w:color w:val="auto"/>
          <w:sz w:val="22"/>
          <w:szCs w:val="22"/>
          <w:lang w:eastAsia="en-US"/>
        </w:rPr>
        <w:instrText xml:space="preserve"> INCLUDEPICTURE "http://www.inet.hr/~box/images/grb-rh.gif" \* MERGEFORMATINET </w:instrText>
      </w:r>
      <w:r w:rsidRPr="005D72CF">
        <w:rPr>
          <w:rFonts w:ascii="Times New Roman" w:eastAsia="Calibri" w:hAnsi="Times New Roman" w:cs="Times New Roman"/>
          <w:color w:val="auto"/>
          <w:sz w:val="22"/>
          <w:szCs w:val="22"/>
          <w:lang w:eastAsia="en-US"/>
        </w:rPr>
        <w:fldChar w:fldCharType="end"/>
      </w:r>
    </w:p>
    <w:p w14:paraId="28B1361B" w14:textId="77777777" w:rsidR="001A37B5" w:rsidRPr="005D72CF" w:rsidRDefault="001A37B5" w:rsidP="001A37B5">
      <w:pPr>
        <w:spacing w:before="60" w:after="1680" w:line="276" w:lineRule="auto"/>
        <w:jc w:val="center"/>
        <w:rPr>
          <w:rFonts w:ascii="Times New Roman" w:eastAsia="Calibri" w:hAnsi="Times New Roman" w:cs="Times New Roman"/>
          <w:color w:val="auto"/>
          <w:sz w:val="28"/>
          <w:szCs w:val="22"/>
          <w:lang w:eastAsia="en-US"/>
        </w:rPr>
      </w:pPr>
      <w:r w:rsidRPr="005D72CF">
        <w:rPr>
          <w:rFonts w:ascii="Times New Roman" w:eastAsia="Calibri" w:hAnsi="Times New Roman" w:cs="Times New Roman"/>
          <w:color w:val="auto"/>
          <w:sz w:val="28"/>
          <w:szCs w:val="22"/>
          <w:lang w:eastAsia="en-US"/>
        </w:rPr>
        <w:t>VLADA REPUBLIKE HRVATSKE</w:t>
      </w:r>
    </w:p>
    <w:p w14:paraId="3175787C" w14:textId="77777777" w:rsidR="001A37B5" w:rsidRPr="005D72CF" w:rsidRDefault="001A37B5" w:rsidP="001A37B5">
      <w:pPr>
        <w:spacing w:after="200" w:line="276" w:lineRule="auto"/>
        <w:jc w:val="right"/>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 xml:space="preserve">Zagreb, </w:t>
      </w:r>
      <w:r w:rsidR="001A0E00">
        <w:rPr>
          <w:rFonts w:ascii="Times New Roman" w:eastAsia="Calibri" w:hAnsi="Times New Roman" w:cs="Times New Roman"/>
          <w:color w:val="auto"/>
          <w:lang w:eastAsia="en-US"/>
        </w:rPr>
        <w:t>30</w:t>
      </w:r>
      <w:r w:rsidRPr="005D72CF">
        <w:rPr>
          <w:rFonts w:ascii="Times New Roman" w:eastAsia="Calibri" w:hAnsi="Times New Roman" w:cs="Times New Roman"/>
          <w:color w:val="auto"/>
          <w:lang w:eastAsia="en-US"/>
        </w:rPr>
        <w:t>. lipnja 2022.</w:t>
      </w:r>
    </w:p>
    <w:p w14:paraId="029BFC40" w14:textId="77777777" w:rsidR="001A37B5" w:rsidRPr="005D72CF" w:rsidRDefault="001A37B5" w:rsidP="001A37B5">
      <w:pPr>
        <w:spacing w:after="200" w:line="276" w:lineRule="auto"/>
        <w:jc w:val="right"/>
        <w:rPr>
          <w:rFonts w:ascii="Times New Roman" w:eastAsia="Calibri" w:hAnsi="Times New Roman" w:cs="Times New Roman"/>
          <w:color w:val="auto"/>
          <w:lang w:eastAsia="en-US"/>
        </w:rPr>
      </w:pPr>
    </w:p>
    <w:p w14:paraId="3528D680" w14:textId="77777777" w:rsidR="001A37B5" w:rsidRPr="005D72CF" w:rsidRDefault="001A37B5" w:rsidP="001A37B5">
      <w:pPr>
        <w:spacing w:after="200" w:line="276" w:lineRule="auto"/>
        <w:jc w:val="right"/>
        <w:rPr>
          <w:rFonts w:ascii="Times New Roman" w:eastAsia="Calibri" w:hAnsi="Times New Roman" w:cs="Times New Roman"/>
          <w:color w:val="auto"/>
          <w:lang w:eastAsia="en-US"/>
        </w:rPr>
      </w:pPr>
    </w:p>
    <w:p w14:paraId="7AB9CFA1" w14:textId="77777777" w:rsidR="001A37B5" w:rsidRPr="005D72CF" w:rsidRDefault="001A37B5" w:rsidP="001A37B5">
      <w:pPr>
        <w:spacing w:after="200" w:line="276" w:lineRule="auto"/>
        <w:jc w:val="right"/>
        <w:rPr>
          <w:rFonts w:ascii="Times New Roman" w:eastAsia="Calibri" w:hAnsi="Times New Roman" w:cs="Times New Roman"/>
          <w:color w:val="auto"/>
          <w:lang w:eastAsia="en-US"/>
        </w:rPr>
      </w:pPr>
    </w:p>
    <w:p w14:paraId="455F503E"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__________________________________________________________________________</w:t>
      </w:r>
    </w:p>
    <w:tbl>
      <w:tblPr>
        <w:tblW w:w="0" w:type="auto"/>
        <w:tblLook w:val="04A0" w:firstRow="1" w:lastRow="0" w:firstColumn="1" w:lastColumn="0" w:noHBand="0" w:noVBand="1"/>
      </w:tblPr>
      <w:tblGrid>
        <w:gridCol w:w="1949"/>
        <w:gridCol w:w="7121"/>
      </w:tblGrid>
      <w:tr w:rsidR="001A37B5" w:rsidRPr="005D72CF" w14:paraId="47DF269F" w14:textId="77777777" w:rsidTr="00065139">
        <w:tc>
          <w:tcPr>
            <w:tcW w:w="1951" w:type="dxa"/>
            <w:shd w:val="clear" w:color="auto" w:fill="auto"/>
          </w:tcPr>
          <w:p w14:paraId="749644FE" w14:textId="77777777" w:rsidR="001A37B5" w:rsidRPr="005D72CF" w:rsidRDefault="001A37B5" w:rsidP="00065139">
            <w:pPr>
              <w:spacing w:after="200" w:line="360" w:lineRule="auto"/>
              <w:rPr>
                <w:rFonts w:ascii="Times New Roman" w:eastAsia="Calibri" w:hAnsi="Times New Roman" w:cs="Times New Roman"/>
                <w:color w:val="auto"/>
                <w:lang w:eastAsia="en-US"/>
              </w:rPr>
            </w:pPr>
            <w:r w:rsidRPr="005D72CF">
              <w:rPr>
                <w:rFonts w:ascii="Times New Roman" w:eastAsia="Calibri" w:hAnsi="Times New Roman" w:cs="Times New Roman"/>
                <w:b/>
                <w:smallCaps/>
                <w:color w:val="auto"/>
                <w:lang w:eastAsia="en-US"/>
              </w:rPr>
              <w:t>Predlagatelj</w:t>
            </w:r>
            <w:r w:rsidRPr="005D72CF">
              <w:rPr>
                <w:rFonts w:ascii="Times New Roman" w:eastAsia="Calibri" w:hAnsi="Times New Roman" w:cs="Times New Roman"/>
                <w:b/>
                <w:color w:val="auto"/>
                <w:lang w:eastAsia="en-US"/>
              </w:rPr>
              <w:t>:</w:t>
            </w:r>
          </w:p>
        </w:tc>
        <w:tc>
          <w:tcPr>
            <w:tcW w:w="7229" w:type="dxa"/>
            <w:shd w:val="clear" w:color="auto" w:fill="auto"/>
          </w:tcPr>
          <w:p w14:paraId="43E1C8BF" w14:textId="77777777" w:rsidR="001A37B5" w:rsidRPr="005D72CF" w:rsidRDefault="001A37B5" w:rsidP="00065139">
            <w:pPr>
              <w:spacing w:after="200" w:line="360" w:lineRule="auto"/>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Ministarstvo poljoprivrede</w:t>
            </w:r>
          </w:p>
        </w:tc>
      </w:tr>
    </w:tbl>
    <w:p w14:paraId="56D9766E"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__________________________________________________________________________</w:t>
      </w:r>
    </w:p>
    <w:tbl>
      <w:tblPr>
        <w:tblW w:w="0" w:type="auto"/>
        <w:tblLook w:val="04A0" w:firstRow="1" w:lastRow="0" w:firstColumn="1" w:lastColumn="0" w:noHBand="0" w:noVBand="1"/>
      </w:tblPr>
      <w:tblGrid>
        <w:gridCol w:w="1940"/>
        <w:gridCol w:w="7130"/>
      </w:tblGrid>
      <w:tr w:rsidR="001A37B5" w:rsidRPr="005D72CF" w14:paraId="2559579E" w14:textId="77777777" w:rsidTr="00065139">
        <w:tc>
          <w:tcPr>
            <w:tcW w:w="1951" w:type="dxa"/>
            <w:shd w:val="clear" w:color="auto" w:fill="auto"/>
          </w:tcPr>
          <w:p w14:paraId="6FA13D8A" w14:textId="77777777" w:rsidR="001A37B5" w:rsidRPr="005D72CF" w:rsidRDefault="001A37B5" w:rsidP="00065139">
            <w:pPr>
              <w:spacing w:after="200" w:line="360" w:lineRule="auto"/>
              <w:rPr>
                <w:rFonts w:ascii="Times New Roman" w:eastAsia="Calibri" w:hAnsi="Times New Roman" w:cs="Times New Roman"/>
                <w:color w:val="auto"/>
                <w:lang w:eastAsia="en-US"/>
              </w:rPr>
            </w:pPr>
            <w:r w:rsidRPr="005D72CF">
              <w:rPr>
                <w:rFonts w:ascii="Times New Roman" w:eastAsia="Calibri" w:hAnsi="Times New Roman" w:cs="Times New Roman"/>
                <w:b/>
                <w:smallCaps/>
                <w:color w:val="auto"/>
                <w:lang w:eastAsia="en-US"/>
              </w:rPr>
              <w:t>Predmet</w:t>
            </w:r>
            <w:r w:rsidRPr="005D72CF">
              <w:rPr>
                <w:rFonts w:ascii="Times New Roman" w:eastAsia="Calibri" w:hAnsi="Times New Roman" w:cs="Times New Roman"/>
                <w:b/>
                <w:color w:val="auto"/>
                <w:lang w:eastAsia="en-US"/>
              </w:rPr>
              <w:t>:</w:t>
            </w:r>
          </w:p>
        </w:tc>
        <w:tc>
          <w:tcPr>
            <w:tcW w:w="7229" w:type="dxa"/>
            <w:shd w:val="clear" w:color="auto" w:fill="auto"/>
          </w:tcPr>
          <w:p w14:paraId="17C2C056" w14:textId="77777777" w:rsidR="001A37B5" w:rsidRPr="005D72CF" w:rsidRDefault="001A37B5" w:rsidP="00065139">
            <w:pPr>
              <w:spacing w:after="200" w:line="360" w:lineRule="auto"/>
              <w:jc w:val="both"/>
              <w:rPr>
                <w:rFonts w:ascii="Times New Roman" w:eastAsia="Calibri" w:hAnsi="Times New Roman" w:cs="Times New Roman"/>
                <w:color w:val="auto"/>
                <w:lang w:eastAsia="en-US"/>
              </w:rPr>
            </w:pPr>
            <w:r w:rsidRPr="005D72CF">
              <w:rPr>
                <w:rFonts w:ascii="Times New Roman" w:hAnsi="Times New Roman" w:cs="Times New Roman"/>
                <w:color w:val="auto"/>
              </w:rPr>
              <w:t>Prijedlog odluke o donošenju izmjena i dopuna Nacionalnog programa pomoći sektoru vina za razdoblje od 2019. do 2023. godine</w:t>
            </w:r>
          </w:p>
        </w:tc>
      </w:tr>
    </w:tbl>
    <w:p w14:paraId="6F8320F6"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__________________________________________________________________________</w:t>
      </w:r>
    </w:p>
    <w:p w14:paraId="14947209"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p>
    <w:p w14:paraId="1DE76FB4"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p>
    <w:p w14:paraId="52B51B37"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p>
    <w:p w14:paraId="08E1EA1F"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p>
    <w:p w14:paraId="5DDF5245" w14:textId="77777777" w:rsidR="001A37B5" w:rsidRPr="005D72CF" w:rsidRDefault="001A37B5" w:rsidP="001A37B5">
      <w:pPr>
        <w:spacing w:after="200" w:line="276" w:lineRule="auto"/>
        <w:jc w:val="both"/>
        <w:rPr>
          <w:rFonts w:ascii="Times New Roman" w:eastAsia="Calibri" w:hAnsi="Times New Roman" w:cs="Times New Roman"/>
          <w:color w:val="auto"/>
          <w:lang w:eastAsia="en-US"/>
        </w:rPr>
      </w:pPr>
    </w:p>
    <w:p w14:paraId="5B6404F2" w14:textId="77777777" w:rsidR="001A37B5" w:rsidRPr="005D72CF" w:rsidRDefault="001A37B5" w:rsidP="001A37B5">
      <w:pPr>
        <w:tabs>
          <w:tab w:val="center" w:pos="4536"/>
          <w:tab w:val="right" w:pos="9072"/>
        </w:tabs>
        <w:rPr>
          <w:rFonts w:ascii="Times New Roman" w:eastAsia="Calibri" w:hAnsi="Times New Roman" w:cs="Times New Roman"/>
          <w:color w:val="auto"/>
          <w:sz w:val="22"/>
          <w:szCs w:val="22"/>
          <w:lang w:eastAsia="en-US"/>
        </w:rPr>
      </w:pPr>
    </w:p>
    <w:p w14:paraId="271E96A0" w14:textId="77777777" w:rsidR="001A37B5" w:rsidRPr="005D72CF" w:rsidRDefault="001A37B5" w:rsidP="001A37B5">
      <w:pPr>
        <w:spacing w:after="200" w:line="276" w:lineRule="auto"/>
        <w:rPr>
          <w:rFonts w:ascii="Times New Roman" w:eastAsia="Calibri" w:hAnsi="Times New Roman" w:cs="Times New Roman"/>
          <w:color w:val="auto"/>
          <w:sz w:val="22"/>
          <w:szCs w:val="22"/>
          <w:lang w:eastAsia="en-US"/>
        </w:rPr>
      </w:pPr>
    </w:p>
    <w:p w14:paraId="5B854261" w14:textId="77777777" w:rsidR="001A37B5" w:rsidRPr="005D72CF" w:rsidRDefault="001A37B5" w:rsidP="001A37B5">
      <w:pPr>
        <w:pBdr>
          <w:top w:val="single" w:sz="4" w:space="1" w:color="404040"/>
        </w:pBdr>
        <w:tabs>
          <w:tab w:val="center" w:pos="4536"/>
          <w:tab w:val="right" w:pos="9072"/>
        </w:tabs>
        <w:autoSpaceDE w:val="0"/>
        <w:autoSpaceDN w:val="0"/>
        <w:adjustRightInd w:val="0"/>
        <w:jc w:val="center"/>
        <w:rPr>
          <w:rFonts w:ascii="Times New Roman" w:eastAsia="Calibri" w:hAnsi="Times New Roman" w:cs="Times New Roman"/>
          <w:color w:val="auto"/>
          <w:spacing w:val="20"/>
          <w:sz w:val="20"/>
          <w:szCs w:val="22"/>
          <w:lang w:eastAsia="en-US"/>
        </w:rPr>
      </w:pPr>
      <w:r w:rsidRPr="005D72CF">
        <w:rPr>
          <w:rFonts w:ascii="Times New Roman" w:eastAsia="Calibri" w:hAnsi="Times New Roman" w:cs="Times New Roman"/>
          <w:color w:val="auto"/>
          <w:spacing w:val="20"/>
          <w:sz w:val="20"/>
          <w:szCs w:val="22"/>
          <w:lang w:eastAsia="en-US"/>
        </w:rPr>
        <w:t>Banski dvori | Trg Sv. Marka 2  | 10000 Zagreb | tel. 01 4569 222 | vlada.gov.hr</w:t>
      </w:r>
    </w:p>
    <w:p w14:paraId="22505D4E" w14:textId="77777777" w:rsidR="001A37B5" w:rsidRPr="005D72CF" w:rsidRDefault="001A37B5" w:rsidP="001A37B5">
      <w:pPr>
        <w:rPr>
          <w:rFonts w:ascii="Times New Roman" w:hAnsi="Times New Roman" w:cs="Times New Roman"/>
          <w:b/>
          <w:color w:val="auto"/>
        </w:rPr>
      </w:pPr>
    </w:p>
    <w:p w14:paraId="0018398E" w14:textId="77777777" w:rsidR="001A37B5" w:rsidRPr="005D72CF" w:rsidRDefault="001A37B5" w:rsidP="001A37B5">
      <w:pPr>
        <w:autoSpaceDE w:val="0"/>
        <w:autoSpaceDN w:val="0"/>
        <w:rPr>
          <w:rFonts w:ascii="Times New Roman" w:eastAsia="Calibri" w:hAnsi="Times New Roman" w:cs="Times New Roman"/>
          <w:color w:val="auto"/>
        </w:rPr>
      </w:pPr>
    </w:p>
    <w:p w14:paraId="3C64A340" w14:textId="77777777" w:rsidR="001A37B5" w:rsidRPr="005D72CF" w:rsidRDefault="001A37B5" w:rsidP="001A37B5">
      <w:pPr>
        <w:rPr>
          <w:rFonts w:ascii="Times New Roman" w:hAnsi="Times New Roman" w:cs="Times New Roman"/>
          <w:color w:val="auto"/>
          <w:u w:val="single"/>
        </w:rPr>
        <w:sectPr w:rsidR="001A37B5" w:rsidRPr="005D72CF" w:rsidSect="001A37B5">
          <w:pgSz w:w="11906" w:h="16838" w:code="9"/>
          <w:pgMar w:top="1418" w:right="1418" w:bottom="1418" w:left="1418" w:header="709" w:footer="709" w:gutter="0"/>
          <w:cols w:space="708"/>
          <w:docGrid w:linePitch="360"/>
        </w:sectPr>
      </w:pPr>
      <w:r w:rsidRPr="005D72CF">
        <w:rPr>
          <w:rFonts w:ascii="Times New Roman" w:eastAsia="Calibri" w:hAnsi="Times New Roman" w:cs="Times New Roman"/>
          <w:color w:val="auto"/>
        </w:rPr>
        <w:br w:type="page"/>
      </w:r>
    </w:p>
    <w:p w14:paraId="31EAD1E8" w14:textId="77777777" w:rsidR="00A65748" w:rsidRDefault="00A65748" w:rsidP="001A37B5">
      <w:pPr>
        <w:autoSpaceDE w:val="0"/>
        <w:autoSpaceDN w:val="0"/>
        <w:jc w:val="right"/>
        <w:rPr>
          <w:rFonts w:ascii="Times New Roman" w:eastAsia="Calibri" w:hAnsi="Times New Roman" w:cs="Times New Roman"/>
          <w:b/>
          <w:i/>
          <w:color w:val="auto"/>
        </w:rPr>
      </w:pPr>
    </w:p>
    <w:p w14:paraId="7BD79D99" w14:textId="47E8329F" w:rsidR="001A37B5" w:rsidRPr="005D72CF" w:rsidRDefault="001A37B5" w:rsidP="001A37B5">
      <w:pPr>
        <w:autoSpaceDE w:val="0"/>
        <w:autoSpaceDN w:val="0"/>
        <w:jc w:val="right"/>
        <w:rPr>
          <w:rFonts w:ascii="Times New Roman" w:eastAsia="Calibri" w:hAnsi="Times New Roman" w:cs="Times New Roman"/>
          <w:b/>
          <w:i/>
          <w:color w:val="auto"/>
        </w:rPr>
      </w:pPr>
      <w:r w:rsidRPr="005D72CF">
        <w:rPr>
          <w:rFonts w:ascii="Times New Roman" w:eastAsia="Calibri" w:hAnsi="Times New Roman" w:cs="Times New Roman"/>
          <w:b/>
          <w:i/>
          <w:color w:val="auto"/>
        </w:rPr>
        <w:t>PRIJEDLOG</w:t>
      </w:r>
    </w:p>
    <w:p w14:paraId="19C5EBC6" w14:textId="77777777" w:rsidR="001A37B5" w:rsidRPr="005D72CF" w:rsidRDefault="001A37B5" w:rsidP="001A37B5">
      <w:pPr>
        <w:autoSpaceDE w:val="0"/>
        <w:autoSpaceDN w:val="0"/>
        <w:adjustRightInd w:val="0"/>
        <w:ind w:firstLine="708"/>
        <w:jc w:val="both"/>
        <w:rPr>
          <w:rFonts w:ascii="Times New Roman" w:hAnsi="Times New Roman" w:cs="Times New Roman"/>
          <w:color w:val="auto"/>
        </w:rPr>
      </w:pPr>
    </w:p>
    <w:p w14:paraId="41E7FD38" w14:textId="77777777" w:rsidR="00A65748" w:rsidRDefault="00A65748" w:rsidP="00A65748">
      <w:pPr>
        <w:autoSpaceDE w:val="0"/>
        <w:autoSpaceDN w:val="0"/>
        <w:adjustRightInd w:val="0"/>
        <w:ind w:firstLine="1416"/>
        <w:jc w:val="both"/>
        <w:rPr>
          <w:rFonts w:ascii="Times New Roman" w:hAnsi="Times New Roman" w:cs="Times New Roman"/>
          <w:color w:val="auto"/>
        </w:rPr>
      </w:pPr>
    </w:p>
    <w:p w14:paraId="4DDBF06E" w14:textId="790EA950" w:rsidR="00A65748" w:rsidRPr="005D72CF" w:rsidRDefault="00A65748" w:rsidP="00A65748">
      <w:pPr>
        <w:autoSpaceDE w:val="0"/>
        <w:autoSpaceDN w:val="0"/>
        <w:adjustRightInd w:val="0"/>
        <w:ind w:firstLine="1416"/>
        <w:jc w:val="both"/>
        <w:rPr>
          <w:rFonts w:ascii="Times New Roman" w:hAnsi="Times New Roman" w:cs="Times New Roman"/>
          <w:color w:val="auto"/>
        </w:rPr>
      </w:pPr>
      <w:r w:rsidRPr="005D72CF">
        <w:rPr>
          <w:rFonts w:ascii="Times New Roman" w:hAnsi="Times New Roman" w:cs="Times New Roman"/>
          <w:color w:val="auto"/>
        </w:rPr>
        <w:t>Na temelju članka 49. stavka 2. Zakona o poljoprivredi (</w:t>
      </w:r>
      <w:r>
        <w:rPr>
          <w:rFonts w:ascii="Times New Roman" w:hAnsi="Times New Roman" w:cs="Times New Roman"/>
          <w:color w:val="auto"/>
        </w:rPr>
        <w:t>„</w:t>
      </w:r>
      <w:r w:rsidRPr="005D72CF">
        <w:rPr>
          <w:rFonts w:ascii="Times New Roman" w:hAnsi="Times New Roman" w:cs="Times New Roman"/>
          <w:color w:val="auto"/>
        </w:rPr>
        <w:t xml:space="preserve">Narodne novine“, br. 118/18., 42/20., 127/20. </w:t>
      </w:r>
      <w:r>
        <w:rPr>
          <w:rFonts w:ascii="Times New Roman" w:hAnsi="Times New Roman" w:cs="Times New Roman"/>
          <w:color w:val="auto"/>
        </w:rPr>
        <w:t xml:space="preserve">– Odluka Ustavnog suda Republike Hrvatske </w:t>
      </w:r>
      <w:r w:rsidRPr="005D72CF">
        <w:rPr>
          <w:rFonts w:ascii="Times New Roman" w:hAnsi="Times New Roman" w:cs="Times New Roman"/>
          <w:color w:val="auto"/>
        </w:rPr>
        <w:t xml:space="preserve">i 52/21.), Vlada Republike Hrvatske je na sjednici održanoj </w:t>
      </w:r>
      <w:r>
        <w:rPr>
          <w:rFonts w:ascii="Times New Roman" w:hAnsi="Times New Roman" w:cs="Times New Roman"/>
          <w:color w:val="auto"/>
        </w:rPr>
        <w:t>__________</w:t>
      </w:r>
      <w:r w:rsidRPr="005D72CF">
        <w:rPr>
          <w:rFonts w:ascii="Times New Roman" w:hAnsi="Times New Roman" w:cs="Times New Roman"/>
          <w:color w:val="auto"/>
        </w:rPr>
        <w:t xml:space="preserve"> 2022. donijela</w:t>
      </w:r>
    </w:p>
    <w:p w14:paraId="09A39371" w14:textId="77777777" w:rsidR="00A65748" w:rsidRPr="005D72CF" w:rsidRDefault="00A65748" w:rsidP="00A65748">
      <w:pPr>
        <w:autoSpaceDE w:val="0"/>
        <w:autoSpaceDN w:val="0"/>
        <w:adjustRightInd w:val="0"/>
        <w:rPr>
          <w:rFonts w:ascii="Times New Roman" w:hAnsi="Times New Roman" w:cs="Times New Roman"/>
          <w:b/>
          <w:bCs/>
          <w:color w:val="auto"/>
        </w:rPr>
      </w:pPr>
    </w:p>
    <w:p w14:paraId="635C039B" w14:textId="77777777" w:rsidR="00A65748" w:rsidRPr="005D72CF" w:rsidRDefault="00A65748" w:rsidP="00A65748">
      <w:pPr>
        <w:autoSpaceDE w:val="0"/>
        <w:autoSpaceDN w:val="0"/>
        <w:adjustRightInd w:val="0"/>
        <w:jc w:val="center"/>
        <w:rPr>
          <w:rFonts w:ascii="Times New Roman" w:hAnsi="Times New Roman" w:cs="Times New Roman"/>
          <w:b/>
          <w:bCs/>
          <w:color w:val="auto"/>
        </w:rPr>
      </w:pPr>
    </w:p>
    <w:p w14:paraId="5C033BEE" w14:textId="77777777" w:rsidR="00A65748" w:rsidRPr="005D72CF" w:rsidRDefault="00A65748" w:rsidP="00A65748">
      <w:pPr>
        <w:jc w:val="center"/>
        <w:rPr>
          <w:rFonts w:ascii="Times New Roman" w:hAnsi="Times New Roman" w:cs="Times New Roman"/>
          <w:b/>
          <w:color w:val="auto"/>
        </w:rPr>
      </w:pPr>
      <w:r w:rsidRPr="005D72CF">
        <w:rPr>
          <w:rFonts w:ascii="Times New Roman" w:hAnsi="Times New Roman" w:cs="Times New Roman"/>
          <w:b/>
          <w:color w:val="auto"/>
        </w:rPr>
        <w:t xml:space="preserve">O D L U K U </w:t>
      </w:r>
    </w:p>
    <w:p w14:paraId="031F0583" w14:textId="77777777" w:rsidR="00A65748" w:rsidRDefault="00A65748" w:rsidP="00A65748">
      <w:pPr>
        <w:autoSpaceDE w:val="0"/>
        <w:autoSpaceDN w:val="0"/>
        <w:adjustRightInd w:val="0"/>
        <w:jc w:val="center"/>
        <w:rPr>
          <w:rFonts w:ascii="Times New Roman" w:hAnsi="Times New Roman" w:cs="Times New Roman"/>
          <w:color w:val="auto"/>
        </w:rPr>
      </w:pPr>
    </w:p>
    <w:p w14:paraId="58232338" w14:textId="77777777" w:rsidR="00A65748" w:rsidRPr="00A11B98" w:rsidRDefault="00A65748" w:rsidP="00A65748">
      <w:pPr>
        <w:autoSpaceDE w:val="0"/>
        <w:autoSpaceDN w:val="0"/>
        <w:adjustRightInd w:val="0"/>
        <w:jc w:val="center"/>
        <w:rPr>
          <w:rFonts w:ascii="Times New Roman" w:hAnsi="Times New Roman" w:cs="Times New Roman"/>
          <w:b/>
          <w:color w:val="auto"/>
        </w:rPr>
      </w:pPr>
      <w:r w:rsidRPr="00A11B98">
        <w:rPr>
          <w:rFonts w:ascii="Times New Roman" w:hAnsi="Times New Roman" w:cs="Times New Roman"/>
          <w:b/>
          <w:color w:val="auto"/>
        </w:rPr>
        <w:t xml:space="preserve">o donošenju Izmjena i dopuna Nacionalnog programa pomoći sektoru vina </w:t>
      </w:r>
    </w:p>
    <w:p w14:paraId="570AF0C3" w14:textId="77777777" w:rsidR="00A65748" w:rsidRPr="00A11B98" w:rsidRDefault="00A65748" w:rsidP="00A65748">
      <w:pPr>
        <w:autoSpaceDE w:val="0"/>
        <w:autoSpaceDN w:val="0"/>
        <w:adjustRightInd w:val="0"/>
        <w:jc w:val="center"/>
        <w:rPr>
          <w:rFonts w:ascii="Times New Roman" w:hAnsi="Times New Roman" w:cs="Times New Roman"/>
          <w:b/>
          <w:bCs/>
          <w:color w:val="auto"/>
        </w:rPr>
      </w:pPr>
      <w:r w:rsidRPr="00A11B98">
        <w:rPr>
          <w:rFonts w:ascii="Times New Roman" w:hAnsi="Times New Roman" w:cs="Times New Roman"/>
          <w:b/>
          <w:color w:val="auto"/>
        </w:rPr>
        <w:t>za razdoblje od 2019. do 2023. godine</w:t>
      </w:r>
    </w:p>
    <w:p w14:paraId="59C35C61" w14:textId="77777777" w:rsidR="00A65748" w:rsidRDefault="00A65748" w:rsidP="00A65748">
      <w:pPr>
        <w:autoSpaceDE w:val="0"/>
        <w:autoSpaceDN w:val="0"/>
        <w:adjustRightInd w:val="0"/>
        <w:jc w:val="center"/>
        <w:rPr>
          <w:rFonts w:ascii="Times New Roman" w:hAnsi="Times New Roman" w:cs="Times New Roman"/>
          <w:b/>
          <w:bCs/>
          <w:color w:val="auto"/>
        </w:rPr>
      </w:pPr>
    </w:p>
    <w:p w14:paraId="36BBD286" w14:textId="77777777" w:rsidR="00A65748" w:rsidRPr="005D72CF" w:rsidRDefault="00A65748" w:rsidP="00A65748">
      <w:pPr>
        <w:autoSpaceDE w:val="0"/>
        <w:autoSpaceDN w:val="0"/>
        <w:adjustRightInd w:val="0"/>
        <w:jc w:val="center"/>
        <w:rPr>
          <w:rFonts w:ascii="Times New Roman" w:hAnsi="Times New Roman" w:cs="Times New Roman"/>
          <w:b/>
          <w:bCs/>
          <w:color w:val="auto"/>
        </w:rPr>
      </w:pPr>
    </w:p>
    <w:p w14:paraId="5E883DFD" w14:textId="77777777" w:rsidR="00A65748" w:rsidRPr="005D72CF" w:rsidRDefault="00A65748" w:rsidP="00A65748">
      <w:pPr>
        <w:autoSpaceDE w:val="0"/>
        <w:autoSpaceDN w:val="0"/>
        <w:adjustRightInd w:val="0"/>
        <w:jc w:val="center"/>
        <w:rPr>
          <w:rFonts w:ascii="Times New Roman" w:hAnsi="Times New Roman" w:cs="Times New Roman"/>
          <w:b/>
          <w:bCs/>
          <w:color w:val="auto"/>
        </w:rPr>
      </w:pPr>
      <w:r w:rsidRPr="005D72CF">
        <w:rPr>
          <w:rFonts w:ascii="Times New Roman" w:hAnsi="Times New Roman" w:cs="Times New Roman"/>
          <w:b/>
          <w:bCs/>
          <w:color w:val="auto"/>
        </w:rPr>
        <w:t>I.</w:t>
      </w:r>
    </w:p>
    <w:p w14:paraId="2BBEEE8D" w14:textId="77777777" w:rsidR="00A65748" w:rsidRPr="005D72CF" w:rsidRDefault="00A65748" w:rsidP="00A65748">
      <w:pPr>
        <w:autoSpaceDE w:val="0"/>
        <w:autoSpaceDN w:val="0"/>
        <w:adjustRightInd w:val="0"/>
        <w:jc w:val="center"/>
        <w:rPr>
          <w:rFonts w:ascii="Times New Roman" w:hAnsi="Times New Roman" w:cs="Times New Roman"/>
          <w:b/>
          <w:bCs/>
          <w:color w:val="auto"/>
        </w:rPr>
      </w:pPr>
    </w:p>
    <w:p w14:paraId="56D25051" w14:textId="77777777" w:rsidR="00A65748" w:rsidRPr="005D72CF" w:rsidRDefault="00A65748" w:rsidP="00A65748">
      <w:pPr>
        <w:ind w:firstLine="1418"/>
        <w:jc w:val="both"/>
        <w:rPr>
          <w:rFonts w:ascii="Times New Roman" w:hAnsi="Times New Roman" w:cs="Times New Roman"/>
          <w:bCs/>
          <w:color w:val="auto"/>
        </w:rPr>
      </w:pPr>
      <w:r w:rsidRPr="005D72CF">
        <w:rPr>
          <w:rFonts w:ascii="Times New Roman" w:hAnsi="Times New Roman" w:cs="Times New Roman"/>
          <w:color w:val="auto"/>
        </w:rPr>
        <w:t xml:space="preserve">Donose se </w:t>
      </w:r>
      <w:r>
        <w:rPr>
          <w:rFonts w:ascii="Times New Roman" w:hAnsi="Times New Roman" w:cs="Times New Roman"/>
          <w:color w:val="auto"/>
        </w:rPr>
        <w:t>I</w:t>
      </w:r>
      <w:r w:rsidRPr="005D72CF">
        <w:rPr>
          <w:rFonts w:ascii="Times New Roman" w:hAnsi="Times New Roman" w:cs="Times New Roman"/>
          <w:color w:val="auto"/>
        </w:rPr>
        <w:t>zmjene i dopune Nacionalnog programa pomoći sektoru vina za razdoblje od 2019. do 2023. godine, u tekstu koji je Vladi Republike Hrvatske dostavilo Ministarstvo poljoprivrede aktom, KLASA:</w:t>
      </w:r>
      <w:r>
        <w:rPr>
          <w:rFonts w:ascii="Times New Roman" w:hAnsi="Times New Roman" w:cs="Times New Roman"/>
          <w:color w:val="auto"/>
        </w:rPr>
        <w:t xml:space="preserve"> 320-14/22-01/4</w:t>
      </w:r>
      <w:r w:rsidRPr="005D72CF">
        <w:rPr>
          <w:rFonts w:ascii="Times New Roman" w:hAnsi="Times New Roman" w:cs="Times New Roman"/>
          <w:color w:val="auto"/>
        </w:rPr>
        <w:t>, URBROJ:</w:t>
      </w:r>
      <w:r>
        <w:rPr>
          <w:rFonts w:ascii="Times New Roman" w:hAnsi="Times New Roman" w:cs="Times New Roman"/>
          <w:color w:val="auto"/>
        </w:rPr>
        <w:t xml:space="preserve"> 525-06/223-22-10,</w:t>
      </w:r>
      <w:r w:rsidRPr="005D72CF">
        <w:rPr>
          <w:rFonts w:ascii="Times New Roman" w:hAnsi="Times New Roman" w:cs="Times New Roman"/>
          <w:color w:val="auto"/>
        </w:rPr>
        <w:t xml:space="preserve"> od </w:t>
      </w:r>
      <w:r>
        <w:rPr>
          <w:rFonts w:ascii="Times New Roman" w:hAnsi="Times New Roman" w:cs="Times New Roman"/>
          <w:bCs/>
          <w:color w:val="auto"/>
        </w:rPr>
        <w:t>13. lipnja</w:t>
      </w:r>
      <w:r w:rsidRPr="005D72CF">
        <w:rPr>
          <w:rFonts w:ascii="Times New Roman" w:hAnsi="Times New Roman" w:cs="Times New Roman"/>
          <w:bCs/>
          <w:color w:val="auto"/>
        </w:rPr>
        <w:t xml:space="preserve"> 2022. </w:t>
      </w:r>
    </w:p>
    <w:p w14:paraId="5D601D00" w14:textId="77777777" w:rsidR="00A65748" w:rsidRPr="005D72CF" w:rsidRDefault="00A65748" w:rsidP="00A65748">
      <w:pPr>
        <w:ind w:firstLine="851"/>
        <w:jc w:val="both"/>
        <w:rPr>
          <w:rFonts w:ascii="Times New Roman" w:hAnsi="Times New Roman" w:cs="Times New Roman"/>
          <w:bCs/>
          <w:color w:val="auto"/>
        </w:rPr>
      </w:pPr>
    </w:p>
    <w:p w14:paraId="4B456037" w14:textId="77777777" w:rsidR="00A65748" w:rsidRPr="005D72CF" w:rsidRDefault="00A65748" w:rsidP="00A65748">
      <w:pPr>
        <w:jc w:val="center"/>
        <w:rPr>
          <w:rFonts w:ascii="Times New Roman" w:hAnsi="Times New Roman" w:cs="Times New Roman"/>
          <w:b/>
          <w:color w:val="auto"/>
        </w:rPr>
      </w:pPr>
      <w:r w:rsidRPr="005D72CF">
        <w:rPr>
          <w:rFonts w:ascii="Times New Roman" w:hAnsi="Times New Roman" w:cs="Times New Roman"/>
          <w:b/>
          <w:color w:val="auto"/>
        </w:rPr>
        <w:t>II.</w:t>
      </w:r>
    </w:p>
    <w:p w14:paraId="3F89084E" w14:textId="77777777" w:rsidR="00A65748" w:rsidRPr="005D72CF" w:rsidRDefault="00A65748" w:rsidP="00A65748">
      <w:pPr>
        <w:jc w:val="center"/>
        <w:rPr>
          <w:rFonts w:ascii="Times New Roman" w:hAnsi="Times New Roman" w:cs="Times New Roman"/>
          <w:b/>
          <w:color w:val="auto"/>
        </w:rPr>
      </w:pPr>
    </w:p>
    <w:p w14:paraId="07106883" w14:textId="77777777" w:rsidR="00A65748" w:rsidRPr="005D72CF" w:rsidRDefault="00A65748" w:rsidP="00A65748">
      <w:pPr>
        <w:ind w:firstLine="1418"/>
        <w:jc w:val="both"/>
        <w:rPr>
          <w:rFonts w:ascii="Times New Roman" w:hAnsi="Times New Roman" w:cs="Times New Roman"/>
          <w:color w:val="auto"/>
        </w:rPr>
      </w:pPr>
      <w:r w:rsidRPr="005D72CF">
        <w:rPr>
          <w:rFonts w:ascii="Times New Roman" w:hAnsi="Times New Roman" w:cs="Times New Roman"/>
          <w:color w:val="auto"/>
        </w:rPr>
        <w:t xml:space="preserve">Izmjenama i dopunama Nacionalnog programa iz točke I. ove Odluke financijski okvir i sredstva predviđena točkom II. Odluke </w:t>
      </w:r>
      <w:r>
        <w:rPr>
          <w:rFonts w:ascii="Times New Roman" w:hAnsi="Times New Roman" w:cs="Times New Roman"/>
          <w:color w:val="auto"/>
        </w:rPr>
        <w:t>o donošenju Izmjena i dopuna Nacionalnog programa pomoći sektoru vina za razdoblje od 2019. do 2023. godine,</w:t>
      </w:r>
      <w:r w:rsidRPr="005D72CF">
        <w:rPr>
          <w:rFonts w:ascii="Times New Roman" w:hAnsi="Times New Roman" w:cs="Times New Roman"/>
          <w:color w:val="auto"/>
        </w:rPr>
        <w:t xml:space="preserve"> KLASA: 022-03/21-04/129, URBROJ: 50301-05/31-21-3</w:t>
      </w:r>
      <w:r>
        <w:rPr>
          <w:rFonts w:ascii="Times New Roman" w:hAnsi="Times New Roman" w:cs="Times New Roman"/>
          <w:color w:val="auto"/>
        </w:rPr>
        <w:t>,</w:t>
      </w:r>
      <w:r w:rsidRPr="005D72CF">
        <w:rPr>
          <w:rFonts w:ascii="Times New Roman" w:hAnsi="Times New Roman" w:cs="Times New Roman"/>
          <w:color w:val="auto"/>
        </w:rPr>
        <w:t xml:space="preserve"> od 29. travnja 2021. se usklađuju i preraspodjeljuju po mjerama u skladu s Prilogom II. Izmjena i dopuna Nacionalnog programa iz točke I. ove Odluke.</w:t>
      </w:r>
    </w:p>
    <w:p w14:paraId="1B862AB5" w14:textId="77777777" w:rsidR="00A65748" w:rsidRPr="005D72CF" w:rsidRDefault="00A65748" w:rsidP="00A65748">
      <w:pPr>
        <w:jc w:val="both"/>
        <w:rPr>
          <w:rFonts w:ascii="Times New Roman" w:eastAsia="Calibri" w:hAnsi="Times New Roman" w:cs="Times New Roman"/>
          <w:color w:val="auto"/>
          <w:lang w:eastAsia="en-US"/>
        </w:rPr>
      </w:pPr>
    </w:p>
    <w:p w14:paraId="05210F50" w14:textId="77777777" w:rsidR="00A65748" w:rsidRPr="005D72CF" w:rsidRDefault="00A65748" w:rsidP="00A65748">
      <w:pPr>
        <w:ind w:firstLine="1418"/>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 xml:space="preserve">Ministarstvo poljoprivrede je osiguralo financijska sredstva u Državnom proračunu Republike Hrvatske za 2022. godinu i projekcijama za 2023. i 2024. godinu u iznosu od 83.190.750,00 kuna godišnje, na proračunskoj poziciji A821058 - ZPP - mjere uređenja tržišta poljoprivrednih proizvoda </w:t>
      </w:r>
      <w:r w:rsidRPr="00DD6FD8">
        <w:rPr>
          <w:rFonts w:ascii="Times New Roman" w:eastAsia="Calibri" w:hAnsi="Times New Roman" w:cs="Times New Roman"/>
          <w:color w:val="auto"/>
          <w:lang w:eastAsia="en-US"/>
        </w:rPr>
        <w:t>sa svrhom provedbe Nacionalnog programa iz točke I. ove Odluke</w:t>
      </w:r>
      <w:r w:rsidRPr="00DD6FD8">
        <w:rPr>
          <w:rFonts w:ascii="Times New Roman" w:eastAsia="Calibri" w:hAnsi="Times New Roman" w:cs="Times New Roman"/>
          <w:bCs/>
          <w:color w:val="auto"/>
          <w:lang w:eastAsia="en-US"/>
        </w:rPr>
        <w:t>.</w:t>
      </w:r>
      <w:r w:rsidRPr="005D72CF">
        <w:rPr>
          <w:rFonts w:ascii="Times New Roman" w:eastAsia="Calibri" w:hAnsi="Times New Roman" w:cs="Times New Roman"/>
          <w:bCs/>
          <w:color w:val="auto"/>
          <w:lang w:eastAsia="en-US"/>
        </w:rPr>
        <w:t xml:space="preserve"> </w:t>
      </w:r>
    </w:p>
    <w:p w14:paraId="60553452" w14:textId="77777777" w:rsidR="00A65748" w:rsidRPr="005D72CF" w:rsidRDefault="00A65748" w:rsidP="00A65748">
      <w:pPr>
        <w:jc w:val="both"/>
        <w:rPr>
          <w:rFonts w:ascii="Times New Roman" w:eastAsia="Calibri" w:hAnsi="Times New Roman" w:cs="Times New Roman"/>
          <w:color w:val="auto"/>
          <w:lang w:eastAsia="en-US"/>
        </w:rPr>
      </w:pPr>
    </w:p>
    <w:p w14:paraId="3FC519D6" w14:textId="77777777" w:rsidR="00A65748" w:rsidRPr="005D72CF" w:rsidRDefault="00A65748" w:rsidP="00A65748">
      <w:pPr>
        <w:autoSpaceDE w:val="0"/>
        <w:autoSpaceDN w:val="0"/>
        <w:adjustRightInd w:val="0"/>
        <w:jc w:val="center"/>
        <w:rPr>
          <w:rFonts w:ascii="Times New Roman" w:hAnsi="Times New Roman" w:cs="Times New Roman"/>
          <w:b/>
          <w:bCs/>
          <w:color w:val="auto"/>
        </w:rPr>
      </w:pPr>
      <w:r w:rsidRPr="005D72CF">
        <w:rPr>
          <w:rFonts w:ascii="Times New Roman" w:hAnsi="Times New Roman" w:cs="Times New Roman"/>
          <w:b/>
          <w:bCs/>
          <w:color w:val="auto"/>
        </w:rPr>
        <w:t>III.</w:t>
      </w:r>
    </w:p>
    <w:p w14:paraId="077CFDBD" w14:textId="77777777" w:rsidR="00A65748" w:rsidRPr="005D72CF" w:rsidRDefault="00A65748" w:rsidP="00A65748">
      <w:pPr>
        <w:autoSpaceDE w:val="0"/>
        <w:autoSpaceDN w:val="0"/>
        <w:adjustRightInd w:val="0"/>
        <w:jc w:val="center"/>
        <w:rPr>
          <w:rFonts w:ascii="Times New Roman" w:hAnsi="Times New Roman" w:cs="Times New Roman"/>
          <w:b/>
          <w:bCs/>
          <w:color w:val="auto"/>
        </w:rPr>
      </w:pPr>
    </w:p>
    <w:p w14:paraId="611EEAB7" w14:textId="77777777" w:rsidR="00A65748" w:rsidRPr="005D72CF" w:rsidRDefault="00A65748" w:rsidP="00A65748">
      <w:pPr>
        <w:autoSpaceDE w:val="0"/>
        <w:autoSpaceDN w:val="0"/>
        <w:adjustRightInd w:val="0"/>
        <w:ind w:firstLine="1418"/>
        <w:jc w:val="both"/>
        <w:rPr>
          <w:rFonts w:ascii="Times New Roman" w:hAnsi="Times New Roman" w:cs="Times New Roman"/>
          <w:color w:val="auto"/>
        </w:rPr>
      </w:pPr>
      <w:r w:rsidRPr="005D72CF">
        <w:rPr>
          <w:rFonts w:ascii="Times New Roman" w:hAnsi="Times New Roman" w:cs="Times New Roman"/>
          <w:color w:val="auto"/>
        </w:rPr>
        <w:t>Zadužuje se Ministarstvo poljoprivrede da o donošenju ove Odluke izvijesti Agenciju za plaćanja u poljoprivredi, ribarstvu i ruralnom razvoju.</w:t>
      </w:r>
    </w:p>
    <w:p w14:paraId="7A1F4B04" w14:textId="77777777" w:rsidR="00A65748" w:rsidRPr="005D72CF" w:rsidRDefault="00A65748" w:rsidP="00A65748">
      <w:pPr>
        <w:autoSpaceDE w:val="0"/>
        <w:autoSpaceDN w:val="0"/>
        <w:adjustRightInd w:val="0"/>
        <w:jc w:val="both"/>
        <w:rPr>
          <w:rFonts w:ascii="Times New Roman" w:hAnsi="Times New Roman" w:cs="Times New Roman"/>
          <w:color w:val="auto"/>
        </w:rPr>
      </w:pPr>
    </w:p>
    <w:p w14:paraId="1D8DBECF" w14:textId="77777777" w:rsidR="00A65748" w:rsidRPr="005D72CF" w:rsidRDefault="00A65748" w:rsidP="00A65748">
      <w:pPr>
        <w:autoSpaceDE w:val="0"/>
        <w:autoSpaceDN w:val="0"/>
        <w:adjustRightInd w:val="0"/>
        <w:jc w:val="center"/>
        <w:rPr>
          <w:rFonts w:ascii="Times New Roman" w:hAnsi="Times New Roman" w:cs="Times New Roman"/>
          <w:b/>
          <w:bCs/>
          <w:color w:val="auto"/>
        </w:rPr>
      </w:pPr>
      <w:r w:rsidRPr="005D72CF">
        <w:rPr>
          <w:rFonts w:ascii="Times New Roman" w:hAnsi="Times New Roman" w:cs="Times New Roman"/>
          <w:b/>
          <w:bCs/>
          <w:color w:val="auto"/>
        </w:rPr>
        <w:t>IV.</w:t>
      </w:r>
    </w:p>
    <w:p w14:paraId="61DDC378" w14:textId="77777777" w:rsidR="00A65748" w:rsidRPr="005D72CF" w:rsidRDefault="00A65748" w:rsidP="00A65748">
      <w:pPr>
        <w:autoSpaceDE w:val="0"/>
        <w:autoSpaceDN w:val="0"/>
        <w:adjustRightInd w:val="0"/>
        <w:jc w:val="center"/>
        <w:rPr>
          <w:rFonts w:ascii="Times New Roman" w:hAnsi="Times New Roman" w:cs="Times New Roman"/>
          <w:b/>
          <w:bCs/>
          <w:color w:val="auto"/>
        </w:rPr>
      </w:pPr>
    </w:p>
    <w:p w14:paraId="13A0BC3F" w14:textId="77777777" w:rsidR="00A65748" w:rsidRPr="005D72CF" w:rsidRDefault="00A65748" w:rsidP="00A65748">
      <w:pPr>
        <w:autoSpaceDE w:val="0"/>
        <w:autoSpaceDN w:val="0"/>
        <w:adjustRightInd w:val="0"/>
        <w:ind w:firstLine="1416"/>
        <w:jc w:val="both"/>
        <w:rPr>
          <w:rFonts w:ascii="Times New Roman" w:hAnsi="Times New Roman" w:cs="Times New Roman"/>
          <w:color w:val="auto"/>
        </w:rPr>
      </w:pPr>
      <w:r w:rsidRPr="005D72CF">
        <w:rPr>
          <w:rFonts w:ascii="Times New Roman" w:hAnsi="Times New Roman" w:cs="Times New Roman"/>
          <w:color w:val="auto"/>
        </w:rPr>
        <w:t xml:space="preserve">Zadužuje se Ministarstvo poljoprivrede da na svojim mrežnim stranicama objavi Izmjene i dopune </w:t>
      </w:r>
      <w:r>
        <w:rPr>
          <w:rFonts w:ascii="Times New Roman" w:hAnsi="Times New Roman" w:cs="Times New Roman"/>
          <w:color w:val="auto"/>
        </w:rPr>
        <w:t>Nacionalnog p</w:t>
      </w:r>
      <w:r w:rsidRPr="005D72CF">
        <w:rPr>
          <w:rFonts w:ascii="Times New Roman" w:hAnsi="Times New Roman" w:cs="Times New Roman"/>
          <w:color w:val="auto"/>
        </w:rPr>
        <w:t>rograma iz točke I. ove Odluke.</w:t>
      </w:r>
    </w:p>
    <w:p w14:paraId="186274B6" w14:textId="77777777" w:rsidR="00A65748" w:rsidRDefault="00A65748" w:rsidP="00A65748">
      <w:pPr>
        <w:jc w:val="center"/>
        <w:rPr>
          <w:rFonts w:ascii="Times New Roman" w:hAnsi="Times New Roman" w:cs="Times New Roman"/>
          <w:color w:val="auto"/>
        </w:rPr>
      </w:pPr>
    </w:p>
    <w:p w14:paraId="142429F6" w14:textId="77777777" w:rsidR="00A65748" w:rsidRPr="005D72CF" w:rsidRDefault="00A65748" w:rsidP="00A65748">
      <w:pPr>
        <w:jc w:val="center"/>
        <w:rPr>
          <w:rFonts w:ascii="Times New Roman" w:hAnsi="Times New Roman" w:cs="Times New Roman"/>
          <w:color w:val="auto"/>
        </w:rPr>
      </w:pPr>
    </w:p>
    <w:p w14:paraId="20149009" w14:textId="77777777" w:rsidR="00A65748" w:rsidRDefault="00A65748" w:rsidP="00A65748">
      <w:pPr>
        <w:jc w:val="center"/>
        <w:rPr>
          <w:rFonts w:ascii="Times New Roman" w:hAnsi="Times New Roman" w:cs="Times New Roman"/>
          <w:b/>
          <w:color w:val="auto"/>
        </w:rPr>
      </w:pPr>
    </w:p>
    <w:p w14:paraId="586EC449" w14:textId="77777777" w:rsidR="00A65748" w:rsidRDefault="00A65748" w:rsidP="00A65748">
      <w:pPr>
        <w:jc w:val="center"/>
        <w:rPr>
          <w:rFonts w:ascii="Times New Roman" w:hAnsi="Times New Roman" w:cs="Times New Roman"/>
          <w:b/>
          <w:color w:val="auto"/>
        </w:rPr>
      </w:pPr>
    </w:p>
    <w:p w14:paraId="6B6CCC58" w14:textId="77777777" w:rsidR="00A65748" w:rsidRDefault="00A65748" w:rsidP="00A65748">
      <w:pPr>
        <w:jc w:val="center"/>
        <w:rPr>
          <w:rFonts w:ascii="Times New Roman" w:hAnsi="Times New Roman" w:cs="Times New Roman"/>
          <w:b/>
          <w:color w:val="auto"/>
        </w:rPr>
      </w:pPr>
    </w:p>
    <w:p w14:paraId="4A6A6C8D" w14:textId="2C6CF7D7" w:rsidR="00A65748" w:rsidRPr="005D72CF" w:rsidRDefault="00A65748" w:rsidP="00A65748">
      <w:pPr>
        <w:jc w:val="center"/>
        <w:rPr>
          <w:rFonts w:ascii="Times New Roman" w:hAnsi="Times New Roman" w:cs="Times New Roman"/>
          <w:b/>
          <w:color w:val="auto"/>
        </w:rPr>
      </w:pPr>
      <w:r w:rsidRPr="005D72CF">
        <w:rPr>
          <w:rFonts w:ascii="Times New Roman" w:hAnsi="Times New Roman" w:cs="Times New Roman"/>
          <w:b/>
          <w:color w:val="auto"/>
        </w:rPr>
        <w:t>V.</w:t>
      </w:r>
    </w:p>
    <w:p w14:paraId="6FD3412D" w14:textId="77777777" w:rsidR="00A65748" w:rsidRPr="005D72CF" w:rsidRDefault="00A65748" w:rsidP="00A65748">
      <w:pPr>
        <w:rPr>
          <w:rFonts w:ascii="Times New Roman" w:hAnsi="Times New Roman" w:cs="Times New Roman"/>
          <w:color w:val="auto"/>
        </w:rPr>
      </w:pPr>
    </w:p>
    <w:p w14:paraId="16784107" w14:textId="77777777" w:rsidR="00A65748" w:rsidRPr="005D72CF" w:rsidRDefault="00A65748" w:rsidP="00A65748">
      <w:pPr>
        <w:ind w:left="708" w:firstLine="1"/>
        <w:rPr>
          <w:rFonts w:ascii="Times New Roman" w:hAnsi="Times New Roman" w:cs="Times New Roman"/>
          <w:color w:val="auto"/>
        </w:rPr>
      </w:pPr>
      <w:r w:rsidRPr="005D72CF">
        <w:rPr>
          <w:rFonts w:ascii="Times New Roman" w:hAnsi="Times New Roman" w:cs="Times New Roman"/>
          <w:color w:val="auto"/>
        </w:rPr>
        <w:t xml:space="preserve">Ova Odluka stupa na snagu danom donošenja. </w:t>
      </w:r>
    </w:p>
    <w:p w14:paraId="1E636FC1" w14:textId="122C8520" w:rsidR="00A65748" w:rsidRDefault="00A65748" w:rsidP="00A65748">
      <w:pPr>
        <w:jc w:val="both"/>
        <w:rPr>
          <w:rFonts w:ascii="Times New Roman" w:hAnsi="Times New Roman" w:cs="Times New Roman"/>
          <w:color w:val="auto"/>
        </w:rPr>
      </w:pPr>
    </w:p>
    <w:p w14:paraId="3451B364" w14:textId="77777777" w:rsidR="00ED2685" w:rsidRDefault="00ED2685" w:rsidP="00A65748">
      <w:pPr>
        <w:jc w:val="both"/>
        <w:rPr>
          <w:rFonts w:ascii="Times New Roman" w:hAnsi="Times New Roman" w:cs="Times New Roman"/>
          <w:color w:val="auto"/>
        </w:rPr>
      </w:pPr>
    </w:p>
    <w:p w14:paraId="50FBD771" w14:textId="1CB3AF1D" w:rsidR="00ED2685" w:rsidRDefault="00ED2685" w:rsidP="00A65748">
      <w:pPr>
        <w:jc w:val="both"/>
        <w:rPr>
          <w:rFonts w:ascii="Times New Roman" w:hAnsi="Times New Roman" w:cs="Times New Roman"/>
          <w:color w:val="auto"/>
        </w:rPr>
      </w:pPr>
      <w:r>
        <w:rPr>
          <w:rFonts w:ascii="Times New Roman" w:hAnsi="Times New Roman" w:cs="Times New Roman"/>
          <w:color w:val="auto"/>
        </w:rPr>
        <w:t>KLASA:</w:t>
      </w:r>
    </w:p>
    <w:p w14:paraId="418C661A" w14:textId="7F9DF106" w:rsidR="00ED2685" w:rsidRDefault="00ED2685" w:rsidP="00A65748">
      <w:pPr>
        <w:jc w:val="both"/>
        <w:rPr>
          <w:rFonts w:ascii="Times New Roman" w:hAnsi="Times New Roman" w:cs="Times New Roman"/>
          <w:color w:val="auto"/>
        </w:rPr>
      </w:pPr>
      <w:r>
        <w:rPr>
          <w:rFonts w:ascii="Times New Roman" w:hAnsi="Times New Roman" w:cs="Times New Roman"/>
          <w:color w:val="auto"/>
        </w:rPr>
        <w:t>URBROJ:</w:t>
      </w:r>
    </w:p>
    <w:p w14:paraId="69347F98" w14:textId="089ECBCF" w:rsidR="00ED2685" w:rsidRDefault="00ED2685" w:rsidP="00A65748">
      <w:pPr>
        <w:jc w:val="both"/>
        <w:rPr>
          <w:rFonts w:ascii="Times New Roman" w:hAnsi="Times New Roman" w:cs="Times New Roman"/>
          <w:color w:val="auto"/>
        </w:rPr>
      </w:pPr>
    </w:p>
    <w:p w14:paraId="4EFD7D38" w14:textId="7A835DD5" w:rsidR="00ED2685" w:rsidRDefault="00ED2685" w:rsidP="00A65748">
      <w:pPr>
        <w:jc w:val="both"/>
        <w:rPr>
          <w:rFonts w:ascii="Times New Roman" w:hAnsi="Times New Roman" w:cs="Times New Roman"/>
          <w:color w:val="auto"/>
        </w:rPr>
      </w:pPr>
      <w:r>
        <w:rPr>
          <w:rFonts w:ascii="Times New Roman" w:hAnsi="Times New Roman" w:cs="Times New Roman"/>
          <w:color w:val="auto"/>
        </w:rPr>
        <w:t>Zagreb,</w:t>
      </w:r>
    </w:p>
    <w:p w14:paraId="67C2FA28" w14:textId="77777777" w:rsidR="00A65748" w:rsidRDefault="00A65748" w:rsidP="00A65748">
      <w:pPr>
        <w:jc w:val="both"/>
        <w:rPr>
          <w:rFonts w:ascii="Times New Roman" w:hAnsi="Times New Roman" w:cs="Times New Roman"/>
          <w:color w:val="auto"/>
        </w:rPr>
      </w:pPr>
    </w:p>
    <w:p w14:paraId="3E03AF77" w14:textId="77777777" w:rsidR="00A65748" w:rsidRPr="005D72CF" w:rsidRDefault="00A65748" w:rsidP="00A65748">
      <w:pPr>
        <w:jc w:val="both"/>
        <w:rPr>
          <w:rFonts w:ascii="Times New Roman" w:hAnsi="Times New Roman" w:cs="Times New Roman"/>
          <w:color w:val="auto"/>
        </w:rPr>
      </w:pPr>
    </w:p>
    <w:p w14:paraId="2E6F4764" w14:textId="77777777" w:rsidR="00A65748" w:rsidRPr="00DD6FD8" w:rsidRDefault="00A65748" w:rsidP="00A65748">
      <w:pPr>
        <w:ind w:left="4956" w:firstLine="708"/>
        <w:jc w:val="center"/>
        <w:rPr>
          <w:rFonts w:ascii="Times New Roman" w:hAnsi="Times New Roman" w:cs="Times New Roman"/>
          <w:bCs/>
          <w:color w:val="auto"/>
        </w:rPr>
      </w:pPr>
      <w:r w:rsidRPr="00DD6FD8">
        <w:rPr>
          <w:rFonts w:ascii="Times New Roman" w:hAnsi="Times New Roman" w:cs="Times New Roman"/>
          <w:bCs/>
          <w:color w:val="auto"/>
        </w:rPr>
        <w:t>PREDSJEDNIK</w:t>
      </w:r>
    </w:p>
    <w:p w14:paraId="7E129506" w14:textId="77777777" w:rsidR="00A65748" w:rsidRPr="00DD6FD8" w:rsidRDefault="00A65748" w:rsidP="00A65748">
      <w:pPr>
        <w:rPr>
          <w:rFonts w:ascii="Times New Roman" w:hAnsi="Times New Roman" w:cs="Times New Roman"/>
          <w:color w:val="auto"/>
        </w:rPr>
      </w:pPr>
    </w:p>
    <w:p w14:paraId="29EC153F" w14:textId="77777777" w:rsidR="00A65748" w:rsidRPr="00DD6FD8" w:rsidRDefault="00A65748" w:rsidP="00A65748">
      <w:pPr>
        <w:rPr>
          <w:rFonts w:ascii="Times New Roman" w:hAnsi="Times New Roman" w:cs="Times New Roman"/>
          <w:color w:val="auto"/>
        </w:rPr>
      </w:pPr>
    </w:p>
    <w:p w14:paraId="60F7D459" w14:textId="77777777" w:rsidR="00A65748" w:rsidRPr="00DD6FD8" w:rsidRDefault="00A65748" w:rsidP="00A65748">
      <w:pPr>
        <w:ind w:left="4956" w:firstLine="708"/>
        <w:jc w:val="center"/>
        <w:rPr>
          <w:rFonts w:ascii="Times New Roman" w:hAnsi="Times New Roman" w:cs="Times New Roman"/>
          <w:bCs/>
          <w:color w:val="auto"/>
        </w:rPr>
      </w:pPr>
      <w:r w:rsidRPr="00DD6FD8">
        <w:rPr>
          <w:rFonts w:ascii="Times New Roman" w:hAnsi="Times New Roman" w:cs="Times New Roman"/>
          <w:bCs/>
          <w:color w:val="auto"/>
        </w:rPr>
        <w:t>mr. sc. Andrej Plenković</w:t>
      </w:r>
    </w:p>
    <w:p w14:paraId="1E9A3898" w14:textId="3979F233" w:rsidR="00A65748" w:rsidRDefault="00A65748" w:rsidP="00A65748">
      <w:pPr>
        <w:rPr>
          <w:rFonts w:ascii="Times New Roman" w:eastAsia="Calibri" w:hAnsi="Times New Roman" w:cs="Times New Roman"/>
          <w:color w:val="auto"/>
          <w:lang w:eastAsia="en-US"/>
        </w:rPr>
      </w:pPr>
    </w:p>
    <w:p w14:paraId="164D5962" w14:textId="306AC9B0" w:rsidR="00A65748" w:rsidRDefault="00A65748" w:rsidP="00A65748">
      <w:pPr>
        <w:rPr>
          <w:rFonts w:ascii="Times New Roman" w:eastAsia="Calibri" w:hAnsi="Times New Roman" w:cs="Times New Roman"/>
          <w:color w:val="auto"/>
          <w:lang w:eastAsia="en-US"/>
        </w:rPr>
      </w:pPr>
    </w:p>
    <w:p w14:paraId="0BC82A8D" w14:textId="19150CE3" w:rsidR="00A65748" w:rsidRDefault="00A65748" w:rsidP="00A65748">
      <w:pPr>
        <w:rPr>
          <w:rFonts w:ascii="Times New Roman" w:eastAsia="Calibri" w:hAnsi="Times New Roman" w:cs="Times New Roman"/>
          <w:color w:val="auto"/>
          <w:lang w:eastAsia="en-US"/>
        </w:rPr>
      </w:pPr>
    </w:p>
    <w:p w14:paraId="579C13A4" w14:textId="19AA56BE" w:rsidR="00A65748" w:rsidRDefault="00A65748" w:rsidP="00A65748">
      <w:pPr>
        <w:rPr>
          <w:rFonts w:ascii="Times New Roman" w:eastAsia="Calibri" w:hAnsi="Times New Roman" w:cs="Times New Roman"/>
          <w:color w:val="auto"/>
          <w:lang w:eastAsia="en-US"/>
        </w:rPr>
      </w:pPr>
    </w:p>
    <w:p w14:paraId="36CE7A89" w14:textId="2A3FA67F" w:rsidR="00A65748" w:rsidRDefault="00A65748" w:rsidP="00A65748">
      <w:pPr>
        <w:rPr>
          <w:rFonts w:ascii="Times New Roman" w:eastAsia="Calibri" w:hAnsi="Times New Roman" w:cs="Times New Roman"/>
          <w:color w:val="auto"/>
          <w:lang w:eastAsia="en-US"/>
        </w:rPr>
      </w:pPr>
    </w:p>
    <w:p w14:paraId="66E32FF9" w14:textId="34B45B7E" w:rsidR="00A65748" w:rsidRDefault="00A65748" w:rsidP="00A65748">
      <w:pPr>
        <w:rPr>
          <w:rFonts w:ascii="Times New Roman" w:eastAsia="Calibri" w:hAnsi="Times New Roman" w:cs="Times New Roman"/>
          <w:color w:val="auto"/>
          <w:lang w:eastAsia="en-US"/>
        </w:rPr>
      </w:pPr>
    </w:p>
    <w:p w14:paraId="0626CA2B" w14:textId="19267B7C" w:rsidR="00A65748" w:rsidRDefault="00A65748" w:rsidP="00A65748">
      <w:pPr>
        <w:rPr>
          <w:rFonts w:ascii="Times New Roman" w:eastAsia="Calibri" w:hAnsi="Times New Roman" w:cs="Times New Roman"/>
          <w:color w:val="auto"/>
          <w:lang w:eastAsia="en-US"/>
        </w:rPr>
      </w:pPr>
    </w:p>
    <w:p w14:paraId="745C0FCC" w14:textId="0AD6F774" w:rsidR="00A65748" w:rsidRDefault="00A65748" w:rsidP="00A65748">
      <w:pPr>
        <w:rPr>
          <w:rFonts w:ascii="Times New Roman" w:eastAsia="Calibri" w:hAnsi="Times New Roman" w:cs="Times New Roman"/>
          <w:color w:val="auto"/>
          <w:lang w:eastAsia="en-US"/>
        </w:rPr>
      </w:pPr>
    </w:p>
    <w:p w14:paraId="73DFD7CF" w14:textId="6D6702A7" w:rsidR="00A65748" w:rsidRDefault="00A65748" w:rsidP="00A65748">
      <w:pPr>
        <w:rPr>
          <w:rFonts w:ascii="Times New Roman" w:eastAsia="Calibri" w:hAnsi="Times New Roman" w:cs="Times New Roman"/>
          <w:color w:val="auto"/>
          <w:lang w:eastAsia="en-US"/>
        </w:rPr>
      </w:pPr>
    </w:p>
    <w:p w14:paraId="23DDB496" w14:textId="0B6591F9" w:rsidR="00A65748" w:rsidRDefault="00A65748" w:rsidP="00A65748">
      <w:pPr>
        <w:rPr>
          <w:rFonts w:ascii="Times New Roman" w:eastAsia="Calibri" w:hAnsi="Times New Roman" w:cs="Times New Roman"/>
          <w:color w:val="auto"/>
          <w:lang w:eastAsia="en-US"/>
        </w:rPr>
      </w:pPr>
    </w:p>
    <w:p w14:paraId="529DA8C4" w14:textId="05604099" w:rsidR="00A65748" w:rsidRDefault="00A65748" w:rsidP="00A65748">
      <w:pPr>
        <w:rPr>
          <w:rFonts w:ascii="Times New Roman" w:eastAsia="Calibri" w:hAnsi="Times New Roman" w:cs="Times New Roman"/>
          <w:color w:val="auto"/>
          <w:lang w:eastAsia="en-US"/>
        </w:rPr>
      </w:pPr>
    </w:p>
    <w:p w14:paraId="589AD571" w14:textId="46FB422B" w:rsidR="00A65748" w:rsidRDefault="00A65748" w:rsidP="00A65748">
      <w:pPr>
        <w:rPr>
          <w:rFonts w:ascii="Times New Roman" w:eastAsia="Calibri" w:hAnsi="Times New Roman" w:cs="Times New Roman"/>
          <w:color w:val="auto"/>
          <w:lang w:eastAsia="en-US"/>
        </w:rPr>
      </w:pPr>
    </w:p>
    <w:p w14:paraId="3026379A" w14:textId="452FC977" w:rsidR="00A65748" w:rsidRDefault="00A65748" w:rsidP="00A65748">
      <w:pPr>
        <w:rPr>
          <w:rFonts w:ascii="Times New Roman" w:eastAsia="Calibri" w:hAnsi="Times New Roman" w:cs="Times New Roman"/>
          <w:color w:val="auto"/>
          <w:lang w:eastAsia="en-US"/>
        </w:rPr>
      </w:pPr>
    </w:p>
    <w:p w14:paraId="5550AEC0" w14:textId="134CD165" w:rsidR="00A65748" w:rsidRDefault="00A65748" w:rsidP="00A65748">
      <w:pPr>
        <w:rPr>
          <w:rFonts w:ascii="Times New Roman" w:eastAsia="Calibri" w:hAnsi="Times New Roman" w:cs="Times New Roman"/>
          <w:color w:val="auto"/>
          <w:lang w:eastAsia="en-US"/>
        </w:rPr>
      </w:pPr>
    </w:p>
    <w:p w14:paraId="0509DAC6" w14:textId="661A918E" w:rsidR="00A65748" w:rsidRDefault="00A65748" w:rsidP="00A65748">
      <w:pPr>
        <w:rPr>
          <w:rFonts w:ascii="Times New Roman" w:eastAsia="Calibri" w:hAnsi="Times New Roman" w:cs="Times New Roman"/>
          <w:color w:val="auto"/>
          <w:lang w:eastAsia="en-US"/>
        </w:rPr>
      </w:pPr>
    </w:p>
    <w:p w14:paraId="244ED432" w14:textId="7F2F534F" w:rsidR="00A65748" w:rsidRDefault="00A65748" w:rsidP="00A65748">
      <w:pPr>
        <w:rPr>
          <w:rFonts w:ascii="Times New Roman" w:eastAsia="Calibri" w:hAnsi="Times New Roman" w:cs="Times New Roman"/>
          <w:color w:val="auto"/>
          <w:lang w:eastAsia="en-US"/>
        </w:rPr>
      </w:pPr>
    </w:p>
    <w:p w14:paraId="559BF309" w14:textId="5AC78B7E" w:rsidR="00A65748" w:rsidRDefault="00A65748" w:rsidP="00A65748">
      <w:pPr>
        <w:rPr>
          <w:rFonts w:ascii="Times New Roman" w:eastAsia="Calibri" w:hAnsi="Times New Roman" w:cs="Times New Roman"/>
          <w:color w:val="auto"/>
          <w:lang w:eastAsia="en-US"/>
        </w:rPr>
      </w:pPr>
    </w:p>
    <w:p w14:paraId="343F37D7" w14:textId="784E0F7D" w:rsidR="00A65748" w:rsidRDefault="00A65748" w:rsidP="00A65748">
      <w:pPr>
        <w:rPr>
          <w:rFonts w:ascii="Times New Roman" w:eastAsia="Calibri" w:hAnsi="Times New Roman" w:cs="Times New Roman"/>
          <w:color w:val="auto"/>
          <w:lang w:eastAsia="en-US"/>
        </w:rPr>
      </w:pPr>
    </w:p>
    <w:p w14:paraId="65B52D30" w14:textId="72937129" w:rsidR="00A65748" w:rsidRDefault="00A65748" w:rsidP="00A65748">
      <w:pPr>
        <w:rPr>
          <w:rFonts w:ascii="Times New Roman" w:eastAsia="Calibri" w:hAnsi="Times New Roman" w:cs="Times New Roman"/>
          <w:color w:val="auto"/>
          <w:lang w:eastAsia="en-US"/>
        </w:rPr>
      </w:pPr>
    </w:p>
    <w:p w14:paraId="1D693339" w14:textId="67DED8F6" w:rsidR="00A65748" w:rsidRDefault="00A65748" w:rsidP="00A65748">
      <w:pPr>
        <w:rPr>
          <w:rFonts w:ascii="Times New Roman" w:eastAsia="Calibri" w:hAnsi="Times New Roman" w:cs="Times New Roman"/>
          <w:color w:val="auto"/>
          <w:lang w:eastAsia="en-US"/>
        </w:rPr>
      </w:pPr>
    </w:p>
    <w:p w14:paraId="6B364B9A" w14:textId="1CFF44EA" w:rsidR="00A65748" w:rsidRDefault="00A65748" w:rsidP="00A65748">
      <w:pPr>
        <w:rPr>
          <w:rFonts w:ascii="Times New Roman" w:eastAsia="Calibri" w:hAnsi="Times New Roman" w:cs="Times New Roman"/>
          <w:color w:val="auto"/>
          <w:lang w:eastAsia="en-US"/>
        </w:rPr>
      </w:pPr>
    </w:p>
    <w:p w14:paraId="08038321" w14:textId="09CA2C5C" w:rsidR="00A65748" w:rsidRDefault="00A65748" w:rsidP="00A65748">
      <w:pPr>
        <w:rPr>
          <w:rFonts w:ascii="Times New Roman" w:eastAsia="Calibri" w:hAnsi="Times New Roman" w:cs="Times New Roman"/>
          <w:color w:val="auto"/>
          <w:lang w:eastAsia="en-US"/>
        </w:rPr>
      </w:pPr>
    </w:p>
    <w:p w14:paraId="2C146EB5" w14:textId="26E7F2D1" w:rsidR="00A65748" w:rsidRDefault="00A65748" w:rsidP="00A65748">
      <w:pPr>
        <w:rPr>
          <w:rFonts w:ascii="Times New Roman" w:eastAsia="Calibri" w:hAnsi="Times New Roman" w:cs="Times New Roman"/>
          <w:color w:val="auto"/>
          <w:lang w:eastAsia="en-US"/>
        </w:rPr>
      </w:pPr>
    </w:p>
    <w:p w14:paraId="2B5B0655" w14:textId="5E0EAC84" w:rsidR="00A65748" w:rsidRDefault="00A65748" w:rsidP="00A65748">
      <w:pPr>
        <w:rPr>
          <w:rFonts w:ascii="Times New Roman" w:eastAsia="Calibri" w:hAnsi="Times New Roman" w:cs="Times New Roman"/>
          <w:color w:val="auto"/>
          <w:lang w:eastAsia="en-US"/>
        </w:rPr>
      </w:pPr>
    </w:p>
    <w:p w14:paraId="73FD2249" w14:textId="51193EA8" w:rsidR="00A65748" w:rsidRDefault="00A65748" w:rsidP="00A65748">
      <w:pPr>
        <w:rPr>
          <w:rFonts w:ascii="Times New Roman" w:eastAsia="Calibri" w:hAnsi="Times New Roman" w:cs="Times New Roman"/>
          <w:color w:val="auto"/>
          <w:lang w:eastAsia="en-US"/>
        </w:rPr>
      </w:pPr>
    </w:p>
    <w:p w14:paraId="5085A1D9" w14:textId="319EF479" w:rsidR="00A65748" w:rsidRDefault="00A65748" w:rsidP="00A65748">
      <w:pPr>
        <w:rPr>
          <w:rFonts w:ascii="Times New Roman" w:eastAsia="Calibri" w:hAnsi="Times New Roman" w:cs="Times New Roman"/>
          <w:color w:val="auto"/>
          <w:lang w:eastAsia="en-US"/>
        </w:rPr>
      </w:pPr>
    </w:p>
    <w:p w14:paraId="3A159C5A" w14:textId="6A1BECBA" w:rsidR="00A65748" w:rsidRDefault="00A65748" w:rsidP="00A65748">
      <w:pPr>
        <w:rPr>
          <w:rFonts w:ascii="Times New Roman" w:eastAsia="Calibri" w:hAnsi="Times New Roman" w:cs="Times New Roman"/>
          <w:color w:val="auto"/>
          <w:lang w:eastAsia="en-US"/>
        </w:rPr>
      </w:pPr>
    </w:p>
    <w:p w14:paraId="4C559913" w14:textId="0ADE5143" w:rsidR="00A65748" w:rsidRDefault="00A65748" w:rsidP="00A65748">
      <w:pPr>
        <w:rPr>
          <w:rFonts w:ascii="Times New Roman" w:eastAsia="Calibri" w:hAnsi="Times New Roman" w:cs="Times New Roman"/>
          <w:color w:val="auto"/>
          <w:lang w:eastAsia="en-US"/>
        </w:rPr>
      </w:pPr>
    </w:p>
    <w:p w14:paraId="0DE02546" w14:textId="6B02AF2A" w:rsidR="00A65748" w:rsidRDefault="00A65748" w:rsidP="00A65748">
      <w:pPr>
        <w:rPr>
          <w:rFonts w:ascii="Times New Roman" w:eastAsia="Calibri" w:hAnsi="Times New Roman" w:cs="Times New Roman"/>
          <w:color w:val="auto"/>
          <w:lang w:eastAsia="en-US"/>
        </w:rPr>
      </w:pPr>
    </w:p>
    <w:p w14:paraId="6106DC10" w14:textId="5F352AC0" w:rsidR="00A65748" w:rsidRDefault="00A65748" w:rsidP="00A65748">
      <w:pPr>
        <w:rPr>
          <w:rFonts w:ascii="Times New Roman" w:eastAsia="Calibri" w:hAnsi="Times New Roman" w:cs="Times New Roman"/>
          <w:color w:val="auto"/>
          <w:lang w:eastAsia="en-US"/>
        </w:rPr>
      </w:pPr>
    </w:p>
    <w:p w14:paraId="15B5F8E5" w14:textId="011A2750" w:rsidR="00A65748" w:rsidRDefault="00A65748" w:rsidP="00A65748">
      <w:pPr>
        <w:rPr>
          <w:rFonts w:ascii="Times New Roman" w:eastAsia="Calibri" w:hAnsi="Times New Roman" w:cs="Times New Roman"/>
          <w:color w:val="auto"/>
          <w:lang w:eastAsia="en-US"/>
        </w:rPr>
      </w:pPr>
    </w:p>
    <w:p w14:paraId="6362CB6D" w14:textId="60230A9C" w:rsidR="00A65748" w:rsidRDefault="00A65748" w:rsidP="00A65748">
      <w:pPr>
        <w:rPr>
          <w:rFonts w:ascii="Times New Roman" w:eastAsia="Calibri" w:hAnsi="Times New Roman" w:cs="Times New Roman"/>
          <w:color w:val="auto"/>
          <w:lang w:eastAsia="en-US"/>
        </w:rPr>
      </w:pPr>
    </w:p>
    <w:p w14:paraId="3B5AEB33" w14:textId="29FDC5EA" w:rsidR="00A65748" w:rsidRDefault="00A65748" w:rsidP="00A65748">
      <w:pPr>
        <w:rPr>
          <w:rFonts w:ascii="Times New Roman" w:eastAsia="Calibri" w:hAnsi="Times New Roman" w:cs="Times New Roman"/>
          <w:color w:val="auto"/>
          <w:lang w:eastAsia="en-US"/>
        </w:rPr>
      </w:pPr>
    </w:p>
    <w:p w14:paraId="079E794E" w14:textId="65A049E6" w:rsidR="00A65748" w:rsidRDefault="00A65748" w:rsidP="00A65748">
      <w:pPr>
        <w:rPr>
          <w:rFonts w:ascii="Times New Roman" w:eastAsia="Calibri" w:hAnsi="Times New Roman" w:cs="Times New Roman"/>
          <w:color w:val="auto"/>
          <w:lang w:eastAsia="en-US"/>
        </w:rPr>
      </w:pPr>
    </w:p>
    <w:p w14:paraId="1D79E607" w14:textId="5CA884B8" w:rsidR="00A65748" w:rsidRPr="00DD6FD8" w:rsidRDefault="00A65748" w:rsidP="00A65748">
      <w:pPr>
        <w:rPr>
          <w:rFonts w:ascii="Times New Roman" w:hAnsi="Times New Roman" w:cs="Times New Roman"/>
        </w:rPr>
      </w:pPr>
      <w:bookmarkStart w:id="0" w:name="_GoBack"/>
      <w:bookmarkEnd w:id="0"/>
    </w:p>
    <w:p w14:paraId="6FAA005D" w14:textId="2F14D92A" w:rsidR="001A37B5" w:rsidRPr="005D72CF" w:rsidRDefault="001A37B5" w:rsidP="007B1D07">
      <w:pPr>
        <w:spacing w:before="120" w:after="120"/>
        <w:jc w:val="center"/>
        <w:rPr>
          <w:rFonts w:ascii="Times New Roman" w:hAnsi="Times New Roman" w:cs="Times New Roman"/>
          <w:color w:val="auto"/>
        </w:rPr>
      </w:pPr>
      <w:r w:rsidRPr="005D72CF">
        <w:rPr>
          <w:rFonts w:ascii="Times New Roman" w:hAnsi="Times New Roman" w:cs="Times New Roman"/>
          <w:color w:val="auto"/>
        </w:rPr>
        <w:t>OBRAZLOŽENJE</w:t>
      </w:r>
    </w:p>
    <w:p w14:paraId="67DCF1C9" w14:textId="77777777" w:rsidR="001A37B5" w:rsidRPr="005D72CF" w:rsidRDefault="001A37B5" w:rsidP="001A37B5">
      <w:pPr>
        <w:spacing w:before="120" w:after="120"/>
        <w:jc w:val="both"/>
        <w:rPr>
          <w:rFonts w:ascii="Times New Roman" w:eastAsia="Calibri" w:hAnsi="Times New Roman" w:cs="Times New Roman"/>
          <w:color w:val="auto"/>
          <w:lang w:eastAsia="en-US"/>
        </w:rPr>
      </w:pPr>
    </w:p>
    <w:p w14:paraId="22348B8E" w14:textId="77777777" w:rsidR="001A37B5" w:rsidRPr="005D72CF" w:rsidRDefault="001A37B5" w:rsidP="001A37B5">
      <w:pPr>
        <w:spacing w:before="120" w:after="120"/>
        <w:jc w:val="both"/>
        <w:rPr>
          <w:rFonts w:ascii="Times New Roman" w:hAnsi="Times New Roman" w:cs="Times New Roman"/>
          <w:color w:val="auto"/>
          <w:lang w:eastAsia="en-US"/>
        </w:rPr>
      </w:pPr>
      <w:r w:rsidRPr="005D72CF">
        <w:rPr>
          <w:rFonts w:ascii="Times New Roman" w:eastAsia="Calibri" w:hAnsi="Times New Roman" w:cs="Times New Roman"/>
          <w:color w:val="auto"/>
          <w:lang w:eastAsia="en-US"/>
        </w:rPr>
        <w:t xml:space="preserve">Ove izmjene Nacionalnog programa pomoći sektoru vina za razdoblje od 2019. do 2023. godine (u daljnjem tekstu: Nacionalni program) donose se u skladu s člankom 41. Uredbe (EU) br. 1308/2013 Europskog parlamenta i Vijeća od 17. prosinca 2013. o uspostavljanju zajedničke organizacije tržišta poljoprivrednih proizvoda i stavljanju izvan snage uredbi Vijeća (EEZ) br. 922/72, (EEZ) br. 234/79, (EZ) br. 1037/2001 i (EZ) br. 1234/2007 (u daljnjem tekstu: Uredbe (EU) br. 1308/2013). </w:t>
      </w:r>
    </w:p>
    <w:p w14:paraId="54DA90C4" w14:textId="77777777" w:rsidR="001A37B5" w:rsidRPr="005D72CF" w:rsidRDefault="001A37B5" w:rsidP="001A37B5">
      <w:pPr>
        <w:spacing w:after="120"/>
        <w:jc w:val="both"/>
        <w:rPr>
          <w:rFonts w:ascii="Times New Roman" w:hAnsi="Times New Roman" w:cs="Times New Roman"/>
          <w:color w:val="auto"/>
          <w:lang w:bidi="ne-NP"/>
        </w:rPr>
      </w:pPr>
      <w:r w:rsidRPr="005D72CF">
        <w:rPr>
          <w:rFonts w:ascii="Times New Roman" w:hAnsi="Times New Roman" w:cs="Times New Roman"/>
          <w:color w:val="auto"/>
          <w:lang w:bidi="ne-NP"/>
        </w:rPr>
        <w:t xml:space="preserve">Europska komisija donijela je uredbe kojima je omogućeno unijeti izmjene u nacionalne programe potpore kad god je to potrebno tijekom financijske godine 2022., ali ne kasnije od 15. listopada 2022., no samo u vezi s mjerama iz članka 45. stavka 1. točke (a) i članaka od 46. do 52. Uredbe (EU) br. 1308/2013. Prestaje provedba kriznih mjera Destilacija vina u kriznim slučajevima i Potpora za krizno skladištenje vina iz programa, te se intenziteti potpora </w:t>
      </w:r>
      <w:r w:rsidRPr="005D72CF">
        <w:rPr>
          <w:rFonts w:ascii="Times New Roman" w:eastAsia="Calibri" w:hAnsi="Times New Roman" w:cs="Times New Roman"/>
          <w:color w:val="auto"/>
          <w:lang w:eastAsia="en-US"/>
        </w:rPr>
        <w:t>iz Europskog garancijskog fonda u poljoprivredi (EAGF) za sve mjere</w:t>
      </w:r>
      <w:r w:rsidRPr="005D72CF">
        <w:rPr>
          <w:rFonts w:ascii="Times New Roman" w:hAnsi="Times New Roman" w:cs="Times New Roman"/>
          <w:color w:val="auto"/>
          <w:lang w:bidi="ne-NP"/>
        </w:rPr>
        <w:t xml:space="preserve"> vraćaju na razinu koja je bila prije pandemije.</w:t>
      </w:r>
    </w:p>
    <w:p w14:paraId="5FF0824C" w14:textId="77777777" w:rsidR="001A37B5" w:rsidRPr="005D72CF" w:rsidRDefault="001A37B5" w:rsidP="001A37B5">
      <w:pPr>
        <w:spacing w:before="120" w:after="120"/>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Temeljem prethodno navedenog Ministarstvo poljoprivrede pristupilo je izradi nacrta IV. Izmjena i dopuna Nacionalnog programa te je putem Regionalnih organizacija vinogradara i vinara provelo ocjenu prihvatljivosti provedbe kriznih mjera iz Nacionalnog programa.</w:t>
      </w:r>
    </w:p>
    <w:p w14:paraId="28C3884F" w14:textId="77777777" w:rsidR="001A37B5" w:rsidRPr="005D72CF" w:rsidRDefault="001A37B5" w:rsidP="001A37B5">
      <w:pPr>
        <w:spacing w:before="120" w:after="120"/>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 xml:space="preserve">Radi efikasnije provedbe Nacionalnog programa u financijskoj godini 2022. i 2023. mjere će se provoditi bez povećanog intenziteta potpore, uz izmijenjene kriterije za rangiranje u mjeri Restrukturiranje i konverzija vinograda i mjeri Ulaganja u vinarije. Naime, zbog velikog broja prijava podnesenih na javni poziv za dodjelu sredstava pomoći za dvije navedene mjere koji je dijelom uvjetovan povećanim intenzitetom potpore, raspoloživa sredstava Nacionalnog programa nisu dostatna zbog čega se u obje mjere predlaže novi kriterij bodovanja za one korisnike koji po prvi puta sudjeluju u pojedinoj  mjeri Nacionalnog programa. Kako bi se razumno upravljalo troškovima </w:t>
      </w:r>
      <w:r w:rsidRPr="005D72CF">
        <w:rPr>
          <w:rFonts w:ascii="Times New Roman" w:hAnsi="Times New Roman" w:cs="Times New Roman"/>
          <w:color w:val="auto"/>
        </w:rPr>
        <w:t xml:space="preserve">u mjeri </w:t>
      </w:r>
      <w:r w:rsidRPr="005D72CF">
        <w:rPr>
          <w:rFonts w:ascii="Times New Roman" w:eastAsia="Calibri" w:hAnsi="Times New Roman" w:cs="Times New Roman"/>
          <w:color w:val="auto"/>
          <w:lang w:eastAsia="en-US"/>
        </w:rPr>
        <w:t>Restrukturiranje i konverzija vinograda</w:t>
      </w:r>
      <w:r w:rsidRPr="005D72CF">
        <w:rPr>
          <w:rFonts w:ascii="Times New Roman" w:hAnsi="Times New Roman" w:cs="Times New Roman"/>
          <w:color w:val="auto"/>
        </w:rPr>
        <w:t xml:space="preserve">, primjenjuje se metoda standardne veličine jediničnih troškova a ujedno se postupak obrade zahtjeva pojednostavljuje. </w:t>
      </w:r>
    </w:p>
    <w:p w14:paraId="70510B59" w14:textId="77777777" w:rsidR="001A37B5" w:rsidRPr="005D72CF" w:rsidRDefault="001A37B5" w:rsidP="001A37B5">
      <w:pPr>
        <w:spacing w:before="120" w:after="120"/>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 xml:space="preserve">Za provedbu Nacionalnog programa Ministarstvo poljoprivrede osiguralo je sredstva u Državnom proračunu Republike Hrvatske, a ovim Izmjenama i dopunama financijska sredstva za provedbu osiguravaju se </w:t>
      </w:r>
      <w:r w:rsidRPr="005D72CF">
        <w:rPr>
          <w:rFonts w:ascii="Times New Roman" w:hAnsi="Times New Roman" w:cs="Times New Roman"/>
          <w:bCs/>
          <w:color w:val="auto"/>
        </w:rPr>
        <w:t xml:space="preserve">preraspodjelom sredstava iz Nacionalnog programa unutar godišnjih financijskih sredstava za 2022. </w:t>
      </w:r>
    </w:p>
    <w:p w14:paraId="702D4E90" w14:textId="77777777" w:rsidR="001A37B5" w:rsidRPr="005D72CF" w:rsidRDefault="001A37B5" w:rsidP="001A37B5">
      <w:pPr>
        <w:spacing w:before="120" w:after="120"/>
        <w:jc w:val="both"/>
        <w:rPr>
          <w:rFonts w:ascii="Times New Roman" w:eastAsia="Calibri" w:hAnsi="Times New Roman" w:cs="Times New Roman"/>
          <w:color w:val="auto"/>
          <w:lang w:eastAsia="en-US"/>
        </w:rPr>
      </w:pPr>
      <w:r w:rsidRPr="005D72CF">
        <w:rPr>
          <w:rFonts w:ascii="Times New Roman" w:eastAsia="Calibri" w:hAnsi="Times New Roman" w:cs="Times New Roman"/>
          <w:color w:val="auto"/>
          <w:lang w:eastAsia="en-US"/>
        </w:rPr>
        <w:t>Ukupna sredstva za 2022. godinu u iznosu od 83.190.750,00 kuna planirana su u Državnom proračunu Republike Hrvatske za 2022. godinu i projekcijama za 2023. i 2024. godinu ("Narodne novine", br. 140/21.</w:t>
      </w:r>
      <w:r w:rsidRPr="005D72CF">
        <w:rPr>
          <w:rFonts w:ascii="Times New Roman" w:hAnsi="Times New Roman" w:cs="Times New Roman"/>
          <w:color w:val="auto"/>
        </w:rPr>
        <w:t xml:space="preserve"> i 62/22.</w:t>
      </w:r>
      <w:r w:rsidRPr="005D72CF">
        <w:rPr>
          <w:rFonts w:ascii="Times New Roman" w:eastAsia="Calibri" w:hAnsi="Times New Roman" w:cs="Times New Roman"/>
          <w:color w:val="auto"/>
          <w:lang w:eastAsia="en-US"/>
        </w:rPr>
        <w:t xml:space="preserve">), u okviru razdjela 060 Ministarstva poljoprivrede, na proračunskoj poziciji A821058 - ZPP - mjere uređenja tržišta poljoprivrednih proizvoda, te u istom iznosu u projekcijama za 2023. godinu. </w:t>
      </w:r>
    </w:p>
    <w:p w14:paraId="152BE69F" w14:textId="77777777" w:rsidR="003C3FF8" w:rsidRPr="001A37B5" w:rsidRDefault="003C3FF8" w:rsidP="001A37B5"/>
    <w:sectPr w:rsidR="003C3FF8" w:rsidRPr="001A37B5" w:rsidSect="003C3FF8">
      <w:pgSz w:w="11906" w:h="16838" w:code="9"/>
      <w:pgMar w:top="1417" w:right="1417" w:bottom="1417" w:left="1417"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2FBC"/>
    <w:multiLevelType w:val="multilevel"/>
    <w:tmpl w:val="FEA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832D0"/>
    <w:multiLevelType w:val="multilevel"/>
    <w:tmpl w:val="0EB4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43637"/>
    <w:multiLevelType w:val="hybridMultilevel"/>
    <w:tmpl w:val="F41A507E"/>
    <w:lvl w:ilvl="0" w:tplc="8ECE0D7E">
      <w:numFmt w:val="bullet"/>
      <w:lvlText w:val="-"/>
      <w:lvlJc w:val="left"/>
      <w:pPr>
        <w:ind w:left="1800" w:hanging="360"/>
      </w:pPr>
      <w:rPr>
        <w:rFonts w:ascii="Times New Roman" w:eastAsiaTheme="minorHAns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15:restartNumberingAfterBreak="0">
    <w:nsid w:val="39082CAF"/>
    <w:multiLevelType w:val="multilevel"/>
    <w:tmpl w:val="DC68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F3D71"/>
    <w:multiLevelType w:val="multilevel"/>
    <w:tmpl w:val="8C72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855EB"/>
    <w:multiLevelType w:val="multilevel"/>
    <w:tmpl w:val="CF5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03DB8"/>
    <w:multiLevelType w:val="hybridMultilevel"/>
    <w:tmpl w:val="94AE7724"/>
    <w:lvl w:ilvl="0" w:tplc="A3A68916">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CC443E0"/>
    <w:multiLevelType w:val="multilevel"/>
    <w:tmpl w:val="592E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4"/>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E9"/>
    <w:rsid w:val="001A0E00"/>
    <w:rsid w:val="001A37B5"/>
    <w:rsid w:val="00281D4C"/>
    <w:rsid w:val="002E17E9"/>
    <w:rsid w:val="00372BB4"/>
    <w:rsid w:val="003900B8"/>
    <w:rsid w:val="003A07A4"/>
    <w:rsid w:val="003C3FF8"/>
    <w:rsid w:val="00766904"/>
    <w:rsid w:val="007B1D07"/>
    <w:rsid w:val="007B2F5E"/>
    <w:rsid w:val="007D320B"/>
    <w:rsid w:val="008434E3"/>
    <w:rsid w:val="00A12F93"/>
    <w:rsid w:val="00A24943"/>
    <w:rsid w:val="00A65748"/>
    <w:rsid w:val="00A963F7"/>
    <w:rsid w:val="00EA041B"/>
    <w:rsid w:val="00ED2685"/>
    <w:rsid w:val="00F236ED"/>
    <w:rsid w:val="00FD7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11AB"/>
  <w15:chartTrackingRefBased/>
  <w15:docId w15:val="{A1E2C0C7-1F7C-4DDD-8A42-764320E6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F8"/>
    <w:pPr>
      <w:spacing w:after="0" w:line="240" w:lineRule="auto"/>
    </w:pPr>
    <w:rPr>
      <w:rFonts w:ascii="Arial" w:eastAsia="Times New Roman" w:hAnsi="Arial" w:cs="Arial"/>
      <w:color w:val="000000"/>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02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D7027"/>
    <w:rPr>
      <w:b/>
      <w:bCs/>
    </w:rPr>
  </w:style>
  <w:style w:type="character" w:styleId="Hyperlink">
    <w:name w:val="Hyperlink"/>
    <w:basedOn w:val="DefaultParagraphFont"/>
    <w:uiPriority w:val="99"/>
    <w:semiHidden/>
    <w:unhideWhenUsed/>
    <w:rsid w:val="00FD7027"/>
    <w:rPr>
      <w:color w:val="0000FF"/>
      <w:u w:val="single"/>
    </w:rPr>
  </w:style>
  <w:style w:type="paragraph" w:styleId="ListParagraph">
    <w:name w:val="List Paragraph"/>
    <w:basedOn w:val="Normal"/>
    <w:uiPriority w:val="34"/>
    <w:qFormat/>
    <w:rsid w:val="003C3FF8"/>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BalloonText">
    <w:name w:val="Balloon Text"/>
    <w:basedOn w:val="Normal"/>
    <w:link w:val="BalloonTextChar"/>
    <w:uiPriority w:val="99"/>
    <w:semiHidden/>
    <w:unhideWhenUsed/>
    <w:rsid w:val="00ED2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85"/>
    <w:rPr>
      <w:rFonts w:ascii="Segoe UI" w:eastAsia="Times New Roman"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500547">
      <w:bodyDiv w:val="1"/>
      <w:marLeft w:val="0"/>
      <w:marRight w:val="0"/>
      <w:marTop w:val="0"/>
      <w:marBottom w:val="0"/>
      <w:divBdr>
        <w:top w:val="none" w:sz="0" w:space="0" w:color="auto"/>
        <w:left w:val="none" w:sz="0" w:space="0" w:color="auto"/>
        <w:bottom w:val="none" w:sz="0" w:space="0" w:color="auto"/>
        <w:right w:val="none" w:sz="0" w:space="0" w:color="auto"/>
      </w:divBdr>
    </w:div>
    <w:div w:id="1771120699">
      <w:bodyDiv w:val="1"/>
      <w:marLeft w:val="0"/>
      <w:marRight w:val="0"/>
      <w:marTop w:val="0"/>
      <w:marBottom w:val="0"/>
      <w:divBdr>
        <w:top w:val="none" w:sz="0" w:space="0" w:color="auto"/>
        <w:left w:val="none" w:sz="0" w:space="0" w:color="auto"/>
        <w:bottom w:val="none" w:sz="0" w:space="0" w:color="auto"/>
        <w:right w:val="none" w:sz="0" w:space="0" w:color="auto"/>
      </w:divBdr>
    </w:div>
    <w:div w:id="21009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AZJMDCZ6QSYZ-1849078857-17410</_dlc_DocId>
    <_dlc_DocIdUrl xmlns="a494813a-d0d8-4dad-94cb-0d196f36ba15">
      <Url>https://ekoordinacije.vlada.hr/koordinacija-gospodarstvo/_layouts/15/DocIdRedir.aspx?ID=AZJMDCZ6QSYZ-1849078857-17410</Url>
      <Description>AZJMDCZ6QSYZ-1849078857-17410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3C1A-867A-48A6-AA27-720585D00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E33B-5A0E-49A8-9141-F0825C827575}">
  <ds:schemaRefs>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408763F-F9CA-4033-902B-7C3089E4C171}">
  <ds:schemaRefs>
    <ds:schemaRef ds:uri="http://schemas.microsoft.com/sharepoint/v3/contenttype/forms"/>
  </ds:schemaRefs>
</ds:datastoreItem>
</file>

<file path=customXml/itemProps4.xml><?xml version="1.0" encoding="utf-8"?>
<ds:datastoreItem xmlns:ds="http://schemas.openxmlformats.org/officeDocument/2006/customXml" ds:itemID="{92FFD25A-F391-4667-8D90-7834E39E71FA}">
  <ds:schemaRefs>
    <ds:schemaRef ds:uri="http://schemas.microsoft.com/sharepoint/events"/>
  </ds:schemaRefs>
</ds:datastoreItem>
</file>

<file path=customXml/itemProps5.xml><?xml version="1.0" encoding="utf-8"?>
<ds:datastoreItem xmlns:ds="http://schemas.openxmlformats.org/officeDocument/2006/customXml" ds:itemID="{E8E7BD95-55F8-4B2D-8305-0EDBEEF6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Franjičević</dc:creator>
  <cp:keywords/>
  <dc:description/>
  <cp:lastModifiedBy>Sunčica Marini</cp:lastModifiedBy>
  <cp:revision>6</cp:revision>
  <cp:lastPrinted>2022-06-28T08:48:00Z</cp:lastPrinted>
  <dcterms:created xsi:type="dcterms:W3CDTF">2022-06-23T14:01:00Z</dcterms:created>
  <dcterms:modified xsi:type="dcterms:W3CDTF">2022-06-28T08:58:00Z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9d42144f-ee9a-4339-be0d-05987b910df3</vt:lpwstr>
  </property>
</Properties>
</file>