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2FF7" w14:textId="77777777" w:rsidR="00F63743" w:rsidRPr="00B403DB" w:rsidRDefault="005828CB" w:rsidP="00F63743">
      <w:pPr>
        <w:jc w:val="both"/>
        <w:rPr>
          <w:iCs/>
          <w:lang w:val="pl-PL"/>
        </w:rPr>
      </w:pPr>
      <w:bookmarkStart w:id="0" w:name="_Hlk115684533"/>
      <w:r w:rsidRPr="00F56A91">
        <w:rPr>
          <w:rFonts w:ascii="Times New Roman" w:hAnsi="Times New Roman" w:cs="Times New Roman"/>
          <w:iCs/>
          <w:lang w:val="pl-PL"/>
        </w:rPr>
        <w:t xml:space="preserve">             </w:t>
      </w:r>
      <w:r>
        <w:rPr>
          <w:rFonts w:ascii="Times New Roman" w:hAnsi="Times New Roman" w:cs="Times New Roman"/>
          <w:iCs/>
          <w:lang w:val="pl-PL"/>
        </w:rPr>
        <w:tab/>
        <w:t xml:space="preserve">       </w:t>
      </w:r>
    </w:p>
    <w:p w14:paraId="7675F895" w14:textId="77777777" w:rsidR="003567BF" w:rsidRPr="00896FA9" w:rsidRDefault="003567BF" w:rsidP="003567BF">
      <w:pPr>
        <w:spacing w:after="160" w:line="259" w:lineRule="auto"/>
        <w:rPr>
          <w:rFonts w:ascii="Times New Roman" w:hAnsi="Times New Roman" w:cs="Times New Roman"/>
          <w:color w:val="auto"/>
        </w:rPr>
      </w:pPr>
      <w:r w:rsidRPr="00896FA9">
        <w:rPr>
          <w:rFonts w:ascii="Times New Roman" w:hAnsi="Times New Roman" w:cs="Times New Roman"/>
          <w:color w:val="auto"/>
        </w:rPr>
        <w:t xml:space="preserve">         </w:t>
      </w:r>
      <w:r w:rsidRPr="00896FA9">
        <w:rPr>
          <w:rFonts w:ascii="Times New Roman" w:hAnsi="Times New Roman" w:cs="Times New Roman"/>
          <w:noProof/>
          <w:color w:val="auto"/>
        </w:rPr>
        <w:drawing>
          <wp:inline distT="0" distB="0" distL="0" distR="0" wp14:anchorId="3D28E03A" wp14:editId="642EF7C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96FA9">
        <w:rPr>
          <w:rFonts w:ascii="Times New Roman" w:hAnsi="Times New Roman" w:cs="Times New Roman"/>
          <w:color w:val="auto"/>
        </w:rPr>
        <w:fldChar w:fldCharType="begin"/>
      </w:r>
      <w:r w:rsidRPr="00896FA9">
        <w:rPr>
          <w:rFonts w:ascii="Times New Roman" w:hAnsi="Times New Roman" w:cs="Times New Roman"/>
          <w:color w:val="auto"/>
        </w:rPr>
        <w:instrText xml:space="preserve"> INCLUDEPICTURE "http://www.inet.hr/~box/images/grb-rh.gif" \* MERGEFORMATINET </w:instrText>
      </w:r>
      <w:r w:rsidRPr="00896FA9">
        <w:rPr>
          <w:rFonts w:ascii="Times New Roman" w:hAnsi="Times New Roman" w:cs="Times New Roman"/>
          <w:color w:val="auto"/>
        </w:rPr>
        <w:fldChar w:fldCharType="end"/>
      </w:r>
    </w:p>
    <w:p w14:paraId="26CE74E0" w14:textId="77777777" w:rsidR="003567BF" w:rsidRPr="00896FA9" w:rsidRDefault="003567BF" w:rsidP="003567BF">
      <w:pPr>
        <w:spacing w:before="60" w:after="1680"/>
        <w:jc w:val="center"/>
        <w:rPr>
          <w:rFonts w:ascii="Times New Roman" w:hAnsi="Times New Roman" w:cs="Times New Roman"/>
          <w:color w:val="auto"/>
          <w:sz w:val="28"/>
        </w:rPr>
      </w:pPr>
      <w:r w:rsidRPr="00896FA9">
        <w:rPr>
          <w:rFonts w:ascii="Times New Roman" w:hAnsi="Times New Roman" w:cs="Times New Roman"/>
          <w:color w:val="auto"/>
          <w:sz w:val="28"/>
        </w:rPr>
        <w:t>VLADA REPUBLIKE HRVATSKE</w:t>
      </w:r>
    </w:p>
    <w:p w14:paraId="59667BE2" w14:textId="77777777" w:rsidR="003567BF" w:rsidRPr="00896FA9" w:rsidRDefault="003567BF" w:rsidP="003567BF">
      <w:pPr>
        <w:rPr>
          <w:rFonts w:ascii="Times New Roman" w:hAnsi="Times New Roman" w:cs="Times New Roman"/>
          <w:color w:val="auto"/>
        </w:rPr>
      </w:pPr>
    </w:p>
    <w:p w14:paraId="4BAB6405" w14:textId="75F3AD9C" w:rsidR="003567BF" w:rsidRPr="00896FA9" w:rsidRDefault="003567BF" w:rsidP="003567BF">
      <w:pPr>
        <w:spacing w:after="2400"/>
        <w:jc w:val="right"/>
        <w:rPr>
          <w:rFonts w:ascii="Times New Roman" w:hAnsi="Times New Roman" w:cs="Times New Roman"/>
          <w:color w:val="auto"/>
        </w:rPr>
      </w:pPr>
      <w:r w:rsidRPr="00896FA9">
        <w:rPr>
          <w:rFonts w:ascii="Times New Roman" w:hAnsi="Times New Roman" w:cs="Times New Roman"/>
          <w:color w:val="auto"/>
        </w:rPr>
        <w:t xml:space="preserve">Zagreb, </w:t>
      </w:r>
      <w:r w:rsidR="005F601F">
        <w:rPr>
          <w:rFonts w:ascii="Times New Roman" w:hAnsi="Times New Roman" w:cs="Times New Roman"/>
          <w:color w:val="auto"/>
        </w:rPr>
        <w:t xml:space="preserve">13. </w:t>
      </w:r>
      <w:r>
        <w:rPr>
          <w:rFonts w:ascii="Times New Roman" w:hAnsi="Times New Roman" w:cs="Times New Roman"/>
          <w:color w:val="auto"/>
        </w:rPr>
        <w:t>listopad</w:t>
      </w:r>
      <w:r w:rsidR="005F601F">
        <w:rPr>
          <w:rFonts w:ascii="Times New Roman" w:hAnsi="Times New Roman" w:cs="Times New Roman"/>
          <w:color w:val="auto"/>
        </w:rPr>
        <w:t>a</w:t>
      </w:r>
      <w:r w:rsidRPr="00896FA9">
        <w:rPr>
          <w:rFonts w:ascii="Times New Roman" w:hAnsi="Times New Roman" w:cs="Times New Roman"/>
          <w:color w:val="auto"/>
        </w:rPr>
        <w:t xml:space="preserve"> 2022.</w:t>
      </w:r>
    </w:p>
    <w:p w14:paraId="0928E245" w14:textId="77777777" w:rsidR="003567BF" w:rsidRPr="00896FA9" w:rsidRDefault="003567BF" w:rsidP="003567BF">
      <w:pPr>
        <w:spacing w:line="360" w:lineRule="auto"/>
        <w:rPr>
          <w:rFonts w:ascii="Times New Roman" w:hAnsi="Times New Roman" w:cs="Times New Roman"/>
          <w:color w:val="auto"/>
        </w:rPr>
      </w:pPr>
      <w:r w:rsidRPr="00896FA9">
        <w:rPr>
          <w:noProof/>
        </w:rPr>
        <w:drawing>
          <wp:inline distT="0" distB="0" distL="0" distR="0" wp14:anchorId="78E52812" wp14:editId="0A3F2803">
            <wp:extent cx="5760720" cy="2628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2890"/>
                    </a:xfrm>
                    <a:prstGeom prst="rect">
                      <a:avLst/>
                    </a:prstGeom>
                    <a:noFill/>
                    <a:ln>
                      <a:noFill/>
                    </a:ln>
                  </pic:spPr>
                </pic:pic>
              </a:graphicData>
            </a:graphic>
          </wp:inline>
        </w:drawing>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3567BF" w:rsidRPr="00896FA9" w14:paraId="49CD8110" w14:textId="77777777" w:rsidTr="000E7B02">
        <w:tc>
          <w:tcPr>
            <w:tcW w:w="1985" w:type="dxa"/>
          </w:tcPr>
          <w:p w14:paraId="007D2B5D" w14:textId="77777777" w:rsidR="003567BF" w:rsidRPr="00896FA9" w:rsidRDefault="003567BF" w:rsidP="000E7B02">
            <w:pPr>
              <w:spacing w:line="360" w:lineRule="auto"/>
              <w:rPr>
                <w:rFonts w:ascii="Times New Roman" w:hAnsi="Times New Roman" w:cs="Times New Roman"/>
                <w:color w:val="auto"/>
              </w:rPr>
            </w:pPr>
            <w:r w:rsidRPr="00896FA9">
              <w:rPr>
                <w:rFonts w:ascii="Times New Roman" w:hAnsi="Times New Roman" w:cs="Times New Roman"/>
                <w:b/>
                <w:color w:val="auto"/>
              </w:rPr>
              <w:t>Predlagatelj:</w:t>
            </w:r>
          </w:p>
        </w:tc>
        <w:tc>
          <w:tcPr>
            <w:tcW w:w="7371" w:type="dxa"/>
          </w:tcPr>
          <w:p w14:paraId="5CF54E66" w14:textId="77777777" w:rsidR="003567BF" w:rsidRPr="00896FA9" w:rsidRDefault="003567BF" w:rsidP="000E7B02">
            <w:pPr>
              <w:spacing w:line="360" w:lineRule="auto"/>
              <w:rPr>
                <w:rFonts w:ascii="Times New Roman" w:hAnsi="Times New Roman" w:cs="Times New Roman"/>
                <w:color w:val="auto"/>
              </w:rPr>
            </w:pPr>
            <w:r w:rsidRPr="00896FA9">
              <w:rPr>
                <w:rFonts w:ascii="Times New Roman" w:hAnsi="Times New Roman" w:cs="Times New Roman"/>
                <w:color w:val="auto"/>
              </w:rPr>
              <w:t>Ministarstvo poljoprivrede</w:t>
            </w:r>
          </w:p>
        </w:tc>
      </w:tr>
    </w:tbl>
    <w:p w14:paraId="6BDD183A" w14:textId="77777777" w:rsidR="003567BF" w:rsidRPr="00896FA9" w:rsidRDefault="003567BF" w:rsidP="003567BF">
      <w:pPr>
        <w:spacing w:line="360" w:lineRule="auto"/>
        <w:rPr>
          <w:rFonts w:ascii="Times New Roman" w:hAnsi="Times New Roman" w:cs="Times New Roman"/>
          <w:color w:val="auto"/>
        </w:rPr>
      </w:pPr>
      <w:r w:rsidRPr="00896FA9">
        <w:rPr>
          <w:rFonts w:ascii="Times New Roman" w:hAnsi="Times New Roman" w:cs="Times New Roman"/>
          <w:color w:val="auto"/>
        </w:rPr>
        <w:t>__________________________________________________________________________</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417"/>
      </w:tblGrid>
      <w:tr w:rsidR="003567BF" w:rsidRPr="00896FA9" w14:paraId="5EF2A6C5" w14:textId="77777777" w:rsidTr="000E7B02">
        <w:tc>
          <w:tcPr>
            <w:tcW w:w="1939" w:type="dxa"/>
          </w:tcPr>
          <w:p w14:paraId="1BF76BF9" w14:textId="77777777" w:rsidR="003567BF" w:rsidRPr="00896FA9" w:rsidRDefault="003567BF" w:rsidP="000E7B02">
            <w:pPr>
              <w:spacing w:line="360" w:lineRule="auto"/>
              <w:rPr>
                <w:rFonts w:ascii="Times New Roman" w:hAnsi="Times New Roman" w:cs="Times New Roman"/>
                <w:color w:val="auto"/>
              </w:rPr>
            </w:pPr>
            <w:r w:rsidRPr="00896FA9">
              <w:rPr>
                <w:rFonts w:ascii="Times New Roman" w:hAnsi="Times New Roman" w:cs="Times New Roman"/>
                <w:b/>
                <w:color w:val="auto"/>
              </w:rPr>
              <w:t>Predmet:</w:t>
            </w:r>
          </w:p>
        </w:tc>
        <w:tc>
          <w:tcPr>
            <w:tcW w:w="7417" w:type="dxa"/>
          </w:tcPr>
          <w:p w14:paraId="7DF5EF84" w14:textId="77777777" w:rsidR="003567BF" w:rsidRPr="00896FA9" w:rsidRDefault="003567BF" w:rsidP="000E7B02">
            <w:pPr>
              <w:spacing w:line="360" w:lineRule="auto"/>
              <w:rPr>
                <w:rFonts w:ascii="Times New Roman" w:hAnsi="Times New Roman" w:cs="Times New Roman"/>
                <w:color w:val="auto"/>
              </w:rPr>
            </w:pPr>
            <w:r w:rsidRPr="00896FA9">
              <w:rPr>
                <w:rFonts w:ascii="Times New Roman" w:hAnsi="Times New Roman" w:cs="Times New Roman"/>
                <w:color w:val="auto"/>
              </w:rPr>
              <w:t>Prijedlog odluke o pokretanju postupka izrade Strategije biogospodarstva</w:t>
            </w:r>
            <w:r>
              <w:rPr>
                <w:rFonts w:ascii="Times New Roman" w:hAnsi="Times New Roman" w:cs="Times New Roman"/>
                <w:color w:val="auto"/>
              </w:rPr>
              <w:t xml:space="preserve"> do 2035.</w:t>
            </w:r>
          </w:p>
        </w:tc>
      </w:tr>
    </w:tbl>
    <w:p w14:paraId="1DF4AB4F" w14:textId="77777777" w:rsidR="003567BF" w:rsidRPr="00896FA9" w:rsidRDefault="003567BF" w:rsidP="003567BF">
      <w:pPr>
        <w:spacing w:line="360" w:lineRule="auto"/>
        <w:rPr>
          <w:rFonts w:ascii="Times New Roman" w:hAnsi="Times New Roman" w:cs="Times New Roman"/>
          <w:color w:val="auto"/>
        </w:rPr>
      </w:pPr>
      <w:bookmarkStart w:id="1" w:name="_Hlk112230395"/>
      <w:r w:rsidRPr="00896FA9">
        <w:rPr>
          <w:rFonts w:ascii="Times New Roman" w:hAnsi="Times New Roman" w:cs="Times New Roman"/>
          <w:color w:val="auto"/>
        </w:rPr>
        <w:t>_________________________________________________________________</w:t>
      </w:r>
    </w:p>
    <w:p w14:paraId="2102B1B1" w14:textId="77777777" w:rsidR="003567BF" w:rsidRPr="00896FA9" w:rsidRDefault="003567BF" w:rsidP="003567BF">
      <w:pPr>
        <w:tabs>
          <w:tab w:val="right" w:pos="1701"/>
          <w:tab w:val="left" w:pos="1843"/>
        </w:tabs>
        <w:spacing w:line="360" w:lineRule="auto"/>
        <w:ind w:left="1843" w:hanging="1843"/>
        <w:rPr>
          <w:rFonts w:ascii="Times New Roman" w:hAnsi="Times New Roman" w:cs="Times New Roman"/>
          <w:b/>
          <w:smallCaps/>
          <w:color w:val="auto"/>
        </w:rPr>
        <w:sectPr w:rsidR="003567BF" w:rsidRPr="00896FA9" w:rsidSect="003567BF">
          <w:headerReference w:type="default" r:id="rId13"/>
          <w:footerReference w:type="first" r:id="rId14"/>
          <w:type w:val="continuous"/>
          <w:pgSz w:w="11906" w:h="16838"/>
          <w:pgMar w:top="993" w:right="1417" w:bottom="1417" w:left="1417" w:header="709" w:footer="658" w:gutter="0"/>
          <w:paperSrc w:first="7"/>
          <w:cols w:space="708"/>
          <w:titlePg/>
          <w:docGrid w:linePitch="360"/>
        </w:sectPr>
      </w:pPr>
    </w:p>
    <w:bookmarkEnd w:id="1"/>
    <w:p w14:paraId="7F678D97" w14:textId="77777777" w:rsidR="003567BF" w:rsidRPr="00896FA9" w:rsidRDefault="003567BF" w:rsidP="003567BF">
      <w:pPr>
        <w:jc w:val="right"/>
        <w:rPr>
          <w:rFonts w:ascii="Times New Roman" w:hAnsi="Times New Roman" w:cs="Times New Roman"/>
          <w:b/>
          <w:color w:val="auto"/>
        </w:rPr>
      </w:pPr>
      <w:r w:rsidRPr="00896FA9">
        <w:rPr>
          <w:rFonts w:ascii="Times New Roman" w:hAnsi="Times New Roman" w:cs="Times New Roman"/>
          <w:b/>
          <w:color w:val="auto"/>
        </w:rPr>
        <w:lastRenderedPageBreak/>
        <w:t>Prijedlog</w:t>
      </w:r>
    </w:p>
    <w:p w14:paraId="42AFE632" w14:textId="77777777" w:rsidR="003567BF" w:rsidRPr="00896FA9" w:rsidRDefault="003567BF" w:rsidP="003567BF">
      <w:pPr>
        <w:jc w:val="center"/>
        <w:rPr>
          <w:rFonts w:ascii="Times New Roman" w:hAnsi="Times New Roman" w:cs="Times New Roman"/>
          <w:b/>
          <w:color w:val="auto"/>
        </w:rPr>
      </w:pPr>
    </w:p>
    <w:p w14:paraId="711EEE3E" w14:textId="77777777" w:rsidR="003567BF" w:rsidRPr="00896FA9" w:rsidRDefault="003567BF" w:rsidP="0015131D">
      <w:pPr>
        <w:ind w:firstLine="1418"/>
        <w:jc w:val="both"/>
        <w:rPr>
          <w:rFonts w:ascii="Times New Roman" w:eastAsia="Calibri" w:hAnsi="Times New Roman" w:cs="Times New Roman"/>
          <w:b/>
          <w:color w:val="444444"/>
          <w:sz w:val="22"/>
          <w:szCs w:val="22"/>
          <w:lang w:eastAsia="en-US"/>
        </w:rPr>
      </w:pPr>
      <w:r w:rsidRPr="00896FA9">
        <w:rPr>
          <w:rFonts w:ascii="Times New Roman" w:eastAsia="Calibri" w:hAnsi="Times New Roman" w:cs="Times New Roman"/>
          <w:color w:val="auto"/>
          <w:lang w:eastAsia="en-US"/>
        </w:rPr>
        <w:t xml:space="preserve">Na temelju članka 38. stavka 3. Zakona o sustavu strateškog planiranja i upravljanja razvojem Republike Hrvatske („Narodne novine“, </w:t>
      </w:r>
      <w:r w:rsidRPr="00896FA9">
        <w:rPr>
          <w:rFonts w:ascii="Times New Roman" w:hAnsi="Times New Roman" w:cs="Times New Roman"/>
          <w:color w:val="auto"/>
        </w:rPr>
        <w:t>broj 123/17.</w:t>
      </w:r>
      <w:r w:rsidRPr="00896FA9">
        <w:rPr>
          <w:rFonts w:ascii="Times New Roman" w:eastAsia="Calibri" w:hAnsi="Times New Roman" w:cs="Times New Roman"/>
          <w:color w:val="auto"/>
          <w:lang w:eastAsia="en-US"/>
        </w:rPr>
        <w:t xml:space="preserve">) i članka 6. stavka 4. Uredbe o smjernicama za izradu akata strateškog planiranja od nacionalnog značaja i od značaja za jedinice lokalne i područne (regionalne) samouprave („Narodne novine“, </w:t>
      </w:r>
      <w:r w:rsidRPr="00896FA9">
        <w:rPr>
          <w:rFonts w:ascii="Times New Roman" w:hAnsi="Times New Roman" w:cs="Times New Roman"/>
          <w:color w:val="auto"/>
        </w:rPr>
        <w:t>broj 89/18.</w:t>
      </w:r>
      <w:r w:rsidRPr="00896FA9">
        <w:rPr>
          <w:rFonts w:ascii="Times New Roman" w:eastAsia="Calibri" w:hAnsi="Times New Roman" w:cs="Times New Roman"/>
          <w:color w:val="auto"/>
          <w:lang w:eastAsia="en-US"/>
        </w:rPr>
        <w:t>), Vlada Republike Hrvatske je na sjednici održanoj ______________2022. donijela</w:t>
      </w:r>
    </w:p>
    <w:p w14:paraId="4AA6B7CF" w14:textId="77777777" w:rsidR="003567BF" w:rsidRPr="00896FA9" w:rsidRDefault="003567BF" w:rsidP="003567BF">
      <w:pPr>
        <w:jc w:val="center"/>
        <w:rPr>
          <w:rFonts w:ascii="Times New Roman" w:hAnsi="Times New Roman" w:cs="Times New Roman"/>
          <w:b/>
          <w:color w:val="auto"/>
        </w:rPr>
      </w:pPr>
    </w:p>
    <w:p w14:paraId="78E660A1" w14:textId="77777777" w:rsidR="003567BF" w:rsidRPr="00896FA9" w:rsidRDefault="003567BF" w:rsidP="003567BF">
      <w:pPr>
        <w:jc w:val="center"/>
        <w:rPr>
          <w:rFonts w:ascii="Times New Roman" w:hAnsi="Times New Roman" w:cs="Times New Roman"/>
          <w:b/>
          <w:color w:val="auto"/>
        </w:rPr>
      </w:pPr>
      <w:bookmarkStart w:id="2" w:name="_GoBack"/>
      <w:bookmarkEnd w:id="2"/>
    </w:p>
    <w:p w14:paraId="3915F7ED" w14:textId="77777777" w:rsidR="003567BF" w:rsidRPr="00896FA9" w:rsidRDefault="003567BF" w:rsidP="003567BF">
      <w:pPr>
        <w:jc w:val="center"/>
        <w:rPr>
          <w:rFonts w:ascii="Times New Roman" w:hAnsi="Times New Roman" w:cs="Times New Roman"/>
          <w:b/>
          <w:color w:val="auto"/>
        </w:rPr>
      </w:pPr>
    </w:p>
    <w:p w14:paraId="1AD50742" w14:textId="77777777" w:rsidR="003567BF" w:rsidRPr="00896FA9" w:rsidRDefault="003567BF" w:rsidP="003567BF">
      <w:pPr>
        <w:jc w:val="center"/>
        <w:rPr>
          <w:rFonts w:ascii="Times New Roman" w:hAnsi="Times New Roman" w:cs="Times New Roman"/>
          <w:b/>
          <w:color w:val="auto"/>
        </w:rPr>
      </w:pPr>
    </w:p>
    <w:p w14:paraId="79841F61"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ODLUKU</w:t>
      </w:r>
    </w:p>
    <w:p w14:paraId="5CB4B31D" w14:textId="77777777" w:rsidR="003567BF" w:rsidRPr="00896FA9" w:rsidRDefault="003567BF" w:rsidP="003567BF">
      <w:pPr>
        <w:jc w:val="center"/>
        <w:rPr>
          <w:rFonts w:ascii="Times New Roman" w:hAnsi="Times New Roman" w:cs="Times New Roman"/>
          <w:b/>
          <w:color w:val="auto"/>
        </w:rPr>
      </w:pPr>
    </w:p>
    <w:p w14:paraId="1B484883"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 xml:space="preserve">o pokretanju postupka izrade </w:t>
      </w:r>
      <w:bookmarkStart w:id="3" w:name="_Hlk98851604"/>
      <w:r w:rsidRPr="00896FA9">
        <w:rPr>
          <w:rFonts w:ascii="Times New Roman" w:hAnsi="Times New Roman" w:cs="Times New Roman"/>
          <w:b/>
          <w:color w:val="auto"/>
        </w:rPr>
        <w:t xml:space="preserve">Strategije biogospodarstva do 2035. </w:t>
      </w:r>
      <w:bookmarkEnd w:id="3"/>
    </w:p>
    <w:p w14:paraId="3F128F6C" w14:textId="77777777" w:rsidR="003567BF" w:rsidRPr="00896FA9" w:rsidRDefault="003567BF" w:rsidP="003567BF">
      <w:pPr>
        <w:jc w:val="center"/>
        <w:rPr>
          <w:rFonts w:ascii="Times New Roman" w:hAnsi="Times New Roman" w:cs="Times New Roman"/>
          <w:b/>
          <w:color w:val="auto"/>
        </w:rPr>
      </w:pPr>
    </w:p>
    <w:p w14:paraId="4615072A"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I.</w:t>
      </w:r>
    </w:p>
    <w:p w14:paraId="2FC0A36F" w14:textId="77777777" w:rsidR="003567BF" w:rsidRPr="00896FA9" w:rsidRDefault="003567BF" w:rsidP="003567BF">
      <w:pPr>
        <w:jc w:val="both"/>
        <w:rPr>
          <w:rFonts w:ascii="Times New Roman" w:hAnsi="Times New Roman" w:cs="Times New Roman"/>
          <w:color w:val="auto"/>
        </w:rPr>
      </w:pPr>
    </w:p>
    <w:p w14:paraId="0C4AB69D"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Ovom Odlukom zadužuju se Ministarstvo poljoprivrede, Ministarstvo gospodarstva i održivog razvoja, Ministarstvo znanosti i obrazovanja te Ministarstvo regionalnoga razvoja i fondova Europske unije za izradu Strategije biogospodarstva do 2035. (u daljnjem tekstu: </w:t>
      </w:r>
      <w:bookmarkStart w:id="4" w:name="_Hlk98851738"/>
      <w:r w:rsidRPr="00896FA9">
        <w:rPr>
          <w:rFonts w:ascii="Times New Roman" w:hAnsi="Times New Roman" w:cs="Times New Roman"/>
          <w:color w:val="auto"/>
        </w:rPr>
        <w:t>Strategija</w:t>
      </w:r>
      <w:bookmarkEnd w:id="4"/>
      <w:r w:rsidRPr="00896FA9">
        <w:rPr>
          <w:rFonts w:ascii="Times New Roman" w:hAnsi="Times New Roman" w:cs="Times New Roman"/>
          <w:color w:val="auto"/>
        </w:rPr>
        <w:t>).</w:t>
      </w:r>
    </w:p>
    <w:p w14:paraId="294C5DFB" w14:textId="77777777" w:rsidR="003567BF" w:rsidRPr="00896FA9" w:rsidRDefault="003567BF" w:rsidP="003567BF">
      <w:pPr>
        <w:jc w:val="both"/>
        <w:rPr>
          <w:rFonts w:ascii="Times New Roman" w:hAnsi="Times New Roman" w:cs="Times New Roman"/>
          <w:color w:val="auto"/>
        </w:rPr>
      </w:pPr>
    </w:p>
    <w:p w14:paraId="71BE41D1"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Ministarstvo poljoprivrede zadužuje se za koordinaciju izrade Strategije. </w:t>
      </w:r>
    </w:p>
    <w:p w14:paraId="2AEFF4C0" w14:textId="77777777" w:rsidR="003567BF" w:rsidRPr="00896FA9" w:rsidRDefault="003567BF" w:rsidP="003567BF">
      <w:pPr>
        <w:jc w:val="both"/>
        <w:rPr>
          <w:rFonts w:ascii="Times New Roman" w:hAnsi="Times New Roman" w:cs="Times New Roman"/>
          <w:color w:val="auto"/>
        </w:rPr>
      </w:pPr>
    </w:p>
    <w:p w14:paraId="528D2D1C" w14:textId="77777777" w:rsidR="003567BF" w:rsidRPr="00896FA9" w:rsidRDefault="003567BF" w:rsidP="003567BF">
      <w:pPr>
        <w:jc w:val="both"/>
        <w:rPr>
          <w:rFonts w:ascii="Times New Roman" w:eastAsia="Calibri" w:hAnsi="Times New Roman" w:cs="Times New Roman"/>
          <w:color w:val="auto"/>
          <w:lang w:eastAsia="en-US"/>
        </w:rPr>
      </w:pPr>
      <w:bookmarkStart w:id="5" w:name="_Hlk109212993"/>
      <w:r w:rsidRPr="00896FA9">
        <w:rPr>
          <w:rFonts w:ascii="Times New Roman" w:hAnsi="Times New Roman" w:cs="Times New Roman"/>
          <w:color w:val="auto"/>
        </w:rPr>
        <w:tab/>
      </w:r>
      <w:r w:rsidRPr="00896FA9">
        <w:rPr>
          <w:rFonts w:ascii="Times New Roman" w:hAnsi="Times New Roman" w:cs="Times New Roman"/>
          <w:color w:val="auto"/>
        </w:rPr>
        <w:tab/>
        <w:t xml:space="preserve">Strategija će definirati viziju i strateške ciljeve razvoja biogospodarstva, </w:t>
      </w:r>
      <w:r w:rsidRPr="00896FA9">
        <w:rPr>
          <w:rFonts w:ascii="Times New Roman" w:eastAsia="Calibri" w:hAnsi="Times New Roman" w:cs="Times New Roman"/>
          <w:color w:val="auto"/>
          <w:lang w:eastAsia="en-US"/>
        </w:rPr>
        <w:t>vodeći računa o načelima održivog razvoja</w:t>
      </w:r>
      <w:r w:rsidRPr="00896FA9">
        <w:rPr>
          <w:rFonts w:ascii="Times New Roman" w:hAnsi="Times New Roman" w:cs="Times New Roman"/>
          <w:color w:val="auto"/>
        </w:rPr>
        <w:t xml:space="preserve"> i nacionalnim razvojnim smjerovima</w:t>
      </w:r>
      <w:r w:rsidRPr="00896FA9">
        <w:rPr>
          <w:rFonts w:ascii="Times New Roman" w:eastAsia="Calibri" w:hAnsi="Times New Roman" w:cs="Times New Roman"/>
          <w:color w:val="auto"/>
          <w:lang w:eastAsia="en-US"/>
        </w:rPr>
        <w:t>, razvojnim potrebama i potencijalima biogospodarstva.</w:t>
      </w:r>
    </w:p>
    <w:bookmarkEnd w:id="5"/>
    <w:p w14:paraId="0D087054" w14:textId="77777777" w:rsidR="003567BF" w:rsidRPr="00896FA9" w:rsidRDefault="003567BF" w:rsidP="003567BF">
      <w:pPr>
        <w:jc w:val="both"/>
        <w:rPr>
          <w:rFonts w:ascii="Times New Roman" w:eastAsia="Calibri" w:hAnsi="Times New Roman" w:cs="Times New Roman"/>
          <w:color w:val="auto"/>
          <w:lang w:eastAsia="en-US"/>
        </w:rPr>
      </w:pPr>
    </w:p>
    <w:p w14:paraId="17CA023C" w14:textId="77777777" w:rsidR="003567BF" w:rsidRPr="00896FA9" w:rsidRDefault="003567BF" w:rsidP="003567BF">
      <w:pPr>
        <w:jc w:val="both"/>
        <w:rPr>
          <w:rFonts w:ascii="Times New Roman" w:eastAsia="Calibri" w:hAnsi="Times New Roman" w:cs="Times New Roman"/>
          <w:color w:val="auto"/>
          <w:lang w:eastAsia="en-US"/>
        </w:rPr>
      </w:pPr>
      <w:r w:rsidRPr="00896FA9">
        <w:rPr>
          <w:rFonts w:ascii="Times New Roman" w:eastAsia="Calibri" w:hAnsi="Times New Roman" w:cs="Times New Roman"/>
          <w:color w:val="auto"/>
          <w:lang w:eastAsia="en-US"/>
        </w:rPr>
        <w:tab/>
      </w:r>
      <w:r w:rsidRPr="00896FA9">
        <w:rPr>
          <w:rFonts w:ascii="Times New Roman" w:eastAsia="Calibri" w:hAnsi="Times New Roman" w:cs="Times New Roman"/>
          <w:color w:val="auto"/>
          <w:lang w:eastAsia="en-US"/>
        </w:rPr>
        <w:tab/>
        <w:t>Strategija će obuhvatiti javne politike iz svih sektora relevantnih za područje biogospodarstva te će predstavljati strateški dokument za konkretizaciju mjera razvoja biogospodarstva.</w:t>
      </w:r>
    </w:p>
    <w:p w14:paraId="3BC488B8" w14:textId="77777777" w:rsidR="003567BF" w:rsidRPr="00896FA9" w:rsidRDefault="003567BF" w:rsidP="003567BF">
      <w:pPr>
        <w:jc w:val="both"/>
        <w:rPr>
          <w:rFonts w:ascii="Times New Roman" w:hAnsi="Times New Roman" w:cs="Times New Roman"/>
          <w:color w:val="auto"/>
        </w:rPr>
      </w:pPr>
    </w:p>
    <w:p w14:paraId="7DBDDB46"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U okviru Strategije izradit će se indikativni financijski plan, mehanizmi za provedbu ciljeva te okvir za praćenje i vrednovanje Strategije. </w:t>
      </w:r>
    </w:p>
    <w:p w14:paraId="779203DD" w14:textId="77777777" w:rsidR="003567BF" w:rsidRPr="00896FA9" w:rsidRDefault="003567BF" w:rsidP="003567BF">
      <w:pPr>
        <w:jc w:val="both"/>
        <w:rPr>
          <w:rFonts w:ascii="Times New Roman" w:hAnsi="Times New Roman" w:cs="Times New Roman"/>
          <w:color w:val="auto"/>
        </w:rPr>
      </w:pPr>
    </w:p>
    <w:p w14:paraId="37AB23CE"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II.</w:t>
      </w:r>
    </w:p>
    <w:p w14:paraId="3B896CAE" w14:textId="77777777" w:rsidR="003567BF" w:rsidRPr="00896FA9" w:rsidRDefault="003567BF" w:rsidP="003567BF">
      <w:pPr>
        <w:jc w:val="both"/>
        <w:rPr>
          <w:rFonts w:ascii="Times New Roman" w:hAnsi="Times New Roman" w:cs="Times New Roman"/>
          <w:color w:val="auto"/>
        </w:rPr>
      </w:pPr>
    </w:p>
    <w:p w14:paraId="221B16B2"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Zadužuje se </w:t>
      </w:r>
      <w:bookmarkStart w:id="6" w:name="_Hlk98851924"/>
      <w:r w:rsidRPr="00896FA9">
        <w:rPr>
          <w:rFonts w:ascii="Times New Roman" w:hAnsi="Times New Roman" w:cs="Times New Roman"/>
          <w:color w:val="auto"/>
        </w:rPr>
        <w:t xml:space="preserve">Ministarstvo poljoprivrede </w:t>
      </w:r>
      <w:bookmarkEnd w:id="6"/>
      <w:r w:rsidRPr="00896FA9">
        <w:rPr>
          <w:rFonts w:ascii="Times New Roman" w:hAnsi="Times New Roman" w:cs="Times New Roman"/>
          <w:color w:val="auto"/>
        </w:rPr>
        <w:t>da, u roku od 15 dana od dana stupanja na snagu ove Odluke, imenuje stručnu radnu skupinu za izradu prijedloga Strategije.</w:t>
      </w:r>
    </w:p>
    <w:p w14:paraId="04426915" w14:textId="77777777" w:rsidR="003567BF" w:rsidRPr="00896FA9" w:rsidRDefault="003567BF" w:rsidP="003567BF">
      <w:pPr>
        <w:jc w:val="both"/>
        <w:rPr>
          <w:rFonts w:ascii="Times New Roman" w:hAnsi="Times New Roman" w:cs="Times New Roman"/>
          <w:color w:val="auto"/>
        </w:rPr>
      </w:pPr>
    </w:p>
    <w:p w14:paraId="02C609DF"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Ministarstvo poljoprivrede obavlja stručne, administrativne i tehničke poslove za stručnu radnu skupinu iz stavka 1. ove točke. </w:t>
      </w:r>
    </w:p>
    <w:p w14:paraId="02756F2E" w14:textId="77777777" w:rsidR="003567BF" w:rsidRPr="00896FA9" w:rsidRDefault="003567BF" w:rsidP="003567BF">
      <w:pPr>
        <w:jc w:val="both"/>
        <w:rPr>
          <w:rFonts w:ascii="Times New Roman" w:hAnsi="Times New Roman" w:cs="Times New Roman"/>
          <w:color w:val="auto"/>
        </w:rPr>
      </w:pPr>
    </w:p>
    <w:p w14:paraId="6E36EFE8"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III.</w:t>
      </w:r>
    </w:p>
    <w:p w14:paraId="4C9E90F6" w14:textId="77777777" w:rsidR="003567BF" w:rsidRPr="00896FA9" w:rsidRDefault="003567BF" w:rsidP="003567BF">
      <w:pPr>
        <w:jc w:val="both"/>
        <w:rPr>
          <w:rFonts w:ascii="Times New Roman" w:hAnsi="Times New Roman" w:cs="Times New Roman"/>
          <w:color w:val="auto"/>
        </w:rPr>
      </w:pPr>
    </w:p>
    <w:p w14:paraId="7A2BFF1C"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Izrada Strategije zahtjeva participativni, multisektorski pristup te će kroz stručnu radnu skupinu iz točke II. ove Odluke i javno savjetovanje u njenu izradu po potrebi biti uključena i druga tijela državne uprave, lokalna i područna (regionalna) samouprava, znanstvene i istraživačke institucije, nevladine organizacije, privatni sektor i drugi zainteresirani dionici.</w:t>
      </w:r>
    </w:p>
    <w:p w14:paraId="04E6DBE6" w14:textId="77777777" w:rsidR="003567BF" w:rsidRPr="00896FA9" w:rsidRDefault="003567BF" w:rsidP="003567BF">
      <w:pPr>
        <w:jc w:val="center"/>
        <w:rPr>
          <w:rFonts w:ascii="Times New Roman" w:hAnsi="Times New Roman" w:cs="Times New Roman"/>
          <w:b/>
          <w:color w:val="auto"/>
        </w:rPr>
      </w:pPr>
    </w:p>
    <w:p w14:paraId="278EAA72"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IV.</w:t>
      </w:r>
    </w:p>
    <w:p w14:paraId="272DB17B" w14:textId="77777777" w:rsidR="003567BF" w:rsidRPr="00896FA9" w:rsidRDefault="003567BF" w:rsidP="003567BF">
      <w:pPr>
        <w:jc w:val="center"/>
        <w:rPr>
          <w:rFonts w:ascii="Times New Roman" w:hAnsi="Times New Roman" w:cs="Times New Roman"/>
          <w:color w:val="auto"/>
        </w:rPr>
      </w:pPr>
    </w:p>
    <w:p w14:paraId="1EFE7BE6" w14:textId="77777777" w:rsidR="003567BF" w:rsidRPr="00896FA9" w:rsidRDefault="003567BF" w:rsidP="003567BF">
      <w:pPr>
        <w:jc w:val="both"/>
        <w:rPr>
          <w:rFonts w:ascii="Times New Roman" w:eastAsia="Calibri" w:hAnsi="Times New Roman" w:cs="Times New Roman"/>
          <w:b/>
          <w:color w:val="auto"/>
          <w:lang w:eastAsia="en-US"/>
        </w:rPr>
      </w:pPr>
      <w:r w:rsidRPr="00896FA9">
        <w:rPr>
          <w:rFonts w:ascii="Times New Roman" w:hAnsi="Times New Roman" w:cs="Times New Roman"/>
          <w:color w:val="auto"/>
        </w:rPr>
        <w:tab/>
      </w:r>
      <w:r w:rsidRPr="00896FA9">
        <w:rPr>
          <w:rFonts w:ascii="Times New Roman" w:hAnsi="Times New Roman" w:cs="Times New Roman"/>
          <w:color w:val="auto"/>
        </w:rPr>
        <w:tab/>
        <w:t>Ministarstvo poljoprivrede dužno je izraditi komunikacijsku strategiju i komunikacijski akcijski plan za Strategiju, radi informiranja, komunikacije i vidljivosti postupka planiranja javnih politika, u roku od 90 dana od dana stupanja na snagu ove Odluke.</w:t>
      </w:r>
    </w:p>
    <w:p w14:paraId="23E3F395" w14:textId="77777777" w:rsidR="003567BF" w:rsidRPr="00896FA9" w:rsidRDefault="003567BF" w:rsidP="003567BF">
      <w:pPr>
        <w:jc w:val="center"/>
        <w:rPr>
          <w:rFonts w:ascii="Times New Roman" w:hAnsi="Times New Roman" w:cs="Times New Roman"/>
          <w:b/>
          <w:color w:val="auto"/>
        </w:rPr>
      </w:pPr>
    </w:p>
    <w:p w14:paraId="7B046A7A"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V.</w:t>
      </w:r>
    </w:p>
    <w:p w14:paraId="7375B1DE" w14:textId="77777777" w:rsidR="003567BF" w:rsidRPr="00896FA9" w:rsidRDefault="003567BF" w:rsidP="003567BF">
      <w:pPr>
        <w:rPr>
          <w:rFonts w:ascii="Times New Roman" w:hAnsi="Times New Roman" w:cs="Times New Roman"/>
          <w:b/>
          <w:color w:val="auto"/>
        </w:rPr>
      </w:pPr>
    </w:p>
    <w:p w14:paraId="0535930E"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Ministarstvo poljoprivrede dužno je u roku od osam dana od dana stupanja na snagu ove Odluke putem svojih mrežnih stranica obavijestiti javnost o početku izrade Strategije. </w:t>
      </w:r>
    </w:p>
    <w:p w14:paraId="735727DF" w14:textId="77777777" w:rsidR="003567BF" w:rsidRPr="00896FA9" w:rsidRDefault="003567BF" w:rsidP="003567BF">
      <w:pPr>
        <w:jc w:val="center"/>
        <w:rPr>
          <w:rFonts w:ascii="Times New Roman" w:hAnsi="Times New Roman" w:cs="Times New Roman"/>
          <w:b/>
          <w:color w:val="auto"/>
        </w:rPr>
      </w:pPr>
    </w:p>
    <w:p w14:paraId="71A18128"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t>VI.</w:t>
      </w:r>
    </w:p>
    <w:p w14:paraId="5BE4D224" w14:textId="77777777" w:rsidR="003567BF" w:rsidRPr="00896FA9" w:rsidRDefault="003567BF" w:rsidP="003567BF">
      <w:pPr>
        <w:rPr>
          <w:rFonts w:ascii="Times New Roman" w:hAnsi="Times New Roman" w:cs="Times New Roman"/>
          <w:color w:val="auto"/>
        </w:rPr>
      </w:pPr>
    </w:p>
    <w:p w14:paraId="745E9D98" w14:textId="77777777" w:rsidR="003567BF" w:rsidRPr="00896FA9" w:rsidRDefault="003567BF" w:rsidP="003567BF">
      <w:pPr>
        <w:rPr>
          <w:rFonts w:ascii="Times New Roman" w:hAnsi="Times New Roman" w:cs="Times New Roman"/>
          <w:color w:val="auto"/>
        </w:rPr>
      </w:pPr>
      <w:r w:rsidRPr="00896FA9">
        <w:rPr>
          <w:rFonts w:ascii="Times New Roman" w:hAnsi="Times New Roman" w:cs="Times New Roman"/>
          <w:color w:val="auto"/>
        </w:rPr>
        <w:tab/>
      </w:r>
      <w:r w:rsidRPr="00896FA9">
        <w:rPr>
          <w:rFonts w:ascii="Times New Roman" w:hAnsi="Times New Roman" w:cs="Times New Roman"/>
          <w:color w:val="auto"/>
        </w:rPr>
        <w:tab/>
        <w:t xml:space="preserve">Ova Odluka stupa na snagu danom donošenja. </w:t>
      </w:r>
    </w:p>
    <w:p w14:paraId="6CD0CD59" w14:textId="77777777" w:rsidR="003567BF" w:rsidRPr="00896FA9" w:rsidRDefault="003567BF" w:rsidP="003567BF">
      <w:pPr>
        <w:rPr>
          <w:rFonts w:ascii="Times New Roman" w:hAnsi="Times New Roman" w:cs="Times New Roman"/>
          <w:color w:val="auto"/>
        </w:rPr>
      </w:pPr>
    </w:p>
    <w:p w14:paraId="2162B65C" w14:textId="77777777" w:rsidR="003567BF" w:rsidRPr="00896FA9" w:rsidRDefault="003567BF" w:rsidP="003567BF">
      <w:pPr>
        <w:rPr>
          <w:rFonts w:ascii="Times New Roman" w:hAnsi="Times New Roman" w:cs="Times New Roman"/>
          <w:color w:val="auto"/>
        </w:rPr>
      </w:pPr>
    </w:p>
    <w:p w14:paraId="62FAB7F8" w14:textId="77777777" w:rsidR="003567BF" w:rsidRPr="00896FA9" w:rsidRDefault="003567BF" w:rsidP="003567BF">
      <w:pPr>
        <w:rPr>
          <w:rFonts w:ascii="Times New Roman" w:hAnsi="Times New Roman" w:cs="Times New Roman"/>
          <w:color w:val="auto"/>
        </w:rPr>
      </w:pPr>
    </w:p>
    <w:p w14:paraId="4770890C" w14:textId="77777777" w:rsidR="003567BF" w:rsidRPr="00896FA9" w:rsidRDefault="003567BF" w:rsidP="003567BF">
      <w:pPr>
        <w:rPr>
          <w:rFonts w:ascii="Times New Roman" w:hAnsi="Times New Roman" w:cs="Times New Roman"/>
          <w:color w:val="auto"/>
        </w:rPr>
      </w:pPr>
      <w:r w:rsidRPr="00896FA9">
        <w:rPr>
          <w:rFonts w:ascii="Times New Roman" w:hAnsi="Times New Roman" w:cs="Times New Roman"/>
          <w:color w:val="auto"/>
        </w:rPr>
        <w:t>KLASA:</w:t>
      </w:r>
    </w:p>
    <w:p w14:paraId="4346770A" w14:textId="77777777" w:rsidR="003567BF" w:rsidRPr="00896FA9" w:rsidRDefault="003567BF" w:rsidP="003567BF">
      <w:pPr>
        <w:rPr>
          <w:rFonts w:ascii="Times New Roman" w:hAnsi="Times New Roman" w:cs="Times New Roman"/>
          <w:color w:val="auto"/>
        </w:rPr>
      </w:pPr>
      <w:r w:rsidRPr="00896FA9">
        <w:rPr>
          <w:rFonts w:ascii="Times New Roman" w:hAnsi="Times New Roman" w:cs="Times New Roman"/>
          <w:color w:val="auto"/>
        </w:rPr>
        <w:t>URBROJ:</w:t>
      </w:r>
    </w:p>
    <w:p w14:paraId="015180C5" w14:textId="77777777" w:rsidR="003567BF" w:rsidRPr="00896FA9" w:rsidRDefault="003567BF" w:rsidP="003567BF">
      <w:pPr>
        <w:rPr>
          <w:rFonts w:ascii="Times New Roman" w:hAnsi="Times New Roman" w:cs="Times New Roman"/>
          <w:color w:val="auto"/>
        </w:rPr>
      </w:pPr>
    </w:p>
    <w:p w14:paraId="2EC5B9A5" w14:textId="77777777" w:rsidR="003567BF" w:rsidRPr="00896FA9" w:rsidRDefault="003567BF" w:rsidP="003567BF">
      <w:pPr>
        <w:rPr>
          <w:rFonts w:ascii="Times New Roman" w:hAnsi="Times New Roman" w:cs="Times New Roman"/>
          <w:color w:val="auto"/>
        </w:rPr>
      </w:pPr>
      <w:r w:rsidRPr="00896FA9">
        <w:rPr>
          <w:rFonts w:ascii="Times New Roman" w:hAnsi="Times New Roman" w:cs="Times New Roman"/>
          <w:color w:val="auto"/>
        </w:rPr>
        <w:t xml:space="preserve">Zagreb, ________________ 2022. </w:t>
      </w:r>
    </w:p>
    <w:p w14:paraId="726FABA2" w14:textId="77777777" w:rsidR="003567BF" w:rsidRPr="00896FA9" w:rsidRDefault="003567BF" w:rsidP="003567BF">
      <w:pPr>
        <w:rPr>
          <w:rFonts w:ascii="Times New Roman" w:hAnsi="Times New Roman" w:cs="Times New Roman"/>
          <w:color w:val="auto"/>
        </w:rPr>
      </w:pPr>
    </w:p>
    <w:p w14:paraId="41185023" w14:textId="77777777" w:rsidR="003567BF" w:rsidRPr="00896FA9" w:rsidRDefault="003567BF" w:rsidP="003567BF">
      <w:pPr>
        <w:rPr>
          <w:rFonts w:ascii="Times New Roman" w:hAnsi="Times New Roman" w:cs="Times New Roman"/>
          <w:color w:val="auto"/>
        </w:rPr>
      </w:pPr>
    </w:p>
    <w:p w14:paraId="5CC72EB2" w14:textId="77777777" w:rsidR="003567BF" w:rsidRPr="00896FA9" w:rsidRDefault="003567BF" w:rsidP="003567BF">
      <w:pPr>
        <w:ind w:left="5670"/>
        <w:jc w:val="center"/>
        <w:rPr>
          <w:rFonts w:ascii="Times New Roman" w:hAnsi="Times New Roman" w:cs="Times New Roman"/>
          <w:b/>
          <w:color w:val="auto"/>
        </w:rPr>
      </w:pPr>
    </w:p>
    <w:p w14:paraId="605756A7" w14:textId="77777777" w:rsidR="003567BF" w:rsidRPr="00896FA9" w:rsidRDefault="003567BF" w:rsidP="003567BF">
      <w:pPr>
        <w:ind w:left="5670"/>
        <w:jc w:val="center"/>
        <w:rPr>
          <w:rFonts w:ascii="Times New Roman" w:hAnsi="Times New Roman" w:cs="Times New Roman"/>
          <w:b/>
          <w:color w:val="auto"/>
        </w:rPr>
      </w:pPr>
    </w:p>
    <w:p w14:paraId="11A42567" w14:textId="77777777" w:rsidR="003567BF" w:rsidRPr="00896FA9" w:rsidRDefault="003567BF" w:rsidP="003567BF">
      <w:pPr>
        <w:ind w:left="5670"/>
        <w:jc w:val="center"/>
        <w:rPr>
          <w:rFonts w:ascii="Times New Roman" w:hAnsi="Times New Roman" w:cs="Times New Roman"/>
          <w:b/>
          <w:color w:val="auto"/>
        </w:rPr>
      </w:pPr>
    </w:p>
    <w:p w14:paraId="613BA700" w14:textId="77777777" w:rsidR="003567BF" w:rsidRPr="00896FA9" w:rsidRDefault="003567BF" w:rsidP="003567BF">
      <w:pPr>
        <w:ind w:left="5670"/>
        <w:jc w:val="center"/>
        <w:rPr>
          <w:rFonts w:ascii="Times New Roman" w:hAnsi="Times New Roman" w:cs="Times New Roman"/>
          <w:b/>
          <w:color w:val="auto"/>
        </w:rPr>
      </w:pPr>
      <w:r w:rsidRPr="00896FA9">
        <w:rPr>
          <w:rFonts w:ascii="Times New Roman" w:hAnsi="Times New Roman" w:cs="Times New Roman"/>
          <w:b/>
          <w:color w:val="auto"/>
        </w:rPr>
        <w:t>PREDSJEDNIK</w:t>
      </w:r>
    </w:p>
    <w:p w14:paraId="488288E3" w14:textId="77777777" w:rsidR="003567BF" w:rsidRPr="00896FA9" w:rsidRDefault="003567BF" w:rsidP="003567BF">
      <w:pPr>
        <w:ind w:left="5670"/>
        <w:jc w:val="center"/>
        <w:rPr>
          <w:rFonts w:ascii="Times New Roman" w:hAnsi="Times New Roman" w:cs="Times New Roman"/>
          <w:b/>
          <w:color w:val="auto"/>
        </w:rPr>
      </w:pPr>
    </w:p>
    <w:p w14:paraId="52CA36CB" w14:textId="77777777" w:rsidR="003567BF" w:rsidRPr="00896FA9" w:rsidRDefault="003567BF" w:rsidP="003567BF">
      <w:pPr>
        <w:ind w:left="5670"/>
        <w:jc w:val="center"/>
        <w:rPr>
          <w:rFonts w:ascii="Times New Roman" w:hAnsi="Times New Roman" w:cs="Times New Roman"/>
          <w:b/>
          <w:color w:val="auto"/>
        </w:rPr>
      </w:pPr>
      <w:r w:rsidRPr="00896FA9">
        <w:rPr>
          <w:rFonts w:ascii="Times New Roman" w:hAnsi="Times New Roman" w:cs="Times New Roman"/>
          <w:b/>
          <w:color w:val="auto"/>
        </w:rPr>
        <w:t>mr. sc. Andrej Plenković</w:t>
      </w:r>
    </w:p>
    <w:p w14:paraId="32A4EAC8" w14:textId="77777777" w:rsidR="003567BF" w:rsidRPr="00896FA9" w:rsidRDefault="003567BF" w:rsidP="003567BF">
      <w:pPr>
        <w:ind w:left="5670"/>
        <w:jc w:val="center"/>
        <w:rPr>
          <w:rFonts w:ascii="Times New Roman" w:hAnsi="Times New Roman" w:cs="Times New Roman"/>
          <w:b/>
          <w:color w:val="auto"/>
        </w:rPr>
      </w:pPr>
    </w:p>
    <w:p w14:paraId="7BCFB6BF" w14:textId="77777777" w:rsidR="003567BF" w:rsidRPr="00896FA9" w:rsidRDefault="003567BF" w:rsidP="003567BF">
      <w:pPr>
        <w:spacing w:after="160" w:line="259" w:lineRule="auto"/>
        <w:rPr>
          <w:rFonts w:ascii="Times New Roman" w:hAnsi="Times New Roman" w:cs="Times New Roman"/>
          <w:color w:val="auto"/>
        </w:rPr>
      </w:pPr>
      <w:r w:rsidRPr="00896FA9">
        <w:rPr>
          <w:rFonts w:ascii="Times New Roman" w:hAnsi="Times New Roman" w:cs="Times New Roman"/>
          <w:color w:val="auto"/>
        </w:rPr>
        <w:br w:type="page"/>
      </w:r>
    </w:p>
    <w:p w14:paraId="6AA2B126" w14:textId="77777777" w:rsidR="003567BF" w:rsidRPr="00896FA9" w:rsidRDefault="003567BF" w:rsidP="003567BF">
      <w:pPr>
        <w:jc w:val="center"/>
        <w:rPr>
          <w:rFonts w:ascii="Times New Roman" w:hAnsi="Times New Roman" w:cs="Times New Roman"/>
          <w:b/>
          <w:color w:val="auto"/>
        </w:rPr>
      </w:pPr>
      <w:r w:rsidRPr="00896FA9">
        <w:rPr>
          <w:rFonts w:ascii="Times New Roman" w:hAnsi="Times New Roman" w:cs="Times New Roman"/>
          <w:b/>
          <w:color w:val="auto"/>
        </w:rPr>
        <w:lastRenderedPageBreak/>
        <w:t>OBRAZLOŽENJE</w:t>
      </w:r>
    </w:p>
    <w:p w14:paraId="7E72F111" w14:textId="77777777" w:rsidR="003567BF" w:rsidRPr="00896FA9" w:rsidRDefault="003567BF" w:rsidP="003567BF">
      <w:pPr>
        <w:rPr>
          <w:rFonts w:ascii="Times New Roman" w:hAnsi="Times New Roman" w:cs="Times New Roman"/>
          <w:color w:val="auto"/>
        </w:rPr>
      </w:pPr>
    </w:p>
    <w:p w14:paraId="1A971975" w14:textId="77777777" w:rsidR="003567BF" w:rsidRPr="00896FA9" w:rsidRDefault="003567BF" w:rsidP="003567BF">
      <w:pPr>
        <w:rPr>
          <w:rFonts w:ascii="Times New Roman" w:hAnsi="Times New Roman" w:cs="Times New Roman"/>
          <w:color w:val="auto"/>
        </w:rPr>
      </w:pPr>
    </w:p>
    <w:p w14:paraId="31B84FC8"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Nacionalnom razvojnom strategijom Republike Hrvatske do 2030. godine („Narodne novine“, broj 13/21.) predviđeno je donošenje Strategije biogospodarstva do 2035. kao jednog od akata kojima se podupire provedba strateškog okvira Nacionalne razvojne strategije. Nositeljem izrade određeno je Ministarstvo poljoprivrede.</w:t>
      </w:r>
    </w:p>
    <w:p w14:paraId="06D980EE" w14:textId="77777777" w:rsidR="003567BF" w:rsidRPr="00896FA9" w:rsidRDefault="003567BF" w:rsidP="003567BF">
      <w:pPr>
        <w:jc w:val="both"/>
        <w:rPr>
          <w:rFonts w:ascii="Times New Roman" w:hAnsi="Times New Roman" w:cs="Times New Roman"/>
          <w:color w:val="auto"/>
        </w:rPr>
      </w:pPr>
    </w:p>
    <w:p w14:paraId="6133D2B2"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Biogospodarstvo je model gospodarskog razvoja koji se temelji na obnovljivim biološkim resursima (biomasi), za razliku od prevladavajućeg modela temeljenog na fosilnim gorivima. Na razini Europske unije biogospodarstvo se promiče kao gospodarski model koji se dobro uklapa u strateške smjernice definirane Europskim zelenim planom i dokumentima koji iz njega proizlaze.</w:t>
      </w:r>
    </w:p>
    <w:p w14:paraId="1C26E543" w14:textId="77777777" w:rsidR="003567BF" w:rsidRPr="00896FA9" w:rsidRDefault="003567BF" w:rsidP="003567BF">
      <w:pPr>
        <w:jc w:val="both"/>
        <w:rPr>
          <w:rFonts w:ascii="Times New Roman" w:hAnsi="Times New Roman" w:cs="Times New Roman"/>
          <w:color w:val="auto"/>
        </w:rPr>
      </w:pPr>
    </w:p>
    <w:p w14:paraId="1B35F2B7" w14:textId="77777777" w:rsidR="003567BF" w:rsidRDefault="003567BF" w:rsidP="003567BF">
      <w:pPr>
        <w:jc w:val="both"/>
        <w:rPr>
          <w:rFonts w:ascii="Times New Roman" w:hAnsi="Times New Roman" w:cs="Times New Roman"/>
          <w:color w:val="auto"/>
        </w:rPr>
      </w:pPr>
      <w:r w:rsidRPr="00896FA9">
        <w:rPr>
          <w:rFonts w:ascii="Times New Roman" w:hAnsi="Times New Roman" w:cs="Times New Roman"/>
          <w:color w:val="auto"/>
        </w:rPr>
        <w:t xml:space="preserve">Prema definiciji iz Strategije biogospodarstva Europske unije, biogospodarstvo </w:t>
      </w:r>
      <w:r w:rsidRPr="00FA1468">
        <w:rPr>
          <w:rFonts w:ascii="Times New Roman" w:hAnsi="Times New Roman" w:cs="Times New Roman"/>
          <w:color w:val="auto"/>
        </w:rPr>
        <w:t>obuhvaća sve sektore i sustave koji se oslanjaju na biološke resurse</w:t>
      </w:r>
      <w:r>
        <w:rPr>
          <w:rFonts w:ascii="Times New Roman" w:hAnsi="Times New Roman" w:cs="Times New Roman"/>
          <w:color w:val="auto"/>
        </w:rPr>
        <w:t xml:space="preserve"> </w:t>
      </w:r>
      <w:r w:rsidRPr="00FA1468">
        <w:rPr>
          <w:rFonts w:ascii="Times New Roman" w:hAnsi="Times New Roman" w:cs="Times New Roman"/>
          <w:color w:val="auto"/>
        </w:rPr>
        <w:t>(životinje, biljke, mikroorganizme i biomasu iz tih izvora, uključujući organski otpad),</w:t>
      </w:r>
      <w:r>
        <w:rPr>
          <w:rFonts w:ascii="Times New Roman" w:hAnsi="Times New Roman" w:cs="Times New Roman"/>
          <w:color w:val="auto"/>
        </w:rPr>
        <w:t xml:space="preserve"> </w:t>
      </w:r>
      <w:r w:rsidRPr="00FA1468">
        <w:rPr>
          <w:rFonts w:ascii="Times New Roman" w:hAnsi="Times New Roman" w:cs="Times New Roman"/>
          <w:color w:val="auto"/>
        </w:rPr>
        <w:t>njihove funkcije i načela. Ono obuhvaća i međusobno povezuje kopnene i morske ekosustave</w:t>
      </w:r>
      <w:r>
        <w:rPr>
          <w:rFonts w:ascii="Times New Roman" w:hAnsi="Times New Roman" w:cs="Times New Roman"/>
          <w:color w:val="auto"/>
        </w:rPr>
        <w:t xml:space="preserve">  </w:t>
      </w:r>
      <w:r w:rsidRPr="00FA1468">
        <w:rPr>
          <w:rFonts w:ascii="Times New Roman" w:hAnsi="Times New Roman" w:cs="Times New Roman"/>
          <w:color w:val="auto"/>
        </w:rPr>
        <w:t>i njihove usluge, sve sektore primarne proizvodnje u kojima se koriste i proizvode biološki</w:t>
      </w:r>
      <w:r>
        <w:rPr>
          <w:rFonts w:ascii="Times New Roman" w:hAnsi="Times New Roman" w:cs="Times New Roman"/>
          <w:color w:val="auto"/>
        </w:rPr>
        <w:t xml:space="preserve">  </w:t>
      </w:r>
      <w:r w:rsidRPr="00FA1468">
        <w:rPr>
          <w:rFonts w:ascii="Times New Roman" w:hAnsi="Times New Roman" w:cs="Times New Roman"/>
          <w:color w:val="auto"/>
        </w:rPr>
        <w:t>resursi (poljoprivreda, šumarstvo, ribarstvo i akvakultura) te sve gospodarske i industrijske</w:t>
      </w:r>
      <w:r>
        <w:rPr>
          <w:rFonts w:ascii="Times New Roman" w:hAnsi="Times New Roman" w:cs="Times New Roman"/>
          <w:color w:val="auto"/>
        </w:rPr>
        <w:t xml:space="preserve">  </w:t>
      </w:r>
      <w:r w:rsidRPr="00FA1468">
        <w:rPr>
          <w:rFonts w:ascii="Times New Roman" w:hAnsi="Times New Roman" w:cs="Times New Roman"/>
          <w:color w:val="auto"/>
        </w:rPr>
        <w:t>sektore u kojima se biološki resursi i procesi koriste za proizvodnju hrane, hrane za životinje,</w:t>
      </w:r>
      <w:r>
        <w:rPr>
          <w:rFonts w:ascii="Times New Roman" w:hAnsi="Times New Roman" w:cs="Times New Roman"/>
          <w:color w:val="auto"/>
        </w:rPr>
        <w:t xml:space="preserve">  </w:t>
      </w:r>
      <w:r w:rsidRPr="00FA1468">
        <w:rPr>
          <w:rFonts w:ascii="Times New Roman" w:hAnsi="Times New Roman" w:cs="Times New Roman"/>
          <w:color w:val="auto"/>
        </w:rPr>
        <w:t>proizvoda dobivenih od bioloških sirovina, energije i usluga</w:t>
      </w:r>
      <w:r>
        <w:rPr>
          <w:rFonts w:ascii="Times New Roman" w:hAnsi="Times New Roman" w:cs="Times New Roman"/>
          <w:color w:val="auto"/>
        </w:rPr>
        <w:t>.</w:t>
      </w:r>
    </w:p>
    <w:p w14:paraId="7FAD12DE" w14:textId="77777777" w:rsidR="003567BF" w:rsidRDefault="003567BF" w:rsidP="003567BF">
      <w:pPr>
        <w:jc w:val="both"/>
        <w:rPr>
          <w:rFonts w:ascii="Times New Roman" w:hAnsi="Times New Roman" w:cs="Times New Roman"/>
          <w:color w:val="auto"/>
        </w:rPr>
      </w:pPr>
    </w:p>
    <w:p w14:paraId="2DB9DE4A"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U širem smislu sektor biogospodarstva obuhvaća i uslužne djelatnosti povezane s proizvodima biogospodarstva (trgovina, prijevoz, skladištenje, iznajmljivanje), usluge povezane s prirodnim okolišem</w:t>
      </w:r>
      <w:r>
        <w:rPr>
          <w:rFonts w:ascii="Times New Roman" w:hAnsi="Times New Roman" w:cs="Times New Roman"/>
          <w:color w:val="auto"/>
        </w:rPr>
        <w:t xml:space="preserve"> (smještaj</w:t>
      </w:r>
      <w:r w:rsidRPr="00896FA9">
        <w:rPr>
          <w:rFonts w:ascii="Times New Roman" w:hAnsi="Times New Roman" w:cs="Times New Roman"/>
          <w:color w:val="auto"/>
        </w:rPr>
        <w:t>,</w:t>
      </w:r>
      <w:r>
        <w:rPr>
          <w:rFonts w:ascii="Times New Roman" w:hAnsi="Times New Roman" w:cs="Times New Roman"/>
          <w:color w:val="auto"/>
        </w:rPr>
        <w:t xml:space="preserve"> putničke agencije, kultura, sport i razonoda)</w:t>
      </w:r>
      <w:r w:rsidRPr="00896FA9">
        <w:rPr>
          <w:rFonts w:ascii="Times New Roman" w:hAnsi="Times New Roman" w:cs="Times New Roman"/>
          <w:color w:val="auto"/>
        </w:rPr>
        <w:t xml:space="preserve"> usluge povezane sa znanjem</w:t>
      </w:r>
      <w:r>
        <w:rPr>
          <w:rFonts w:ascii="Times New Roman" w:hAnsi="Times New Roman" w:cs="Times New Roman"/>
          <w:color w:val="auto"/>
        </w:rPr>
        <w:t xml:space="preserve"> (razvoj i istraživanje, obrazovanje, veterinarstvo i arhitektura)</w:t>
      </w:r>
      <w:r w:rsidRPr="00896FA9">
        <w:rPr>
          <w:rFonts w:ascii="Times New Roman" w:hAnsi="Times New Roman" w:cs="Times New Roman"/>
          <w:color w:val="auto"/>
        </w:rPr>
        <w:t xml:space="preserve"> i prateće usluge</w:t>
      </w:r>
      <w:r>
        <w:rPr>
          <w:rFonts w:ascii="Times New Roman" w:hAnsi="Times New Roman" w:cs="Times New Roman"/>
          <w:color w:val="auto"/>
        </w:rPr>
        <w:t xml:space="preserve"> (istraživanje tržišta, javna administracija)</w:t>
      </w:r>
      <w:r w:rsidRPr="00896FA9">
        <w:rPr>
          <w:rFonts w:ascii="Times New Roman" w:hAnsi="Times New Roman" w:cs="Times New Roman"/>
          <w:color w:val="auto"/>
        </w:rPr>
        <w:t xml:space="preserve">. </w:t>
      </w:r>
    </w:p>
    <w:p w14:paraId="4E91784D" w14:textId="77777777" w:rsidR="003567BF" w:rsidRPr="00896FA9" w:rsidRDefault="003567BF" w:rsidP="003567BF">
      <w:pPr>
        <w:jc w:val="both"/>
        <w:rPr>
          <w:rFonts w:ascii="Times New Roman" w:hAnsi="Times New Roman" w:cs="Times New Roman"/>
          <w:color w:val="auto"/>
        </w:rPr>
      </w:pPr>
    </w:p>
    <w:p w14:paraId="3DC0FD63" w14:textId="77777777" w:rsidR="003567BF" w:rsidRDefault="003567BF" w:rsidP="003567BF">
      <w:pPr>
        <w:jc w:val="both"/>
        <w:rPr>
          <w:rFonts w:ascii="Times New Roman" w:hAnsi="Times New Roman" w:cs="Times New Roman"/>
          <w:color w:val="auto"/>
        </w:rPr>
      </w:pPr>
      <w:r w:rsidRPr="00896FA9">
        <w:rPr>
          <w:rFonts w:ascii="Times New Roman" w:hAnsi="Times New Roman" w:cs="Times New Roman"/>
          <w:color w:val="auto"/>
        </w:rPr>
        <w:t xml:space="preserve">S obzirom na široko područje u kojemu biogospodarstvo nalazi svoju primjenu, ovaj je gospodarski model sadržan u više strateških dokumenata u Republici Hrvatskoj. </w:t>
      </w:r>
    </w:p>
    <w:p w14:paraId="2FC58985" w14:textId="77777777" w:rsidR="003567BF" w:rsidRDefault="003567BF" w:rsidP="003567BF">
      <w:pPr>
        <w:jc w:val="both"/>
        <w:rPr>
          <w:rFonts w:ascii="Times New Roman" w:hAnsi="Times New Roman" w:cs="Times New Roman"/>
          <w:color w:val="auto"/>
        </w:rPr>
      </w:pPr>
    </w:p>
    <w:p w14:paraId="483982E4" w14:textId="77777777" w:rsidR="003567BF" w:rsidRPr="00896FA9" w:rsidRDefault="003567BF" w:rsidP="003567BF">
      <w:pPr>
        <w:jc w:val="both"/>
        <w:rPr>
          <w:rFonts w:ascii="Times New Roman" w:hAnsi="Times New Roman" w:cs="Times New Roman"/>
          <w:color w:val="auto"/>
        </w:rPr>
      </w:pPr>
      <w:r>
        <w:rPr>
          <w:rFonts w:ascii="Times New Roman" w:hAnsi="Times New Roman" w:cs="Times New Roman"/>
          <w:color w:val="auto"/>
        </w:rPr>
        <w:t xml:space="preserve">Strategijom poljoprivrede </w:t>
      </w:r>
      <w:r w:rsidRPr="00306E45">
        <w:rPr>
          <w:rFonts w:ascii="Times New Roman" w:hAnsi="Times New Roman" w:cs="Times New Roman"/>
          <w:color w:val="auto"/>
        </w:rPr>
        <w:t>(„Narodne novine“, br. 26/22) je predviđen provedbeni mehanizam E.2 „Razvoj i provedba nacionalne strategije biogospodarstva“, kako bi se utvrdili postojeći dionici i inicijative u lancima vrijednosti u biogospodarstvu, napravio pregled zakonodavnog i regulatornog okvira te procijenio potencijal biomase. Strategija govori i o važnosti povećanih ulaganja u istraživanja u poljoprivredi za razvoj rješenja za održivu proizvodnju hrane i biomase u službi kružnog biogospodarstva.</w:t>
      </w:r>
    </w:p>
    <w:p w14:paraId="615F3AEB"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 xml:space="preserve">Strategija niskougljičnog razvoja Republike Hrvatske do 2030. s pogledom na 2050. godinu („Narodne novine“, broj 63/21.) ističe značaj biogospodarstva u kontekstu povećanja energetske učinkovitosti. Strategija energetskog razvoja Republike Hrvatske do 2030. s pogledom na 2050. godinu („Narodne novine“, broj 25/20.) sadrži </w:t>
      </w:r>
      <w:r w:rsidRPr="00896FA9">
        <w:rPr>
          <w:rFonts w:ascii="Times New Roman" w:hAnsi="Times New Roman" w:cs="Times New Roman"/>
          <w:color w:val="auto"/>
        </w:rPr>
        <w:lastRenderedPageBreak/>
        <w:t xml:space="preserve">poglavlje o ulozi biogospodarstva u povećanju energetske neovisnosti proizvodnjom energije iz biomase. </w:t>
      </w:r>
    </w:p>
    <w:p w14:paraId="1D643E43" w14:textId="77777777" w:rsidR="003567BF" w:rsidRPr="00896FA9" w:rsidRDefault="003567BF" w:rsidP="003567BF">
      <w:pPr>
        <w:jc w:val="both"/>
        <w:rPr>
          <w:rFonts w:ascii="Times New Roman" w:hAnsi="Times New Roman" w:cs="Times New Roman"/>
          <w:color w:val="auto"/>
        </w:rPr>
      </w:pPr>
    </w:p>
    <w:p w14:paraId="29B5519B" w14:textId="77777777" w:rsidR="003567BF" w:rsidRDefault="003567BF" w:rsidP="003567BF">
      <w:pPr>
        <w:spacing w:line="276" w:lineRule="auto"/>
        <w:jc w:val="both"/>
        <w:rPr>
          <w:rFonts w:ascii="Times New Roman" w:hAnsi="Times New Roman" w:cs="Times New Roman"/>
          <w:color w:val="auto"/>
        </w:rPr>
      </w:pPr>
      <w:r w:rsidRPr="001E1AFE">
        <w:rPr>
          <w:rFonts w:ascii="Times New Roman" w:hAnsi="Times New Roman" w:cs="Times New Roman"/>
          <w:color w:val="auto"/>
        </w:rPr>
        <w:t>Buduća Strategija biogospodarstva do 2035., bit će strateški dokument, koji će obuhvatiti javne politike iz svih sektora relevantnih za područje biogospodarstva, definirati vizija i strateški ciljevi razvoja biogospodarstva, u skladu s nacionalnim razvojnim smjerovima te potencijalima i potrebama domaćeg biogospodarstva.</w:t>
      </w:r>
    </w:p>
    <w:p w14:paraId="2C0862CE" w14:textId="77777777" w:rsidR="003567BF" w:rsidRPr="00896FA9" w:rsidRDefault="003567BF" w:rsidP="003567BF">
      <w:pPr>
        <w:spacing w:line="276" w:lineRule="auto"/>
        <w:jc w:val="both"/>
        <w:rPr>
          <w:rFonts w:ascii="Times New Roman" w:hAnsi="Times New Roman" w:cs="Times New Roman"/>
          <w:color w:val="auto"/>
        </w:rPr>
      </w:pPr>
    </w:p>
    <w:p w14:paraId="58C334DA"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Iz ranije navedene definicije i prikazanog područja djelovanja proizlazi kako se radi o međusektorskoj temi u čije strateško planiranje i provedbu treba biti aktivno uključeno nekoliko tijela državne uprave. Stoga se ovom Odlukom Ministarstvo poljoprivrede zadužuje za koordinaciju izrade Strategije biogospodarstva do 2035., a za izradu Strategije biogospodarstva zadužuju se Ministarstvo poljoprivrede, Ministarstvo gospodarstva i održivog razvoja, Ministarstvo znanosti i obrazovanja te Ministarstvo regionalnoga razvoja i fondova Europske unije.</w:t>
      </w:r>
    </w:p>
    <w:p w14:paraId="53CF7BFE" w14:textId="77777777" w:rsidR="003567BF" w:rsidRPr="00896FA9" w:rsidRDefault="003567BF" w:rsidP="003567BF">
      <w:pPr>
        <w:jc w:val="both"/>
        <w:rPr>
          <w:rFonts w:ascii="Times New Roman" w:hAnsi="Times New Roman" w:cs="Times New Roman"/>
          <w:color w:val="auto"/>
        </w:rPr>
      </w:pPr>
    </w:p>
    <w:p w14:paraId="59D48F38"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U izradi Strategije biogospodarstva do 2035. sudjelovat će i drugi zainteresirani dionici, uključujući predstavnike drugih tijela javne vlasti, znanstvene i istraživačke zajednice i poslovnog sektora, u okvirima njihovog djelokruga i kompetencija.</w:t>
      </w:r>
    </w:p>
    <w:p w14:paraId="4A875047" w14:textId="77777777" w:rsidR="003567BF" w:rsidRPr="00896FA9" w:rsidRDefault="003567BF" w:rsidP="003567BF">
      <w:pPr>
        <w:jc w:val="both"/>
        <w:rPr>
          <w:rFonts w:ascii="Times New Roman" w:hAnsi="Times New Roman" w:cs="Times New Roman"/>
          <w:color w:val="auto"/>
        </w:rPr>
      </w:pPr>
    </w:p>
    <w:p w14:paraId="441F9413" w14:textId="77777777" w:rsidR="003567BF" w:rsidRPr="00896FA9" w:rsidRDefault="003567BF" w:rsidP="003567BF">
      <w:pPr>
        <w:jc w:val="both"/>
        <w:rPr>
          <w:rFonts w:ascii="Times New Roman" w:hAnsi="Times New Roman" w:cs="Times New Roman"/>
          <w:color w:val="auto"/>
        </w:rPr>
      </w:pPr>
      <w:r w:rsidRPr="00896FA9">
        <w:rPr>
          <w:rFonts w:ascii="Times New Roman" w:hAnsi="Times New Roman" w:cs="Times New Roman"/>
          <w:color w:val="auto"/>
        </w:rPr>
        <w:t>Strategija biogospodarstva do 2035. će identificirati potencijal biomase u Republici Hrvatskoj, postojeće dionike i inicijative u lancima vrijednosti u biogospodarstvu te definirati prioritete daljnjeg razvoja biogospodarstva. Pri tome će se uzeti u obzir smjernice iz odgovarajućih nacionalnih i EU strateških i sektorskih dokumenata relevantnih za ovo područje. U Strategiji biogospodarstva do 2035. propisat će se strateški ciljevi, ključni pokazatelji učinka i ciljane vrijednosti pokazatelja, te okvir za praćenje i vrednovanje Strategije.</w:t>
      </w:r>
    </w:p>
    <w:p w14:paraId="0A808668" w14:textId="77777777" w:rsidR="003567BF" w:rsidRPr="00896FA9" w:rsidRDefault="003567BF" w:rsidP="003567BF">
      <w:pPr>
        <w:jc w:val="both"/>
        <w:rPr>
          <w:rFonts w:ascii="Times New Roman" w:hAnsi="Times New Roman" w:cs="Times New Roman"/>
          <w:color w:val="auto"/>
        </w:rPr>
      </w:pPr>
    </w:p>
    <w:p w14:paraId="7FB0EDAA" w14:textId="77777777" w:rsidR="003567BF" w:rsidRPr="00896FA9" w:rsidRDefault="003567BF" w:rsidP="003567BF">
      <w:pPr>
        <w:ind w:left="3540"/>
        <w:jc w:val="center"/>
        <w:rPr>
          <w:rFonts w:ascii="Times New Roman" w:hAnsi="Times New Roman" w:cs="Times New Roman"/>
        </w:rPr>
      </w:pPr>
    </w:p>
    <w:p w14:paraId="419A8134" w14:textId="77777777" w:rsidR="003567BF" w:rsidRPr="00896FA9" w:rsidRDefault="003567BF" w:rsidP="003567BF">
      <w:pPr>
        <w:ind w:left="3540"/>
        <w:jc w:val="center"/>
        <w:rPr>
          <w:rFonts w:ascii="Times New Roman" w:hAnsi="Times New Roman" w:cs="Times New Roman"/>
          <w:color w:val="auto"/>
        </w:rPr>
      </w:pPr>
    </w:p>
    <w:p w14:paraId="5F5B77D6" w14:textId="77777777" w:rsidR="003567BF" w:rsidRPr="00896FA9" w:rsidRDefault="003567BF" w:rsidP="003567BF">
      <w:pPr>
        <w:ind w:left="3540"/>
        <w:jc w:val="center"/>
        <w:rPr>
          <w:rFonts w:ascii="Times New Roman" w:hAnsi="Times New Roman" w:cs="Times New Roman"/>
          <w:color w:val="auto"/>
        </w:rPr>
      </w:pPr>
    </w:p>
    <w:p w14:paraId="531145AD" w14:textId="77777777" w:rsidR="003567BF" w:rsidRPr="00896FA9" w:rsidRDefault="003567BF" w:rsidP="003567BF">
      <w:pPr>
        <w:rPr>
          <w:rFonts w:ascii="Times New Roman" w:hAnsi="Times New Roman" w:cs="Times New Roman"/>
          <w:color w:val="auto"/>
        </w:rPr>
      </w:pPr>
      <w:r w:rsidRPr="00896FA9">
        <w:rPr>
          <w:rFonts w:ascii="Times New Roman" w:hAnsi="Times New Roman" w:cs="Times New Roman"/>
          <w:color w:val="auto"/>
        </w:rPr>
        <w:br w:type="page"/>
      </w:r>
    </w:p>
    <w:p w14:paraId="58AADE21" w14:textId="77777777" w:rsidR="003567BF" w:rsidRPr="00896FA9" w:rsidRDefault="003567BF" w:rsidP="003567BF">
      <w:pPr>
        <w:ind w:left="360"/>
        <w:rPr>
          <w:rFonts w:ascii="Times New Roman" w:hAnsi="Times New Roman" w:cs="Times New Roman"/>
          <w:color w:val="auto"/>
        </w:rPr>
        <w:sectPr w:rsidR="003567BF" w:rsidRPr="00896FA9" w:rsidSect="007E3148">
          <w:type w:val="nextColumn"/>
          <w:pgSz w:w="11906" w:h="16838" w:code="9"/>
          <w:pgMar w:top="1417" w:right="1417" w:bottom="1417" w:left="1417" w:header="709" w:footer="709" w:gutter="0"/>
          <w:paperSrc w:first="7"/>
          <w:cols w:space="708"/>
          <w:docGrid w:linePitch="360"/>
        </w:sectPr>
      </w:pPr>
    </w:p>
    <w:p w14:paraId="2E18817D" w14:textId="77777777" w:rsidR="003567BF" w:rsidRPr="00896FA9" w:rsidRDefault="003567BF" w:rsidP="003567BF">
      <w:pPr>
        <w:ind w:left="360"/>
        <w:rPr>
          <w:rFonts w:ascii="Times New Roman" w:hAnsi="Times New Roman" w:cs="Times New Roman"/>
          <w:color w:val="auto"/>
        </w:rPr>
      </w:pPr>
    </w:p>
    <w:p w14:paraId="7D2C68A8" w14:textId="77777777" w:rsidR="00A676BD" w:rsidRPr="00026E1B" w:rsidRDefault="0015131D" w:rsidP="003567BF">
      <w:pPr>
        <w:ind w:left="3540"/>
        <w:jc w:val="center"/>
        <w:rPr>
          <w:rFonts w:ascii="Times New Roman" w:hAnsi="Times New Roman" w:cs="Times New Roman"/>
        </w:rPr>
      </w:pPr>
      <w:bookmarkStart w:id="7" w:name="_MON_1295178385"/>
      <w:bookmarkEnd w:id="0"/>
      <w:bookmarkEnd w:id="7"/>
    </w:p>
    <w:sectPr w:rsidR="00A676BD" w:rsidRPr="00026E1B" w:rsidSect="003567BF">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B1CA4" w14:textId="77777777" w:rsidR="00295561" w:rsidRDefault="00295561">
      <w:r>
        <w:separator/>
      </w:r>
    </w:p>
  </w:endnote>
  <w:endnote w:type="continuationSeparator" w:id="0">
    <w:p w14:paraId="27B67980" w14:textId="77777777" w:rsidR="00295561" w:rsidRDefault="002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019A" w14:textId="77777777" w:rsidR="00DB0440" w:rsidRDefault="0015131D" w:rsidP="004E7334">
    <w:pPr>
      <w:pStyle w:val="Header"/>
    </w:pPr>
  </w:p>
  <w:p w14:paraId="00105129" w14:textId="77777777" w:rsidR="00DB0440" w:rsidRDefault="0015131D" w:rsidP="004E7334"/>
  <w:p w14:paraId="0D06332B" w14:textId="77777777" w:rsidR="00DB0440" w:rsidRDefault="0015131D" w:rsidP="004E7334">
    <w:pPr>
      <w:pStyle w:val="Footer"/>
    </w:pPr>
  </w:p>
  <w:p w14:paraId="41E59E9D" w14:textId="77777777" w:rsidR="00DB0440" w:rsidRDefault="0015131D" w:rsidP="004E73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E37A" w14:textId="77777777" w:rsidR="00295561" w:rsidRDefault="00295561">
      <w:r>
        <w:separator/>
      </w:r>
    </w:p>
  </w:footnote>
  <w:footnote w:type="continuationSeparator" w:id="0">
    <w:p w14:paraId="489E8F45" w14:textId="77777777" w:rsidR="00295561" w:rsidRDefault="002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9F6F" w14:textId="77777777" w:rsidR="00DB0440" w:rsidRDefault="0015131D">
    <w:pPr>
      <w:pStyle w:val="Header"/>
      <w:jc w:val="center"/>
    </w:pPr>
  </w:p>
  <w:p w14:paraId="16EC42C3" w14:textId="77777777" w:rsidR="00DB0440" w:rsidRDefault="00151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024B"/>
    <w:multiLevelType w:val="hybridMultilevel"/>
    <w:tmpl w:val="D9DEBDFC"/>
    <w:lvl w:ilvl="0" w:tplc="E68626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BF"/>
    <w:rsid w:val="0015131D"/>
    <w:rsid w:val="00275F9D"/>
    <w:rsid w:val="00295561"/>
    <w:rsid w:val="003567BF"/>
    <w:rsid w:val="005828CB"/>
    <w:rsid w:val="005F601F"/>
    <w:rsid w:val="007F7F4B"/>
    <w:rsid w:val="00F77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4E426"/>
  <w15:docId w15:val="{D0E03F34-608B-4686-803D-420392EA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3567BF"/>
    <w:pPr>
      <w:tabs>
        <w:tab w:val="center" w:pos="4536"/>
        <w:tab w:val="right" w:pos="9072"/>
      </w:tabs>
    </w:pPr>
  </w:style>
  <w:style w:type="character" w:customStyle="1" w:styleId="HeaderChar">
    <w:name w:val="Header Char"/>
    <w:basedOn w:val="DefaultParagraphFont"/>
    <w:link w:val="Header"/>
    <w:rsid w:val="003567BF"/>
    <w:rPr>
      <w:rFonts w:ascii="Arial" w:hAnsi="Arial" w:cs="Arial"/>
      <w:color w:val="000000"/>
      <w:sz w:val="24"/>
      <w:szCs w:val="24"/>
    </w:rPr>
  </w:style>
  <w:style w:type="paragraph" w:styleId="Footer">
    <w:name w:val="footer"/>
    <w:basedOn w:val="Normal"/>
    <w:link w:val="FooterChar"/>
    <w:rsid w:val="003567BF"/>
    <w:pPr>
      <w:tabs>
        <w:tab w:val="center" w:pos="4536"/>
        <w:tab w:val="right" w:pos="9072"/>
      </w:tabs>
    </w:pPr>
  </w:style>
  <w:style w:type="character" w:customStyle="1" w:styleId="FooterChar">
    <w:name w:val="Footer Char"/>
    <w:basedOn w:val="DefaultParagraphFont"/>
    <w:link w:val="Footer"/>
    <w:rsid w:val="003567B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AZJMDCZ6QSYZ-1849078857-21154</_dlc_DocId>
    <_dlc_DocIdUrl xmlns="a494813a-d0d8-4dad-94cb-0d196f36ba15">
      <Url>https://ekoordinacije.vlada.hr/koordinacija-gospodarstvo/_layouts/15/DocIdRedir.aspx?ID=AZJMDCZ6QSYZ-1849078857-21154</Url>
      <Description>AZJMDCZ6QSYZ-1849078857-21154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8B3F7-1DA4-452E-B474-A116ECA23D12}">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6E24DF-AD47-4E10-83EB-36676115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97E7C-482E-499D-94DE-9EF252478F79}">
  <ds:schemaRefs>
    <ds:schemaRef ds:uri="http://schemas.microsoft.com/sharepoint/events"/>
  </ds:schemaRefs>
</ds:datastoreItem>
</file>

<file path=customXml/itemProps4.xml><?xml version="1.0" encoding="utf-8"?>
<ds:datastoreItem xmlns:ds="http://schemas.openxmlformats.org/officeDocument/2006/customXml" ds:itemID="{0F1C88AA-EC80-4B19-B3A7-3DD967465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1151</Words>
  <Characters>6562</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Loborec</dc:creator>
  <cp:lastModifiedBy>Ines Uglešić</cp:lastModifiedBy>
  <cp:revision>9</cp:revision>
  <cp:lastPrinted>2014-01-14T17:40:00Z</cp:lastPrinted>
  <dcterms:created xsi:type="dcterms:W3CDTF">2021-07-19T12:48:00Z</dcterms:created>
  <dcterms:modified xsi:type="dcterms:W3CDTF">2022-10-10T08:52:00Z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45399472-dcd0-49b0-a436-a224afdd5f6f</vt:lpwstr>
  </property>
</Properties>
</file>