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6FDF8" w14:textId="2E8A7E76" w:rsidR="00D803C6" w:rsidRDefault="009E21B1" w:rsidP="00DB1AB5">
      <w:pPr>
        <w:rPr>
          <w:sz w:val="22"/>
          <w:szCs w:val="22"/>
        </w:rPr>
      </w:pPr>
    </w:p>
    <w:p w14:paraId="3487ED69" w14:textId="0FCCB4E6" w:rsidR="00DB1AB5" w:rsidRPr="00E11204" w:rsidRDefault="00F61AD6" w:rsidP="00DB1AB5">
      <w:pPr>
        <w:jc w:val="center"/>
      </w:pPr>
      <w:r>
        <w:rPr>
          <w:noProof/>
        </w:rPr>
        <w:drawing>
          <wp:inline distT="0" distB="0" distL="0" distR="0" wp14:anchorId="4D3C1459" wp14:editId="3CEDF494">
            <wp:extent cx="5029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00DB1AB5" w:rsidRPr="00E11204">
        <w:fldChar w:fldCharType="begin"/>
      </w:r>
      <w:r w:rsidR="00DB1AB5" w:rsidRPr="00E11204">
        <w:instrText xml:space="preserve"> INCLUDEPICTURE "http://www.inet.hr/~box/images/grb-rh.gif" \* MERGEFORMATINET </w:instrText>
      </w:r>
      <w:r w:rsidR="00DB1AB5" w:rsidRPr="00E11204">
        <w:fldChar w:fldCharType="end"/>
      </w:r>
    </w:p>
    <w:p w14:paraId="5DAB9236" w14:textId="77777777" w:rsidR="00DB1AB5" w:rsidRPr="00E11204" w:rsidRDefault="00DB1AB5" w:rsidP="00DB1AB5">
      <w:pPr>
        <w:spacing w:before="60" w:after="1680"/>
        <w:jc w:val="center"/>
        <w:rPr>
          <w:sz w:val="28"/>
        </w:rPr>
      </w:pPr>
      <w:r w:rsidRPr="00E11204">
        <w:rPr>
          <w:sz w:val="28"/>
        </w:rPr>
        <w:t>VLADA REPUBLIKE HRVATSKE</w:t>
      </w:r>
    </w:p>
    <w:p w14:paraId="1A14FCE2" w14:textId="77777777" w:rsidR="00DB1AB5" w:rsidRPr="00E11204" w:rsidRDefault="00DB1AB5" w:rsidP="00DB1AB5"/>
    <w:p w14:paraId="323626B8" w14:textId="626C648D" w:rsidR="00DB1AB5" w:rsidRPr="00E11204" w:rsidRDefault="00DB1AB5" w:rsidP="00DB1AB5">
      <w:pPr>
        <w:spacing w:after="2400"/>
        <w:jc w:val="right"/>
      </w:pPr>
      <w:r w:rsidRPr="003D22B2">
        <w:t xml:space="preserve">Zagreb, </w:t>
      </w:r>
      <w:r w:rsidR="003D22B2">
        <w:t>19</w:t>
      </w:r>
      <w:r w:rsidR="001A2FC4" w:rsidRPr="003D22B2">
        <w:t xml:space="preserve">. </w:t>
      </w:r>
      <w:r w:rsidR="003D22B2">
        <w:t>listopad</w:t>
      </w:r>
      <w:r w:rsidR="00F85A89" w:rsidRPr="003D22B2">
        <w:t xml:space="preserve">a </w:t>
      </w:r>
      <w:r w:rsidRPr="003D22B2">
        <w:t>2022.</w:t>
      </w:r>
    </w:p>
    <w:p w14:paraId="627838A8" w14:textId="77777777" w:rsidR="00DB1AB5" w:rsidRPr="00E11204" w:rsidRDefault="00DB1AB5" w:rsidP="00DB1AB5">
      <w:pPr>
        <w:spacing w:line="360" w:lineRule="auto"/>
      </w:pPr>
      <w:r w:rsidRPr="00E11204">
        <w:t>__________________________________________________________________________</w:t>
      </w:r>
    </w:p>
    <w:p w14:paraId="392280BD" w14:textId="77777777" w:rsidR="00DB1AB5" w:rsidRPr="00E11204" w:rsidRDefault="00DB1AB5" w:rsidP="00DB1AB5">
      <w:pPr>
        <w:tabs>
          <w:tab w:val="right" w:pos="1701"/>
          <w:tab w:val="left" w:pos="1843"/>
        </w:tabs>
        <w:spacing w:line="360" w:lineRule="auto"/>
        <w:ind w:left="1843" w:hanging="1843"/>
        <w:rPr>
          <w:b/>
          <w:smallCaps/>
        </w:rPr>
        <w:sectPr w:rsidR="00DB1AB5" w:rsidRPr="00E11204" w:rsidSect="001D6929">
          <w:headerReference w:type="first" r:id="rId11"/>
          <w:footerReference w:type="first" r:id="rId12"/>
          <w:pgSz w:w="11906" w:h="16838"/>
          <w:pgMar w:top="993" w:right="1417" w:bottom="1417" w:left="1417" w:header="709" w:footer="658" w:gutter="0"/>
          <w:pgNumType w:start="0"/>
          <w:cols w:space="708"/>
          <w:docGrid w:linePitch="360"/>
        </w:sectPr>
      </w:pPr>
    </w:p>
    <w:tbl>
      <w:tblPr>
        <w:tblW w:w="0" w:type="auto"/>
        <w:tblLook w:val="04A0" w:firstRow="1" w:lastRow="0" w:firstColumn="1" w:lastColumn="0" w:noHBand="0" w:noVBand="1"/>
      </w:tblPr>
      <w:tblGrid>
        <w:gridCol w:w="1949"/>
        <w:gridCol w:w="7123"/>
      </w:tblGrid>
      <w:tr w:rsidR="00DB1AB5" w:rsidRPr="00E11204" w14:paraId="4681E9AE" w14:textId="77777777" w:rsidTr="00602DA9">
        <w:tc>
          <w:tcPr>
            <w:tcW w:w="1951" w:type="dxa"/>
            <w:shd w:val="clear" w:color="auto" w:fill="auto"/>
          </w:tcPr>
          <w:p w14:paraId="7BB1A83A" w14:textId="77777777" w:rsidR="00DB1AB5" w:rsidRPr="00E11204" w:rsidRDefault="00DB1AB5" w:rsidP="00602DA9">
            <w:pPr>
              <w:spacing w:line="360" w:lineRule="auto"/>
              <w:jc w:val="right"/>
            </w:pPr>
            <w:r w:rsidRPr="00E11204">
              <w:rPr>
                <w:b/>
                <w:smallCaps/>
              </w:rPr>
              <w:t>Predlagatelj</w:t>
            </w:r>
            <w:r w:rsidRPr="00E11204">
              <w:rPr>
                <w:b/>
              </w:rPr>
              <w:t>:</w:t>
            </w:r>
          </w:p>
        </w:tc>
        <w:tc>
          <w:tcPr>
            <w:tcW w:w="7229" w:type="dxa"/>
            <w:shd w:val="clear" w:color="auto" w:fill="auto"/>
          </w:tcPr>
          <w:p w14:paraId="698FA38B" w14:textId="3290BA39" w:rsidR="00DB1AB5" w:rsidRPr="00E11204" w:rsidRDefault="00DB1AB5" w:rsidP="003D22B2">
            <w:pPr>
              <w:spacing w:line="360" w:lineRule="auto"/>
            </w:pPr>
            <w:r>
              <w:t xml:space="preserve">Ministarstvo </w:t>
            </w:r>
            <w:r w:rsidR="003D22B2">
              <w:t>gospodarstva i održivog razvoja</w:t>
            </w:r>
          </w:p>
        </w:tc>
      </w:tr>
    </w:tbl>
    <w:p w14:paraId="00EE9E6B" w14:textId="77777777" w:rsidR="00DB1AB5" w:rsidRPr="00E11204" w:rsidRDefault="00DB1AB5" w:rsidP="00DB1AB5">
      <w:pPr>
        <w:spacing w:line="360" w:lineRule="auto"/>
      </w:pPr>
      <w:r w:rsidRPr="00E11204">
        <w:t>__________________________________________________________________________</w:t>
      </w:r>
    </w:p>
    <w:p w14:paraId="5D40190E" w14:textId="77777777" w:rsidR="00DB1AB5" w:rsidRPr="00E11204" w:rsidRDefault="00DB1AB5" w:rsidP="00DB1AB5">
      <w:pPr>
        <w:tabs>
          <w:tab w:val="right" w:pos="1701"/>
          <w:tab w:val="left" w:pos="1843"/>
        </w:tabs>
        <w:spacing w:line="360" w:lineRule="auto"/>
        <w:ind w:left="1843" w:hanging="1843"/>
        <w:rPr>
          <w:b/>
          <w:smallCaps/>
        </w:rPr>
        <w:sectPr w:rsidR="00DB1AB5" w:rsidRPr="00E11204" w:rsidSect="00291C7E">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DB1AB5" w:rsidRPr="00E11204" w14:paraId="275F628F" w14:textId="77777777" w:rsidTr="00602DA9">
        <w:trPr>
          <w:trHeight w:val="175"/>
        </w:trPr>
        <w:tc>
          <w:tcPr>
            <w:tcW w:w="1951" w:type="dxa"/>
            <w:shd w:val="clear" w:color="auto" w:fill="auto"/>
          </w:tcPr>
          <w:p w14:paraId="7F0E120A" w14:textId="77777777" w:rsidR="00DB1AB5" w:rsidRPr="00E11204" w:rsidRDefault="00DB1AB5" w:rsidP="00602DA9">
            <w:pPr>
              <w:spacing w:line="276" w:lineRule="auto"/>
              <w:jc w:val="right"/>
            </w:pPr>
            <w:r w:rsidRPr="00E11204">
              <w:rPr>
                <w:b/>
                <w:smallCaps/>
              </w:rPr>
              <w:t>Predmet</w:t>
            </w:r>
            <w:r w:rsidRPr="00E11204">
              <w:rPr>
                <w:b/>
              </w:rPr>
              <w:t>:</w:t>
            </w:r>
          </w:p>
        </w:tc>
        <w:tc>
          <w:tcPr>
            <w:tcW w:w="7229" w:type="dxa"/>
            <w:shd w:val="clear" w:color="auto" w:fill="auto"/>
          </w:tcPr>
          <w:p w14:paraId="59D6FAC6" w14:textId="29C8D89D" w:rsidR="00DB1AB5" w:rsidRPr="00E11204" w:rsidRDefault="00DB1AB5" w:rsidP="00F61AD6">
            <w:pPr>
              <w:jc w:val="both"/>
            </w:pPr>
            <w:r w:rsidRPr="00211CF9">
              <w:t xml:space="preserve">Prijedlog </w:t>
            </w:r>
            <w:r w:rsidR="003D22B2">
              <w:t xml:space="preserve">odluke </w:t>
            </w:r>
            <w:r w:rsidR="003D22B2" w:rsidRPr="003D22B2">
              <w:t>o cijeni i raspodjeli kapac</w:t>
            </w:r>
            <w:r w:rsidR="003D22B2">
              <w:t>iteta prirodnog plina kojeg je H</w:t>
            </w:r>
            <w:r w:rsidR="003D22B2" w:rsidRPr="003D22B2">
              <w:t>rvatska elektroprivreda d.d. preuzela od proizvođača prirodnog plina</w:t>
            </w:r>
          </w:p>
        </w:tc>
      </w:tr>
    </w:tbl>
    <w:p w14:paraId="1154DF9E" w14:textId="77777777" w:rsidR="00DB1AB5" w:rsidRPr="00E11204" w:rsidRDefault="00DB1AB5" w:rsidP="00DB1AB5">
      <w:pPr>
        <w:tabs>
          <w:tab w:val="left" w:pos="1843"/>
        </w:tabs>
        <w:spacing w:line="360" w:lineRule="auto"/>
        <w:ind w:left="1843" w:hanging="1843"/>
      </w:pPr>
      <w:r w:rsidRPr="00E11204">
        <w:t>__________________________________________________________________________</w:t>
      </w:r>
    </w:p>
    <w:p w14:paraId="001377CF" w14:textId="77777777" w:rsidR="00DB1AB5" w:rsidRPr="00E11204" w:rsidRDefault="00DB1AB5" w:rsidP="00DB1AB5"/>
    <w:p w14:paraId="05E7F7A6" w14:textId="77777777" w:rsidR="00DB1AB5" w:rsidRPr="00E11204" w:rsidRDefault="00DB1AB5" w:rsidP="00DB1AB5"/>
    <w:p w14:paraId="2F145EAB" w14:textId="77777777" w:rsidR="00DB1AB5" w:rsidRPr="00E11204" w:rsidRDefault="00DB1AB5" w:rsidP="00DB1AB5"/>
    <w:p w14:paraId="3B809291" w14:textId="77777777" w:rsidR="00DB1AB5" w:rsidRPr="00E11204" w:rsidRDefault="00DB1AB5" w:rsidP="00DB1AB5"/>
    <w:p w14:paraId="4E83A123" w14:textId="77777777" w:rsidR="00DB1AB5" w:rsidRPr="00E11204" w:rsidRDefault="00DB1AB5" w:rsidP="00DB1AB5"/>
    <w:p w14:paraId="2AC99B1A" w14:textId="77777777" w:rsidR="00DB1AB5" w:rsidRPr="00E11204" w:rsidRDefault="00DB1AB5" w:rsidP="00DB1AB5"/>
    <w:p w14:paraId="134FF0B1" w14:textId="77777777" w:rsidR="00DB1AB5" w:rsidRPr="00E11204" w:rsidRDefault="00DB1AB5" w:rsidP="00DB1AB5"/>
    <w:p w14:paraId="7CD16B46" w14:textId="77777777" w:rsidR="00DB1AB5" w:rsidRPr="00E11204" w:rsidRDefault="00DB1AB5" w:rsidP="00DB1AB5"/>
    <w:p w14:paraId="090D4662" w14:textId="77777777" w:rsidR="00DB1AB5" w:rsidRPr="00E11204" w:rsidRDefault="00DB1AB5" w:rsidP="00DB1AB5"/>
    <w:p w14:paraId="5D51CB15" w14:textId="77777777" w:rsidR="00DB1AB5" w:rsidRPr="00E11204" w:rsidRDefault="00DB1AB5" w:rsidP="00DB1AB5"/>
    <w:p w14:paraId="25E8C849" w14:textId="77777777" w:rsidR="00DB1AB5" w:rsidRPr="00E11204" w:rsidRDefault="00DB1AB5" w:rsidP="00DB1AB5"/>
    <w:p w14:paraId="4FC0E0C5" w14:textId="77777777" w:rsidR="00DB1AB5" w:rsidRPr="00E11204" w:rsidRDefault="00DB1AB5" w:rsidP="00DB1AB5"/>
    <w:p w14:paraId="357BBE82" w14:textId="77777777" w:rsidR="00DB1AB5" w:rsidRPr="00E11204" w:rsidRDefault="00DB1AB5" w:rsidP="00DB1AB5"/>
    <w:p w14:paraId="67484C01" w14:textId="77777777" w:rsidR="00DB1AB5" w:rsidRDefault="00DB1AB5" w:rsidP="00DB1AB5"/>
    <w:p w14:paraId="5B98A6D7" w14:textId="77777777" w:rsidR="00DB1AB5" w:rsidRDefault="00DB1AB5" w:rsidP="00DB1AB5"/>
    <w:p w14:paraId="0A457634" w14:textId="77777777" w:rsidR="00DB1AB5" w:rsidRDefault="00DB1AB5" w:rsidP="00DB1AB5"/>
    <w:p w14:paraId="25D4522E" w14:textId="77777777" w:rsidR="00DB1AB5" w:rsidRDefault="00DB1AB5" w:rsidP="00DB1AB5"/>
    <w:p w14:paraId="5D616568" w14:textId="77777777" w:rsidR="00DB1AB5" w:rsidRDefault="00DB1AB5" w:rsidP="00DB1AB5"/>
    <w:p w14:paraId="7C7C378C" w14:textId="77777777" w:rsidR="00DB1AB5" w:rsidRPr="00211CF9" w:rsidRDefault="00DB1AB5" w:rsidP="00DB1AB5">
      <w:pPr>
        <w:pBdr>
          <w:top w:val="single" w:sz="4" w:space="1" w:color="404040"/>
        </w:pBdr>
        <w:tabs>
          <w:tab w:val="center" w:pos="4536"/>
          <w:tab w:val="right" w:pos="9072"/>
        </w:tabs>
        <w:jc w:val="center"/>
        <w:rPr>
          <w:color w:val="404040"/>
          <w:spacing w:val="20"/>
          <w:sz w:val="20"/>
        </w:rPr>
      </w:pPr>
      <w:r w:rsidRPr="00211CF9">
        <w:rPr>
          <w:color w:val="404040"/>
          <w:spacing w:val="20"/>
          <w:sz w:val="20"/>
        </w:rPr>
        <w:t>Banski dvori | Trg Sv. Marka 2  | 10000 Zagreb | tel. 01 4569 222 | vlada.gov.hr</w:t>
      </w:r>
    </w:p>
    <w:p w14:paraId="446BDDDC" w14:textId="77777777" w:rsidR="00DB1AB5" w:rsidRPr="00E11204" w:rsidRDefault="00DB1AB5" w:rsidP="00DB1AB5">
      <w:pPr>
        <w:sectPr w:rsidR="00DB1AB5" w:rsidRPr="00E11204" w:rsidSect="00291C7E">
          <w:type w:val="continuous"/>
          <w:pgSz w:w="11906" w:h="16838"/>
          <w:pgMar w:top="993" w:right="1417" w:bottom="1417" w:left="1417" w:header="709" w:footer="658" w:gutter="0"/>
          <w:cols w:space="708"/>
          <w:docGrid w:linePitch="360"/>
        </w:sectPr>
      </w:pPr>
    </w:p>
    <w:p w14:paraId="6C21DBA0" w14:textId="77777777" w:rsidR="00287AA0" w:rsidRDefault="00287AA0" w:rsidP="00703E3F">
      <w:pPr>
        <w:spacing w:after="160" w:line="259" w:lineRule="auto"/>
        <w:jc w:val="right"/>
        <w:rPr>
          <w:rFonts w:eastAsia="Calibri"/>
          <w:b/>
          <w:lang w:eastAsia="en-US"/>
        </w:rPr>
      </w:pPr>
    </w:p>
    <w:p w14:paraId="592A4933" w14:textId="591DED34" w:rsidR="00703E3F" w:rsidRPr="00703E3F" w:rsidRDefault="00703E3F" w:rsidP="00703E3F">
      <w:pPr>
        <w:spacing w:after="160" w:line="259" w:lineRule="auto"/>
        <w:jc w:val="right"/>
        <w:rPr>
          <w:rFonts w:eastAsia="Calibri"/>
          <w:b/>
          <w:lang w:eastAsia="en-US"/>
        </w:rPr>
      </w:pPr>
      <w:r w:rsidRPr="00703E3F">
        <w:rPr>
          <w:rFonts w:eastAsia="Calibri"/>
          <w:b/>
          <w:lang w:eastAsia="en-US"/>
        </w:rPr>
        <w:t>Prijedlog</w:t>
      </w:r>
    </w:p>
    <w:p w14:paraId="2D4D7F57" w14:textId="1824E908" w:rsidR="00703E3F" w:rsidRDefault="00703E3F" w:rsidP="00703E3F">
      <w:pPr>
        <w:spacing w:after="160" w:line="259" w:lineRule="auto"/>
        <w:jc w:val="both"/>
        <w:rPr>
          <w:rFonts w:eastAsia="Calibri"/>
          <w:lang w:eastAsia="en-US"/>
        </w:rPr>
      </w:pPr>
    </w:p>
    <w:p w14:paraId="5B0C877C" w14:textId="77777777" w:rsidR="00287AA0" w:rsidRDefault="00287AA0" w:rsidP="00703E3F">
      <w:pPr>
        <w:spacing w:after="160" w:line="259" w:lineRule="auto"/>
        <w:jc w:val="both"/>
        <w:rPr>
          <w:rFonts w:eastAsia="Calibri"/>
          <w:lang w:eastAsia="en-US"/>
        </w:rPr>
      </w:pPr>
    </w:p>
    <w:p w14:paraId="58465B6E" w14:textId="77777777" w:rsidR="005341DC" w:rsidRPr="005341DC" w:rsidRDefault="005341DC" w:rsidP="005341DC">
      <w:pPr>
        <w:shd w:val="clear" w:color="auto" w:fill="FFFFFF"/>
        <w:spacing w:line="288" w:lineRule="atLeast"/>
        <w:jc w:val="both"/>
        <w:textAlignment w:val="baseline"/>
        <w:outlineLvl w:val="1"/>
        <w:rPr>
          <w:bCs/>
          <w:shd w:val="clear" w:color="auto" w:fill="FFFFFF"/>
        </w:rPr>
      </w:pPr>
    </w:p>
    <w:p w14:paraId="1E2E609B" w14:textId="77777777" w:rsidR="005341DC" w:rsidRPr="005341DC" w:rsidRDefault="005341DC" w:rsidP="005341DC">
      <w:pPr>
        <w:shd w:val="clear" w:color="auto" w:fill="FFFFFF"/>
        <w:spacing w:line="288" w:lineRule="atLeast"/>
        <w:jc w:val="both"/>
        <w:textAlignment w:val="baseline"/>
        <w:outlineLvl w:val="1"/>
        <w:rPr>
          <w:bCs/>
          <w:shd w:val="clear" w:color="auto" w:fill="FFFFFF"/>
        </w:rPr>
      </w:pPr>
      <w:r w:rsidRPr="005341DC">
        <w:rPr>
          <w:bCs/>
          <w:shd w:val="clear" w:color="auto" w:fill="FFFFFF"/>
        </w:rPr>
        <w:t xml:space="preserve">Na temelju članka 5.a </w:t>
      </w:r>
      <w:r w:rsidRPr="005341DC">
        <w:rPr>
          <w:bCs/>
        </w:rPr>
        <w:t xml:space="preserve">Uredbe o otklanjanju poremećaja na domaćem tržištu energije („Narodne novine“, br. 104/22, 106/22) </w:t>
      </w:r>
      <w:r w:rsidRPr="005341DC">
        <w:rPr>
          <w:bCs/>
          <w:shd w:val="clear" w:color="auto" w:fill="FFFFFF"/>
        </w:rPr>
        <w:t>Vlada Republike Hrvatske je na sjednici održanoj _________ donijela</w:t>
      </w:r>
    </w:p>
    <w:p w14:paraId="743CE562" w14:textId="77777777" w:rsidR="005341DC" w:rsidRPr="005341DC" w:rsidRDefault="005341DC" w:rsidP="005341DC">
      <w:pPr>
        <w:shd w:val="clear" w:color="auto" w:fill="FFFFFF"/>
        <w:spacing w:line="288" w:lineRule="atLeast"/>
        <w:jc w:val="both"/>
        <w:textAlignment w:val="baseline"/>
        <w:outlineLvl w:val="1"/>
        <w:rPr>
          <w:b/>
          <w:bCs/>
          <w:shd w:val="clear" w:color="auto" w:fill="FFFFFF"/>
        </w:rPr>
      </w:pPr>
    </w:p>
    <w:p w14:paraId="5F38E0F4" w14:textId="77777777" w:rsidR="005341DC" w:rsidRPr="005341DC" w:rsidRDefault="005341DC" w:rsidP="005341DC">
      <w:pPr>
        <w:shd w:val="clear" w:color="auto" w:fill="FFFFFF"/>
        <w:spacing w:line="288" w:lineRule="atLeast"/>
        <w:jc w:val="both"/>
        <w:textAlignment w:val="baseline"/>
        <w:outlineLvl w:val="1"/>
        <w:rPr>
          <w:b/>
          <w:bCs/>
          <w:shd w:val="clear" w:color="auto" w:fill="FFFFFF"/>
        </w:rPr>
      </w:pPr>
    </w:p>
    <w:p w14:paraId="241AD053" w14:textId="77777777" w:rsidR="005341DC" w:rsidRPr="005341DC" w:rsidRDefault="005341DC" w:rsidP="005341DC">
      <w:pPr>
        <w:shd w:val="clear" w:color="auto" w:fill="FFFFFF"/>
        <w:spacing w:line="276" w:lineRule="auto"/>
        <w:jc w:val="center"/>
        <w:textAlignment w:val="baseline"/>
        <w:outlineLvl w:val="1"/>
        <w:rPr>
          <w:b/>
          <w:bCs/>
          <w:shd w:val="clear" w:color="auto" w:fill="FFFFFF"/>
        </w:rPr>
      </w:pPr>
      <w:r w:rsidRPr="005341DC">
        <w:rPr>
          <w:b/>
          <w:bCs/>
          <w:shd w:val="clear" w:color="auto" w:fill="FFFFFF"/>
        </w:rPr>
        <w:t>ODLUKU</w:t>
      </w:r>
    </w:p>
    <w:p w14:paraId="33B6D845" w14:textId="77777777" w:rsidR="005341DC" w:rsidRPr="005341DC" w:rsidRDefault="005341DC" w:rsidP="005341DC">
      <w:pPr>
        <w:shd w:val="clear" w:color="auto" w:fill="FFFFFF"/>
        <w:spacing w:line="276" w:lineRule="auto"/>
        <w:jc w:val="center"/>
        <w:textAlignment w:val="baseline"/>
        <w:outlineLvl w:val="1"/>
        <w:rPr>
          <w:b/>
          <w:bCs/>
          <w:color w:val="231F20"/>
          <w:shd w:val="clear" w:color="auto" w:fill="FFFFFF"/>
        </w:rPr>
      </w:pPr>
      <w:r w:rsidRPr="005341DC">
        <w:rPr>
          <w:b/>
          <w:bCs/>
          <w:shd w:val="clear" w:color="auto" w:fill="FFFFFF"/>
        </w:rPr>
        <w:t xml:space="preserve">O </w:t>
      </w:r>
      <w:r w:rsidRPr="005341DC">
        <w:rPr>
          <w:b/>
          <w:bCs/>
          <w:color w:val="231F20"/>
          <w:shd w:val="clear" w:color="auto" w:fill="FFFFFF"/>
        </w:rPr>
        <w:t>CIJENI I RASPODJELI KAPACITETA PRIRODNOG PLINA KOJEG JE HRVATSKA ELEKTROPRIVREDA D.D. PREUZELA OD PROIZVOĐAČA PRIRODNOG PLINA</w:t>
      </w:r>
    </w:p>
    <w:p w14:paraId="089399EC" w14:textId="77777777" w:rsidR="005341DC" w:rsidRPr="005341DC" w:rsidRDefault="005341DC" w:rsidP="005341DC">
      <w:pPr>
        <w:shd w:val="clear" w:color="auto" w:fill="FFFFFF"/>
        <w:spacing w:line="276" w:lineRule="auto"/>
        <w:jc w:val="center"/>
        <w:textAlignment w:val="baseline"/>
        <w:outlineLvl w:val="1"/>
        <w:rPr>
          <w:b/>
          <w:bCs/>
          <w:color w:val="231F20"/>
          <w:shd w:val="clear" w:color="auto" w:fill="FFFFFF"/>
        </w:rPr>
      </w:pPr>
    </w:p>
    <w:p w14:paraId="2184B7D2" w14:textId="77777777" w:rsidR="005341DC" w:rsidRPr="005341DC" w:rsidRDefault="005341DC" w:rsidP="005341DC">
      <w:pPr>
        <w:shd w:val="clear" w:color="auto" w:fill="FFFFFF"/>
        <w:spacing w:line="276" w:lineRule="auto"/>
        <w:textAlignment w:val="baseline"/>
        <w:outlineLvl w:val="1"/>
        <w:rPr>
          <w:b/>
          <w:bCs/>
          <w:color w:val="231F20"/>
          <w:shd w:val="clear" w:color="auto" w:fill="FFFFFF"/>
        </w:rPr>
      </w:pPr>
    </w:p>
    <w:p w14:paraId="7B8CB8E5" w14:textId="77777777" w:rsidR="005341DC" w:rsidRPr="005341DC" w:rsidRDefault="005341DC" w:rsidP="005341DC">
      <w:pPr>
        <w:shd w:val="clear" w:color="auto" w:fill="FFFFFF"/>
        <w:spacing w:line="288" w:lineRule="atLeast"/>
        <w:jc w:val="center"/>
        <w:textAlignment w:val="baseline"/>
        <w:outlineLvl w:val="1"/>
        <w:rPr>
          <w:b/>
          <w:bCs/>
          <w:color w:val="231F20"/>
          <w:shd w:val="clear" w:color="auto" w:fill="FFFFFF"/>
        </w:rPr>
      </w:pPr>
      <w:r w:rsidRPr="005341DC">
        <w:rPr>
          <w:b/>
          <w:bCs/>
          <w:color w:val="231F20"/>
          <w:shd w:val="clear" w:color="auto" w:fill="FFFFFF"/>
        </w:rPr>
        <w:t>I.</w:t>
      </w:r>
    </w:p>
    <w:p w14:paraId="609E1F94" w14:textId="77777777" w:rsidR="005341DC" w:rsidRPr="005341DC" w:rsidRDefault="005341DC" w:rsidP="005341DC">
      <w:pPr>
        <w:shd w:val="clear" w:color="auto" w:fill="FFFFFF"/>
        <w:spacing w:line="288" w:lineRule="atLeast"/>
        <w:jc w:val="both"/>
        <w:textAlignment w:val="baseline"/>
        <w:outlineLvl w:val="1"/>
        <w:rPr>
          <w:b/>
          <w:bCs/>
          <w:color w:val="231F20"/>
          <w:shd w:val="clear" w:color="auto" w:fill="FFFFFF"/>
        </w:rPr>
      </w:pPr>
      <w:r w:rsidRPr="005341DC">
        <w:rPr>
          <w:b/>
          <w:bCs/>
          <w:color w:val="231F20"/>
          <w:shd w:val="clear" w:color="auto" w:fill="FFFFFF"/>
        </w:rPr>
        <w:tab/>
      </w:r>
      <w:r w:rsidRPr="005341DC">
        <w:rPr>
          <w:b/>
          <w:bCs/>
          <w:color w:val="231F20"/>
          <w:shd w:val="clear" w:color="auto" w:fill="FFFFFF"/>
        </w:rPr>
        <w:tab/>
      </w:r>
    </w:p>
    <w:p w14:paraId="2D2E4A4E" w14:textId="77777777" w:rsidR="005341DC" w:rsidRPr="005341DC" w:rsidRDefault="005341DC" w:rsidP="005341DC">
      <w:pPr>
        <w:shd w:val="clear" w:color="auto" w:fill="FFFFFF"/>
        <w:jc w:val="both"/>
        <w:textAlignment w:val="baseline"/>
        <w:outlineLvl w:val="1"/>
        <w:rPr>
          <w:bCs/>
        </w:rPr>
      </w:pPr>
      <w:r w:rsidRPr="005341DC">
        <w:rPr>
          <w:bCs/>
        </w:rPr>
        <w:t xml:space="preserve">Hrvatska elektroprivreda d.d. dužna je u razdoblju od 1. listopada 2022. do 31. ožujka 2024. operatorima distribucijskog sustava, koji su iskazali interes Hrvatskoj energetskoj regulatornoj agenciji, </w:t>
      </w:r>
      <w:r w:rsidRPr="005341DC">
        <w:rPr>
          <w:bCs/>
          <w:color w:val="231F20"/>
          <w:shd w:val="clear" w:color="auto" w:fill="FFFFFF"/>
        </w:rPr>
        <w:t>u svrhu namirenja gubitaka za distribuciju plina, </w:t>
      </w:r>
      <w:r w:rsidRPr="005341DC">
        <w:rPr>
          <w:bCs/>
        </w:rPr>
        <w:t>isporučivati</w:t>
      </w:r>
      <w:r w:rsidRPr="005341DC">
        <w:rPr>
          <w:bCs/>
          <w:color w:val="231F20"/>
          <w:shd w:val="clear" w:color="auto" w:fill="FFFFFF"/>
        </w:rPr>
        <w:t xml:space="preserve"> </w:t>
      </w:r>
      <w:r w:rsidRPr="005341DC">
        <w:rPr>
          <w:bCs/>
        </w:rPr>
        <w:t xml:space="preserve">na ulazu u distribucijski sustav </w:t>
      </w:r>
      <w:r w:rsidRPr="005341DC">
        <w:rPr>
          <w:bCs/>
          <w:color w:val="231F20"/>
          <w:shd w:val="clear" w:color="auto" w:fill="FFFFFF"/>
        </w:rPr>
        <w:t xml:space="preserve">količinu plina, koja se određuje prema stopi gubitaka i preuzetim količinama plina na ulazu u distribucijski sustav za svaku hidrauličku cjelinu prema podacima iz registra obračunskih mjernih mjesta kojeg vodi operator tržišta plina HROTE d.o.o., a što procijenjeno iznosi </w:t>
      </w:r>
      <w:r w:rsidRPr="005341DC">
        <w:rPr>
          <w:bCs/>
        </w:rPr>
        <w:t xml:space="preserve">405.447,490 MWh plina. </w:t>
      </w:r>
    </w:p>
    <w:p w14:paraId="63E56E7F" w14:textId="77777777" w:rsidR="005341DC" w:rsidRPr="005341DC" w:rsidRDefault="005341DC" w:rsidP="005341DC">
      <w:pPr>
        <w:shd w:val="clear" w:color="auto" w:fill="FFFFFF"/>
        <w:jc w:val="both"/>
        <w:textAlignment w:val="baseline"/>
        <w:outlineLvl w:val="1"/>
        <w:rPr>
          <w:bCs/>
        </w:rPr>
      </w:pPr>
    </w:p>
    <w:p w14:paraId="73CCE802" w14:textId="77777777" w:rsidR="005341DC" w:rsidRPr="005341DC" w:rsidRDefault="005341DC" w:rsidP="005341DC">
      <w:pPr>
        <w:shd w:val="clear" w:color="auto" w:fill="FFFFFF"/>
        <w:jc w:val="both"/>
        <w:textAlignment w:val="baseline"/>
        <w:outlineLvl w:val="1"/>
        <w:rPr>
          <w:bCs/>
        </w:rPr>
      </w:pPr>
    </w:p>
    <w:p w14:paraId="16ED87D2" w14:textId="77777777" w:rsidR="005341DC" w:rsidRPr="005341DC" w:rsidRDefault="005341DC" w:rsidP="005341DC">
      <w:pPr>
        <w:shd w:val="clear" w:color="auto" w:fill="FFFFFF"/>
        <w:spacing w:line="276" w:lineRule="auto"/>
        <w:jc w:val="center"/>
        <w:textAlignment w:val="baseline"/>
        <w:outlineLvl w:val="1"/>
        <w:rPr>
          <w:b/>
          <w:bCs/>
        </w:rPr>
      </w:pPr>
      <w:r w:rsidRPr="005341DC">
        <w:rPr>
          <w:b/>
          <w:bCs/>
        </w:rPr>
        <w:t>II.</w:t>
      </w:r>
    </w:p>
    <w:p w14:paraId="318036C4" w14:textId="77777777" w:rsidR="005341DC" w:rsidRPr="005341DC" w:rsidRDefault="005341DC" w:rsidP="005341DC">
      <w:pPr>
        <w:shd w:val="clear" w:color="auto" w:fill="FFFFFF"/>
        <w:jc w:val="both"/>
        <w:textAlignment w:val="baseline"/>
        <w:outlineLvl w:val="1"/>
        <w:rPr>
          <w:bCs/>
        </w:rPr>
      </w:pPr>
    </w:p>
    <w:p w14:paraId="1EC1CEE1" w14:textId="77777777" w:rsidR="005341DC" w:rsidRPr="005341DC" w:rsidRDefault="005341DC" w:rsidP="005341DC">
      <w:pPr>
        <w:shd w:val="clear" w:color="auto" w:fill="FFFFFF"/>
        <w:jc w:val="both"/>
        <w:textAlignment w:val="baseline"/>
        <w:outlineLvl w:val="1"/>
        <w:rPr>
          <w:bCs/>
        </w:rPr>
      </w:pPr>
      <w:r w:rsidRPr="005341DC">
        <w:rPr>
          <w:bCs/>
        </w:rPr>
        <w:t xml:space="preserve">Cijena plina po kojoj je Hrvatska elektroprivreda d.d. dužna prodavati plin operatorima distribucijskog sustava </w:t>
      </w:r>
      <w:r w:rsidRPr="005341DC">
        <w:rPr>
          <w:bCs/>
          <w:color w:val="231F20"/>
          <w:shd w:val="clear" w:color="auto" w:fill="FFFFFF"/>
        </w:rPr>
        <w:t>u svrhu namirenja gubitaka za distribuciju plina iz točke I. ove Odluke</w:t>
      </w:r>
      <w:r w:rsidRPr="005341DC">
        <w:rPr>
          <w:bCs/>
        </w:rPr>
        <w:t xml:space="preserve"> iznosi </w:t>
      </w:r>
      <w:r w:rsidRPr="005341DC">
        <w:rPr>
          <w:bCs/>
          <w:color w:val="231F20"/>
          <w:shd w:val="clear" w:color="auto" w:fill="FFFFFF"/>
        </w:rPr>
        <w:t xml:space="preserve">0,3086 kn/kWh (0,0410 EUR/kWh) uvećano </w:t>
      </w:r>
      <w:r w:rsidRPr="005341DC">
        <w:rPr>
          <w:bCs/>
        </w:rPr>
        <w:t>za prosječni trošak opskrbe plinom za sva distribucijska područja u iznosu od 0,0534 kn/kWh (0,0071 EUR/kWh).</w:t>
      </w:r>
    </w:p>
    <w:p w14:paraId="0C2A40C5" w14:textId="77777777" w:rsidR="005341DC" w:rsidRPr="005341DC" w:rsidRDefault="005341DC" w:rsidP="005341DC">
      <w:pPr>
        <w:shd w:val="clear" w:color="auto" w:fill="FFFFFF"/>
        <w:jc w:val="both"/>
        <w:textAlignment w:val="baseline"/>
        <w:outlineLvl w:val="1"/>
        <w:rPr>
          <w:bCs/>
        </w:rPr>
      </w:pPr>
    </w:p>
    <w:p w14:paraId="4C036D6E" w14:textId="77777777" w:rsidR="005341DC" w:rsidRPr="005341DC" w:rsidRDefault="005341DC" w:rsidP="005341DC">
      <w:pPr>
        <w:shd w:val="clear" w:color="auto" w:fill="FFFFFF"/>
        <w:jc w:val="both"/>
        <w:textAlignment w:val="baseline"/>
        <w:outlineLvl w:val="1"/>
        <w:rPr>
          <w:bCs/>
        </w:rPr>
      </w:pPr>
    </w:p>
    <w:p w14:paraId="3A89E0B7" w14:textId="77777777" w:rsidR="005341DC" w:rsidRPr="005341DC" w:rsidRDefault="005341DC" w:rsidP="005341DC">
      <w:pPr>
        <w:shd w:val="clear" w:color="auto" w:fill="FFFFFF"/>
        <w:spacing w:line="276" w:lineRule="auto"/>
        <w:jc w:val="both"/>
        <w:textAlignment w:val="baseline"/>
        <w:outlineLvl w:val="1"/>
        <w:rPr>
          <w:bCs/>
        </w:rPr>
      </w:pPr>
    </w:p>
    <w:p w14:paraId="567E9875" w14:textId="77777777" w:rsidR="005341DC" w:rsidRPr="005341DC" w:rsidRDefault="005341DC" w:rsidP="005341DC">
      <w:pPr>
        <w:shd w:val="clear" w:color="auto" w:fill="FFFFFF"/>
        <w:spacing w:line="276" w:lineRule="auto"/>
        <w:jc w:val="center"/>
        <w:textAlignment w:val="baseline"/>
        <w:outlineLvl w:val="1"/>
        <w:rPr>
          <w:b/>
          <w:bCs/>
        </w:rPr>
      </w:pPr>
      <w:r w:rsidRPr="005341DC">
        <w:rPr>
          <w:b/>
          <w:bCs/>
        </w:rPr>
        <w:t>III.</w:t>
      </w:r>
    </w:p>
    <w:p w14:paraId="51ABA163" w14:textId="77777777" w:rsidR="005341DC" w:rsidRPr="005341DC" w:rsidRDefault="005341DC" w:rsidP="005341DC">
      <w:pPr>
        <w:shd w:val="clear" w:color="auto" w:fill="FFFFFF"/>
        <w:spacing w:line="276" w:lineRule="auto"/>
        <w:jc w:val="center"/>
        <w:textAlignment w:val="baseline"/>
        <w:outlineLvl w:val="1"/>
        <w:rPr>
          <w:b/>
          <w:bCs/>
        </w:rPr>
      </w:pPr>
    </w:p>
    <w:p w14:paraId="405B277C" w14:textId="77777777" w:rsidR="005341DC" w:rsidRPr="005341DC" w:rsidRDefault="005341DC" w:rsidP="005341DC">
      <w:pPr>
        <w:shd w:val="clear" w:color="auto" w:fill="FFFFFF"/>
        <w:jc w:val="both"/>
        <w:textAlignment w:val="baseline"/>
        <w:outlineLvl w:val="1"/>
        <w:rPr>
          <w:bCs/>
        </w:rPr>
      </w:pPr>
      <w:r w:rsidRPr="005341DC">
        <w:rPr>
          <w:bCs/>
        </w:rPr>
        <w:lastRenderedPageBreak/>
        <w:t>Hrvatska elektroprivreda d.d. dužna je u razdoblju od 1. listopada 2022. do 31. ožujka 2024.</w:t>
      </w:r>
      <w:r w:rsidRPr="005341DC">
        <w:rPr>
          <w:bCs/>
          <w:color w:val="231F20"/>
          <w:shd w:val="clear" w:color="auto" w:fill="FFFFFF"/>
        </w:rPr>
        <w:t xml:space="preserve"> za potrebe kupaca toplinske energije iz samostalnog toplinskog sustava, </w:t>
      </w:r>
      <w:r w:rsidRPr="005341DC">
        <w:rPr>
          <w:bCs/>
        </w:rPr>
        <w:t>koji su iskazali interes Hrvatskoj energetskoj regulatornoj agenciji,</w:t>
      </w:r>
      <w:r w:rsidRPr="005341DC">
        <w:rPr>
          <w:bCs/>
          <w:color w:val="231F20"/>
          <w:shd w:val="clear" w:color="auto" w:fill="FFFFFF"/>
        </w:rPr>
        <w:t xml:space="preserve"> isporučivati plin opskrbljivačima u obvezi javne usluge na određenom distribucijskom području, odnosno zajamčenom opskrbljivaču, ako na određenom distribucijskom području nema opskrbljivača u obvezi javne usluge, a što procijenjeno iznosi </w:t>
      </w:r>
      <w:r w:rsidRPr="005341DC">
        <w:rPr>
          <w:bCs/>
        </w:rPr>
        <w:t>109.458,611 MWh plina.</w:t>
      </w:r>
    </w:p>
    <w:p w14:paraId="040695B2" w14:textId="77777777" w:rsidR="005341DC" w:rsidRPr="005341DC" w:rsidRDefault="005341DC" w:rsidP="005341DC">
      <w:pPr>
        <w:shd w:val="clear" w:color="auto" w:fill="FFFFFF"/>
        <w:jc w:val="both"/>
        <w:textAlignment w:val="baseline"/>
        <w:outlineLvl w:val="1"/>
        <w:rPr>
          <w:bCs/>
        </w:rPr>
      </w:pPr>
    </w:p>
    <w:p w14:paraId="0BA97262" w14:textId="77777777" w:rsidR="005341DC" w:rsidRPr="005341DC" w:rsidRDefault="005341DC" w:rsidP="005341DC">
      <w:pPr>
        <w:shd w:val="clear" w:color="auto" w:fill="FFFFFF"/>
        <w:jc w:val="both"/>
        <w:textAlignment w:val="baseline"/>
        <w:outlineLvl w:val="1"/>
        <w:rPr>
          <w:bCs/>
        </w:rPr>
      </w:pPr>
    </w:p>
    <w:p w14:paraId="7E95CD39" w14:textId="77777777" w:rsidR="005341DC" w:rsidRPr="005341DC" w:rsidRDefault="005341DC" w:rsidP="005341DC">
      <w:pPr>
        <w:shd w:val="clear" w:color="auto" w:fill="FFFFFF"/>
        <w:jc w:val="both"/>
        <w:textAlignment w:val="baseline"/>
        <w:outlineLvl w:val="1"/>
        <w:rPr>
          <w:bCs/>
        </w:rPr>
      </w:pPr>
    </w:p>
    <w:p w14:paraId="53EF09AE" w14:textId="77777777" w:rsidR="005341DC" w:rsidRPr="005341DC" w:rsidRDefault="005341DC" w:rsidP="005341DC">
      <w:pPr>
        <w:shd w:val="clear" w:color="auto" w:fill="FFFFFF"/>
        <w:jc w:val="center"/>
        <w:textAlignment w:val="baseline"/>
        <w:outlineLvl w:val="1"/>
        <w:rPr>
          <w:b/>
          <w:bCs/>
        </w:rPr>
      </w:pPr>
      <w:r w:rsidRPr="005341DC">
        <w:rPr>
          <w:b/>
          <w:bCs/>
        </w:rPr>
        <w:t>IV.</w:t>
      </w:r>
    </w:p>
    <w:p w14:paraId="1453295C" w14:textId="77777777" w:rsidR="005341DC" w:rsidRPr="005341DC" w:rsidRDefault="005341DC" w:rsidP="005341DC">
      <w:pPr>
        <w:shd w:val="clear" w:color="auto" w:fill="FFFFFF"/>
        <w:jc w:val="both"/>
        <w:textAlignment w:val="baseline"/>
        <w:outlineLvl w:val="1"/>
        <w:rPr>
          <w:bCs/>
        </w:rPr>
      </w:pPr>
    </w:p>
    <w:p w14:paraId="55667D65" w14:textId="77777777" w:rsidR="005341DC" w:rsidRPr="005341DC" w:rsidRDefault="005341DC" w:rsidP="005341DC">
      <w:pPr>
        <w:shd w:val="clear" w:color="auto" w:fill="FFFFFF"/>
        <w:jc w:val="both"/>
        <w:textAlignment w:val="baseline"/>
        <w:outlineLvl w:val="1"/>
        <w:rPr>
          <w:bCs/>
        </w:rPr>
      </w:pPr>
      <w:r w:rsidRPr="005341DC">
        <w:rPr>
          <w:bCs/>
        </w:rPr>
        <w:t xml:space="preserve">Cijena plina po kojoj je Hrvatska elektroprivreda d.d. dužna prodavati plin </w:t>
      </w:r>
      <w:r w:rsidRPr="005341DC">
        <w:rPr>
          <w:bCs/>
          <w:color w:val="231F20"/>
          <w:shd w:val="clear" w:color="auto" w:fill="FFFFFF"/>
        </w:rPr>
        <w:t>za potrebe kupaca toplinske energije iz samostalnog toplinskog sustava iz točke III. ove Odluke, opskrbljivačima u obvezi javne usluge na određenom distribucijskom području, odnosno zajamčenom opskrbljivaču, ako na određenom distribucijskom području nema opskrbljivača u obvezi javne usluge, iznosi 0,3086 kn/kWh (0,0410 EUR/kWh) uvećano za</w:t>
      </w:r>
      <w:r w:rsidRPr="005341DC">
        <w:rPr>
          <w:bCs/>
        </w:rPr>
        <w:t xml:space="preserve"> udio od 76% troška opskrbe plinom, određenog za pojedino distribucijsko područje na temelju provedenog natječaja za odabir opskrbljivača u obvezi javne usluge. </w:t>
      </w:r>
    </w:p>
    <w:p w14:paraId="57E576C3" w14:textId="77777777" w:rsidR="005341DC" w:rsidRPr="005341DC" w:rsidRDefault="005341DC" w:rsidP="005341DC">
      <w:pPr>
        <w:shd w:val="clear" w:color="auto" w:fill="FFFFFF"/>
        <w:jc w:val="both"/>
        <w:textAlignment w:val="baseline"/>
        <w:outlineLvl w:val="1"/>
        <w:rPr>
          <w:bCs/>
        </w:rPr>
      </w:pPr>
    </w:p>
    <w:p w14:paraId="190A0656" w14:textId="77777777" w:rsidR="005341DC" w:rsidRPr="005341DC" w:rsidRDefault="005341DC" w:rsidP="005341DC">
      <w:pPr>
        <w:shd w:val="clear" w:color="auto" w:fill="FFFFFF"/>
        <w:jc w:val="both"/>
        <w:textAlignment w:val="baseline"/>
        <w:outlineLvl w:val="1"/>
        <w:rPr>
          <w:bCs/>
        </w:rPr>
      </w:pPr>
      <w:r w:rsidRPr="005341DC">
        <w:rPr>
          <w:bCs/>
        </w:rPr>
        <w:t xml:space="preserve">Cijena plina, po kojoj su </w:t>
      </w:r>
      <w:r w:rsidRPr="005341DC">
        <w:rPr>
          <w:bCs/>
          <w:color w:val="231F20"/>
          <w:shd w:val="clear" w:color="auto" w:fill="FFFFFF"/>
        </w:rPr>
        <w:t>opskrbljivači u obvezi javne usluge</w:t>
      </w:r>
      <w:r w:rsidRPr="005341DC">
        <w:rPr>
          <w:bCs/>
        </w:rPr>
        <w:t xml:space="preserve"> dužni prodavati plin kupcima </w:t>
      </w:r>
      <w:r w:rsidRPr="005341DC">
        <w:rPr>
          <w:bCs/>
          <w:color w:val="231F20"/>
          <w:shd w:val="clear" w:color="auto" w:fill="FFFFFF"/>
        </w:rPr>
        <w:t>toplinske energije iz samostalnog toplinskog sustava iz točke III. ove Odluke</w:t>
      </w:r>
      <w:r w:rsidRPr="005341DC">
        <w:rPr>
          <w:bCs/>
        </w:rPr>
        <w:t xml:space="preserve"> </w:t>
      </w:r>
      <w:r w:rsidRPr="005341DC">
        <w:rPr>
          <w:bCs/>
          <w:color w:val="231F20"/>
          <w:shd w:val="clear" w:color="auto" w:fill="FFFFFF"/>
        </w:rPr>
        <w:t xml:space="preserve">jednaka je cijeni plina za kućanstva koja koriste javnu uslugu opskrbe plinom na pojedinom distribucijskom području, u skladu s važećom odlukom </w:t>
      </w:r>
      <w:r w:rsidRPr="005341DC">
        <w:rPr>
          <w:bCs/>
        </w:rPr>
        <w:t>Hrvatske energetske regulatorne agencije.</w:t>
      </w:r>
    </w:p>
    <w:p w14:paraId="30A1CF82" w14:textId="77777777" w:rsidR="005341DC" w:rsidRPr="005341DC" w:rsidRDefault="005341DC" w:rsidP="005341DC">
      <w:pPr>
        <w:shd w:val="clear" w:color="auto" w:fill="FFFFFF"/>
        <w:jc w:val="both"/>
        <w:textAlignment w:val="baseline"/>
        <w:outlineLvl w:val="1"/>
        <w:rPr>
          <w:bCs/>
        </w:rPr>
      </w:pPr>
    </w:p>
    <w:p w14:paraId="4AA285E4" w14:textId="77777777" w:rsidR="005341DC" w:rsidRPr="005341DC" w:rsidRDefault="005341DC" w:rsidP="005341DC">
      <w:pPr>
        <w:shd w:val="clear" w:color="auto" w:fill="FFFFFF"/>
        <w:spacing w:line="276" w:lineRule="auto"/>
        <w:jc w:val="center"/>
        <w:textAlignment w:val="baseline"/>
        <w:outlineLvl w:val="1"/>
        <w:rPr>
          <w:bCs/>
          <w:color w:val="231F20"/>
          <w:shd w:val="clear" w:color="auto" w:fill="FFFFFF"/>
        </w:rPr>
      </w:pPr>
    </w:p>
    <w:p w14:paraId="57F76999" w14:textId="77777777" w:rsidR="005341DC" w:rsidRPr="005341DC" w:rsidRDefault="005341DC" w:rsidP="005341DC">
      <w:pPr>
        <w:shd w:val="clear" w:color="auto" w:fill="FFFFFF"/>
        <w:spacing w:line="276" w:lineRule="auto"/>
        <w:jc w:val="center"/>
        <w:textAlignment w:val="baseline"/>
        <w:outlineLvl w:val="1"/>
        <w:rPr>
          <w:b/>
          <w:bCs/>
          <w:color w:val="231F20"/>
          <w:shd w:val="clear" w:color="auto" w:fill="FFFFFF"/>
        </w:rPr>
      </w:pPr>
      <w:r w:rsidRPr="005341DC">
        <w:rPr>
          <w:b/>
          <w:bCs/>
          <w:color w:val="231F20"/>
          <w:shd w:val="clear" w:color="auto" w:fill="FFFFFF"/>
        </w:rPr>
        <w:t>V.</w:t>
      </w:r>
    </w:p>
    <w:p w14:paraId="499AF064" w14:textId="77777777" w:rsidR="005341DC" w:rsidRPr="005341DC" w:rsidRDefault="005341DC" w:rsidP="005341DC">
      <w:pPr>
        <w:shd w:val="clear" w:color="auto" w:fill="FFFFFF"/>
        <w:spacing w:line="276" w:lineRule="auto"/>
        <w:jc w:val="center"/>
        <w:textAlignment w:val="baseline"/>
        <w:outlineLvl w:val="1"/>
        <w:rPr>
          <w:b/>
          <w:bCs/>
          <w:color w:val="231F20"/>
          <w:shd w:val="clear" w:color="auto" w:fill="FFFFFF"/>
        </w:rPr>
      </w:pPr>
    </w:p>
    <w:p w14:paraId="5805160D" w14:textId="77777777" w:rsidR="005341DC" w:rsidRPr="005341DC" w:rsidRDefault="005341DC" w:rsidP="005341DC">
      <w:pPr>
        <w:shd w:val="clear" w:color="auto" w:fill="FFFFFF"/>
        <w:jc w:val="both"/>
        <w:textAlignment w:val="baseline"/>
        <w:outlineLvl w:val="1"/>
        <w:rPr>
          <w:bCs/>
          <w:color w:val="231F20"/>
          <w:shd w:val="clear" w:color="auto" w:fill="FFFFFF"/>
        </w:rPr>
      </w:pPr>
      <w:r w:rsidRPr="005341DC">
        <w:rPr>
          <w:bCs/>
        </w:rPr>
        <w:t xml:space="preserve">Hrvatska elektroprivreda d.d. dužna je, u razdoblju od 1. listopada 2022. do 31. ožujka 2024, za potrebe </w:t>
      </w:r>
      <w:r w:rsidRPr="005341DC">
        <w:rPr>
          <w:bCs/>
          <w:color w:val="231F20"/>
          <w:shd w:val="clear" w:color="auto" w:fill="FFFFFF"/>
        </w:rPr>
        <w:t xml:space="preserve">opskrbe plinom u obvezi javne usluge krajnjih kupaca kategorije kućanstvo, isporučivati plin opskrbljivačima u obvezi javne usluge na određenom distribucijskom području, odnosno zajamčenom opskrbljivaču, ako na određenom distribucijskom području nema opskrbljivača u obvezi javne usluge, za krajnje kupce plina za koje na dan stupanja na snagu Uredbe </w:t>
      </w:r>
      <w:r w:rsidRPr="005341DC">
        <w:rPr>
          <w:bCs/>
        </w:rPr>
        <w:t>o otklanjanju poremećaja na domaćem tržištu energije („Narodne novine“, br. 104/22, 106/22) nisu bile ugovorene dovoljne količine plina sukladno postojećim ugovorima, a za koje su Hrvatskoj energetskoj regulatornoj agenciji iskazane potrebne količine, u ukupno procijenjenom iznosu</w:t>
      </w:r>
      <w:r w:rsidRPr="005341DC">
        <w:rPr>
          <w:bCs/>
          <w:color w:val="231F20"/>
          <w:shd w:val="clear" w:color="auto" w:fill="FFFFFF"/>
        </w:rPr>
        <w:t xml:space="preserve"> od 3.657.512,112 MWh plina.</w:t>
      </w:r>
    </w:p>
    <w:p w14:paraId="562BD5E0"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6AB8D474"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4FBB5D6D"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r w:rsidRPr="005341DC">
        <w:rPr>
          <w:b/>
          <w:bCs/>
          <w:color w:val="231F20"/>
          <w:szCs w:val="36"/>
          <w:shd w:val="clear" w:color="auto" w:fill="FFFFFF"/>
        </w:rPr>
        <w:t>VI.</w:t>
      </w:r>
    </w:p>
    <w:p w14:paraId="61FBFF07"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1B73A6FB" w14:textId="77777777" w:rsidR="005341DC" w:rsidRPr="005341DC" w:rsidRDefault="005341DC" w:rsidP="005341DC">
      <w:pPr>
        <w:shd w:val="clear" w:color="auto" w:fill="FFFFFF"/>
        <w:jc w:val="both"/>
        <w:textAlignment w:val="baseline"/>
        <w:outlineLvl w:val="1"/>
        <w:rPr>
          <w:bCs/>
        </w:rPr>
      </w:pPr>
      <w:r w:rsidRPr="005341DC">
        <w:rPr>
          <w:bCs/>
        </w:rPr>
        <w:lastRenderedPageBreak/>
        <w:t xml:space="preserve">Cijena plina po kojoj je Hrvatska elektroprivreda d.d. dužna prodavati plin </w:t>
      </w:r>
      <w:r w:rsidRPr="005341DC">
        <w:rPr>
          <w:bCs/>
          <w:color w:val="231F20"/>
          <w:shd w:val="clear" w:color="auto" w:fill="FFFFFF"/>
        </w:rPr>
        <w:t>za potrebe javne usluge krajnjih kupaca kategorije kućanstvo opskrbljivačima u obvezi javne usluge na određenom distribucijskom području, odnosno zajamčenom opskrbljivaču, ako na određenom distribucijskom području nema opskrbljivača u obvezi javne usluge, iznosi</w:t>
      </w:r>
      <w:r w:rsidRPr="005341DC">
        <w:rPr>
          <w:bCs/>
        </w:rPr>
        <w:t xml:space="preserve"> </w:t>
      </w:r>
      <w:r w:rsidRPr="005341DC">
        <w:rPr>
          <w:bCs/>
          <w:color w:val="231F20"/>
          <w:shd w:val="clear" w:color="auto" w:fill="FFFFFF"/>
        </w:rPr>
        <w:t xml:space="preserve">0,3086 kn/kWh (0,0410 EUR/kWh) uvećano </w:t>
      </w:r>
      <w:r w:rsidRPr="005341DC">
        <w:rPr>
          <w:bCs/>
        </w:rPr>
        <w:t>za udio od 76% troška opskrbe plinom određenog za pojedino distribucijsko područje na temelju provedenog natječaja za odabir opskrbljivača u obvezi javne usluge.</w:t>
      </w:r>
    </w:p>
    <w:p w14:paraId="3ED9B331" w14:textId="77777777" w:rsidR="005341DC" w:rsidRPr="005341DC" w:rsidRDefault="005341DC" w:rsidP="005341DC">
      <w:pPr>
        <w:shd w:val="clear" w:color="auto" w:fill="FFFFFF"/>
        <w:spacing w:line="288" w:lineRule="atLeast"/>
        <w:jc w:val="both"/>
        <w:textAlignment w:val="baseline"/>
        <w:outlineLvl w:val="1"/>
        <w:rPr>
          <w:bCs/>
        </w:rPr>
      </w:pPr>
      <w:r w:rsidRPr="005341DC">
        <w:rPr>
          <w:bCs/>
        </w:rPr>
        <w:tab/>
      </w:r>
    </w:p>
    <w:p w14:paraId="40BC27A2"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r w:rsidRPr="005341DC">
        <w:rPr>
          <w:b/>
          <w:bCs/>
          <w:color w:val="231F20"/>
          <w:szCs w:val="36"/>
          <w:shd w:val="clear" w:color="auto" w:fill="FFFFFF"/>
        </w:rPr>
        <w:t>VII.</w:t>
      </w:r>
    </w:p>
    <w:p w14:paraId="0D493A9C"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4D5A3475" w14:textId="77777777" w:rsidR="005341DC" w:rsidRPr="005341DC" w:rsidRDefault="005341DC" w:rsidP="005341DC">
      <w:pPr>
        <w:shd w:val="clear" w:color="auto" w:fill="FFFFFF"/>
        <w:spacing w:after="48"/>
        <w:jc w:val="both"/>
        <w:textAlignment w:val="baseline"/>
      </w:pPr>
      <w:r w:rsidRPr="005341DC">
        <w:t>Hrvatska elektroprivreda d.d. dužna je, u razdoblju od 1. listopada 2022. do 31. ožujka 2024., za potrebe kupaca plina iz kategorije poduzetništvo iz članka 2. stavka 3. Uredbe</w:t>
      </w:r>
      <w:r w:rsidRPr="005341DC">
        <w:rPr>
          <w:b/>
        </w:rPr>
        <w:t xml:space="preserve"> </w:t>
      </w:r>
      <w:r w:rsidRPr="005341DC">
        <w:t>o otklanjanju poremećaja na domaćem tržištu energije („Narodne novine“, br. 104/22, 106/22)</w:t>
      </w:r>
      <w:r w:rsidRPr="005341DC">
        <w:rPr>
          <w:b/>
        </w:rPr>
        <w:t xml:space="preserve">, </w:t>
      </w:r>
      <w:r w:rsidRPr="005341DC">
        <w:t xml:space="preserve">koji imaju sklopljene ugovore o opskrbi plinom s tvrtkom HEP- PLIN d.o.o., odnosno koji nakon stupanja na snagu ove Odluke ostanu bez ugovora o opskrbi plinom ili sklope ugovor o opskrbi plinom s tvrtkom HEP- PLIN d.o.o., isporučivati preostale količine plina, u odnosu na količine plina određene za potrebe iz točki I., III. i V. ove Odluke, tvrtki HEP-PLIN d.o.o. </w:t>
      </w:r>
    </w:p>
    <w:p w14:paraId="189B58C7"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1AA98FD4"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r w:rsidRPr="005341DC">
        <w:rPr>
          <w:b/>
          <w:bCs/>
          <w:color w:val="231F20"/>
          <w:szCs w:val="36"/>
          <w:shd w:val="clear" w:color="auto" w:fill="FFFFFF"/>
        </w:rPr>
        <w:t>VIII.</w:t>
      </w:r>
    </w:p>
    <w:p w14:paraId="75FF8111" w14:textId="77777777" w:rsidR="005341DC" w:rsidRPr="005341DC" w:rsidRDefault="005341DC" w:rsidP="005341DC">
      <w:pPr>
        <w:shd w:val="clear" w:color="auto" w:fill="FFFFFF"/>
        <w:spacing w:after="48"/>
        <w:jc w:val="both"/>
        <w:textAlignment w:val="baseline"/>
      </w:pPr>
    </w:p>
    <w:p w14:paraId="66076D33" w14:textId="77777777" w:rsidR="005341DC" w:rsidRPr="005341DC" w:rsidRDefault="005341DC" w:rsidP="005341DC">
      <w:pPr>
        <w:shd w:val="clear" w:color="auto" w:fill="FFFFFF"/>
        <w:spacing w:after="48"/>
        <w:jc w:val="both"/>
        <w:textAlignment w:val="baseline"/>
        <w:rPr>
          <w:color w:val="231F20"/>
        </w:rPr>
      </w:pPr>
      <w:r w:rsidRPr="005341DC">
        <w:t>Prioritet pri isporuci plina određenog točkom VII. Ove Odluke imaju</w:t>
      </w:r>
      <w:r w:rsidRPr="005341DC">
        <w:rPr>
          <w:b/>
        </w:rPr>
        <w:t>:</w:t>
      </w:r>
      <w:r w:rsidRPr="005341DC">
        <w:rPr>
          <w:color w:val="231F20"/>
        </w:rPr>
        <w:t xml:space="preserve"> ustanove predškolskog i školskog obrazovanja, visoka učilišta i njihove sastavnice, ustanove čiji su osnivači visoka učilišta te javne znanstvene institute sukladno Zakonu o predškolskom odgoju i obrazovanju („Narodne novine“, br. 10/97., 107/07., 94/13., 98/19. i 57/22.), Zakonu o odgoju i obrazovanju u osnovnoj i srednjoj školi („Narodne novine“, br. 87/08., 86/09., 92/10., 105/10., 90/11., 5/12., 16/12., 86/12., 126/12., 94/13., 152/14., 07/17., 68/18., 98/19. i 64/20.) i Zakonu o znanstvenoj djelatnosti i visokom obrazovanju („Narodne novine“, br. 123/03., 198/03., 105/04., 174/04., 02/07., 46/07., 45/09., 63/11., 94/13., 139/13., 101/14. i 60/15.) i zdravstvene ustanove, trgovačka društva koja obavljaju zdravstvenu djelatnost i privatne prakse za obavljanje zdravstvene djelatnosti sukladno Zakonu o zdravstvenoj zaštiti („Narodne novine“, br. 100/18. i 147/20.) i Zakonu o ustanovama („Narodne novine“, br. 76/93., 29/97., 47/99., 35/08. i 127/19.).</w:t>
      </w:r>
    </w:p>
    <w:p w14:paraId="45F51977" w14:textId="77777777" w:rsidR="005341DC" w:rsidRPr="005341DC" w:rsidRDefault="005341DC" w:rsidP="005341DC">
      <w:pPr>
        <w:shd w:val="clear" w:color="auto" w:fill="FFFFFF"/>
        <w:spacing w:line="288" w:lineRule="atLeast"/>
        <w:textAlignment w:val="baseline"/>
        <w:outlineLvl w:val="1"/>
        <w:rPr>
          <w:b/>
          <w:bCs/>
          <w:color w:val="231F20"/>
          <w:szCs w:val="36"/>
          <w:shd w:val="clear" w:color="auto" w:fill="FFFFFF"/>
        </w:rPr>
      </w:pPr>
    </w:p>
    <w:p w14:paraId="66DEBF32"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r w:rsidRPr="005341DC">
        <w:rPr>
          <w:b/>
          <w:bCs/>
          <w:color w:val="231F20"/>
          <w:szCs w:val="36"/>
          <w:shd w:val="clear" w:color="auto" w:fill="FFFFFF"/>
        </w:rPr>
        <w:t>IX.</w:t>
      </w:r>
    </w:p>
    <w:p w14:paraId="0A59E09F"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350AE61D" w14:textId="77777777" w:rsidR="005341DC" w:rsidRPr="005341DC" w:rsidRDefault="005341DC" w:rsidP="005341DC">
      <w:pPr>
        <w:shd w:val="clear" w:color="auto" w:fill="FFFFFF"/>
        <w:jc w:val="both"/>
        <w:textAlignment w:val="baseline"/>
        <w:outlineLvl w:val="1"/>
        <w:rPr>
          <w:bCs/>
        </w:rPr>
      </w:pPr>
      <w:r w:rsidRPr="005341DC">
        <w:rPr>
          <w:bCs/>
        </w:rPr>
        <w:t>Cijena plina po kojoj je Hrvatska elektroprivreda d.d. dužna prodavati plin tvrtki HEP-PLIN d.o.o.</w:t>
      </w:r>
      <w:r w:rsidRPr="005341DC">
        <w:rPr>
          <w:bCs/>
          <w:color w:val="231F20"/>
          <w:shd w:val="clear" w:color="auto" w:fill="FFFFFF"/>
        </w:rPr>
        <w:t xml:space="preserve"> za potrebe iz točke VII. ove Odluke</w:t>
      </w:r>
      <w:r w:rsidRPr="005341DC">
        <w:rPr>
          <w:bCs/>
        </w:rPr>
        <w:t xml:space="preserve"> iznosi </w:t>
      </w:r>
      <w:r w:rsidRPr="005341DC">
        <w:rPr>
          <w:bCs/>
          <w:color w:val="231F20"/>
          <w:shd w:val="clear" w:color="auto" w:fill="FFFFFF"/>
        </w:rPr>
        <w:t xml:space="preserve">0,3086 kn/kWh (0,0410 EUR/kWh) uvećano </w:t>
      </w:r>
      <w:r w:rsidRPr="005341DC">
        <w:rPr>
          <w:bCs/>
        </w:rPr>
        <w:t>za udio od 76% troška opskrbe plinom, određenog za pojedino distribucijsko područje na temelju provedenog natječaja za odabir opskrbljivača u obvezi javne usluge.</w:t>
      </w:r>
    </w:p>
    <w:p w14:paraId="7E2AC2C5" w14:textId="77777777" w:rsidR="005341DC" w:rsidRPr="005341DC" w:rsidRDefault="005341DC" w:rsidP="005341DC">
      <w:pPr>
        <w:shd w:val="clear" w:color="auto" w:fill="FFFFFF"/>
        <w:jc w:val="both"/>
        <w:textAlignment w:val="baseline"/>
        <w:outlineLvl w:val="1"/>
        <w:rPr>
          <w:bCs/>
        </w:rPr>
      </w:pPr>
    </w:p>
    <w:p w14:paraId="497EF068" w14:textId="77777777" w:rsidR="005341DC" w:rsidRPr="005341DC" w:rsidRDefault="005341DC" w:rsidP="005341DC">
      <w:pPr>
        <w:shd w:val="clear" w:color="auto" w:fill="FFFFFF"/>
        <w:jc w:val="both"/>
        <w:textAlignment w:val="baseline"/>
        <w:outlineLvl w:val="1"/>
        <w:rPr>
          <w:bCs/>
        </w:rPr>
      </w:pPr>
      <w:r w:rsidRPr="005341DC">
        <w:rPr>
          <w:bCs/>
        </w:rPr>
        <w:t>Cijena plina po kojoj je tvrtka HEP-PLIN d.o.o.</w:t>
      </w:r>
      <w:r w:rsidRPr="005341DC">
        <w:rPr>
          <w:bCs/>
          <w:color w:val="231F20"/>
          <w:shd w:val="clear" w:color="auto" w:fill="FFFFFF"/>
        </w:rPr>
        <w:t xml:space="preserve"> </w:t>
      </w:r>
      <w:r w:rsidRPr="005341DC">
        <w:rPr>
          <w:bCs/>
        </w:rPr>
        <w:t xml:space="preserve">dužna prodavati plin kupcima iz kategorije poduzetništvo iz članka 2. stavka 3. Uredbe o otklanjanju poremećaja na </w:t>
      </w:r>
      <w:r w:rsidRPr="005341DC">
        <w:rPr>
          <w:bCs/>
        </w:rPr>
        <w:lastRenderedPageBreak/>
        <w:t>domaćem tržištu energije („Narodne novine“, br. 104/22, 106/22)</w:t>
      </w:r>
      <w:r w:rsidRPr="005341DC">
        <w:rPr>
          <w:bCs/>
          <w:color w:val="231F20"/>
          <w:shd w:val="clear" w:color="auto" w:fill="FFFFFF"/>
        </w:rPr>
        <w:t xml:space="preserve"> iz točke VII. ove Odluke,</w:t>
      </w:r>
      <w:r w:rsidRPr="005341DC">
        <w:rPr>
          <w:bCs/>
        </w:rPr>
        <w:t xml:space="preserve"> </w:t>
      </w:r>
      <w:r w:rsidRPr="005341DC">
        <w:rPr>
          <w:bCs/>
          <w:color w:val="231F20"/>
          <w:shd w:val="clear" w:color="auto" w:fill="FFFFFF"/>
        </w:rPr>
        <w:t xml:space="preserve">jednaka je cijeni plina za kućanstva koja koriste javnu uslugu opskrbe plinom, na pojedinom distribucijskom području, u skladu s važećom odlukom </w:t>
      </w:r>
      <w:r w:rsidRPr="005341DC">
        <w:rPr>
          <w:bCs/>
        </w:rPr>
        <w:t>Hrvatske energetske regulatorne agencije.</w:t>
      </w:r>
    </w:p>
    <w:p w14:paraId="25D9B4E7" w14:textId="77777777" w:rsidR="005341DC" w:rsidRPr="005341DC" w:rsidRDefault="005341DC" w:rsidP="005341DC">
      <w:pPr>
        <w:shd w:val="clear" w:color="auto" w:fill="FFFFFF"/>
        <w:jc w:val="both"/>
        <w:textAlignment w:val="baseline"/>
        <w:outlineLvl w:val="1"/>
        <w:rPr>
          <w:bCs/>
        </w:rPr>
      </w:pPr>
    </w:p>
    <w:p w14:paraId="2BFDC3B5" w14:textId="77777777" w:rsidR="005341DC" w:rsidRPr="005341DC" w:rsidRDefault="005341DC" w:rsidP="005341DC">
      <w:pPr>
        <w:shd w:val="clear" w:color="auto" w:fill="FFFFFF"/>
        <w:spacing w:before="100" w:beforeAutospacing="1" w:after="120" w:line="288" w:lineRule="atLeast"/>
        <w:jc w:val="center"/>
        <w:textAlignment w:val="baseline"/>
        <w:outlineLvl w:val="1"/>
        <w:rPr>
          <w:b/>
          <w:bCs/>
        </w:rPr>
      </w:pPr>
      <w:r w:rsidRPr="005341DC">
        <w:rPr>
          <w:b/>
          <w:bCs/>
        </w:rPr>
        <w:t>X.</w:t>
      </w:r>
    </w:p>
    <w:p w14:paraId="4149BCAA" w14:textId="77777777" w:rsidR="005341DC" w:rsidRPr="005341DC" w:rsidRDefault="005341DC" w:rsidP="005341DC">
      <w:pPr>
        <w:shd w:val="clear" w:color="auto" w:fill="FFFFFF"/>
        <w:spacing w:before="100" w:beforeAutospacing="1" w:after="120" w:line="288" w:lineRule="atLeast"/>
        <w:jc w:val="both"/>
        <w:textAlignment w:val="baseline"/>
        <w:outlineLvl w:val="1"/>
        <w:rPr>
          <w:bCs/>
        </w:rPr>
      </w:pPr>
      <w:r w:rsidRPr="005341DC">
        <w:rPr>
          <w:bCs/>
        </w:rPr>
        <w:t>Energetski subjekti i kupci toplinske energije, koji kupuju plin za isporuku toplinske energije krajnjim kupcima na toplinskim sustavima, a koji su u vlasništvu jedinica lokalne samouprave, nisu uključeni u raspodjelu plina iz  točke VII. ove Odluke.</w:t>
      </w:r>
    </w:p>
    <w:p w14:paraId="44D78B4B" w14:textId="77777777" w:rsidR="005341DC" w:rsidRPr="005341DC" w:rsidRDefault="005341DC" w:rsidP="005341DC">
      <w:pPr>
        <w:shd w:val="clear" w:color="auto" w:fill="FFFFFF"/>
        <w:spacing w:before="100" w:beforeAutospacing="1" w:after="120" w:line="288" w:lineRule="atLeast"/>
        <w:jc w:val="both"/>
        <w:textAlignment w:val="baseline"/>
        <w:outlineLvl w:val="1"/>
        <w:rPr>
          <w:bCs/>
        </w:rPr>
      </w:pPr>
    </w:p>
    <w:p w14:paraId="1C07854E" w14:textId="77777777" w:rsidR="005341DC" w:rsidRPr="005341DC" w:rsidRDefault="005341DC" w:rsidP="005341DC">
      <w:pPr>
        <w:shd w:val="clear" w:color="auto" w:fill="FFFFFF"/>
        <w:spacing w:before="100" w:beforeAutospacing="1" w:after="120" w:line="288" w:lineRule="atLeast"/>
        <w:jc w:val="center"/>
        <w:textAlignment w:val="baseline"/>
        <w:outlineLvl w:val="1"/>
        <w:rPr>
          <w:b/>
          <w:bCs/>
          <w:color w:val="231F20"/>
          <w:szCs w:val="36"/>
          <w:shd w:val="clear" w:color="auto" w:fill="FFFFFF"/>
        </w:rPr>
      </w:pPr>
      <w:r w:rsidRPr="005341DC">
        <w:rPr>
          <w:b/>
          <w:bCs/>
          <w:color w:val="231F20"/>
          <w:szCs w:val="36"/>
          <w:shd w:val="clear" w:color="auto" w:fill="FFFFFF"/>
        </w:rPr>
        <w:t>XI.</w:t>
      </w:r>
    </w:p>
    <w:p w14:paraId="6791B8A2" w14:textId="1B10167C" w:rsidR="005341DC" w:rsidRPr="005341DC" w:rsidRDefault="005341DC" w:rsidP="005341DC">
      <w:pPr>
        <w:shd w:val="clear" w:color="auto" w:fill="FFFFFF"/>
        <w:spacing w:line="288" w:lineRule="atLeast"/>
        <w:jc w:val="both"/>
        <w:textAlignment w:val="baseline"/>
        <w:outlineLvl w:val="1"/>
        <w:rPr>
          <w:bCs/>
        </w:rPr>
      </w:pPr>
      <w:r w:rsidRPr="005341DC">
        <w:rPr>
          <w:bCs/>
        </w:rPr>
        <w:t>Hrvatskoj elektroprivredi d.d. dozvoljeno je odstupanje od k</w:t>
      </w:r>
      <w:r w:rsidR="009E21B1">
        <w:rPr>
          <w:bCs/>
        </w:rPr>
        <w:t>oličine plina iz točki I., III. i</w:t>
      </w:r>
      <w:r w:rsidRPr="005341DC">
        <w:rPr>
          <w:bCs/>
        </w:rPr>
        <w:t xml:space="preserve"> V. </w:t>
      </w:r>
      <w:bookmarkStart w:id="0" w:name="_GoBack"/>
      <w:bookmarkEnd w:id="0"/>
      <w:r w:rsidRPr="005341DC">
        <w:rPr>
          <w:bCs/>
        </w:rPr>
        <w:t xml:space="preserve"> ove Odluke uvećano za maksimalno 15%.</w:t>
      </w:r>
    </w:p>
    <w:p w14:paraId="5C64FAA3" w14:textId="77777777" w:rsidR="005341DC" w:rsidRPr="005341DC" w:rsidRDefault="005341DC" w:rsidP="005341DC">
      <w:pPr>
        <w:shd w:val="clear" w:color="auto" w:fill="FFFFFF"/>
        <w:spacing w:line="288" w:lineRule="atLeast"/>
        <w:textAlignment w:val="baseline"/>
        <w:outlineLvl w:val="1"/>
        <w:rPr>
          <w:b/>
          <w:bCs/>
          <w:color w:val="231F20"/>
          <w:szCs w:val="36"/>
          <w:shd w:val="clear" w:color="auto" w:fill="FFFFFF"/>
        </w:rPr>
      </w:pPr>
    </w:p>
    <w:p w14:paraId="28F02C9D"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20EC3E02"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22138455"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r w:rsidRPr="005341DC">
        <w:rPr>
          <w:b/>
          <w:bCs/>
          <w:color w:val="231F20"/>
          <w:szCs w:val="36"/>
          <w:shd w:val="clear" w:color="auto" w:fill="FFFFFF"/>
        </w:rPr>
        <w:t>XII.</w:t>
      </w:r>
    </w:p>
    <w:p w14:paraId="61C86DCB" w14:textId="77777777" w:rsidR="005341DC" w:rsidRPr="005341DC" w:rsidRDefault="005341DC" w:rsidP="005341DC">
      <w:pPr>
        <w:shd w:val="clear" w:color="auto" w:fill="FFFFFF"/>
        <w:spacing w:line="288" w:lineRule="atLeast"/>
        <w:jc w:val="both"/>
        <w:textAlignment w:val="baseline"/>
        <w:outlineLvl w:val="1"/>
        <w:rPr>
          <w:bCs/>
        </w:rPr>
      </w:pPr>
    </w:p>
    <w:p w14:paraId="6128F86F" w14:textId="77777777" w:rsidR="005341DC" w:rsidRPr="005341DC" w:rsidRDefault="005341DC" w:rsidP="005341DC">
      <w:pPr>
        <w:shd w:val="clear" w:color="auto" w:fill="FFFFFF"/>
        <w:spacing w:line="288" w:lineRule="atLeast"/>
        <w:jc w:val="both"/>
        <w:textAlignment w:val="baseline"/>
        <w:outlineLvl w:val="1"/>
        <w:rPr>
          <w:bCs/>
        </w:rPr>
      </w:pPr>
      <w:r w:rsidRPr="005341DC">
        <w:rPr>
          <w:bCs/>
        </w:rPr>
        <w:t xml:space="preserve">Hrvatska elektroprivreda d.d. dužna je, po isteku svakog mjeseca od dana stupanja na snagu ove Odluke, Hrvatskoj energetskoj regulatornoj agenciji dostavljati izvješće o provedbi ove Odluke. </w:t>
      </w:r>
    </w:p>
    <w:p w14:paraId="7BCFA58B" w14:textId="77777777" w:rsidR="005341DC" w:rsidRPr="005341DC" w:rsidRDefault="005341DC" w:rsidP="005341DC">
      <w:pPr>
        <w:shd w:val="clear" w:color="auto" w:fill="FFFFFF"/>
        <w:spacing w:line="288" w:lineRule="atLeast"/>
        <w:jc w:val="both"/>
        <w:textAlignment w:val="baseline"/>
        <w:outlineLvl w:val="1"/>
        <w:rPr>
          <w:bCs/>
        </w:rPr>
      </w:pPr>
    </w:p>
    <w:p w14:paraId="680EC2ED" w14:textId="77777777" w:rsidR="005341DC" w:rsidRPr="005341DC" w:rsidRDefault="005341DC" w:rsidP="005341DC">
      <w:pPr>
        <w:shd w:val="clear" w:color="auto" w:fill="FFFFFF"/>
        <w:spacing w:line="288" w:lineRule="atLeast"/>
        <w:jc w:val="both"/>
        <w:textAlignment w:val="baseline"/>
        <w:outlineLvl w:val="1"/>
        <w:rPr>
          <w:bCs/>
        </w:rPr>
      </w:pPr>
    </w:p>
    <w:p w14:paraId="6F283A96"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r w:rsidRPr="005341DC">
        <w:rPr>
          <w:b/>
          <w:bCs/>
          <w:color w:val="231F20"/>
          <w:szCs w:val="36"/>
          <w:shd w:val="clear" w:color="auto" w:fill="FFFFFF"/>
        </w:rPr>
        <w:t>XIII.</w:t>
      </w:r>
    </w:p>
    <w:p w14:paraId="755C7E6B"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786AC315" w14:textId="77777777" w:rsidR="005341DC" w:rsidRPr="005341DC" w:rsidRDefault="005341DC" w:rsidP="005341DC">
      <w:pPr>
        <w:shd w:val="clear" w:color="auto" w:fill="FFFFFF"/>
        <w:jc w:val="both"/>
        <w:textAlignment w:val="baseline"/>
        <w:outlineLvl w:val="1"/>
        <w:rPr>
          <w:bCs/>
        </w:rPr>
      </w:pPr>
      <w:r w:rsidRPr="005341DC">
        <w:rPr>
          <w:bCs/>
        </w:rPr>
        <w:t xml:space="preserve">Hrvatska energetska regulatorna agencija dužna je dostaviti Hrvatskoj elektroprivredi d.d. podatke o iskazanom interesu i količinama plina iz točki I., III. i V. ove Odluke u roku od tri dana od dana stupanja na snagu ove Odluke. </w:t>
      </w:r>
    </w:p>
    <w:p w14:paraId="32CAF258" w14:textId="77777777" w:rsidR="005341DC" w:rsidRPr="005341DC" w:rsidRDefault="005341DC" w:rsidP="005341DC">
      <w:pPr>
        <w:shd w:val="clear" w:color="auto" w:fill="FFFFFF"/>
        <w:spacing w:line="288" w:lineRule="atLeast"/>
        <w:jc w:val="both"/>
        <w:textAlignment w:val="baseline"/>
        <w:outlineLvl w:val="1"/>
        <w:rPr>
          <w:b/>
          <w:bCs/>
          <w:color w:val="231F20"/>
          <w:shd w:val="clear" w:color="auto" w:fill="FFFFFF"/>
        </w:rPr>
      </w:pPr>
    </w:p>
    <w:p w14:paraId="2EBFDB3C" w14:textId="77777777" w:rsidR="005341DC" w:rsidRPr="005341DC" w:rsidRDefault="005341DC" w:rsidP="005341DC">
      <w:pPr>
        <w:shd w:val="clear" w:color="auto" w:fill="FFFFFF"/>
        <w:spacing w:line="288" w:lineRule="atLeast"/>
        <w:jc w:val="center"/>
        <w:textAlignment w:val="baseline"/>
        <w:outlineLvl w:val="1"/>
        <w:rPr>
          <w:b/>
          <w:bCs/>
          <w:color w:val="231F20"/>
          <w:szCs w:val="36"/>
          <w:shd w:val="clear" w:color="auto" w:fill="FFFFFF"/>
        </w:rPr>
      </w:pPr>
    </w:p>
    <w:p w14:paraId="114A484B" w14:textId="77777777" w:rsidR="005341DC" w:rsidRPr="005341DC" w:rsidRDefault="005341DC" w:rsidP="005341DC">
      <w:pPr>
        <w:shd w:val="clear" w:color="auto" w:fill="FFFFFF"/>
        <w:spacing w:line="288" w:lineRule="atLeast"/>
        <w:jc w:val="center"/>
        <w:textAlignment w:val="baseline"/>
        <w:outlineLvl w:val="1"/>
        <w:rPr>
          <w:b/>
          <w:bCs/>
        </w:rPr>
      </w:pPr>
      <w:r w:rsidRPr="005341DC">
        <w:rPr>
          <w:b/>
          <w:bCs/>
        </w:rPr>
        <w:t>XIV.</w:t>
      </w:r>
    </w:p>
    <w:p w14:paraId="69C42143" w14:textId="77777777" w:rsidR="005341DC" w:rsidRPr="005341DC" w:rsidRDefault="005341DC" w:rsidP="005341DC">
      <w:pPr>
        <w:shd w:val="clear" w:color="auto" w:fill="FFFFFF"/>
        <w:spacing w:line="288" w:lineRule="atLeast"/>
        <w:jc w:val="center"/>
        <w:textAlignment w:val="baseline"/>
        <w:outlineLvl w:val="1"/>
        <w:rPr>
          <w:bCs/>
        </w:rPr>
      </w:pPr>
    </w:p>
    <w:p w14:paraId="243CF423" w14:textId="77777777" w:rsidR="005341DC" w:rsidRPr="005341DC" w:rsidRDefault="005341DC" w:rsidP="005341DC">
      <w:pPr>
        <w:shd w:val="clear" w:color="auto" w:fill="FFFFFF"/>
        <w:spacing w:line="288" w:lineRule="atLeast"/>
        <w:jc w:val="both"/>
        <w:textAlignment w:val="baseline"/>
        <w:outlineLvl w:val="1"/>
        <w:rPr>
          <w:bCs/>
        </w:rPr>
      </w:pPr>
      <w:r w:rsidRPr="005341DC">
        <w:rPr>
          <w:bCs/>
        </w:rPr>
        <w:t xml:space="preserve">Dodatne upute o provedbi ove Odluke, po potrebi, donosi Ministarstvo gospodarstva i održivog razvoja u suradnji s Hrvatskom energetskom regulatornom agencijom. </w:t>
      </w:r>
    </w:p>
    <w:p w14:paraId="516EB2AA" w14:textId="77777777" w:rsidR="005341DC" w:rsidRPr="005341DC" w:rsidRDefault="005341DC" w:rsidP="005341DC">
      <w:pPr>
        <w:shd w:val="clear" w:color="auto" w:fill="FFFFFF"/>
        <w:spacing w:line="288" w:lineRule="atLeast"/>
        <w:jc w:val="both"/>
        <w:textAlignment w:val="baseline"/>
        <w:outlineLvl w:val="1"/>
        <w:rPr>
          <w:bCs/>
        </w:rPr>
      </w:pPr>
    </w:p>
    <w:p w14:paraId="1EC8F655" w14:textId="77777777" w:rsidR="005341DC" w:rsidRPr="005341DC" w:rsidRDefault="005341DC" w:rsidP="005341DC">
      <w:pPr>
        <w:shd w:val="clear" w:color="auto" w:fill="FFFFFF"/>
        <w:spacing w:line="288" w:lineRule="atLeast"/>
        <w:jc w:val="both"/>
        <w:textAlignment w:val="baseline"/>
        <w:outlineLvl w:val="1"/>
        <w:rPr>
          <w:bCs/>
        </w:rPr>
      </w:pPr>
    </w:p>
    <w:p w14:paraId="1E9ED4CD" w14:textId="77777777" w:rsidR="005341DC" w:rsidRPr="005341DC" w:rsidRDefault="005341DC" w:rsidP="005341DC">
      <w:pPr>
        <w:shd w:val="clear" w:color="auto" w:fill="FFFFFF"/>
        <w:spacing w:line="288" w:lineRule="atLeast"/>
        <w:jc w:val="center"/>
        <w:textAlignment w:val="baseline"/>
        <w:outlineLvl w:val="1"/>
        <w:rPr>
          <w:b/>
          <w:bCs/>
        </w:rPr>
      </w:pPr>
      <w:r w:rsidRPr="005341DC">
        <w:rPr>
          <w:b/>
          <w:bCs/>
        </w:rPr>
        <w:t>XV.</w:t>
      </w:r>
    </w:p>
    <w:p w14:paraId="4E567F9C" w14:textId="77777777" w:rsidR="005341DC" w:rsidRPr="005341DC" w:rsidRDefault="005341DC" w:rsidP="005341DC">
      <w:pPr>
        <w:shd w:val="clear" w:color="auto" w:fill="FFFFFF"/>
        <w:spacing w:line="288" w:lineRule="atLeast"/>
        <w:jc w:val="center"/>
        <w:textAlignment w:val="baseline"/>
        <w:outlineLvl w:val="1"/>
        <w:rPr>
          <w:b/>
          <w:bCs/>
        </w:rPr>
      </w:pPr>
    </w:p>
    <w:p w14:paraId="676A53EB" w14:textId="77777777" w:rsidR="005341DC" w:rsidRPr="005341DC" w:rsidRDefault="005341DC" w:rsidP="005341DC">
      <w:pPr>
        <w:shd w:val="clear" w:color="auto" w:fill="FFFFFF"/>
        <w:spacing w:line="288" w:lineRule="atLeast"/>
        <w:jc w:val="both"/>
        <w:textAlignment w:val="baseline"/>
        <w:outlineLvl w:val="1"/>
        <w:rPr>
          <w:bCs/>
        </w:rPr>
      </w:pPr>
      <w:r w:rsidRPr="005341DC">
        <w:rPr>
          <w:bCs/>
        </w:rPr>
        <w:lastRenderedPageBreak/>
        <w:t>Energetski subjekti iz točki I., III., V. i VII. ove Odluke dužni su sklopiti ugovore o opskrbi plinom s društvom Hrvatska elektroprivreda d.d. u roku od osam dana od dana stupanja na snagu ove Odluke.</w:t>
      </w:r>
    </w:p>
    <w:p w14:paraId="75224CD0" w14:textId="77777777" w:rsidR="005341DC" w:rsidRPr="005341DC" w:rsidRDefault="005341DC" w:rsidP="005341DC">
      <w:pPr>
        <w:shd w:val="clear" w:color="auto" w:fill="FFFFFF"/>
        <w:spacing w:line="288" w:lineRule="atLeast"/>
        <w:jc w:val="both"/>
        <w:textAlignment w:val="baseline"/>
        <w:outlineLvl w:val="1"/>
        <w:rPr>
          <w:bCs/>
        </w:rPr>
      </w:pPr>
    </w:p>
    <w:p w14:paraId="3FE9BDBA" w14:textId="77777777" w:rsidR="005341DC" w:rsidRPr="005341DC" w:rsidRDefault="005341DC" w:rsidP="005341DC">
      <w:pPr>
        <w:shd w:val="clear" w:color="auto" w:fill="FFFFFF"/>
        <w:spacing w:line="288" w:lineRule="atLeast"/>
        <w:textAlignment w:val="baseline"/>
        <w:outlineLvl w:val="1"/>
        <w:rPr>
          <w:b/>
          <w:bCs/>
        </w:rPr>
      </w:pPr>
    </w:p>
    <w:p w14:paraId="05204D49" w14:textId="77777777" w:rsidR="005341DC" w:rsidRPr="005341DC" w:rsidRDefault="005341DC" w:rsidP="005341DC">
      <w:pPr>
        <w:shd w:val="clear" w:color="auto" w:fill="FFFFFF"/>
        <w:spacing w:line="288" w:lineRule="atLeast"/>
        <w:jc w:val="center"/>
        <w:textAlignment w:val="baseline"/>
        <w:outlineLvl w:val="1"/>
        <w:rPr>
          <w:b/>
          <w:bCs/>
          <w:color w:val="231F20"/>
          <w:shd w:val="clear" w:color="auto" w:fill="FFFFFF"/>
        </w:rPr>
      </w:pPr>
      <w:r w:rsidRPr="005341DC">
        <w:rPr>
          <w:b/>
          <w:bCs/>
        </w:rPr>
        <w:t>XVI.</w:t>
      </w:r>
    </w:p>
    <w:p w14:paraId="43418C49" w14:textId="77777777" w:rsidR="005341DC" w:rsidRPr="005341DC" w:rsidRDefault="005341DC" w:rsidP="005341DC">
      <w:pPr>
        <w:spacing w:after="160" w:line="259" w:lineRule="auto"/>
        <w:jc w:val="both"/>
        <w:rPr>
          <w:rFonts w:eastAsia="Calibri"/>
          <w:szCs w:val="22"/>
          <w:lang w:eastAsia="en-US"/>
        </w:rPr>
      </w:pPr>
    </w:p>
    <w:p w14:paraId="44AFB126" w14:textId="77777777" w:rsidR="005341DC" w:rsidRPr="005341DC" w:rsidRDefault="005341DC" w:rsidP="005341DC">
      <w:pPr>
        <w:spacing w:after="160" w:line="259" w:lineRule="auto"/>
        <w:jc w:val="both"/>
        <w:rPr>
          <w:rFonts w:eastAsia="Calibri"/>
          <w:i/>
          <w:szCs w:val="22"/>
          <w:lang w:eastAsia="en-US"/>
        </w:rPr>
      </w:pPr>
      <w:r w:rsidRPr="005341DC">
        <w:rPr>
          <w:rFonts w:eastAsia="Calibri"/>
          <w:szCs w:val="22"/>
          <w:lang w:eastAsia="en-US"/>
        </w:rPr>
        <w:t>Ova Odluka stupa na snagu prvog dana od dana objave u „Narodnim novinama“.</w:t>
      </w:r>
    </w:p>
    <w:p w14:paraId="232BD679" w14:textId="77777777" w:rsidR="005341DC" w:rsidRPr="005341DC" w:rsidRDefault="005341DC" w:rsidP="005341DC">
      <w:pPr>
        <w:shd w:val="clear" w:color="auto" w:fill="FFFFFF"/>
        <w:spacing w:line="288" w:lineRule="atLeast"/>
        <w:jc w:val="both"/>
        <w:textAlignment w:val="baseline"/>
        <w:outlineLvl w:val="1"/>
        <w:rPr>
          <w:b/>
          <w:bCs/>
          <w:sz w:val="12"/>
        </w:rPr>
      </w:pPr>
    </w:p>
    <w:p w14:paraId="63CFA75D" w14:textId="77777777" w:rsidR="005341DC" w:rsidRPr="005341DC" w:rsidRDefault="005341DC" w:rsidP="005341DC">
      <w:pPr>
        <w:shd w:val="clear" w:color="auto" w:fill="FFFFFF"/>
        <w:spacing w:line="288" w:lineRule="atLeast"/>
        <w:jc w:val="both"/>
        <w:textAlignment w:val="baseline"/>
        <w:outlineLvl w:val="1"/>
        <w:rPr>
          <w:b/>
          <w:bCs/>
          <w:sz w:val="12"/>
        </w:rPr>
      </w:pPr>
    </w:p>
    <w:p w14:paraId="30547899" w14:textId="77777777" w:rsidR="005341DC" w:rsidRPr="005341DC" w:rsidRDefault="005341DC" w:rsidP="005341DC">
      <w:pPr>
        <w:shd w:val="clear" w:color="auto" w:fill="FFFFFF"/>
        <w:spacing w:line="288" w:lineRule="atLeast"/>
        <w:jc w:val="both"/>
        <w:textAlignment w:val="baseline"/>
        <w:outlineLvl w:val="1"/>
        <w:rPr>
          <w:b/>
          <w:bCs/>
          <w:sz w:val="12"/>
        </w:rPr>
      </w:pPr>
    </w:p>
    <w:p w14:paraId="33A348F2" w14:textId="77777777" w:rsidR="005341DC" w:rsidRPr="005341DC" w:rsidRDefault="005341DC" w:rsidP="005341DC">
      <w:pPr>
        <w:shd w:val="clear" w:color="auto" w:fill="FFFFFF"/>
        <w:spacing w:line="288" w:lineRule="atLeast"/>
        <w:jc w:val="both"/>
        <w:textAlignment w:val="baseline"/>
        <w:outlineLvl w:val="1"/>
        <w:rPr>
          <w:b/>
          <w:bCs/>
          <w:sz w:val="12"/>
        </w:rPr>
      </w:pPr>
    </w:p>
    <w:p w14:paraId="1A322AB5" w14:textId="77777777" w:rsidR="005341DC" w:rsidRPr="005341DC" w:rsidRDefault="005341DC" w:rsidP="005341DC">
      <w:pPr>
        <w:shd w:val="clear" w:color="auto" w:fill="FFFFFF"/>
        <w:spacing w:line="288" w:lineRule="atLeast"/>
        <w:jc w:val="both"/>
        <w:textAlignment w:val="baseline"/>
        <w:outlineLvl w:val="1"/>
        <w:rPr>
          <w:b/>
          <w:bCs/>
          <w:sz w:val="12"/>
        </w:rPr>
      </w:pPr>
    </w:p>
    <w:p w14:paraId="119D1D7A" w14:textId="77777777" w:rsidR="005341DC" w:rsidRPr="005341DC" w:rsidRDefault="005341DC" w:rsidP="005341DC">
      <w:pPr>
        <w:spacing w:line="259" w:lineRule="auto"/>
        <w:rPr>
          <w:rFonts w:eastAsia="Calibri"/>
          <w:szCs w:val="22"/>
          <w:lang w:eastAsia="en-US"/>
        </w:rPr>
      </w:pPr>
      <w:r w:rsidRPr="005341DC">
        <w:rPr>
          <w:rFonts w:eastAsia="Calibri"/>
          <w:szCs w:val="22"/>
          <w:lang w:eastAsia="en-US"/>
        </w:rPr>
        <w:t>Klasa:</w:t>
      </w:r>
    </w:p>
    <w:p w14:paraId="53807BE1" w14:textId="77777777" w:rsidR="005341DC" w:rsidRPr="005341DC" w:rsidRDefault="005341DC" w:rsidP="005341DC">
      <w:pPr>
        <w:spacing w:line="259" w:lineRule="auto"/>
        <w:rPr>
          <w:rFonts w:eastAsia="Calibri"/>
          <w:szCs w:val="22"/>
          <w:lang w:eastAsia="en-US"/>
        </w:rPr>
      </w:pPr>
      <w:r w:rsidRPr="005341DC">
        <w:rPr>
          <w:rFonts w:eastAsia="Calibri"/>
          <w:szCs w:val="22"/>
          <w:lang w:eastAsia="en-US"/>
        </w:rPr>
        <w:t>Urbroj:</w:t>
      </w:r>
    </w:p>
    <w:p w14:paraId="031D472D" w14:textId="77777777" w:rsidR="005341DC" w:rsidRPr="005341DC" w:rsidRDefault="005341DC" w:rsidP="005341DC">
      <w:pPr>
        <w:spacing w:line="259" w:lineRule="auto"/>
        <w:rPr>
          <w:rFonts w:eastAsia="Calibri"/>
          <w:szCs w:val="22"/>
          <w:lang w:eastAsia="en-US"/>
        </w:rPr>
      </w:pPr>
      <w:r w:rsidRPr="005341DC">
        <w:rPr>
          <w:rFonts w:eastAsia="Calibri"/>
          <w:szCs w:val="22"/>
          <w:lang w:eastAsia="en-US"/>
        </w:rPr>
        <w:t>Zagreb,</w:t>
      </w:r>
    </w:p>
    <w:p w14:paraId="1540340F" w14:textId="77777777" w:rsidR="005341DC" w:rsidRPr="005341DC" w:rsidRDefault="005341DC" w:rsidP="005341DC">
      <w:pPr>
        <w:spacing w:line="259" w:lineRule="auto"/>
        <w:rPr>
          <w:rFonts w:eastAsia="Calibri"/>
          <w:szCs w:val="22"/>
          <w:lang w:eastAsia="en-US"/>
        </w:rPr>
      </w:pPr>
    </w:p>
    <w:p w14:paraId="5B19EB75" w14:textId="77777777" w:rsidR="005341DC" w:rsidRPr="005341DC" w:rsidRDefault="005341DC" w:rsidP="005341DC">
      <w:pPr>
        <w:spacing w:line="259" w:lineRule="auto"/>
        <w:rPr>
          <w:rFonts w:eastAsia="Calibri"/>
          <w:b/>
          <w:szCs w:val="22"/>
          <w:lang w:eastAsia="en-US"/>
        </w:rPr>
      </w:pPr>
      <w:r w:rsidRPr="005341DC">
        <w:rPr>
          <w:rFonts w:eastAsia="Calibri"/>
          <w:szCs w:val="22"/>
          <w:lang w:eastAsia="en-US"/>
        </w:rPr>
        <w:tab/>
      </w:r>
      <w:r w:rsidRPr="005341DC">
        <w:rPr>
          <w:rFonts w:eastAsia="Calibri"/>
          <w:szCs w:val="22"/>
          <w:lang w:eastAsia="en-US"/>
        </w:rPr>
        <w:tab/>
      </w:r>
      <w:r w:rsidRPr="005341DC">
        <w:rPr>
          <w:rFonts w:eastAsia="Calibri"/>
          <w:szCs w:val="22"/>
          <w:lang w:eastAsia="en-US"/>
        </w:rPr>
        <w:tab/>
      </w:r>
      <w:r w:rsidRPr="005341DC">
        <w:rPr>
          <w:rFonts w:eastAsia="Calibri"/>
          <w:szCs w:val="22"/>
          <w:lang w:eastAsia="en-US"/>
        </w:rPr>
        <w:tab/>
      </w:r>
      <w:r w:rsidRPr="005341DC">
        <w:rPr>
          <w:rFonts w:eastAsia="Calibri"/>
          <w:szCs w:val="22"/>
          <w:lang w:eastAsia="en-US"/>
        </w:rPr>
        <w:tab/>
      </w:r>
      <w:r w:rsidRPr="005341DC">
        <w:rPr>
          <w:rFonts w:eastAsia="Calibri"/>
          <w:szCs w:val="22"/>
          <w:lang w:eastAsia="en-US"/>
        </w:rPr>
        <w:tab/>
      </w:r>
      <w:r w:rsidRPr="005341DC">
        <w:rPr>
          <w:rFonts w:eastAsia="Calibri"/>
          <w:szCs w:val="22"/>
          <w:lang w:eastAsia="en-US"/>
        </w:rPr>
        <w:tab/>
      </w:r>
      <w:r w:rsidRPr="005341DC">
        <w:rPr>
          <w:rFonts w:eastAsia="Calibri"/>
          <w:b/>
          <w:szCs w:val="22"/>
          <w:lang w:eastAsia="en-US"/>
        </w:rPr>
        <w:t>PREDSJEDNIK</w:t>
      </w:r>
    </w:p>
    <w:p w14:paraId="0C6AC757" w14:textId="77777777" w:rsidR="005341DC" w:rsidRPr="005341DC" w:rsidRDefault="005341DC" w:rsidP="005341DC">
      <w:pPr>
        <w:spacing w:line="259" w:lineRule="auto"/>
        <w:rPr>
          <w:rFonts w:eastAsia="Calibri"/>
          <w:b/>
          <w:szCs w:val="22"/>
          <w:lang w:eastAsia="en-US"/>
        </w:rPr>
      </w:pPr>
    </w:p>
    <w:p w14:paraId="776E144B" w14:textId="77777777" w:rsidR="005341DC" w:rsidRPr="005341DC" w:rsidRDefault="005341DC" w:rsidP="005341DC">
      <w:pPr>
        <w:spacing w:line="259" w:lineRule="auto"/>
        <w:rPr>
          <w:rFonts w:eastAsia="Calibri"/>
          <w:b/>
          <w:szCs w:val="22"/>
          <w:lang w:eastAsia="en-US"/>
        </w:rPr>
      </w:pPr>
    </w:p>
    <w:p w14:paraId="550D6A38" w14:textId="77777777" w:rsidR="005341DC" w:rsidRPr="005341DC" w:rsidRDefault="005341DC" w:rsidP="005341DC">
      <w:pPr>
        <w:spacing w:line="259" w:lineRule="auto"/>
        <w:rPr>
          <w:rFonts w:eastAsia="Calibri"/>
          <w:b/>
          <w:szCs w:val="22"/>
          <w:lang w:eastAsia="en-US"/>
        </w:rPr>
      </w:pPr>
      <w:r w:rsidRPr="005341DC">
        <w:rPr>
          <w:rFonts w:eastAsia="Calibri"/>
          <w:szCs w:val="22"/>
          <w:lang w:eastAsia="en-US"/>
        </w:rPr>
        <w:tab/>
      </w:r>
      <w:r w:rsidRPr="005341DC">
        <w:rPr>
          <w:rFonts w:eastAsia="Calibri"/>
          <w:szCs w:val="22"/>
          <w:lang w:eastAsia="en-US"/>
        </w:rPr>
        <w:tab/>
      </w:r>
      <w:r w:rsidRPr="005341DC">
        <w:rPr>
          <w:rFonts w:eastAsia="Calibri"/>
          <w:szCs w:val="22"/>
          <w:lang w:eastAsia="en-US"/>
        </w:rPr>
        <w:tab/>
      </w:r>
      <w:r w:rsidRPr="005341DC">
        <w:rPr>
          <w:rFonts w:eastAsia="Calibri"/>
          <w:szCs w:val="22"/>
          <w:lang w:eastAsia="en-US"/>
        </w:rPr>
        <w:tab/>
      </w:r>
      <w:r w:rsidRPr="005341DC">
        <w:rPr>
          <w:rFonts w:eastAsia="Calibri"/>
          <w:szCs w:val="22"/>
          <w:lang w:eastAsia="en-US"/>
        </w:rPr>
        <w:tab/>
      </w:r>
      <w:r w:rsidRPr="005341DC">
        <w:rPr>
          <w:rFonts w:eastAsia="Calibri"/>
          <w:szCs w:val="22"/>
          <w:lang w:eastAsia="en-US"/>
        </w:rPr>
        <w:tab/>
        <w:t xml:space="preserve">   </w:t>
      </w:r>
      <w:r w:rsidRPr="005341DC">
        <w:rPr>
          <w:rFonts w:eastAsia="Calibri"/>
          <w:b/>
          <w:szCs w:val="22"/>
          <w:lang w:eastAsia="en-US"/>
        </w:rPr>
        <w:t>mr.sc. Andrej Plenković</w:t>
      </w:r>
    </w:p>
    <w:p w14:paraId="7EB0D29D" w14:textId="77777777" w:rsidR="005341DC" w:rsidRPr="005341DC" w:rsidRDefault="005341DC" w:rsidP="005341DC">
      <w:pPr>
        <w:shd w:val="clear" w:color="auto" w:fill="FFFFFF"/>
        <w:spacing w:line="288" w:lineRule="atLeast"/>
        <w:jc w:val="center"/>
        <w:textAlignment w:val="baseline"/>
        <w:outlineLvl w:val="1"/>
        <w:rPr>
          <w:b/>
          <w:bCs/>
        </w:rPr>
      </w:pPr>
    </w:p>
    <w:p w14:paraId="608CBCEE" w14:textId="5728B59D" w:rsidR="005341DC" w:rsidRDefault="005341DC" w:rsidP="005341DC">
      <w:pPr>
        <w:shd w:val="clear" w:color="auto" w:fill="FFFFFF"/>
        <w:spacing w:line="288" w:lineRule="atLeast"/>
        <w:jc w:val="center"/>
        <w:textAlignment w:val="baseline"/>
        <w:outlineLvl w:val="1"/>
        <w:rPr>
          <w:b/>
          <w:bCs/>
        </w:rPr>
      </w:pPr>
    </w:p>
    <w:p w14:paraId="4FCC2AF1" w14:textId="5A52CD82" w:rsidR="009E21B1" w:rsidRDefault="009E21B1" w:rsidP="005341DC">
      <w:pPr>
        <w:shd w:val="clear" w:color="auto" w:fill="FFFFFF"/>
        <w:spacing w:line="288" w:lineRule="atLeast"/>
        <w:jc w:val="center"/>
        <w:textAlignment w:val="baseline"/>
        <w:outlineLvl w:val="1"/>
        <w:rPr>
          <w:b/>
          <w:bCs/>
        </w:rPr>
      </w:pPr>
    </w:p>
    <w:p w14:paraId="35A2E24C" w14:textId="77777777" w:rsidR="009E21B1" w:rsidRPr="005341DC" w:rsidRDefault="009E21B1" w:rsidP="005341DC">
      <w:pPr>
        <w:shd w:val="clear" w:color="auto" w:fill="FFFFFF"/>
        <w:spacing w:line="288" w:lineRule="atLeast"/>
        <w:jc w:val="center"/>
        <w:textAlignment w:val="baseline"/>
        <w:outlineLvl w:val="1"/>
        <w:rPr>
          <w:b/>
          <w:bCs/>
        </w:rPr>
      </w:pPr>
    </w:p>
    <w:p w14:paraId="1238E5E2" w14:textId="77777777" w:rsidR="005341DC" w:rsidRPr="005341DC" w:rsidRDefault="005341DC" w:rsidP="005341DC">
      <w:pPr>
        <w:shd w:val="clear" w:color="auto" w:fill="FFFFFF"/>
        <w:spacing w:line="288" w:lineRule="atLeast"/>
        <w:jc w:val="center"/>
        <w:textAlignment w:val="baseline"/>
        <w:outlineLvl w:val="1"/>
        <w:rPr>
          <w:b/>
          <w:bCs/>
        </w:rPr>
      </w:pPr>
    </w:p>
    <w:p w14:paraId="2BD7C666" w14:textId="77777777" w:rsidR="005341DC" w:rsidRPr="005341DC" w:rsidRDefault="005341DC" w:rsidP="005341DC">
      <w:pPr>
        <w:shd w:val="clear" w:color="auto" w:fill="FFFFFF"/>
        <w:spacing w:line="288" w:lineRule="atLeast"/>
        <w:jc w:val="center"/>
        <w:textAlignment w:val="baseline"/>
        <w:outlineLvl w:val="1"/>
        <w:rPr>
          <w:b/>
          <w:bCs/>
        </w:rPr>
      </w:pPr>
    </w:p>
    <w:p w14:paraId="53AE74B3" w14:textId="77777777" w:rsidR="005341DC" w:rsidRPr="005341DC" w:rsidRDefault="005341DC" w:rsidP="005341DC">
      <w:pPr>
        <w:shd w:val="clear" w:color="auto" w:fill="FFFFFF"/>
        <w:spacing w:line="288" w:lineRule="atLeast"/>
        <w:jc w:val="center"/>
        <w:textAlignment w:val="baseline"/>
        <w:outlineLvl w:val="1"/>
        <w:rPr>
          <w:b/>
          <w:bCs/>
        </w:rPr>
      </w:pPr>
      <w:r w:rsidRPr="005341DC">
        <w:rPr>
          <w:b/>
          <w:bCs/>
        </w:rPr>
        <w:t>OBRAZLOŽENJE</w:t>
      </w:r>
    </w:p>
    <w:p w14:paraId="66BFE8EB" w14:textId="77777777" w:rsidR="005341DC" w:rsidRPr="005341DC" w:rsidRDefault="005341DC" w:rsidP="005341DC">
      <w:pPr>
        <w:shd w:val="clear" w:color="auto" w:fill="FFFFFF"/>
        <w:spacing w:line="288" w:lineRule="atLeast"/>
        <w:jc w:val="center"/>
        <w:textAlignment w:val="baseline"/>
        <w:outlineLvl w:val="1"/>
        <w:rPr>
          <w:b/>
          <w:bCs/>
        </w:rPr>
      </w:pPr>
    </w:p>
    <w:p w14:paraId="6B575CCE" w14:textId="77777777" w:rsidR="005341DC" w:rsidRPr="005341DC" w:rsidRDefault="005341DC" w:rsidP="005341DC">
      <w:pPr>
        <w:shd w:val="clear" w:color="auto" w:fill="FFFFFF"/>
        <w:spacing w:line="288" w:lineRule="atLeast"/>
        <w:jc w:val="center"/>
        <w:textAlignment w:val="baseline"/>
        <w:outlineLvl w:val="1"/>
        <w:rPr>
          <w:b/>
          <w:bCs/>
        </w:rPr>
      </w:pPr>
    </w:p>
    <w:p w14:paraId="11903816" w14:textId="77777777" w:rsidR="005341DC" w:rsidRPr="005341DC" w:rsidRDefault="005341DC" w:rsidP="005341DC">
      <w:pPr>
        <w:shd w:val="clear" w:color="auto" w:fill="FFFFFF"/>
        <w:spacing w:after="48"/>
        <w:ind w:firstLine="408"/>
        <w:jc w:val="both"/>
        <w:textAlignment w:val="baseline"/>
        <w:rPr>
          <w:color w:val="231F20"/>
        </w:rPr>
      </w:pPr>
      <w:r w:rsidRPr="005341DC">
        <w:t xml:space="preserve">Sukladno članku 5.a. Uredbe o otklanjanju poremećaja na domaćem tržištu energije („Narodne novine“, br. 104/22, 106/22) određeno je da </w:t>
      </w:r>
      <w:r w:rsidRPr="005341DC">
        <w:rPr>
          <w:color w:val="231F20"/>
        </w:rPr>
        <w:t xml:space="preserve">je INA – Industrija nafte d.d. dužna, radi osiguranja zaliha plina te povećanja raspoloživosti prirodnog plina u Republici Hrvatskoj, u razdoblju od 15. rujna 2022. do 31. ožujka 2024. godine, cjelokupni proizvedeni prirodni plin u Republici Hrvatskoj prodati Hrvatskoj elektroprivredi d.d. u iznosu od 0,3086 kn/kWh (0,0410 EUR/kWh) za razdoblje od stupanja na snagu predmetne Uredbe do 1. listopada 2022., odnosno u iznosu od 0,3086 kn/kWh (0,0410 EUR/kWh), sukladno trošku nabave plina koji je reguliran odlukom kojom se određuje iznos tarifnih stavki za javnu uslugu opskrbe plinom od 1. listopada 2022. do 31. ožujka 2024. </w:t>
      </w:r>
    </w:p>
    <w:p w14:paraId="64C4512C" w14:textId="77777777" w:rsidR="005341DC" w:rsidRPr="005341DC" w:rsidRDefault="005341DC" w:rsidP="005341DC">
      <w:pPr>
        <w:shd w:val="clear" w:color="auto" w:fill="FFFFFF"/>
        <w:spacing w:after="48"/>
        <w:ind w:firstLine="408"/>
        <w:jc w:val="both"/>
        <w:textAlignment w:val="baseline"/>
        <w:rPr>
          <w:color w:val="231F20"/>
        </w:rPr>
      </w:pPr>
      <w:r w:rsidRPr="005341DC">
        <w:rPr>
          <w:color w:val="231F20"/>
        </w:rPr>
        <w:t>Predmetnom Uredbom je također određeno da Hrvatska elektroprivreda d.d. raspolaže tim plinom za potrebe: distributera plina u svrhu namirenja gubitaka za distribuciju plina, za kupce toplinske energije iz samostalnog toplinskog sustava, javnu uslugu za potrebu kupaca iz kategorije kućanstvo, te za kupce plina iz kategorije poduzetništvo iz članka 2. stavka 3. ove Uredbe.</w:t>
      </w:r>
    </w:p>
    <w:p w14:paraId="5A6AF321" w14:textId="77777777" w:rsidR="005341DC" w:rsidRPr="005341DC" w:rsidRDefault="005341DC" w:rsidP="005341DC">
      <w:pPr>
        <w:shd w:val="clear" w:color="auto" w:fill="FFFFFF"/>
        <w:ind w:firstLine="408"/>
        <w:jc w:val="both"/>
        <w:textAlignment w:val="baseline"/>
        <w:outlineLvl w:val="1"/>
        <w:rPr>
          <w:bCs/>
          <w:color w:val="231F20"/>
        </w:rPr>
      </w:pPr>
      <w:r w:rsidRPr="005341DC">
        <w:rPr>
          <w:bCs/>
          <w:color w:val="231F20"/>
        </w:rPr>
        <w:lastRenderedPageBreak/>
        <w:t xml:space="preserve">Ovom Odlukom se određuje </w:t>
      </w:r>
      <w:r w:rsidRPr="005341DC">
        <w:rPr>
          <w:bCs/>
          <w:color w:val="231F20"/>
          <w:shd w:val="clear" w:color="auto" w:fill="FFFFFF"/>
        </w:rPr>
        <w:t>cijena i raspodjela kapaciteta prirodnog plina za distributere plina, kupce toplinske energije iz samostalnog toplinskog sustava i javnu uslugu opskrbe plinom za kupce iz kategorije kućanstvo, te za</w:t>
      </w:r>
      <w:r w:rsidRPr="005341DC">
        <w:rPr>
          <w:bCs/>
          <w:color w:val="231F20"/>
        </w:rPr>
        <w:t xml:space="preserve"> potrebe </w:t>
      </w:r>
      <w:r w:rsidRPr="005341DC">
        <w:rPr>
          <w:bCs/>
          <w:color w:val="231F20"/>
          <w:shd w:val="clear" w:color="auto" w:fill="FFFFFF"/>
        </w:rPr>
        <w:t>kupaca iz kategorije poduzetništva taksativno određenih predmetnom Uredbom</w:t>
      </w:r>
      <w:r w:rsidRPr="005341DC">
        <w:rPr>
          <w:bCs/>
          <w:color w:val="231F20"/>
        </w:rPr>
        <w:t xml:space="preserve">. </w:t>
      </w:r>
    </w:p>
    <w:p w14:paraId="53FE1347" w14:textId="77777777" w:rsidR="005341DC" w:rsidRPr="005341DC" w:rsidRDefault="005341DC" w:rsidP="005341DC">
      <w:pPr>
        <w:shd w:val="clear" w:color="auto" w:fill="FFFFFF"/>
        <w:ind w:firstLine="408"/>
        <w:jc w:val="both"/>
        <w:textAlignment w:val="baseline"/>
        <w:outlineLvl w:val="1"/>
        <w:rPr>
          <w:bCs/>
          <w:color w:val="231F20"/>
        </w:rPr>
      </w:pPr>
    </w:p>
    <w:p w14:paraId="55365FE9" w14:textId="77777777" w:rsidR="005341DC" w:rsidRPr="005341DC" w:rsidRDefault="005341DC" w:rsidP="005341DC">
      <w:pPr>
        <w:shd w:val="clear" w:color="auto" w:fill="FFFFFF"/>
        <w:spacing w:after="48"/>
        <w:jc w:val="both"/>
        <w:textAlignment w:val="baseline"/>
      </w:pPr>
      <w:r w:rsidRPr="005341DC">
        <w:rPr>
          <w:color w:val="231F20"/>
        </w:rPr>
        <w:t>Na zahtjev Ministarstva gospodarstva i održivog razvoja, Hrvatska energetska regulatorna agencija dostavila je nužne podatke o kupcima, količinama i cijenama za distributere plina u svrhu namirenja gubitaka za distribuciju plina, za kupce toplinske energije iz samostalnog toplinskog sustava, za javnu uslugu za potrebu kupaca iz kategorije kućanstvo nakon čega su se stvorili uvjeti za donošenje predmetne Odluke. Tako su,</w:t>
      </w:r>
      <w:r w:rsidRPr="005341DC">
        <w:t xml:space="preserve"> za potrebe operatora distribucijskog sustava, u svrhu namirenja gubitaka za distribuciju plina, korišteni podaci o ostvarenim gubicima plina operatora distribucijskog sustava za 2021., a koji su iskazani na mjesečnoj razini, prema udjelu mjesečnih količina plina u ukupnim količinama plina na izlazima iz transportnog sustava u distribucijski sustav. Za kupce toplinske energije iz samostalnog toplinskog sustava korišteni su podaci zaprimljeni od kupaca toplinske energije u samostalnim toplinskim sustavima, a koji su iskazani na mjesečnoj razini prema udjelu mjesečnih količina plina u ukupnim količinama plina na izlazima iz transportnog sustava u distribucijski sustav. Za javnu uslugu za potrebu kupaca iz kategorije kućanstvo korišteni su podaci o potrebnim mjesečnim dodatnim količinama plina, pored ugovorenih količina, a koji su dostavljeni od strane svih 11 opskrbljivača obvezi javne usluge.</w:t>
      </w:r>
      <w:r w:rsidRPr="005341DC">
        <w:rPr>
          <w:b/>
        </w:rPr>
        <w:t xml:space="preserve"> </w:t>
      </w:r>
      <w:r w:rsidRPr="005341DC">
        <w:t>Vezano uz potrebe kupaca plina iz kategorije poduzetništvo iz članka 2. stavka 3. Uredbe, ovom Odlukom se određuje da će Hrvatska elektroprivreda d.d., prodati određene preostale količine plina, tvrtki HEP-PLIN d.o.o. za potrebe kupaca plina iz kategorije poduzetništvo iz članka 2. stavka 3. Uredbe o otklanjanju poremećaja na domaćem tržištu energije („Narodne novine“, br. 104/22, 106/22), i to isključivo za one kupce koji imaju sklopljene ugovore o opskrbi plinom s tvrtkom HEP- PLIN d.o.o., odnosno koji nakon stupanja na snagu ove Odluke ostanu bez ugovora o opskrbi plinom ili naknadno sklope ugovor o opskrbi plinom s tvrtkom HEP- PLIN d.o.o. Preostale količine plina, se odnose na količine plina koje su već određene, odnosno raspoređene ovom Odlukom za potrebe</w:t>
      </w:r>
      <w:r w:rsidRPr="005341DC">
        <w:rPr>
          <w:color w:val="231F20"/>
        </w:rPr>
        <w:t xml:space="preserve"> distributera plina u svrhu namirenja gubitaka za distribuciju plina, za kupce toplinske energije iz samostalnog toplinskog sustava, javnu uslugu za potrebu kupaca iz kategorije kućanstvo,</w:t>
      </w:r>
      <w:r w:rsidRPr="005341DC">
        <w:t xml:space="preserve"> </w:t>
      </w:r>
    </w:p>
    <w:p w14:paraId="220A54AC" w14:textId="77777777" w:rsidR="005341DC" w:rsidRPr="005341DC" w:rsidRDefault="005341DC" w:rsidP="005341DC">
      <w:pPr>
        <w:shd w:val="clear" w:color="auto" w:fill="FFFFFF"/>
        <w:spacing w:after="48"/>
        <w:jc w:val="both"/>
        <w:textAlignment w:val="baseline"/>
        <w:rPr>
          <w:b/>
        </w:rPr>
      </w:pPr>
    </w:p>
    <w:p w14:paraId="015F1AF6" w14:textId="77777777" w:rsidR="005341DC" w:rsidRPr="005341DC" w:rsidRDefault="005341DC" w:rsidP="005341DC">
      <w:pPr>
        <w:shd w:val="clear" w:color="auto" w:fill="FFFFFF"/>
        <w:spacing w:after="48"/>
        <w:jc w:val="both"/>
        <w:textAlignment w:val="baseline"/>
        <w:rPr>
          <w:b/>
        </w:rPr>
      </w:pPr>
    </w:p>
    <w:p w14:paraId="389A05FE" w14:textId="77777777" w:rsidR="005341DC" w:rsidRPr="005341DC" w:rsidRDefault="005341DC" w:rsidP="005341DC">
      <w:pPr>
        <w:shd w:val="clear" w:color="auto" w:fill="FFFFFF"/>
        <w:spacing w:after="48"/>
        <w:jc w:val="both"/>
        <w:textAlignment w:val="baseline"/>
      </w:pPr>
    </w:p>
    <w:p w14:paraId="07E4A4B7" w14:textId="77777777" w:rsidR="005341DC" w:rsidRPr="005341DC" w:rsidRDefault="005341DC" w:rsidP="005341DC">
      <w:pPr>
        <w:shd w:val="clear" w:color="auto" w:fill="FFFFFF"/>
        <w:spacing w:after="48"/>
        <w:jc w:val="both"/>
        <w:textAlignment w:val="baseline"/>
        <w:rPr>
          <w:color w:val="231F20"/>
        </w:rPr>
      </w:pPr>
      <w:r w:rsidRPr="005341DC">
        <w:t>Isto tako prioritet pri isporuci plina imaju</w:t>
      </w:r>
      <w:r w:rsidRPr="005341DC">
        <w:rPr>
          <w:b/>
        </w:rPr>
        <w:t>:</w:t>
      </w:r>
      <w:r w:rsidRPr="005341DC">
        <w:rPr>
          <w:color w:val="231F20"/>
        </w:rPr>
        <w:t xml:space="preserve"> ustanove predškolskog i školskog obrazovanja, visoka učilišta i njihove sastavnice, ustanove čiji su osnivači visoka učilišta te javne znanstvene institute sukladno Zakonu o predškolskom odgoju i obrazovanju („Narodne novine“, br. 10/97., 107/07., 94/13., 98/19. i 57/22.), Zakonu o odgoju i obrazovanju u osnovnoj i srednjoj školi („Narodne novine“, br. 87/08., 86/09., 92/10., 105/10., 90/11., 5/12., 16/12., 86/12., 126/12., 94/13., 152/14., 07/17., 68/18., 98/19. i 64/20.) i Zakonu o znanstvenoj djelatnosti i visokom obrazovanju („Narodne novine“, br. 123/03., 198/03., 105/04., 174/04., 02/07., 46/07., 45/09., 63/11., 94/13., 139/13., 101/14. i 60/15.) i zdravstvene ustanove, trgovačka društva koja obavljaju </w:t>
      </w:r>
      <w:r w:rsidRPr="005341DC">
        <w:rPr>
          <w:color w:val="231F20"/>
        </w:rPr>
        <w:lastRenderedPageBreak/>
        <w:t>zdravstvenu djelatnost i privatne prakse za obavljanje zdravstvene djelatnosti sukladno Zakonu o zdravstvenoj zaštiti („Narodne novine“, br. 100/18. i 147/20.) i Zakonu o ustanovama („Narodne novine“, br. 76/93., 29/97., 47/99., 35/08. i 127/19.).</w:t>
      </w:r>
    </w:p>
    <w:p w14:paraId="698FAB56" w14:textId="77777777" w:rsidR="005341DC" w:rsidRPr="005341DC" w:rsidRDefault="005341DC" w:rsidP="005341DC">
      <w:pPr>
        <w:shd w:val="clear" w:color="auto" w:fill="FFFFFF"/>
        <w:jc w:val="both"/>
        <w:textAlignment w:val="baseline"/>
        <w:outlineLvl w:val="1"/>
        <w:rPr>
          <w:bCs/>
          <w:color w:val="231F20"/>
        </w:rPr>
      </w:pPr>
    </w:p>
    <w:p w14:paraId="47ACFE8C" w14:textId="77777777" w:rsidR="005341DC" w:rsidRPr="005341DC" w:rsidRDefault="005341DC" w:rsidP="005341DC">
      <w:pPr>
        <w:shd w:val="clear" w:color="auto" w:fill="FFFFFF"/>
        <w:ind w:firstLine="708"/>
        <w:jc w:val="both"/>
        <w:textAlignment w:val="baseline"/>
        <w:outlineLvl w:val="1"/>
        <w:rPr>
          <w:bCs/>
          <w:color w:val="231F20"/>
          <w:shd w:val="clear" w:color="auto" w:fill="FFFFFF"/>
        </w:rPr>
      </w:pPr>
      <w:r w:rsidRPr="005341DC">
        <w:rPr>
          <w:bCs/>
          <w:color w:val="231F20"/>
        </w:rPr>
        <w:t xml:space="preserve">Ovom Odlukom se određuje </w:t>
      </w:r>
      <w:r w:rsidRPr="005341DC">
        <w:rPr>
          <w:bCs/>
          <w:color w:val="231F20"/>
          <w:shd w:val="clear" w:color="auto" w:fill="FFFFFF"/>
        </w:rPr>
        <w:t>raspodjela kapaciteta prirodnog plina</w:t>
      </w:r>
      <w:r w:rsidRPr="005341DC">
        <w:rPr>
          <w:bCs/>
        </w:rPr>
        <w:t xml:space="preserve"> za razdoblje od 1. listopada 2022. do 31. ožujka 2024., s obzirom na trajanje razdoblje p</w:t>
      </w:r>
      <w:r w:rsidRPr="005341DC">
        <w:rPr>
          <w:bCs/>
          <w:iCs/>
          <w:color w:val="231F20"/>
          <w:bdr w:val="none" w:sz="0" w:space="0" w:color="auto" w:frame="1"/>
          <w:shd w:val="clear" w:color="auto" w:fill="FFFFFF"/>
        </w:rPr>
        <w:t>linske godine</w:t>
      </w:r>
    </w:p>
    <w:p w14:paraId="52AE27CF" w14:textId="77777777" w:rsidR="005341DC" w:rsidRPr="005341DC" w:rsidRDefault="005341DC" w:rsidP="005341DC">
      <w:pPr>
        <w:shd w:val="clear" w:color="auto" w:fill="FFFFFF"/>
        <w:jc w:val="both"/>
        <w:textAlignment w:val="baseline"/>
        <w:outlineLvl w:val="1"/>
        <w:rPr>
          <w:bCs/>
          <w:color w:val="231F20"/>
          <w:shd w:val="clear" w:color="auto" w:fill="FFFFFF"/>
        </w:rPr>
      </w:pPr>
    </w:p>
    <w:p w14:paraId="7E3A2010" w14:textId="77777777" w:rsidR="005341DC" w:rsidRPr="005341DC" w:rsidRDefault="005341DC" w:rsidP="005341DC">
      <w:pPr>
        <w:shd w:val="clear" w:color="auto" w:fill="FFFFFF"/>
        <w:ind w:firstLine="708"/>
        <w:jc w:val="both"/>
        <w:textAlignment w:val="baseline"/>
        <w:outlineLvl w:val="1"/>
        <w:rPr>
          <w:bCs/>
        </w:rPr>
      </w:pPr>
      <w:r w:rsidRPr="005341DC">
        <w:rPr>
          <w:bCs/>
        </w:rPr>
        <w:t xml:space="preserve">Nadalje, Hrvatska elektroprivreda d.d. dužna je operatorima distribucijskog sustava, </w:t>
      </w:r>
      <w:r w:rsidRPr="005341DC">
        <w:rPr>
          <w:bCs/>
          <w:color w:val="231F20"/>
          <w:shd w:val="clear" w:color="auto" w:fill="FFFFFF"/>
        </w:rPr>
        <w:t xml:space="preserve"> u svrhu namirenja gubitaka za distribuciju plina, </w:t>
      </w:r>
      <w:r w:rsidRPr="005341DC">
        <w:rPr>
          <w:bCs/>
        </w:rPr>
        <w:t>isporučiti</w:t>
      </w:r>
      <w:r w:rsidRPr="005341DC">
        <w:rPr>
          <w:bCs/>
          <w:color w:val="231F20"/>
          <w:shd w:val="clear" w:color="auto" w:fill="FFFFFF"/>
        </w:rPr>
        <w:t xml:space="preserve"> </w:t>
      </w:r>
      <w:r w:rsidRPr="005341DC">
        <w:rPr>
          <w:bCs/>
        </w:rPr>
        <w:t xml:space="preserve">na ulazu u distribucijski sustav, plin po cijeni od </w:t>
      </w:r>
      <w:r w:rsidRPr="005341DC">
        <w:rPr>
          <w:bCs/>
          <w:color w:val="231F20"/>
          <w:shd w:val="clear" w:color="auto" w:fill="FFFFFF"/>
        </w:rPr>
        <w:t xml:space="preserve">0,3086 kn/kWh (0,0410 EUR/kWh) uvećanoj </w:t>
      </w:r>
      <w:r w:rsidRPr="005341DC">
        <w:rPr>
          <w:bCs/>
        </w:rPr>
        <w:t>za prosječni trošak opskrbe plinom za sva distribucijska područja u iznosu od 0,0534 kn/kWh određenog na temelju provedenog natječaja za odabir opskrbljivača u obvezi javne usluge. Ovako definirana cijena za Hrvatsku elektroprivredu d.d. određena je iz razloga što se u konkretnoj situaciji</w:t>
      </w:r>
      <w:r w:rsidRPr="005341DC">
        <w:rPr>
          <w:b/>
          <w:bCs/>
          <w:sz w:val="36"/>
          <w:szCs w:val="36"/>
        </w:rPr>
        <w:t xml:space="preserve"> </w:t>
      </w:r>
      <w:r w:rsidRPr="005341DC">
        <w:rPr>
          <w:bCs/>
          <w:szCs w:val="36"/>
        </w:rPr>
        <w:t xml:space="preserve">radi o krajnjim kupcima na distribucijskom sustavu za koje bi HEP d.d. trebao zakupiti kapacitete izlaza iz transportnog sustava te snositi i trošak energije uravnoteženja, odnosno razlike u količini plina koja je predana u transportni sustav i količine plina koje je preuzeta iz transportnog sustava, a koja se očituje u dnevnom odstupanju bilančne skupine te obračunu naknade za neutralnost, dok je cijena </w:t>
      </w:r>
      <w:r w:rsidRPr="005341DC">
        <w:rPr>
          <w:bCs/>
        </w:rPr>
        <w:t xml:space="preserve">od </w:t>
      </w:r>
      <w:r w:rsidRPr="005341DC">
        <w:rPr>
          <w:bCs/>
          <w:color w:val="231F20"/>
          <w:shd w:val="clear" w:color="auto" w:fill="FFFFFF"/>
        </w:rPr>
        <w:t>0,3086 kn/kWh (0,0410 EUR/kWh) uvećana</w:t>
      </w:r>
      <w:r w:rsidRPr="005341DC">
        <w:rPr>
          <w:bCs/>
        </w:rPr>
        <w:t xml:space="preserve"> za udio od 76% troška opskrbe plinom određenog za pojedino distribucijska područje na temelju provedenog natječaja za odabir opskrbljivača u obvezi javne usluge, za </w:t>
      </w:r>
      <w:r w:rsidRPr="005341DC">
        <w:rPr>
          <w:bCs/>
          <w:color w:val="231F20"/>
          <w:shd w:val="clear" w:color="auto" w:fill="FFFFFF"/>
        </w:rPr>
        <w:t>opskrbu plinom u obvezi javne usluge, za potrebu kupaca iz kategorije kućanstvo i za potrebe kupaca toplinske energije iz samostalnog toplinskog sustava.</w:t>
      </w:r>
    </w:p>
    <w:p w14:paraId="16ED0D49" w14:textId="77777777" w:rsidR="005341DC" w:rsidRPr="005341DC" w:rsidRDefault="005341DC" w:rsidP="005341DC">
      <w:pPr>
        <w:shd w:val="clear" w:color="auto" w:fill="FFFFFF"/>
        <w:jc w:val="both"/>
        <w:textAlignment w:val="baseline"/>
        <w:outlineLvl w:val="1"/>
        <w:rPr>
          <w:bCs/>
          <w:color w:val="231F20"/>
          <w:sz w:val="18"/>
        </w:rPr>
      </w:pPr>
    </w:p>
    <w:p w14:paraId="51640479" w14:textId="77777777" w:rsidR="003D22B2" w:rsidRPr="003D22B2" w:rsidRDefault="003D22B2" w:rsidP="003D22B2">
      <w:pPr>
        <w:shd w:val="clear" w:color="auto" w:fill="FFFFFF"/>
        <w:jc w:val="both"/>
        <w:textAlignment w:val="baseline"/>
        <w:outlineLvl w:val="1"/>
        <w:rPr>
          <w:bCs/>
          <w:color w:val="231F20"/>
          <w:sz w:val="18"/>
        </w:rPr>
      </w:pPr>
    </w:p>
    <w:p w14:paraId="32A6FDF9" w14:textId="4AB0ABE0" w:rsidR="00D803C6" w:rsidRDefault="009E21B1" w:rsidP="00703E3F">
      <w:pPr>
        <w:ind w:left="7080"/>
        <w:jc w:val="right"/>
        <w:rPr>
          <w:color w:val="000000"/>
          <w:sz w:val="22"/>
          <w:szCs w:val="22"/>
        </w:rPr>
      </w:pPr>
    </w:p>
    <w:sectPr w:rsidR="00D803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0AD4" w14:textId="77777777" w:rsidR="00C321F0" w:rsidRDefault="00C321F0">
      <w:r>
        <w:separator/>
      </w:r>
    </w:p>
  </w:endnote>
  <w:endnote w:type="continuationSeparator" w:id="0">
    <w:p w14:paraId="65E4EDC8" w14:textId="77777777" w:rsidR="00C321F0" w:rsidRDefault="00C3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E5C8" w14:textId="77777777" w:rsidR="00DB1AB5" w:rsidRPr="00E11204" w:rsidRDefault="00DB1AB5" w:rsidP="00464053">
    <w:pPr>
      <w:pStyle w:val="Footer"/>
      <w:pBdr>
        <w:top w:val="single" w:sz="4" w:space="1" w:color="404040"/>
      </w:pBdr>
      <w:jc w:val="center"/>
      <w:rPr>
        <w:color w:val="404040"/>
        <w:spacing w:val="20"/>
        <w:sz w:val="20"/>
      </w:rPr>
    </w:pPr>
    <w:r w:rsidRPr="00E11204">
      <w:rPr>
        <w:color w:val="404040"/>
        <w:spacing w:val="20"/>
        <w:sz w:val="20"/>
      </w:rPr>
      <w:t>Banski dvori | Trg Sv. Marka 2 | 10000 Zagreb | tel. 01 4569 222 | vlada.gov.hr</w:t>
    </w:r>
  </w:p>
  <w:p w14:paraId="73950990" w14:textId="77777777" w:rsidR="00DB1AB5" w:rsidRDefault="00DB1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EBB23" w14:textId="77777777" w:rsidR="00C321F0" w:rsidRDefault="00C321F0">
      <w:r>
        <w:separator/>
      </w:r>
    </w:p>
  </w:footnote>
  <w:footnote w:type="continuationSeparator" w:id="0">
    <w:p w14:paraId="602F670B" w14:textId="77777777" w:rsidR="00C321F0" w:rsidRDefault="00C3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A0CBB" w14:textId="77777777" w:rsidR="00DB1AB5" w:rsidRDefault="00DB1AB5">
    <w:pPr>
      <w:pStyle w:val="Header"/>
      <w:jc w:val="center"/>
    </w:pPr>
    <w:r>
      <w:fldChar w:fldCharType="begin"/>
    </w:r>
    <w:r>
      <w:instrText>PAGE   \* MERGEFORMAT</w:instrText>
    </w:r>
    <w:r>
      <w:fldChar w:fldCharType="separate"/>
    </w:r>
    <w:r>
      <w:rPr>
        <w:noProof/>
      </w:rPr>
      <w:t>1</w:t>
    </w:r>
    <w:r>
      <w:fldChar w:fldCharType="end"/>
    </w:r>
  </w:p>
  <w:p w14:paraId="22474EA8" w14:textId="77777777" w:rsidR="00DB1AB5" w:rsidRDefault="00DB1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407"/>
    <w:multiLevelType w:val="hybridMultilevel"/>
    <w:tmpl w:val="BF942466"/>
    <w:lvl w:ilvl="0" w:tplc="00ECB10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2C370D"/>
    <w:multiLevelType w:val="hybridMultilevel"/>
    <w:tmpl w:val="507634FC"/>
    <w:lvl w:ilvl="0" w:tplc="DEE8F360">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49"/>
    <w:rsid w:val="00013A5D"/>
    <w:rsid w:val="00026B44"/>
    <w:rsid w:val="000829C1"/>
    <w:rsid w:val="0009216B"/>
    <w:rsid w:val="000B389E"/>
    <w:rsid w:val="000D09F5"/>
    <w:rsid w:val="000D1152"/>
    <w:rsid w:val="000E2BCA"/>
    <w:rsid w:val="000F3485"/>
    <w:rsid w:val="0011602A"/>
    <w:rsid w:val="001234DE"/>
    <w:rsid w:val="001263E2"/>
    <w:rsid w:val="001352FD"/>
    <w:rsid w:val="001422AE"/>
    <w:rsid w:val="00143150"/>
    <w:rsid w:val="00150E4B"/>
    <w:rsid w:val="001523A8"/>
    <w:rsid w:val="00174A75"/>
    <w:rsid w:val="001A2FC4"/>
    <w:rsid w:val="001B18C7"/>
    <w:rsid w:val="001B4A04"/>
    <w:rsid w:val="001D2F92"/>
    <w:rsid w:val="001D47A6"/>
    <w:rsid w:val="001D7C28"/>
    <w:rsid w:val="001E5211"/>
    <w:rsid w:val="0020199E"/>
    <w:rsid w:val="002318EB"/>
    <w:rsid w:val="002346DF"/>
    <w:rsid w:val="002437C4"/>
    <w:rsid w:val="00252BC3"/>
    <w:rsid w:val="002671C6"/>
    <w:rsid w:val="00287AA0"/>
    <w:rsid w:val="00293655"/>
    <w:rsid w:val="0029528A"/>
    <w:rsid w:val="002C24BF"/>
    <w:rsid w:val="002C24C5"/>
    <w:rsid w:val="002C7B0C"/>
    <w:rsid w:val="002C7DEF"/>
    <w:rsid w:val="002E621C"/>
    <w:rsid w:val="00370FF2"/>
    <w:rsid w:val="00384D0C"/>
    <w:rsid w:val="00396029"/>
    <w:rsid w:val="003A0A2F"/>
    <w:rsid w:val="003A2C6A"/>
    <w:rsid w:val="003A43B3"/>
    <w:rsid w:val="003B24F9"/>
    <w:rsid w:val="003D22B2"/>
    <w:rsid w:val="003D23E6"/>
    <w:rsid w:val="003E209A"/>
    <w:rsid w:val="003E4405"/>
    <w:rsid w:val="00401DA2"/>
    <w:rsid w:val="0042215E"/>
    <w:rsid w:val="00441314"/>
    <w:rsid w:val="00444302"/>
    <w:rsid w:val="00462544"/>
    <w:rsid w:val="004C5717"/>
    <w:rsid w:val="00504836"/>
    <w:rsid w:val="005308A8"/>
    <w:rsid w:val="005341DC"/>
    <w:rsid w:val="0055700A"/>
    <w:rsid w:val="005604A0"/>
    <w:rsid w:val="00590626"/>
    <w:rsid w:val="0059484E"/>
    <w:rsid w:val="005A1371"/>
    <w:rsid w:val="005B7241"/>
    <w:rsid w:val="005C1EE8"/>
    <w:rsid w:val="005C3202"/>
    <w:rsid w:val="005D59D1"/>
    <w:rsid w:val="005F0AE1"/>
    <w:rsid w:val="005F49AC"/>
    <w:rsid w:val="005F4D82"/>
    <w:rsid w:val="00610259"/>
    <w:rsid w:val="00615A65"/>
    <w:rsid w:val="00636F64"/>
    <w:rsid w:val="006444BB"/>
    <w:rsid w:val="006548E1"/>
    <w:rsid w:val="00687022"/>
    <w:rsid w:val="006875DC"/>
    <w:rsid w:val="006B0606"/>
    <w:rsid w:val="006B1010"/>
    <w:rsid w:val="006F16AC"/>
    <w:rsid w:val="006F2987"/>
    <w:rsid w:val="006F7A20"/>
    <w:rsid w:val="007005E1"/>
    <w:rsid w:val="00703E3F"/>
    <w:rsid w:val="00704851"/>
    <w:rsid w:val="00716324"/>
    <w:rsid w:val="00730800"/>
    <w:rsid w:val="00741758"/>
    <w:rsid w:val="0075136B"/>
    <w:rsid w:val="00755F66"/>
    <w:rsid w:val="00760BC7"/>
    <w:rsid w:val="00763473"/>
    <w:rsid w:val="007705CB"/>
    <w:rsid w:val="00772295"/>
    <w:rsid w:val="00796692"/>
    <w:rsid w:val="007D2E40"/>
    <w:rsid w:val="007D49DF"/>
    <w:rsid w:val="007D5C61"/>
    <w:rsid w:val="007F3A04"/>
    <w:rsid w:val="0080635D"/>
    <w:rsid w:val="00807C6E"/>
    <w:rsid w:val="008175B1"/>
    <w:rsid w:val="00822245"/>
    <w:rsid w:val="008273EF"/>
    <w:rsid w:val="0083067F"/>
    <w:rsid w:val="00836104"/>
    <w:rsid w:val="008537D4"/>
    <w:rsid w:val="00861AC8"/>
    <w:rsid w:val="00880E76"/>
    <w:rsid w:val="00883568"/>
    <w:rsid w:val="008A0500"/>
    <w:rsid w:val="008D486F"/>
    <w:rsid w:val="008E211F"/>
    <w:rsid w:val="008F75BC"/>
    <w:rsid w:val="00923765"/>
    <w:rsid w:val="0093249B"/>
    <w:rsid w:val="00943E9A"/>
    <w:rsid w:val="00961932"/>
    <w:rsid w:val="00967366"/>
    <w:rsid w:val="00970BA9"/>
    <w:rsid w:val="009745A5"/>
    <w:rsid w:val="009C5C64"/>
    <w:rsid w:val="009E21B1"/>
    <w:rsid w:val="00A0398E"/>
    <w:rsid w:val="00A10913"/>
    <w:rsid w:val="00A20317"/>
    <w:rsid w:val="00A4619D"/>
    <w:rsid w:val="00A55049"/>
    <w:rsid w:val="00A62799"/>
    <w:rsid w:val="00A80D6F"/>
    <w:rsid w:val="00A9650D"/>
    <w:rsid w:val="00AC0539"/>
    <w:rsid w:val="00AC22B4"/>
    <w:rsid w:val="00AD3476"/>
    <w:rsid w:val="00AE1240"/>
    <w:rsid w:val="00AE2C8D"/>
    <w:rsid w:val="00AE348F"/>
    <w:rsid w:val="00AE3A37"/>
    <w:rsid w:val="00AF0AAD"/>
    <w:rsid w:val="00AF213B"/>
    <w:rsid w:val="00AF33E5"/>
    <w:rsid w:val="00B03086"/>
    <w:rsid w:val="00B07727"/>
    <w:rsid w:val="00B11AC4"/>
    <w:rsid w:val="00B2254D"/>
    <w:rsid w:val="00B31A57"/>
    <w:rsid w:val="00B3628B"/>
    <w:rsid w:val="00B4593A"/>
    <w:rsid w:val="00B66476"/>
    <w:rsid w:val="00B81130"/>
    <w:rsid w:val="00BA31C2"/>
    <w:rsid w:val="00BC10CF"/>
    <w:rsid w:val="00C10204"/>
    <w:rsid w:val="00C321F0"/>
    <w:rsid w:val="00C402EA"/>
    <w:rsid w:val="00C60252"/>
    <w:rsid w:val="00C71393"/>
    <w:rsid w:val="00C76F9A"/>
    <w:rsid w:val="00CA078A"/>
    <w:rsid w:val="00CA33FF"/>
    <w:rsid w:val="00CC7133"/>
    <w:rsid w:val="00CE1DF6"/>
    <w:rsid w:val="00CE2CC7"/>
    <w:rsid w:val="00CF6CB8"/>
    <w:rsid w:val="00D14650"/>
    <w:rsid w:val="00D62AAF"/>
    <w:rsid w:val="00D90BFF"/>
    <w:rsid w:val="00DA4CE2"/>
    <w:rsid w:val="00DB1AB5"/>
    <w:rsid w:val="00DC36FD"/>
    <w:rsid w:val="00DE0634"/>
    <w:rsid w:val="00DE22CC"/>
    <w:rsid w:val="00DF6FB7"/>
    <w:rsid w:val="00E028A0"/>
    <w:rsid w:val="00E12D91"/>
    <w:rsid w:val="00E23A4E"/>
    <w:rsid w:val="00E373AA"/>
    <w:rsid w:val="00E50685"/>
    <w:rsid w:val="00E530B6"/>
    <w:rsid w:val="00E6253E"/>
    <w:rsid w:val="00E8149F"/>
    <w:rsid w:val="00E924CC"/>
    <w:rsid w:val="00E929AE"/>
    <w:rsid w:val="00EA1681"/>
    <w:rsid w:val="00ED0071"/>
    <w:rsid w:val="00ED3758"/>
    <w:rsid w:val="00EE6BA4"/>
    <w:rsid w:val="00F005C9"/>
    <w:rsid w:val="00F01166"/>
    <w:rsid w:val="00F11B01"/>
    <w:rsid w:val="00F16E3A"/>
    <w:rsid w:val="00F17701"/>
    <w:rsid w:val="00F24565"/>
    <w:rsid w:val="00F3471A"/>
    <w:rsid w:val="00F44B79"/>
    <w:rsid w:val="00F4516E"/>
    <w:rsid w:val="00F55886"/>
    <w:rsid w:val="00F60605"/>
    <w:rsid w:val="00F61AD6"/>
    <w:rsid w:val="00F8482A"/>
    <w:rsid w:val="00F8598B"/>
    <w:rsid w:val="00F85A89"/>
    <w:rsid w:val="00F92FEB"/>
    <w:rsid w:val="00F935E3"/>
    <w:rsid w:val="00F96EE4"/>
    <w:rsid w:val="00FB7D44"/>
    <w:rsid w:val="00FC0105"/>
    <w:rsid w:val="00FC5853"/>
    <w:rsid w:val="00FD662B"/>
    <w:rsid w:val="00FF7E68"/>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6FDC9"/>
  <w15:docId w15:val="{F50F26CC-AB8A-47BA-AB21-485F0B0E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semiHidden/>
    <w:unhideWhenUsed/>
    <w:qFormat/>
    <w:rsid w:val="00287AA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5DAD"/>
    <w:pPr>
      <w:tabs>
        <w:tab w:val="center" w:pos="4536"/>
        <w:tab w:val="right" w:pos="9072"/>
      </w:tabs>
    </w:pPr>
  </w:style>
  <w:style w:type="character" w:customStyle="1" w:styleId="HeaderChar">
    <w:name w:val="Header Char"/>
    <w:link w:val="Header"/>
    <w:uiPriority w:val="99"/>
    <w:rsid w:val="00985DAD"/>
    <w:rPr>
      <w:sz w:val="24"/>
      <w:szCs w:val="24"/>
    </w:rPr>
  </w:style>
  <w:style w:type="paragraph" w:styleId="Footer">
    <w:name w:val="footer"/>
    <w:basedOn w:val="Normal"/>
    <w:link w:val="FooterChar"/>
    <w:rsid w:val="00985DAD"/>
    <w:pPr>
      <w:tabs>
        <w:tab w:val="center" w:pos="4536"/>
        <w:tab w:val="right" w:pos="9072"/>
      </w:tabs>
    </w:pPr>
  </w:style>
  <w:style w:type="character" w:customStyle="1" w:styleId="FooterChar">
    <w:name w:val="Footer Char"/>
    <w:link w:val="Footer"/>
    <w:rsid w:val="00985DAD"/>
    <w:rPr>
      <w:sz w:val="24"/>
      <w:szCs w:val="24"/>
    </w:rPr>
  </w:style>
  <w:style w:type="paragraph" w:styleId="BalloonText">
    <w:name w:val="Balloon Text"/>
    <w:basedOn w:val="Normal"/>
    <w:link w:val="BalloonTextChar"/>
    <w:rsid w:val="00970BA9"/>
    <w:rPr>
      <w:rFonts w:ascii="Segoe UI" w:hAnsi="Segoe UI" w:cs="Segoe UI"/>
      <w:sz w:val="18"/>
      <w:szCs w:val="18"/>
    </w:rPr>
  </w:style>
  <w:style w:type="character" w:customStyle="1" w:styleId="BalloonTextChar">
    <w:name w:val="Balloon Text Char"/>
    <w:link w:val="BalloonText"/>
    <w:rsid w:val="00970BA9"/>
    <w:rPr>
      <w:rFonts w:ascii="Segoe UI" w:hAnsi="Segoe UI" w:cs="Segoe UI"/>
      <w:sz w:val="18"/>
      <w:szCs w:val="18"/>
    </w:rPr>
  </w:style>
  <w:style w:type="paragraph" w:styleId="ListParagraph">
    <w:name w:val="List Paragraph"/>
    <w:basedOn w:val="Normal"/>
    <w:uiPriority w:val="34"/>
    <w:qFormat/>
    <w:rsid w:val="0068702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semiHidden/>
    <w:rsid w:val="003D23E6"/>
    <w:rPr>
      <w:sz w:val="24"/>
      <w:szCs w:val="24"/>
    </w:rPr>
  </w:style>
  <w:style w:type="character" w:customStyle="1" w:styleId="Heading2Char">
    <w:name w:val="Heading 2 Char"/>
    <w:basedOn w:val="DefaultParagraphFont"/>
    <w:link w:val="Heading2"/>
    <w:uiPriority w:val="9"/>
    <w:semiHidden/>
    <w:rsid w:val="00287AA0"/>
    <w:rPr>
      <w:b/>
      <w:bCs/>
      <w:sz w:val="36"/>
      <w:szCs w:val="36"/>
    </w:rPr>
  </w:style>
  <w:style w:type="paragraph" w:customStyle="1" w:styleId="box472050">
    <w:name w:val="box_472050"/>
    <w:basedOn w:val="Normal"/>
    <w:rsid w:val="00287A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864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9AD5AE1E4A344DAD202FA72F107A2E" ma:contentTypeVersion="14" ma:contentTypeDescription="Create a new document." ma:contentTypeScope="" ma:versionID="d363dd9c247b931c269586ece089f7ec">
  <xsd:schema xmlns:xsd="http://www.w3.org/2001/XMLSchema" xmlns:xs="http://www.w3.org/2001/XMLSchema" xmlns:p="http://schemas.microsoft.com/office/2006/metadata/properties" xmlns:ns3="12a2d5f6-d10b-4400-bcbd-4af43a75dc63" xmlns:ns4="2a9dfa6e-8d15-4b95-ae45-82686fa64634" targetNamespace="http://schemas.microsoft.com/office/2006/metadata/properties" ma:root="true" ma:fieldsID="8f0cdca59997eab19b1ae162bce9d723" ns3:_="" ns4:_="">
    <xsd:import namespace="12a2d5f6-d10b-4400-bcbd-4af43a75dc63"/>
    <xsd:import namespace="2a9dfa6e-8d15-4b95-ae45-82686fa646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2d5f6-d10b-4400-bcbd-4af43a75dc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9dfa6e-8d15-4b95-ae45-82686fa646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92296-CDAE-49DC-84A1-698C5A1B667F}">
  <ds:schemaRefs>
    <ds:schemaRef ds:uri="http://schemas.microsoft.com/office/2006/metadata/properties"/>
    <ds:schemaRef ds:uri="http://purl.org/dc/terms/"/>
    <ds:schemaRef ds:uri="12a2d5f6-d10b-4400-bcbd-4af43a75dc63"/>
    <ds:schemaRef ds:uri="http://schemas.microsoft.com/office/2006/documentManagement/types"/>
    <ds:schemaRef ds:uri="http://purl.org/dc/dcmitype/"/>
    <ds:schemaRef ds:uri="2a9dfa6e-8d15-4b95-ae45-82686fa64634"/>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C25E13-CDC8-4346-AD2B-FAE9DDC2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2d5f6-d10b-4400-bcbd-4af43a75dc63"/>
    <ds:schemaRef ds:uri="2a9dfa6e-8d15-4b95-ae45-82686fa64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726B2-F639-42CC-97DB-65E4FEEA3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2214</Words>
  <Characters>12624</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Anita Rubić</dc:creator>
  <cp:lastModifiedBy>Domagoj Dodig</cp:lastModifiedBy>
  <cp:revision>7</cp:revision>
  <cp:lastPrinted>2022-10-18T12:27:00Z</cp:lastPrinted>
  <dcterms:created xsi:type="dcterms:W3CDTF">2022-10-18T14:33:00Z</dcterms:created>
  <dcterms:modified xsi:type="dcterms:W3CDTF">2022-10-20T09:27:00Z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0x010100449AD5AE1E4A344DAD202FA72F107A2E</vt:lpwstr>
  </property>
</Properties>
</file>