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BED8" w14:textId="77777777" w:rsidR="00CD3EFA" w:rsidRPr="00C208B8" w:rsidRDefault="008F0DD4" w:rsidP="0033152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6CDBF31" wp14:editId="66CDBF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CDBED9" w14:textId="77777777" w:rsidR="00CD3EFA" w:rsidRPr="0023763F" w:rsidRDefault="003A2F05" w:rsidP="00331523">
      <w:pPr>
        <w:spacing w:before="60" w:after="1680" w:line="360" w:lineRule="auto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6CDBEDA" w14:textId="77777777" w:rsidR="00CD3EFA" w:rsidRDefault="00CD3EFA" w:rsidP="00331523">
      <w:pPr>
        <w:spacing w:line="360" w:lineRule="auto"/>
      </w:pPr>
    </w:p>
    <w:p w14:paraId="66CDBEDB" w14:textId="78533DA6" w:rsidR="00C337A4" w:rsidRPr="003A2F05" w:rsidRDefault="00C337A4" w:rsidP="00331523">
      <w:pPr>
        <w:spacing w:after="2400" w:line="360" w:lineRule="auto"/>
        <w:jc w:val="right"/>
      </w:pPr>
      <w:r w:rsidRPr="003A2F05">
        <w:t xml:space="preserve">Zagreb, </w:t>
      </w:r>
      <w:r w:rsidR="004E5FC1">
        <w:t>2</w:t>
      </w:r>
      <w:r w:rsidR="00F43750">
        <w:t>7</w:t>
      </w:r>
      <w:r w:rsidR="00E36B8F">
        <w:t xml:space="preserve">. </w:t>
      </w:r>
      <w:r w:rsidR="00F43750">
        <w:t>listopada</w:t>
      </w:r>
      <w:r w:rsidR="00E36B8F">
        <w:t xml:space="preserve"> 202</w:t>
      </w:r>
      <w:r w:rsidR="00AA01C9">
        <w:t>2</w:t>
      </w:r>
      <w:r w:rsidRPr="003A2F05">
        <w:t>.</w:t>
      </w:r>
    </w:p>
    <w:p w14:paraId="66CDBEDC" w14:textId="77777777" w:rsidR="000350D9" w:rsidRPr="002179F8" w:rsidRDefault="000350D9" w:rsidP="00331523">
      <w:pPr>
        <w:spacing w:line="360" w:lineRule="auto"/>
      </w:pPr>
      <w:r w:rsidRPr="002179F8">
        <w:t>__________________________________________________________________________</w:t>
      </w:r>
    </w:p>
    <w:p w14:paraId="66CDBEDD" w14:textId="77777777" w:rsidR="000350D9" w:rsidRDefault="000350D9" w:rsidP="00331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6CDBEE0" w14:textId="77777777" w:rsidTr="000350D9">
        <w:tc>
          <w:tcPr>
            <w:tcW w:w="1951" w:type="dxa"/>
          </w:tcPr>
          <w:p w14:paraId="66CDBEDE" w14:textId="77777777" w:rsidR="000350D9" w:rsidRDefault="000350D9" w:rsidP="0033152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CDBEDF" w14:textId="77777777" w:rsidR="000350D9" w:rsidRDefault="00AC3D44" w:rsidP="00331523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6CDBEE1" w14:textId="77777777" w:rsidR="000350D9" w:rsidRPr="002179F8" w:rsidRDefault="000350D9" w:rsidP="00331523">
      <w:pPr>
        <w:spacing w:line="360" w:lineRule="auto"/>
      </w:pPr>
      <w:r w:rsidRPr="002179F8">
        <w:t>__________________________________________________________________________</w:t>
      </w:r>
    </w:p>
    <w:p w14:paraId="66CDBEE2" w14:textId="77777777" w:rsidR="000350D9" w:rsidRDefault="000350D9" w:rsidP="00331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6CDBEE5" w14:textId="77777777" w:rsidTr="000350D9">
        <w:tc>
          <w:tcPr>
            <w:tcW w:w="1951" w:type="dxa"/>
          </w:tcPr>
          <w:p w14:paraId="66CDBEE3" w14:textId="77777777" w:rsidR="000350D9" w:rsidRDefault="000350D9" w:rsidP="0033152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CDBEE4" w14:textId="77777777" w:rsidR="000350D9" w:rsidRDefault="00E36B8F" w:rsidP="00AA01C9">
            <w:pPr>
              <w:spacing w:line="360" w:lineRule="auto"/>
              <w:jc w:val="both"/>
            </w:pPr>
            <w:r>
              <w:t>Prijedlog odluke o izmjeni Odluke o</w:t>
            </w:r>
            <w:r w:rsidRPr="00E36B8F">
              <w:t xml:space="preserve"> koncesiji pomorskog dobra u svrhu posebne upotrebe luke posebne namjene – industrijske luke Stinice</w:t>
            </w:r>
          </w:p>
        </w:tc>
      </w:tr>
    </w:tbl>
    <w:p w14:paraId="66CDBEE6" w14:textId="77777777" w:rsidR="000350D9" w:rsidRPr="002179F8" w:rsidRDefault="000350D9" w:rsidP="0033152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6CDBEE7" w14:textId="77777777" w:rsidR="00CE78D1" w:rsidRDefault="00CE78D1" w:rsidP="00331523">
      <w:pPr>
        <w:spacing w:line="360" w:lineRule="auto"/>
      </w:pPr>
    </w:p>
    <w:p w14:paraId="66CDBEE8" w14:textId="77777777" w:rsidR="00CE78D1" w:rsidRPr="00CE78D1" w:rsidRDefault="00CE78D1" w:rsidP="00331523">
      <w:pPr>
        <w:spacing w:line="360" w:lineRule="auto"/>
      </w:pPr>
    </w:p>
    <w:p w14:paraId="66CDBEE9" w14:textId="77777777" w:rsidR="00CE78D1" w:rsidRPr="00CE78D1" w:rsidRDefault="00CE78D1" w:rsidP="00A2062C">
      <w:pPr>
        <w:spacing w:line="276" w:lineRule="auto"/>
      </w:pPr>
    </w:p>
    <w:p w14:paraId="66CDBEEA" w14:textId="77777777" w:rsidR="00CE78D1" w:rsidRPr="00CE78D1" w:rsidRDefault="00CE78D1" w:rsidP="00A2062C">
      <w:pPr>
        <w:spacing w:line="276" w:lineRule="auto"/>
      </w:pPr>
    </w:p>
    <w:p w14:paraId="66CDBEEB" w14:textId="77777777" w:rsidR="00CE78D1" w:rsidRPr="00CE78D1" w:rsidRDefault="00CE78D1" w:rsidP="00A2062C">
      <w:pPr>
        <w:spacing w:line="276" w:lineRule="auto"/>
      </w:pPr>
    </w:p>
    <w:p w14:paraId="66CDBEEC" w14:textId="77777777" w:rsidR="00CE78D1" w:rsidRPr="00CE78D1" w:rsidRDefault="00CE78D1" w:rsidP="00A2062C">
      <w:pPr>
        <w:spacing w:line="276" w:lineRule="auto"/>
      </w:pPr>
    </w:p>
    <w:p w14:paraId="66CDBEED" w14:textId="77777777" w:rsidR="00CE78D1" w:rsidRPr="00CE78D1" w:rsidRDefault="00CE78D1" w:rsidP="00A2062C">
      <w:pPr>
        <w:spacing w:line="276" w:lineRule="auto"/>
      </w:pPr>
    </w:p>
    <w:p w14:paraId="66CDBEEE" w14:textId="77777777" w:rsidR="00CE78D1" w:rsidRPr="00CE78D1" w:rsidRDefault="00CE78D1" w:rsidP="00A2062C">
      <w:pPr>
        <w:spacing w:line="276" w:lineRule="auto"/>
      </w:pPr>
    </w:p>
    <w:p w14:paraId="66CDBEEF" w14:textId="77777777" w:rsidR="00CE78D1" w:rsidRPr="00CE78D1" w:rsidRDefault="00CE78D1" w:rsidP="00A2062C">
      <w:pPr>
        <w:spacing w:line="276" w:lineRule="auto"/>
      </w:pPr>
    </w:p>
    <w:p w14:paraId="66CDBEF0" w14:textId="77777777" w:rsidR="00CE78D1" w:rsidRPr="00CE78D1" w:rsidRDefault="00CE78D1" w:rsidP="00A2062C">
      <w:pPr>
        <w:spacing w:line="276" w:lineRule="auto"/>
      </w:pPr>
    </w:p>
    <w:p w14:paraId="66CDBEF1" w14:textId="77777777" w:rsidR="00CE78D1" w:rsidRPr="00CE78D1" w:rsidRDefault="00CE78D1" w:rsidP="00A2062C">
      <w:pPr>
        <w:spacing w:line="276" w:lineRule="auto"/>
      </w:pPr>
    </w:p>
    <w:p w14:paraId="66CDBEF2" w14:textId="77777777" w:rsidR="00CE78D1" w:rsidRDefault="00CE78D1" w:rsidP="00A2062C">
      <w:pPr>
        <w:spacing w:line="276" w:lineRule="auto"/>
      </w:pPr>
    </w:p>
    <w:p w14:paraId="66CDBEF3" w14:textId="77777777" w:rsidR="00AA01C9" w:rsidRPr="00CE78D1" w:rsidRDefault="00AA01C9" w:rsidP="00A2062C">
      <w:pPr>
        <w:spacing w:line="276" w:lineRule="auto"/>
      </w:pPr>
    </w:p>
    <w:p w14:paraId="66CDBEF4" w14:textId="77777777" w:rsidR="00CE78D1" w:rsidRPr="00CE78D1" w:rsidRDefault="00CE78D1" w:rsidP="00A2062C">
      <w:pPr>
        <w:spacing w:line="276" w:lineRule="auto"/>
      </w:pPr>
    </w:p>
    <w:p w14:paraId="656F9134" w14:textId="77777777" w:rsidR="00325F4D" w:rsidRPr="00CE78D1" w:rsidRDefault="00325F4D" w:rsidP="00325F4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66CDBEF5" w14:textId="77777777" w:rsidR="00CE78D1" w:rsidRDefault="00CE78D1" w:rsidP="00A2062C">
      <w:pPr>
        <w:spacing w:line="276" w:lineRule="auto"/>
      </w:pPr>
    </w:p>
    <w:p w14:paraId="08A38585" w14:textId="77777777" w:rsidR="00D4286A" w:rsidRDefault="00D4286A" w:rsidP="00EE3C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00466DF5" w14:textId="77777777" w:rsidR="00D4286A" w:rsidRDefault="00D4286A" w:rsidP="00EE3C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40D43576" w14:textId="77777777" w:rsidR="00D4286A" w:rsidRDefault="00D4286A" w:rsidP="00EE3C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66CDBEF6" w14:textId="22BCD215" w:rsidR="00B05CF3" w:rsidRPr="004C2FEC" w:rsidRDefault="00B05CF3" w:rsidP="00EE3C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>Na temelju članka 19. stavka 2. i članka 80. stavka 4. Zakona o pomorskom dobru i morskim lukama („Narodne novine“, br. 158/03, 100/04</w:t>
      </w:r>
      <w:r w:rsidR="00D8130A" w:rsidRPr="004C2FEC">
        <w:rPr>
          <w:color w:val="000000"/>
        </w:rPr>
        <w:t xml:space="preserve"> – </w:t>
      </w:r>
      <w:r w:rsidR="00D8130A" w:rsidRPr="00D8130A">
        <w:rPr>
          <w:color w:val="000000"/>
        </w:rPr>
        <w:t>Zakon o izmjenama i dopunama Zakona o gradnji</w:t>
      </w:r>
      <w:r w:rsidRPr="004C2FEC">
        <w:rPr>
          <w:color w:val="000000"/>
        </w:rPr>
        <w:t>, 141/06, 38/09, 123/11 – Odluka Us</w:t>
      </w:r>
      <w:r w:rsidR="00100E07">
        <w:rPr>
          <w:color w:val="000000"/>
        </w:rPr>
        <w:t>tavnog suda Republike Hrvatske,</w:t>
      </w:r>
      <w:r w:rsidRPr="004C2FEC">
        <w:rPr>
          <w:color w:val="000000"/>
        </w:rPr>
        <w:t xml:space="preserve"> 56/16</w:t>
      </w:r>
      <w:r w:rsidR="00100E07">
        <w:rPr>
          <w:color w:val="000000"/>
        </w:rPr>
        <w:t xml:space="preserve"> i 98/19</w:t>
      </w:r>
      <w:r w:rsidRPr="004C2FEC">
        <w:rPr>
          <w:color w:val="000000"/>
        </w:rPr>
        <w:t>) Vlada Republike Hrvatske je na</w:t>
      </w:r>
      <w:r w:rsidR="00066B36">
        <w:rPr>
          <w:color w:val="000000"/>
        </w:rPr>
        <w:t xml:space="preserve"> sjednici održanoj ________ 202</w:t>
      </w:r>
      <w:r w:rsidR="00AA01C9">
        <w:rPr>
          <w:color w:val="000000"/>
        </w:rPr>
        <w:t>2</w:t>
      </w:r>
      <w:r w:rsidRPr="004C2FEC">
        <w:rPr>
          <w:color w:val="000000"/>
        </w:rPr>
        <w:t>. godine donijela</w:t>
      </w:r>
    </w:p>
    <w:p w14:paraId="66CDBEF7" w14:textId="77777777" w:rsidR="00B05CF3" w:rsidRPr="004C2FEC" w:rsidRDefault="00B05CF3" w:rsidP="00EE3C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66CDBEF8" w14:textId="77777777" w:rsidR="00100E07" w:rsidRDefault="00B05CF3" w:rsidP="00EE3C33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  <w:lang w:val="en-GB"/>
        </w:rPr>
      </w:pPr>
      <w:r w:rsidRPr="004C2FEC">
        <w:rPr>
          <w:b/>
          <w:bCs/>
          <w:color w:val="000000"/>
          <w:lang w:val="en-GB"/>
        </w:rPr>
        <w:t xml:space="preserve">ODLUKU </w:t>
      </w:r>
    </w:p>
    <w:p w14:paraId="66CDBEF9" w14:textId="77777777" w:rsidR="00B05CF3" w:rsidRPr="00100E07" w:rsidRDefault="00B05CF3" w:rsidP="00EE3C33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C2FEC">
        <w:rPr>
          <w:b/>
          <w:bCs/>
          <w:color w:val="000000"/>
          <w:lang w:val="en-GB"/>
        </w:rPr>
        <w:t>O IZMJENI ODLUKE</w:t>
      </w:r>
      <w:r w:rsidR="00100E07">
        <w:rPr>
          <w:b/>
          <w:bCs/>
          <w:color w:val="000000"/>
        </w:rPr>
        <w:t xml:space="preserve"> </w:t>
      </w:r>
      <w:r w:rsidRPr="004C2FEC">
        <w:rPr>
          <w:b/>
          <w:bCs/>
          <w:color w:val="000000"/>
          <w:lang w:val="en-GB"/>
        </w:rPr>
        <w:t>O KONCESIJI POMORSKOG DOBRA</w:t>
      </w:r>
    </w:p>
    <w:p w14:paraId="66CDBEFA" w14:textId="77777777" w:rsidR="00B05CF3" w:rsidRPr="004C2FEC" w:rsidRDefault="00B05CF3" w:rsidP="00EE3C33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C2FEC">
        <w:rPr>
          <w:b/>
          <w:bCs/>
          <w:color w:val="000000"/>
          <w:lang w:val="en-GB"/>
        </w:rPr>
        <w:t>U SVRHU POSEBNE UPOTREBE LUKE POSEBNE NAMJENE – INDUSTRIJSKE LUKE STINICE</w:t>
      </w:r>
    </w:p>
    <w:p w14:paraId="66CDBEFB" w14:textId="77777777" w:rsidR="00B05CF3" w:rsidRDefault="00B05CF3" w:rsidP="00EE3C33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66CDBEFC" w14:textId="77777777" w:rsidR="002F50CB" w:rsidRPr="004C2FEC" w:rsidRDefault="002F50CB" w:rsidP="00EE3C33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66CDBEFD" w14:textId="77777777" w:rsidR="00B05CF3" w:rsidRPr="00BE451B" w:rsidRDefault="00B05CF3" w:rsidP="00EE3C33">
      <w:pPr>
        <w:pStyle w:val="clanak-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E451B">
        <w:rPr>
          <w:b/>
          <w:color w:val="000000"/>
        </w:rPr>
        <w:t>I.</w:t>
      </w:r>
    </w:p>
    <w:p w14:paraId="66CDBEFE" w14:textId="2D60F9C0" w:rsidR="00B05CF3" w:rsidRPr="004C2FEC" w:rsidRDefault="00B05CF3" w:rsidP="00EE3C33">
      <w:pPr>
        <w:pStyle w:val="t-9-8"/>
        <w:spacing w:line="276" w:lineRule="auto"/>
        <w:ind w:firstLine="426"/>
        <w:jc w:val="both"/>
        <w:rPr>
          <w:bCs/>
          <w:color w:val="000000"/>
        </w:rPr>
      </w:pPr>
      <w:r w:rsidRPr="004C2FEC">
        <w:rPr>
          <w:color w:val="000000"/>
        </w:rPr>
        <w:t xml:space="preserve">U Odluci </w:t>
      </w:r>
      <w:r w:rsidRPr="004C2FEC">
        <w:rPr>
          <w:bCs/>
          <w:color w:val="000000"/>
        </w:rPr>
        <w:t>o koncesiji pomorskog dobra u svrhu posebne upotrebe luke posebne namjene – industrijske luke Stinice</w:t>
      </w:r>
      <w:r w:rsidR="00124D51">
        <w:rPr>
          <w:bCs/>
          <w:color w:val="000000"/>
        </w:rPr>
        <w:t xml:space="preserve"> („Narodne novine“, br.</w:t>
      </w:r>
      <w:r w:rsidRPr="004C2FEC">
        <w:rPr>
          <w:bCs/>
          <w:color w:val="000000"/>
        </w:rPr>
        <w:t xml:space="preserve"> 132/14</w:t>
      </w:r>
      <w:r w:rsidR="00124D51">
        <w:rPr>
          <w:bCs/>
          <w:color w:val="000000"/>
        </w:rPr>
        <w:t xml:space="preserve"> i </w:t>
      </w:r>
      <w:r w:rsidR="00100E07">
        <w:rPr>
          <w:bCs/>
          <w:color w:val="000000"/>
        </w:rPr>
        <w:t>53/</w:t>
      </w:r>
      <w:r w:rsidR="00FB6CCF">
        <w:rPr>
          <w:bCs/>
          <w:color w:val="000000"/>
        </w:rPr>
        <w:t>18</w:t>
      </w:r>
      <w:r w:rsidR="00124D51">
        <w:rPr>
          <w:bCs/>
          <w:color w:val="000000"/>
        </w:rPr>
        <w:t>)</w:t>
      </w:r>
      <w:r w:rsidR="00FB6CCF">
        <w:rPr>
          <w:bCs/>
          <w:color w:val="000000"/>
        </w:rPr>
        <w:t xml:space="preserve">, </w:t>
      </w:r>
      <w:r w:rsidR="00DF1B55">
        <w:rPr>
          <w:color w:val="231F20"/>
          <w:shd w:val="clear" w:color="auto" w:fill="FFFFFF"/>
        </w:rPr>
        <w:t xml:space="preserve">u točki III. stavku 2. riječ: „osam“ zamjenjuje se </w:t>
      </w:r>
      <w:r w:rsidR="00EA3233">
        <w:rPr>
          <w:color w:val="231F20"/>
          <w:shd w:val="clear" w:color="auto" w:fill="FFFFFF"/>
        </w:rPr>
        <w:t>brojem</w:t>
      </w:r>
      <w:r w:rsidR="00DF1B55">
        <w:rPr>
          <w:color w:val="231F20"/>
          <w:shd w:val="clear" w:color="auto" w:fill="FFFFFF"/>
        </w:rPr>
        <w:t>: „</w:t>
      </w:r>
      <w:r w:rsidR="00EA3233">
        <w:rPr>
          <w:color w:val="231F20"/>
          <w:shd w:val="clear" w:color="auto" w:fill="FFFFFF"/>
        </w:rPr>
        <w:t>12</w:t>
      </w:r>
      <w:r w:rsidR="00DF1B55">
        <w:rPr>
          <w:color w:val="231F20"/>
          <w:shd w:val="clear" w:color="auto" w:fill="FFFFFF"/>
        </w:rPr>
        <w:t>“</w:t>
      </w:r>
      <w:r w:rsidRPr="004C2FEC">
        <w:rPr>
          <w:bCs/>
          <w:color w:val="000000"/>
        </w:rPr>
        <w:t>.</w:t>
      </w:r>
    </w:p>
    <w:p w14:paraId="66CDBEFF" w14:textId="77777777" w:rsidR="00B05CF3" w:rsidRPr="00BE451B" w:rsidRDefault="00B05CF3" w:rsidP="00EE3C33">
      <w:pPr>
        <w:pStyle w:val="klasa2"/>
        <w:spacing w:after="0" w:line="276" w:lineRule="auto"/>
        <w:jc w:val="center"/>
        <w:rPr>
          <w:b/>
          <w:color w:val="000000"/>
        </w:rPr>
      </w:pPr>
      <w:r w:rsidRPr="00BE451B">
        <w:rPr>
          <w:b/>
          <w:color w:val="000000"/>
        </w:rPr>
        <w:t>II.</w:t>
      </w:r>
    </w:p>
    <w:p w14:paraId="66CDBF00" w14:textId="77777777" w:rsidR="00B05CF3" w:rsidRDefault="00EE3C33" w:rsidP="00EE3C33">
      <w:pPr>
        <w:pStyle w:val="klasa2"/>
        <w:spacing w:line="276" w:lineRule="auto"/>
        <w:ind w:firstLine="426"/>
        <w:jc w:val="both"/>
        <w:rPr>
          <w:color w:val="000000"/>
        </w:rPr>
      </w:pPr>
      <w:r w:rsidRPr="00EE3C33">
        <w:rPr>
          <w:color w:val="000000"/>
        </w:rPr>
        <w:t xml:space="preserve">Na temelju ove Odluke ovlašćuje se ministar mora, prometa i infrastrukture sklopiti dodatak br. 2 Ugovoru o koncesiji u roku </w:t>
      </w:r>
      <w:r>
        <w:rPr>
          <w:color w:val="000000"/>
        </w:rPr>
        <w:t>9</w:t>
      </w:r>
      <w:r w:rsidRPr="00EE3C33">
        <w:rPr>
          <w:color w:val="000000"/>
        </w:rPr>
        <w:t>0 (</w:t>
      </w:r>
      <w:r>
        <w:rPr>
          <w:color w:val="000000"/>
        </w:rPr>
        <w:t>devedeset</w:t>
      </w:r>
      <w:r w:rsidRPr="00EE3C33">
        <w:rPr>
          <w:color w:val="000000"/>
        </w:rPr>
        <w:t>) dana od dana izvršnosti ove Odluke.</w:t>
      </w:r>
    </w:p>
    <w:p w14:paraId="66CDBF01" w14:textId="77777777" w:rsidR="00630B42" w:rsidRPr="004C2FEC" w:rsidRDefault="00FD51EB" w:rsidP="00EE3C33">
      <w:pPr>
        <w:pStyle w:val="klasa2"/>
        <w:spacing w:line="276" w:lineRule="auto"/>
        <w:ind w:firstLine="426"/>
        <w:jc w:val="both"/>
        <w:rPr>
          <w:color w:val="000000"/>
        </w:rPr>
      </w:pPr>
      <w:r w:rsidRPr="00FD51EB">
        <w:rPr>
          <w:rFonts w:eastAsia="Calibri"/>
          <w:lang w:eastAsia="en-US"/>
        </w:rPr>
        <w:t xml:space="preserve">Ako se u roku iz stavka 1. ove točke ne sklopi dodatak br. 2 Ugovoru o koncesiji, ova odluka </w:t>
      </w:r>
      <w:r w:rsidR="00881608">
        <w:rPr>
          <w:rFonts w:eastAsia="Calibri"/>
          <w:lang w:eastAsia="en-US"/>
        </w:rPr>
        <w:t>će se ukinuti</w:t>
      </w:r>
      <w:r>
        <w:rPr>
          <w:rFonts w:eastAsia="Calibri"/>
          <w:lang w:eastAsia="en-US"/>
        </w:rPr>
        <w:t>.</w:t>
      </w:r>
    </w:p>
    <w:p w14:paraId="66CDBF02" w14:textId="77777777" w:rsidR="00B05CF3" w:rsidRPr="00BE451B" w:rsidRDefault="00A90C75" w:rsidP="00EE3C33">
      <w:pPr>
        <w:pStyle w:val="klasa2"/>
        <w:spacing w:before="0" w:after="0" w:line="276" w:lineRule="auto"/>
        <w:jc w:val="center"/>
        <w:rPr>
          <w:b/>
          <w:color w:val="000000"/>
        </w:rPr>
      </w:pPr>
      <w:r w:rsidRPr="00BE451B">
        <w:rPr>
          <w:b/>
          <w:color w:val="000000"/>
        </w:rPr>
        <w:t>III.</w:t>
      </w:r>
    </w:p>
    <w:p w14:paraId="66CDBF03" w14:textId="77777777" w:rsidR="00B05CF3" w:rsidRPr="004C2FEC" w:rsidRDefault="00FD51EB" w:rsidP="00EE3C33">
      <w:pPr>
        <w:pStyle w:val="klasa2"/>
        <w:spacing w:line="276" w:lineRule="auto"/>
        <w:ind w:firstLine="426"/>
        <w:jc w:val="both"/>
        <w:rPr>
          <w:color w:val="000000"/>
        </w:rPr>
      </w:pPr>
      <w:r w:rsidRPr="00FD51EB">
        <w:rPr>
          <w:color w:val="000000"/>
        </w:rPr>
        <w:lastRenderedPageBreak/>
        <w:t>Ova Odluka objavit će se u „Narodnim novinama“.</w:t>
      </w:r>
    </w:p>
    <w:p w14:paraId="66CDBF04" w14:textId="77777777" w:rsidR="00B05CF3" w:rsidRPr="004C2FEC" w:rsidRDefault="00B05CF3" w:rsidP="00EE3C33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</w:p>
    <w:p w14:paraId="66CDBF05" w14:textId="13D201D6" w:rsidR="00B05CF3" w:rsidRDefault="00B05CF3" w:rsidP="00EE3C33">
      <w:pPr>
        <w:spacing w:line="276" w:lineRule="auto"/>
      </w:pPr>
    </w:p>
    <w:p w14:paraId="7A9D3A44" w14:textId="74D617BA" w:rsidR="003557C6" w:rsidRDefault="003557C6" w:rsidP="00EE3C33">
      <w:pPr>
        <w:spacing w:line="276" w:lineRule="auto"/>
      </w:pPr>
    </w:p>
    <w:p w14:paraId="54591DA0" w14:textId="23CA11F5" w:rsidR="003557C6" w:rsidRDefault="003557C6" w:rsidP="00EE3C33">
      <w:pPr>
        <w:spacing w:line="276" w:lineRule="auto"/>
      </w:pPr>
    </w:p>
    <w:p w14:paraId="1A1F9E3A" w14:textId="64670B74" w:rsidR="003557C6" w:rsidRDefault="003557C6" w:rsidP="00EE3C33">
      <w:pPr>
        <w:spacing w:line="276" w:lineRule="auto"/>
      </w:pPr>
    </w:p>
    <w:p w14:paraId="602F5128" w14:textId="203D3FAF" w:rsidR="003557C6" w:rsidRDefault="003557C6" w:rsidP="00EE3C33">
      <w:pPr>
        <w:spacing w:line="276" w:lineRule="auto"/>
      </w:pPr>
    </w:p>
    <w:p w14:paraId="68C0E879" w14:textId="58B5508A" w:rsidR="003557C6" w:rsidRDefault="003557C6" w:rsidP="00EE3C33">
      <w:pPr>
        <w:spacing w:line="276" w:lineRule="auto"/>
      </w:pPr>
    </w:p>
    <w:p w14:paraId="3EDF9BDE" w14:textId="7EFA19A8" w:rsidR="003557C6" w:rsidRDefault="003557C6" w:rsidP="00EE3C33">
      <w:pPr>
        <w:spacing w:line="276" w:lineRule="auto"/>
      </w:pPr>
    </w:p>
    <w:p w14:paraId="5BB73798" w14:textId="79581134" w:rsidR="003557C6" w:rsidRDefault="003557C6" w:rsidP="00EE3C33">
      <w:pPr>
        <w:spacing w:line="276" w:lineRule="auto"/>
      </w:pPr>
    </w:p>
    <w:p w14:paraId="4298ED14" w14:textId="5D4FABC2" w:rsidR="003557C6" w:rsidRDefault="003557C6" w:rsidP="00EE3C33">
      <w:pPr>
        <w:spacing w:line="276" w:lineRule="auto"/>
      </w:pPr>
    </w:p>
    <w:p w14:paraId="547D0C4A" w14:textId="58AE50C7" w:rsidR="003557C6" w:rsidRDefault="003557C6" w:rsidP="00EE3C33">
      <w:pPr>
        <w:spacing w:line="276" w:lineRule="auto"/>
      </w:pPr>
    </w:p>
    <w:p w14:paraId="325DB52A" w14:textId="0841CA30" w:rsidR="003557C6" w:rsidRDefault="003557C6" w:rsidP="00EE3C33">
      <w:pPr>
        <w:spacing w:line="276" w:lineRule="auto"/>
      </w:pPr>
    </w:p>
    <w:p w14:paraId="5EF65034" w14:textId="5203DC09" w:rsidR="003557C6" w:rsidRDefault="003557C6" w:rsidP="00EE3C33">
      <w:pPr>
        <w:spacing w:line="276" w:lineRule="auto"/>
      </w:pPr>
    </w:p>
    <w:p w14:paraId="3DF8650C" w14:textId="338A3695" w:rsidR="003557C6" w:rsidRDefault="003557C6" w:rsidP="00EE3C33">
      <w:pPr>
        <w:spacing w:line="276" w:lineRule="auto"/>
      </w:pPr>
    </w:p>
    <w:p w14:paraId="66CDBF06" w14:textId="77777777" w:rsidR="00B05CF3" w:rsidRPr="004C2FEC" w:rsidRDefault="00B05CF3" w:rsidP="00EE3C33">
      <w:pPr>
        <w:spacing w:line="276" w:lineRule="auto"/>
        <w:jc w:val="center"/>
        <w:rPr>
          <w:b/>
        </w:rPr>
      </w:pPr>
      <w:r w:rsidRPr="004C2FEC">
        <w:rPr>
          <w:b/>
        </w:rPr>
        <w:t>OBRAZLOŽENJE</w:t>
      </w:r>
    </w:p>
    <w:p w14:paraId="66CDBF07" w14:textId="77777777" w:rsidR="00B05CF3" w:rsidRPr="004C2FEC" w:rsidRDefault="00B05CF3" w:rsidP="00EE3C33">
      <w:pPr>
        <w:spacing w:line="276" w:lineRule="auto"/>
        <w:jc w:val="center"/>
        <w:rPr>
          <w:b/>
        </w:rPr>
      </w:pPr>
    </w:p>
    <w:p w14:paraId="66CDBF08" w14:textId="77777777" w:rsidR="00E7588C" w:rsidRDefault="00E7588C" w:rsidP="00EE3C33">
      <w:pPr>
        <w:spacing w:line="276" w:lineRule="auto"/>
        <w:jc w:val="both"/>
      </w:pPr>
      <w:r w:rsidRPr="00E56217">
        <w:t>Ovom Ministarstvu obratilo se trgovačko društvo Plovput d.o.o., ovlaštenik koncesije</w:t>
      </w:r>
      <w:r w:rsidRPr="00E56217">
        <w:rPr>
          <w:bCs/>
        </w:rPr>
        <w:t xml:space="preserve"> pomorskog dobra u svrhu posebne upotrebe luke posebne namjene – industrijske luke Stinice, </w:t>
      </w:r>
      <w:r w:rsidRPr="00E56217">
        <w:t xml:space="preserve"> sa zamolbom za izmjenu Ugovora o koncesiji</w:t>
      </w:r>
      <w:r>
        <w:t xml:space="preserve"> koji se odnosi na rok za </w:t>
      </w:r>
      <w:r>
        <w:rPr>
          <w:rFonts w:ascii="Minion Pro" w:hAnsi="Minion Pro"/>
          <w:color w:val="000000"/>
          <w:shd w:val="clear" w:color="auto" w:fill="FFFFFF"/>
        </w:rPr>
        <w:t>realizaciju investicije</w:t>
      </w:r>
      <w:r w:rsidRPr="00E56217">
        <w:t>.</w:t>
      </w:r>
    </w:p>
    <w:p w14:paraId="66CDBF09" w14:textId="77777777" w:rsidR="00E7588C" w:rsidRDefault="00E7588C" w:rsidP="00EE3C33">
      <w:pPr>
        <w:spacing w:line="276" w:lineRule="auto"/>
        <w:jc w:val="both"/>
      </w:pPr>
    </w:p>
    <w:p w14:paraId="66CDBF0A" w14:textId="77777777" w:rsidR="00E7588C" w:rsidRDefault="00E7588C" w:rsidP="00EE3C33">
      <w:pPr>
        <w:spacing w:line="276" w:lineRule="auto"/>
        <w:jc w:val="both"/>
      </w:pPr>
      <w:r w:rsidRPr="00021C9F">
        <w:t xml:space="preserve">Razlozi za ovakav prijedlog vezani su prvenstveno za nemogućnost </w:t>
      </w:r>
      <w:r>
        <w:t xml:space="preserve">ishođenja </w:t>
      </w:r>
      <w:r w:rsidRPr="00E56217">
        <w:t>lokacijske dozvole za izvršenje planiranih radova iako je ista pravovremeno zatražena od Grada Splita. Naime, stav Upravnog odjela za prostorno planiranje, uređenje i zaštitu okoliša Grada Splita je kako je preduvjet za izdavanje lokacijske dozvole donošenje provedbenog dokumenta prostornog uređenja temeljem natječajnog rada.</w:t>
      </w:r>
    </w:p>
    <w:p w14:paraId="66CDBF0B" w14:textId="77777777" w:rsidR="00E7588C" w:rsidRDefault="00E7588C" w:rsidP="00EE3C33">
      <w:pPr>
        <w:spacing w:line="276" w:lineRule="auto"/>
        <w:jc w:val="both"/>
      </w:pPr>
    </w:p>
    <w:p w14:paraId="66CDBF0C" w14:textId="77777777" w:rsidR="00E7588C" w:rsidRPr="004142FF" w:rsidRDefault="00E7588C" w:rsidP="00EE3C33">
      <w:pPr>
        <w:spacing w:line="276" w:lineRule="auto"/>
        <w:jc w:val="both"/>
      </w:pPr>
      <w:r w:rsidRPr="00E56217">
        <w:t xml:space="preserve">Sukladno </w:t>
      </w:r>
      <w:r w:rsidRPr="00E56217">
        <w:rPr>
          <w:szCs w:val="22"/>
        </w:rPr>
        <w:t>članku 19. Zakona</w:t>
      </w:r>
      <w:r w:rsidRPr="00E56217">
        <w:t xml:space="preserve"> </w:t>
      </w:r>
      <w:r w:rsidRPr="00E56217">
        <w:rPr>
          <w:szCs w:val="22"/>
        </w:rPr>
        <w:t xml:space="preserve">o pomorskom dobru i morskim lukama </w:t>
      </w:r>
      <w:r w:rsidRPr="00E56217">
        <w:t>(„Narodne novine“, br. 158/03, 100/04, 141/06, 38/09, 123/11, 56/16 i 98/19)</w:t>
      </w:r>
      <w:r w:rsidRPr="00E56217">
        <w:rPr>
          <w:szCs w:val="22"/>
        </w:rPr>
        <w:t xml:space="preserve"> pod posebnom upotrebom pomorskog dobra smatra se:</w:t>
      </w:r>
    </w:p>
    <w:p w14:paraId="66CDBF0D" w14:textId="77777777" w:rsidR="00E7588C" w:rsidRPr="00E56217" w:rsidRDefault="00E7588C" w:rsidP="00EE3C33">
      <w:pPr>
        <w:spacing w:line="276" w:lineRule="auto"/>
        <w:ind w:firstLine="708"/>
        <w:jc w:val="both"/>
        <w:rPr>
          <w:szCs w:val="22"/>
        </w:rPr>
      </w:pPr>
      <w:r w:rsidRPr="00E56217">
        <w:rPr>
          <w:szCs w:val="22"/>
        </w:rPr>
        <w:t>1. gradnja na pomorskom dobru građevina za potrebe vjerskih zajednica, za obavljanje djelatnosti na području kulture, socijalne skrbi, odgoja i obrazovanja, znanosti, informiranja, športa, zdravstva, humanitarnih djelatnosti i druge djelatnosti koja se ne obavlja radi stjecanja dobiti,</w:t>
      </w:r>
    </w:p>
    <w:p w14:paraId="66CDBF0E" w14:textId="77777777" w:rsidR="00E7588C" w:rsidRPr="00E56217" w:rsidRDefault="00E7588C" w:rsidP="00EE3C33">
      <w:pPr>
        <w:spacing w:line="276" w:lineRule="auto"/>
        <w:ind w:firstLine="708"/>
        <w:jc w:val="both"/>
      </w:pPr>
      <w:r w:rsidRPr="00E56217">
        <w:rPr>
          <w:szCs w:val="22"/>
        </w:rPr>
        <w:t>2. gradnja na pomorskom dobru građevina i drugih objekata infrastrukture (ceste, pruge, vodovodna, kanalizacijska, energetska, telefonska mreža i sl.), građevine i drugi objekti za potrebe obrane, unutarnjih poslova, regulaciju rijeka i drugih sličnih infrastrukturnih objekata.</w:t>
      </w:r>
    </w:p>
    <w:p w14:paraId="66CDBF0F" w14:textId="77777777" w:rsidR="00E7588C" w:rsidRPr="00E56217" w:rsidRDefault="00E7588C" w:rsidP="00EE3C33">
      <w:pPr>
        <w:spacing w:line="276" w:lineRule="auto"/>
        <w:jc w:val="both"/>
      </w:pPr>
    </w:p>
    <w:p w14:paraId="66CDBF10" w14:textId="77777777" w:rsidR="00E7588C" w:rsidRPr="00E56217" w:rsidRDefault="00E7588C" w:rsidP="00EE3C33">
      <w:pPr>
        <w:spacing w:line="276" w:lineRule="auto"/>
        <w:jc w:val="both"/>
      </w:pPr>
      <w:r w:rsidRPr="00E56217">
        <w:t>Odluku o koncesiji za posebnu upotrebu za objekte državnog značaja donosi Vlada Republike Hrvatske, a ista je ovlaštena u slučajevima ako nastupi viša sila izmijeniti uvjete iz odluke i ugovora o koncesiji.</w:t>
      </w:r>
    </w:p>
    <w:p w14:paraId="66CDBF11" w14:textId="77777777" w:rsidR="009A2D30" w:rsidRDefault="009A2D30" w:rsidP="00EE3C33">
      <w:pPr>
        <w:spacing w:line="276" w:lineRule="auto"/>
        <w:jc w:val="both"/>
      </w:pPr>
    </w:p>
    <w:p w14:paraId="66CDBF12" w14:textId="50EFEB18" w:rsidR="008160B3" w:rsidRDefault="008160B3" w:rsidP="00EE3C33">
      <w:pPr>
        <w:spacing w:line="276" w:lineRule="auto"/>
        <w:jc w:val="both"/>
        <w:rPr>
          <w:color w:val="231F20"/>
        </w:rPr>
      </w:pPr>
      <w:r>
        <w:t>Predmetna koncesija dodijeljena je na temelju Odluke Vlade Republike Hrvatske o koncesiji pomorskog dobra u svrhu posebne upotrebe luke posebne namjene - industrijske luke Stinice („Narodne novine“, broj: 132/2014)</w:t>
      </w:r>
      <w:r w:rsidR="007E4D29">
        <w:t xml:space="preserve"> </w:t>
      </w:r>
      <w:r w:rsidR="00F22D90">
        <w:t xml:space="preserve">od </w:t>
      </w:r>
      <w:r w:rsidR="007E4D29">
        <w:t xml:space="preserve"> 6. studenoga 2014. godine</w:t>
      </w:r>
      <w:r>
        <w:t xml:space="preserve"> trgovačkom društvu Plovput d.o.o., a Ugov</w:t>
      </w:r>
      <w:r w:rsidR="00F22D90">
        <w:t xml:space="preserve">or o koncesiji je sklopljen </w:t>
      </w:r>
      <w:r>
        <w:t xml:space="preserve"> 16. prosinca 2014. godine. </w:t>
      </w:r>
      <w:r w:rsidRPr="00B837AE">
        <w:rPr>
          <w:color w:val="231F20"/>
        </w:rPr>
        <w:t>Površina pomorskog dobra koj</w:t>
      </w:r>
      <w:r>
        <w:rPr>
          <w:color w:val="231F20"/>
        </w:rPr>
        <w:t>a</w:t>
      </w:r>
      <w:r w:rsidRPr="00B837AE">
        <w:rPr>
          <w:color w:val="231F20"/>
        </w:rPr>
        <w:t xml:space="preserve"> </w:t>
      </w:r>
      <w:r>
        <w:rPr>
          <w:color w:val="231F20"/>
        </w:rPr>
        <w:t>je dana</w:t>
      </w:r>
      <w:r w:rsidRPr="00B837AE">
        <w:rPr>
          <w:color w:val="231F20"/>
        </w:rPr>
        <w:t xml:space="preserve"> u koncesiju ukupno iznosi </w:t>
      </w:r>
      <w:r>
        <w:rPr>
          <w:color w:val="231F20"/>
        </w:rPr>
        <w:t>20</w:t>
      </w:r>
      <w:r w:rsidR="00B2665E">
        <w:rPr>
          <w:color w:val="231F20"/>
        </w:rPr>
        <w:t xml:space="preserve"> </w:t>
      </w:r>
      <w:r>
        <w:rPr>
          <w:color w:val="231F20"/>
        </w:rPr>
        <w:t>282</w:t>
      </w:r>
      <w:r w:rsidRPr="00B837AE">
        <w:rPr>
          <w:color w:val="231F20"/>
        </w:rPr>
        <w:t xml:space="preserve"> m², a koncesija </w:t>
      </w:r>
      <w:r>
        <w:rPr>
          <w:color w:val="231F20"/>
        </w:rPr>
        <w:t>je dana</w:t>
      </w:r>
      <w:r w:rsidRPr="00B837AE">
        <w:rPr>
          <w:color w:val="231F20"/>
        </w:rPr>
        <w:t xml:space="preserve"> na vremensko razdoblje od </w:t>
      </w:r>
      <w:r>
        <w:rPr>
          <w:color w:val="231F20"/>
        </w:rPr>
        <w:t>20</w:t>
      </w:r>
      <w:r w:rsidRPr="00B837AE">
        <w:rPr>
          <w:color w:val="231F20"/>
        </w:rPr>
        <w:t xml:space="preserve"> godina</w:t>
      </w:r>
      <w:r>
        <w:rPr>
          <w:color w:val="231F20"/>
        </w:rPr>
        <w:t>.</w:t>
      </w:r>
      <w:r w:rsidR="001D4EF9">
        <w:rPr>
          <w:color w:val="231F20"/>
        </w:rPr>
        <w:t xml:space="preserve"> </w:t>
      </w:r>
      <w:r w:rsidR="001D4EF9">
        <w:t>Odlukom o koncesiji trgovačko društvo Plovput d</w:t>
      </w:r>
      <w:r w:rsidR="00B2665E">
        <w:t>.</w:t>
      </w:r>
      <w:r w:rsidR="001D4EF9">
        <w:t xml:space="preserve">o.o. </w:t>
      </w:r>
      <w:r w:rsidR="007E4D29">
        <w:t>bilo je obvez</w:t>
      </w:r>
      <w:r w:rsidR="00B2665E">
        <w:t>a</w:t>
      </w:r>
      <w:r w:rsidR="007E4D29">
        <w:t>no</w:t>
      </w:r>
      <w:r w:rsidR="001D4EF9">
        <w:t xml:space="preserve"> u roku od č</w:t>
      </w:r>
      <w:r w:rsidR="007E4D29">
        <w:t>etiri godine od dana sklapanja U</w:t>
      </w:r>
      <w:r w:rsidR="001D4EF9">
        <w:t>govora</w:t>
      </w:r>
      <w:r w:rsidR="007E4D29">
        <w:t xml:space="preserve"> o</w:t>
      </w:r>
      <w:r w:rsidR="001D4EF9">
        <w:t xml:space="preserve"> koncesiji izvršiti ulaganja u iznosu od 6.604.575,00 kuna sukladno projektu Idejnog rješenja uređenja zapadnog platoa Baze u Stinicama.</w:t>
      </w:r>
    </w:p>
    <w:p w14:paraId="66CDBF13" w14:textId="77777777" w:rsidR="001D4EF9" w:rsidRDefault="001D4EF9" w:rsidP="00EE3C33">
      <w:pPr>
        <w:spacing w:line="276" w:lineRule="auto"/>
        <w:jc w:val="both"/>
      </w:pPr>
    </w:p>
    <w:p w14:paraId="66CDBF14" w14:textId="59EBE204" w:rsidR="008160B3" w:rsidRDefault="007E4D29" w:rsidP="00EE3C33">
      <w:pPr>
        <w:spacing w:line="276" w:lineRule="auto"/>
        <w:jc w:val="both"/>
      </w:pPr>
      <w:r w:rsidRPr="007E4D29">
        <w:t>Odluk</w:t>
      </w:r>
      <w:r>
        <w:t xml:space="preserve">om </w:t>
      </w:r>
      <w:r w:rsidRPr="007E4D29">
        <w:t xml:space="preserve">Vlade Republike Hrvatske o izmjeni Odluke o koncesiji pomorskog dobra u svrhu posebne upotrebe luke posebne namjene – industrijske luke Stinice („Narodne novine“, broj: </w:t>
      </w:r>
      <w:r>
        <w:t>53</w:t>
      </w:r>
      <w:r w:rsidRPr="007E4D29">
        <w:t>/201</w:t>
      </w:r>
      <w:r>
        <w:t>8</w:t>
      </w:r>
      <w:r w:rsidRPr="007E4D29">
        <w:t>)</w:t>
      </w:r>
      <w:r w:rsidR="00F22D90">
        <w:t xml:space="preserve"> od</w:t>
      </w:r>
      <w:r>
        <w:t xml:space="preserve"> 7. lipnja 2018. godine rok za realizaciju investicije produžen je sa četiri na osam godina, a dodatak broj 1 Ugovor</w:t>
      </w:r>
      <w:r w:rsidR="00F22D90">
        <w:t xml:space="preserve">u o koncesiji je sklopljen </w:t>
      </w:r>
      <w:r>
        <w:t xml:space="preserve">5. srpnja 2018. godine. </w:t>
      </w:r>
    </w:p>
    <w:p w14:paraId="66CDBF15" w14:textId="77777777" w:rsidR="008160B3" w:rsidRDefault="008160B3" w:rsidP="00EE3C33">
      <w:pPr>
        <w:spacing w:line="276" w:lineRule="auto"/>
        <w:jc w:val="both"/>
      </w:pPr>
    </w:p>
    <w:p w14:paraId="66CDBF16" w14:textId="77777777" w:rsidR="00C66D61" w:rsidRDefault="00E12A6D" w:rsidP="00EE3C33">
      <w:pPr>
        <w:spacing w:line="276" w:lineRule="auto"/>
        <w:jc w:val="both"/>
      </w:pPr>
      <w:r>
        <w:t>Predmetnim Prijedlogom odluke mijenja se Odluka</w:t>
      </w:r>
      <w:r w:rsidRPr="00E12A6D">
        <w:t xml:space="preserve"> o koncesiji pomorskog dobra u svrhu posebne upotrebe luke posebne namjene – industrijske luke Stinice („Narodn</w:t>
      </w:r>
      <w:r>
        <w:t>e novine“, br. 132/14 i 53/18) na način da</w:t>
      </w:r>
      <w:r w:rsidR="002F6A24">
        <w:t xml:space="preserve"> se </w:t>
      </w:r>
      <w:r w:rsidR="00C66D61">
        <w:t xml:space="preserve">ovlašteniku koncesije, </w:t>
      </w:r>
      <w:r w:rsidR="002F6A24">
        <w:t>trgovačk</w:t>
      </w:r>
      <w:r w:rsidR="00C66D61">
        <w:t>om</w:t>
      </w:r>
      <w:r w:rsidR="002F6A24">
        <w:t xml:space="preserve"> društv</w:t>
      </w:r>
      <w:r w:rsidR="00C66D61">
        <w:t xml:space="preserve">u Plovput d.o.o., produžuje rok za realizaciju investicije u iznosu od </w:t>
      </w:r>
      <w:r w:rsidR="00C66D61" w:rsidRPr="00E12A6D">
        <w:t>6.604.575,00 kuna</w:t>
      </w:r>
      <w:r w:rsidR="00C66D61">
        <w:t xml:space="preserve"> za </w:t>
      </w:r>
      <w:r w:rsidR="00C51F66">
        <w:t>četiri</w:t>
      </w:r>
      <w:r w:rsidR="00C66D61">
        <w:t xml:space="preserve"> godine, odnosno sa osam godina na </w:t>
      </w:r>
      <w:r w:rsidR="00C51F66">
        <w:t>dvanaest</w:t>
      </w:r>
      <w:r w:rsidR="00C66D61">
        <w:t xml:space="preserve"> godina </w:t>
      </w:r>
      <w:r w:rsidR="00C66D61" w:rsidRPr="00C66D61">
        <w:t>računajući od dana sklapanja ugovora</w:t>
      </w:r>
      <w:r w:rsidR="00C66D61">
        <w:t xml:space="preserve"> o koncesiji.</w:t>
      </w:r>
    </w:p>
    <w:p w14:paraId="66CDBF17" w14:textId="77777777" w:rsidR="00C66D61" w:rsidRDefault="00C66D61" w:rsidP="00EE3C33">
      <w:pPr>
        <w:spacing w:line="276" w:lineRule="auto"/>
        <w:jc w:val="both"/>
      </w:pPr>
    </w:p>
    <w:p w14:paraId="66CDBF18" w14:textId="564685EA" w:rsidR="00C66D61" w:rsidRDefault="00C66D61" w:rsidP="00EE3C33">
      <w:pPr>
        <w:spacing w:line="276" w:lineRule="auto"/>
        <w:jc w:val="both"/>
      </w:pPr>
      <w:r>
        <w:t>Ugov</w:t>
      </w:r>
      <w:r w:rsidR="00F22D90">
        <w:t>or o koncesiji zaključen je</w:t>
      </w:r>
      <w:r>
        <w:t xml:space="preserve"> 16. prosinca 201</w:t>
      </w:r>
      <w:r w:rsidR="00E7588C">
        <w:t>4. godine, stoga rok za ulaganje u koncesionirano pomorsko dobro</w:t>
      </w:r>
      <w:r>
        <w:t xml:space="preserve"> ističe 16. prosinca 2022. godine. Donošenjem predmetne Odluke i zaključivanjem dodatka</w:t>
      </w:r>
      <w:r w:rsidR="00E7588C">
        <w:t xml:space="preserve"> </w:t>
      </w:r>
      <w:r>
        <w:t xml:space="preserve">Ugovoru o koncesiji rok za ulaganja </w:t>
      </w:r>
      <w:r w:rsidR="00F22D90">
        <w:t xml:space="preserve">produžio bi se zaključno do </w:t>
      </w:r>
      <w:r>
        <w:t xml:space="preserve"> 16. prosinca 202</w:t>
      </w:r>
      <w:r w:rsidR="00E45F94">
        <w:t>6</w:t>
      </w:r>
      <w:r>
        <w:t>.</w:t>
      </w:r>
      <w:r w:rsidR="00E7588C">
        <w:t xml:space="preserve"> </w:t>
      </w:r>
      <w:r>
        <w:t>godine.</w:t>
      </w:r>
    </w:p>
    <w:p w14:paraId="66CDBF19" w14:textId="77777777" w:rsidR="00C66D61" w:rsidRDefault="00C66D61" w:rsidP="00EE3C33">
      <w:pPr>
        <w:spacing w:line="276" w:lineRule="auto"/>
        <w:jc w:val="both"/>
      </w:pPr>
    </w:p>
    <w:p w14:paraId="66CDBF1A" w14:textId="77777777" w:rsidR="00E7588C" w:rsidRDefault="00E7588C" w:rsidP="00EE3C33">
      <w:pPr>
        <w:spacing w:line="276" w:lineRule="auto"/>
        <w:jc w:val="both"/>
      </w:pPr>
      <w:r w:rsidRPr="00E56217">
        <w:t xml:space="preserve">Člankom 62. stavkom 1. Zakona o koncesijama („Narodne novine“, br. 69/17 i 107/20) popisano je kako se ugovor o koncesiji može izmijeniti bez pokretanja novog postupka davanja koncesije u drugim slučajevima određenim posebnim zakonom, a Zakon o pomorskom dobru i morskim lukama predstavlja posebni zakon, odnosno lex specialis za koncesije na pomorskom dobru. </w:t>
      </w:r>
    </w:p>
    <w:p w14:paraId="66CDBF1B" w14:textId="77777777" w:rsidR="00E7588C" w:rsidRDefault="00E7588C" w:rsidP="00EE3C33">
      <w:pPr>
        <w:spacing w:line="276" w:lineRule="auto"/>
        <w:jc w:val="both"/>
      </w:pPr>
    </w:p>
    <w:p w14:paraId="66CDBF1C" w14:textId="77777777" w:rsidR="005E55A6" w:rsidRDefault="005E55A6" w:rsidP="00EE3C33">
      <w:pPr>
        <w:spacing w:line="276" w:lineRule="auto"/>
        <w:jc w:val="both"/>
      </w:pPr>
      <w:r>
        <w:lastRenderedPageBreak/>
        <w:t xml:space="preserve">Ovakve izmjene Odluke, a posljedično i Ugovora ne </w:t>
      </w:r>
      <w:r w:rsidR="00B2665E">
        <w:t>predstavljaju bitne izmjene</w:t>
      </w:r>
      <w:r>
        <w:t xml:space="preserve"> u smislu </w:t>
      </w:r>
      <w:r w:rsidRPr="00E56217">
        <w:t>član</w:t>
      </w:r>
      <w:r>
        <w:t>aka</w:t>
      </w:r>
      <w:r w:rsidRPr="00E56217">
        <w:t xml:space="preserve"> 62. i 63. Zakona o koncesijama</w:t>
      </w:r>
      <w:r w:rsidRPr="005E55A6">
        <w:t xml:space="preserve"> </w:t>
      </w:r>
      <w:r>
        <w:t xml:space="preserve">budući da se </w:t>
      </w:r>
      <w:r w:rsidRPr="009668BC">
        <w:t>samo produžuje rok za realizaciju investicije</w:t>
      </w:r>
      <w:r>
        <w:t xml:space="preserve"> te </w:t>
      </w:r>
      <w:r w:rsidRPr="004142FF">
        <w:t>koncesija ne postaje bitno različita po svojoj naravi od one prvotno zaključen</w:t>
      </w:r>
      <w:r>
        <w:t>e.</w:t>
      </w:r>
    </w:p>
    <w:p w14:paraId="66CDBF1D" w14:textId="77777777" w:rsidR="005E55A6" w:rsidRDefault="005E55A6" w:rsidP="00EE3C33">
      <w:pPr>
        <w:spacing w:line="276" w:lineRule="auto"/>
        <w:jc w:val="both"/>
      </w:pPr>
    </w:p>
    <w:p w14:paraId="66CDBF1E" w14:textId="77777777" w:rsidR="00E7588C" w:rsidRPr="009668BC" w:rsidRDefault="00E7588C" w:rsidP="00EE3C33">
      <w:pPr>
        <w:spacing w:line="276" w:lineRule="auto"/>
        <w:jc w:val="both"/>
      </w:pPr>
      <w:r w:rsidRPr="009668BC">
        <w:t xml:space="preserve">Također, neovisno o činjenici da je rok za </w:t>
      </w:r>
      <w:r w:rsidR="00096AB8" w:rsidRPr="009668BC">
        <w:t xml:space="preserve">realizaciju investicije </w:t>
      </w:r>
      <w:r w:rsidRPr="009668BC">
        <w:t>već</w:t>
      </w:r>
      <w:r w:rsidR="00042F22">
        <w:t xml:space="preserve"> jednom</w:t>
      </w:r>
      <w:r w:rsidRPr="009668BC">
        <w:t xml:space="preserve"> produžen, nesporno je kako je kašnjenje isključiva posljedica više sile</w:t>
      </w:r>
      <w:r w:rsidR="00B2665E">
        <w:t>,</w:t>
      </w:r>
      <w:r w:rsidRPr="009668BC">
        <w:t xml:space="preserve"> stoga se kašnjenje ne može staviti na teret ovlaštenika koncesije.</w:t>
      </w:r>
    </w:p>
    <w:p w14:paraId="66CDBF1F" w14:textId="77777777" w:rsidR="00E7588C" w:rsidRDefault="00E7588C" w:rsidP="00EE3C33">
      <w:pPr>
        <w:spacing w:line="276" w:lineRule="auto"/>
        <w:jc w:val="both"/>
      </w:pPr>
    </w:p>
    <w:p w14:paraId="66CDBF20" w14:textId="77777777" w:rsidR="00B05CF3" w:rsidRPr="004C2FEC" w:rsidRDefault="00B05CF3" w:rsidP="00EE3C33">
      <w:pPr>
        <w:spacing w:line="276" w:lineRule="auto"/>
        <w:jc w:val="both"/>
      </w:pPr>
      <w:r w:rsidRPr="004C2FEC">
        <w:t xml:space="preserve">Poduzeće Plovput p.o., Split osnovano je Uredbom o osnivanju Poduzeća „Plovput", Split („Narodne novine", </w:t>
      </w:r>
      <w:r w:rsidR="00B048FA" w:rsidRPr="004C2FEC">
        <w:t xml:space="preserve">broj: </w:t>
      </w:r>
      <w:r w:rsidRPr="004C2FEC">
        <w:t>3/</w:t>
      </w:r>
      <w:r w:rsidR="00B048FA">
        <w:t>19</w:t>
      </w:r>
      <w:r w:rsidRPr="004C2FEC">
        <w:t>92) i preoblikovano u trgovačko društvo Plovput d.o.o.</w:t>
      </w:r>
      <w:r w:rsidR="00B2665E">
        <w:t xml:space="preserve"> na temelju </w:t>
      </w:r>
      <w:r w:rsidRPr="004C2FEC">
        <w:t xml:space="preserve"> Zakon</w:t>
      </w:r>
      <w:r w:rsidR="00B2665E">
        <w:t>a</w:t>
      </w:r>
      <w:r w:rsidRPr="004C2FEC">
        <w:t xml:space="preserve"> o Plovputu, Split („Narodne novine“, broj: 73/1997). Društvo je u cijelosti u vlasništvu Republike Hrvatske.</w:t>
      </w:r>
    </w:p>
    <w:p w14:paraId="66CDBF21" w14:textId="77777777" w:rsidR="00B05CF3" w:rsidRPr="004C2FEC" w:rsidRDefault="00B05CF3" w:rsidP="00EE3C33">
      <w:pPr>
        <w:spacing w:line="276" w:lineRule="auto"/>
        <w:jc w:val="both"/>
      </w:pPr>
    </w:p>
    <w:p w14:paraId="66CDBF22" w14:textId="77777777" w:rsidR="00382A1C" w:rsidRDefault="00382A1C" w:rsidP="00EE3C33">
      <w:pPr>
        <w:spacing w:line="276" w:lineRule="auto"/>
        <w:jc w:val="both"/>
      </w:pPr>
      <w:r>
        <w:t>T</w:t>
      </w:r>
      <w:r w:rsidRPr="00382A1C">
        <w:t>rgovačko društvo Plovput d.o.o.</w:t>
      </w:r>
      <w:r>
        <w:t xml:space="preserve"> </w:t>
      </w:r>
      <w:r w:rsidR="00FF644B">
        <w:t xml:space="preserve">je specijalizirano za </w:t>
      </w:r>
      <w:r w:rsidR="00B05CF3" w:rsidRPr="004C2FEC">
        <w:t>održavanje i uređenje plovnih putova u unutarnjim morskim vodama i teritorijalnom moru Republike Hrvatske, postavljanje objekata sigurnosti plovidbe na plovnim putovima u unutarnjim morskim vodama i teritorijalnom moru Republike Hrvatske i osiguravanje njihovoga pravilnog rada, obavljanje poslova radijske-službe na pomorskim plovnim putovima Republike Hrvatske i obavljanje istraživanja i projektiranja radi obavljanja istih poslova.</w:t>
      </w:r>
      <w:r w:rsidR="00FF644B">
        <w:t xml:space="preserve"> Također, isto na profesionalan način </w:t>
      </w:r>
      <w:r w:rsidRPr="00EB2E43">
        <w:t>osigu</w:t>
      </w:r>
      <w:r w:rsidRPr="00EB2E43">
        <w:rPr>
          <w:rFonts w:eastAsia="Garamond"/>
        </w:rPr>
        <w:t>ra</w:t>
      </w:r>
      <w:r>
        <w:rPr>
          <w:rFonts w:eastAsia="Garamond"/>
        </w:rPr>
        <w:t>va</w:t>
      </w:r>
      <w:r w:rsidRPr="00EB2E43">
        <w:rPr>
          <w:rFonts w:eastAsia="Garamond"/>
        </w:rPr>
        <w:t xml:space="preserve"> kvalitet</w:t>
      </w:r>
      <w:r>
        <w:rPr>
          <w:rFonts w:eastAsia="Garamond"/>
        </w:rPr>
        <w:t>no upravljanje</w:t>
      </w:r>
      <w:r w:rsidRPr="00EB2E43">
        <w:rPr>
          <w:rFonts w:eastAsia="Garamond"/>
        </w:rPr>
        <w:t xml:space="preserve"> </w:t>
      </w:r>
      <w:r>
        <w:rPr>
          <w:rFonts w:eastAsia="Garamond"/>
        </w:rPr>
        <w:t xml:space="preserve">objektima sigurnosti plovidbe, a posebice </w:t>
      </w:r>
      <w:r w:rsidRPr="00EB2E43">
        <w:rPr>
          <w:rFonts w:eastAsia="Garamond"/>
        </w:rPr>
        <w:t>svjetionicima obzirom na njihov značaj za sigurnost plovidbe, ali i njihove tradicijske i kulturološke vrijednosti.</w:t>
      </w:r>
    </w:p>
    <w:p w14:paraId="66CDBF23" w14:textId="77777777" w:rsidR="00382A1C" w:rsidRDefault="00382A1C" w:rsidP="00EE3C33">
      <w:pPr>
        <w:spacing w:line="276" w:lineRule="auto"/>
        <w:jc w:val="both"/>
      </w:pPr>
    </w:p>
    <w:p w14:paraId="66CDBF24" w14:textId="77777777" w:rsidR="00B05CF3" w:rsidRDefault="00B048FA" w:rsidP="00EE3C33">
      <w:pPr>
        <w:spacing w:line="276" w:lineRule="auto"/>
        <w:jc w:val="both"/>
      </w:pPr>
      <w:r w:rsidRPr="00B048FA">
        <w:t xml:space="preserve">Budući da trgovačko društvo Plovput d.o.o. obavlja djelatnosti od interesa za Republiku Hrvatsku, </w:t>
      </w:r>
      <w:r w:rsidR="00B2665E">
        <w:t>kojem je</w:t>
      </w:r>
      <w:r w:rsidRPr="00B048FA">
        <w:t xml:space="preserve"> luka posebne namjene – industrijska luka Stinice neophodna za obavljanje istih,</w:t>
      </w:r>
      <w:r>
        <w:t xml:space="preserve"> </w:t>
      </w:r>
      <w:r w:rsidR="00B05CF3" w:rsidRPr="004C2FEC">
        <w:t xml:space="preserve">ovo Ministarstvo zahtjev ovlaštenika koncesije smatra opravdanim, budući da do </w:t>
      </w:r>
      <w:r w:rsidR="000C5503">
        <w:t xml:space="preserve">nemogućnosti ishođenja lokacijske dozvole, a slijedom toga i </w:t>
      </w:r>
      <w:r w:rsidR="00EA42E8">
        <w:t xml:space="preserve">nemogućnosti </w:t>
      </w:r>
      <w:r>
        <w:t xml:space="preserve">realizacije </w:t>
      </w:r>
      <w:r w:rsidR="00EA42E8">
        <w:t>ulaganja</w:t>
      </w:r>
      <w:r w:rsidR="000018D3">
        <w:t xml:space="preserve"> </w:t>
      </w:r>
      <w:r>
        <w:t xml:space="preserve">dolazi iz </w:t>
      </w:r>
      <w:r w:rsidR="00B05CF3" w:rsidRPr="004C2FEC">
        <w:t>objektivnih razloga i bez krivnje ovlaštenika koncesije</w:t>
      </w:r>
      <w:r w:rsidR="000B7181">
        <w:t>. Kako će po ishođenju lokacijske dozvole biti potrebno ishoditi i građevinsku dozvolu i izvesti radove, predloženo vrijeme produženja roka za ulaganja nije neopravdano.</w:t>
      </w:r>
    </w:p>
    <w:p w14:paraId="66CDBF25" w14:textId="77777777" w:rsidR="00EE3C33" w:rsidRDefault="00EE3C33" w:rsidP="00EE3C33">
      <w:pPr>
        <w:spacing w:line="276" w:lineRule="auto"/>
        <w:jc w:val="both"/>
      </w:pPr>
    </w:p>
    <w:p w14:paraId="66CDBF26" w14:textId="77777777" w:rsidR="00EE3C33" w:rsidRDefault="00EE3C33" w:rsidP="00EE3C33">
      <w:pPr>
        <w:spacing w:line="276" w:lineRule="auto"/>
        <w:jc w:val="both"/>
      </w:pPr>
    </w:p>
    <w:p w14:paraId="66CDBF27" w14:textId="77777777" w:rsidR="00EE3C33" w:rsidRPr="00EE3C33" w:rsidRDefault="00EE3C33" w:rsidP="00F22D90">
      <w:pPr>
        <w:spacing w:line="276" w:lineRule="auto"/>
        <w:rPr>
          <w:b/>
        </w:rPr>
      </w:pPr>
      <w:bookmarkStart w:id="0" w:name="_GoBack"/>
      <w:r w:rsidRPr="00EE3C33">
        <w:rPr>
          <w:b/>
        </w:rPr>
        <w:t>UPUTA O PRAVNOM LIJEKU</w:t>
      </w:r>
    </w:p>
    <w:bookmarkEnd w:id="0"/>
    <w:p w14:paraId="66CDBF28" w14:textId="77777777" w:rsidR="00EE3C33" w:rsidRPr="00EE3C33" w:rsidRDefault="00EE3C33" w:rsidP="00EE3C33">
      <w:pPr>
        <w:spacing w:line="276" w:lineRule="auto"/>
      </w:pPr>
    </w:p>
    <w:p w14:paraId="66CDBF29" w14:textId="77777777" w:rsidR="00EE3C33" w:rsidRDefault="00EE3C33" w:rsidP="00EE3C33">
      <w:pPr>
        <w:spacing w:line="276" w:lineRule="auto"/>
        <w:jc w:val="both"/>
      </w:pPr>
      <w:r w:rsidRPr="00EE3C33">
        <w:t>Protiv ove Odluke žalba nije dopuštena, ali se može pokrenuti upravni spor podnošenjem tužbe Upravnom sudu u Zagrebu, u roku od 30 dana od dana primitka ove Odluke.</w:t>
      </w:r>
    </w:p>
    <w:p w14:paraId="66CDBF2A" w14:textId="77777777" w:rsidR="00EE3C33" w:rsidRDefault="00EE3C33" w:rsidP="00EE3C33">
      <w:pPr>
        <w:spacing w:line="276" w:lineRule="auto"/>
        <w:jc w:val="both"/>
      </w:pPr>
    </w:p>
    <w:p w14:paraId="66CDBF2B" w14:textId="77777777" w:rsidR="00EE3C33" w:rsidRDefault="00EE3C33" w:rsidP="00EE3C33">
      <w:pPr>
        <w:spacing w:line="276" w:lineRule="auto"/>
        <w:jc w:val="both"/>
      </w:pPr>
    </w:p>
    <w:p w14:paraId="66CDBF2C" w14:textId="77777777" w:rsidR="00EE3C33" w:rsidRDefault="00EE3C33" w:rsidP="00EE3C33">
      <w:pPr>
        <w:spacing w:line="276" w:lineRule="auto"/>
        <w:jc w:val="both"/>
      </w:pPr>
    </w:p>
    <w:p w14:paraId="66CDBF2D" w14:textId="77777777" w:rsidR="00EE3C33" w:rsidRPr="004C2FEC" w:rsidRDefault="00EE3C33" w:rsidP="00EE3C33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Klasa: </w:t>
      </w:r>
    </w:p>
    <w:p w14:paraId="66CDBF2E" w14:textId="77777777" w:rsidR="00EE3C33" w:rsidRPr="004C2FEC" w:rsidRDefault="00EE3C33" w:rsidP="00EE3C33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Urbroj: </w:t>
      </w:r>
    </w:p>
    <w:p w14:paraId="66CDBF2F" w14:textId="77777777" w:rsidR="00EE3C33" w:rsidRPr="004C2FEC" w:rsidRDefault="00EE3C33" w:rsidP="00EE3C33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Zagreb, </w:t>
      </w:r>
    </w:p>
    <w:p w14:paraId="66CDBF30" w14:textId="77777777" w:rsidR="00EE3C33" w:rsidRPr="004C2FEC" w:rsidRDefault="00EE3C33" w:rsidP="00EE3C33">
      <w:pPr>
        <w:pStyle w:val="t-9-8-potpis"/>
        <w:spacing w:before="0" w:beforeAutospacing="0" w:after="0" w:afterAutospacing="0" w:line="276" w:lineRule="auto"/>
        <w:ind w:left="5167"/>
        <w:jc w:val="center"/>
        <w:rPr>
          <w:color w:val="000000"/>
        </w:rPr>
      </w:pPr>
      <w:r w:rsidRPr="004C2FEC">
        <w:rPr>
          <w:b/>
          <w:color w:val="000000"/>
        </w:rPr>
        <w:t>Predsjednik</w:t>
      </w:r>
      <w:r w:rsidRPr="004C2FEC">
        <w:rPr>
          <w:color w:val="000000"/>
        </w:rPr>
        <w:br/>
      </w:r>
      <w:r w:rsidRPr="004C2FEC">
        <w:rPr>
          <w:color w:val="000000"/>
        </w:rPr>
        <w:br/>
      </w:r>
      <w:r w:rsidRPr="004C2FEC">
        <w:rPr>
          <w:rStyle w:val="bold"/>
          <w:b/>
          <w:bCs/>
          <w:color w:val="000000"/>
        </w:rPr>
        <w:t>mr. sc. Andrej Plenković</w:t>
      </w:r>
    </w:p>
    <w:sectPr w:rsidR="00EE3C33" w:rsidRPr="004C2FEC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BF35" w14:textId="77777777" w:rsidR="00D87BF3" w:rsidRDefault="00D87BF3" w:rsidP="0011560A">
      <w:r>
        <w:separator/>
      </w:r>
    </w:p>
  </w:endnote>
  <w:endnote w:type="continuationSeparator" w:id="0">
    <w:p w14:paraId="66CDBF36" w14:textId="77777777" w:rsidR="00D87BF3" w:rsidRDefault="00D87BF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DBF33" w14:textId="77777777" w:rsidR="00D87BF3" w:rsidRDefault="00D87BF3" w:rsidP="0011560A">
      <w:r>
        <w:separator/>
      </w:r>
    </w:p>
  </w:footnote>
  <w:footnote w:type="continuationSeparator" w:id="0">
    <w:p w14:paraId="66CDBF34" w14:textId="77777777" w:rsidR="00D87BF3" w:rsidRDefault="00D87BF3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D3"/>
    <w:rsid w:val="000350D9"/>
    <w:rsid w:val="00035781"/>
    <w:rsid w:val="00042F22"/>
    <w:rsid w:val="000564CE"/>
    <w:rsid w:val="00057310"/>
    <w:rsid w:val="00057A2A"/>
    <w:rsid w:val="00057D7E"/>
    <w:rsid w:val="00060DDC"/>
    <w:rsid w:val="00063520"/>
    <w:rsid w:val="00066B36"/>
    <w:rsid w:val="00086A6C"/>
    <w:rsid w:val="0009349B"/>
    <w:rsid w:val="000959D5"/>
    <w:rsid w:val="00096AB8"/>
    <w:rsid w:val="00096DC7"/>
    <w:rsid w:val="000A1D60"/>
    <w:rsid w:val="000A3A3B"/>
    <w:rsid w:val="000A566C"/>
    <w:rsid w:val="000B7181"/>
    <w:rsid w:val="000C5503"/>
    <w:rsid w:val="000D1A50"/>
    <w:rsid w:val="000E4521"/>
    <w:rsid w:val="00100E07"/>
    <w:rsid w:val="001015C6"/>
    <w:rsid w:val="00110E6C"/>
    <w:rsid w:val="0011560A"/>
    <w:rsid w:val="0012264D"/>
    <w:rsid w:val="00124D51"/>
    <w:rsid w:val="00135F1A"/>
    <w:rsid w:val="00146B79"/>
    <w:rsid w:val="00147DE9"/>
    <w:rsid w:val="00170226"/>
    <w:rsid w:val="001741AA"/>
    <w:rsid w:val="00182128"/>
    <w:rsid w:val="001917B2"/>
    <w:rsid w:val="001A13E7"/>
    <w:rsid w:val="001A707D"/>
    <w:rsid w:val="001B7A97"/>
    <w:rsid w:val="001C4933"/>
    <w:rsid w:val="001D4EF9"/>
    <w:rsid w:val="001E7218"/>
    <w:rsid w:val="00211CFF"/>
    <w:rsid w:val="002179F8"/>
    <w:rsid w:val="00220956"/>
    <w:rsid w:val="0023763F"/>
    <w:rsid w:val="0026154F"/>
    <w:rsid w:val="002748CF"/>
    <w:rsid w:val="0028608D"/>
    <w:rsid w:val="00290B48"/>
    <w:rsid w:val="0029163B"/>
    <w:rsid w:val="00296662"/>
    <w:rsid w:val="002A1D77"/>
    <w:rsid w:val="002B107A"/>
    <w:rsid w:val="002C5B5D"/>
    <w:rsid w:val="002D1256"/>
    <w:rsid w:val="002D6C51"/>
    <w:rsid w:val="002D7C91"/>
    <w:rsid w:val="002F50CB"/>
    <w:rsid w:val="002F6A24"/>
    <w:rsid w:val="00302645"/>
    <w:rsid w:val="003033E4"/>
    <w:rsid w:val="00304232"/>
    <w:rsid w:val="00312BED"/>
    <w:rsid w:val="0032204D"/>
    <w:rsid w:val="00323C77"/>
    <w:rsid w:val="00325F4D"/>
    <w:rsid w:val="003314AA"/>
    <w:rsid w:val="00331523"/>
    <w:rsid w:val="00336EE7"/>
    <w:rsid w:val="00343494"/>
    <w:rsid w:val="0034351C"/>
    <w:rsid w:val="003557C6"/>
    <w:rsid w:val="003603B7"/>
    <w:rsid w:val="00366175"/>
    <w:rsid w:val="00381F04"/>
    <w:rsid w:val="00382A1C"/>
    <w:rsid w:val="0038426B"/>
    <w:rsid w:val="003929F5"/>
    <w:rsid w:val="003A2F05"/>
    <w:rsid w:val="003C09D8"/>
    <w:rsid w:val="003D2BD2"/>
    <w:rsid w:val="003D47D1"/>
    <w:rsid w:val="003F5623"/>
    <w:rsid w:val="004039BD"/>
    <w:rsid w:val="00440D6D"/>
    <w:rsid w:val="00442367"/>
    <w:rsid w:val="00461188"/>
    <w:rsid w:val="004A0C9C"/>
    <w:rsid w:val="004A776B"/>
    <w:rsid w:val="004C1375"/>
    <w:rsid w:val="004C2FEC"/>
    <w:rsid w:val="004C5354"/>
    <w:rsid w:val="004E1300"/>
    <w:rsid w:val="004E4E34"/>
    <w:rsid w:val="004E5FC1"/>
    <w:rsid w:val="004F4150"/>
    <w:rsid w:val="00504248"/>
    <w:rsid w:val="005146D6"/>
    <w:rsid w:val="00535E09"/>
    <w:rsid w:val="0055402C"/>
    <w:rsid w:val="00562C8C"/>
    <w:rsid w:val="0056365A"/>
    <w:rsid w:val="00571F6C"/>
    <w:rsid w:val="005861F2"/>
    <w:rsid w:val="005906BB"/>
    <w:rsid w:val="005C3A4C"/>
    <w:rsid w:val="005C4DD2"/>
    <w:rsid w:val="005E55A6"/>
    <w:rsid w:val="005E7CAB"/>
    <w:rsid w:val="005F20B0"/>
    <w:rsid w:val="005F4727"/>
    <w:rsid w:val="005F7C66"/>
    <w:rsid w:val="00605943"/>
    <w:rsid w:val="00630B42"/>
    <w:rsid w:val="00633454"/>
    <w:rsid w:val="00652604"/>
    <w:rsid w:val="006565FB"/>
    <w:rsid w:val="0066110E"/>
    <w:rsid w:val="00675B44"/>
    <w:rsid w:val="0068013E"/>
    <w:rsid w:val="00686E7E"/>
    <w:rsid w:val="0068772B"/>
    <w:rsid w:val="00693A4D"/>
    <w:rsid w:val="00694D87"/>
    <w:rsid w:val="00696997"/>
    <w:rsid w:val="006A0D3F"/>
    <w:rsid w:val="006A7546"/>
    <w:rsid w:val="006B1F63"/>
    <w:rsid w:val="006B7800"/>
    <w:rsid w:val="006C0CC3"/>
    <w:rsid w:val="006D2DB8"/>
    <w:rsid w:val="006E14A9"/>
    <w:rsid w:val="006E611E"/>
    <w:rsid w:val="007010C7"/>
    <w:rsid w:val="00726165"/>
    <w:rsid w:val="00731AC4"/>
    <w:rsid w:val="0073561F"/>
    <w:rsid w:val="007638D8"/>
    <w:rsid w:val="00777CAA"/>
    <w:rsid w:val="0078648A"/>
    <w:rsid w:val="007A1768"/>
    <w:rsid w:val="007A1881"/>
    <w:rsid w:val="007A3F61"/>
    <w:rsid w:val="007E3965"/>
    <w:rsid w:val="007E4D29"/>
    <w:rsid w:val="008137B5"/>
    <w:rsid w:val="008160B3"/>
    <w:rsid w:val="00833808"/>
    <w:rsid w:val="008353A1"/>
    <w:rsid w:val="008365FD"/>
    <w:rsid w:val="00845CB9"/>
    <w:rsid w:val="0087696D"/>
    <w:rsid w:val="00881608"/>
    <w:rsid w:val="00881BBB"/>
    <w:rsid w:val="0089283D"/>
    <w:rsid w:val="008C0768"/>
    <w:rsid w:val="008C1D0A"/>
    <w:rsid w:val="008D1E25"/>
    <w:rsid w:val="008D6C79"/>
    <w:rsid w:val="008E64CD"/>
    <w:rsid w:val="008F0DD4"/>
    <w:rsid w:val="0090200F"/>
    <w:rsid w:val="009047E4"/>
    <w:rsid w:val="009126B3"/>
    <w:rsid w:val="009152C4"/>
    <w:rsid w:val="00916431"/>
    <w:rsid w:val="00930B2E"/>
    <w:rsid w:val="0095079B"/>
    <w:rsid w:val="00953BA1"/>
    <w:rsid w:val="00954D08"/>
    <w:rsid w:val="00977B12"/>
    <w:rsid w:val="009930CA"/>
    <w:rsid w:val="009A2D30"/>
    <w:rsid w:val="009A341D"/>
    <w:rsid w:val="009C33E1"/>
    <w:rsid w:val="009C7815"/>
    <w:rsid w:val="009F1E7E"/>
    <w:rsid w:val="009F7D19"/>
    <w:rsid w:val="00A15F08"/>
    <w:rsid w:val="00A175E9"/>
    <w:rsid w:val="00A2062C"/>
    <w:rsid w:val="00A21819"/>
    <w:rsid w:val="00A26DD9"/>
    <w:rsid w:val="00A45CF4"/>
    <w:rsid w:val="00A52A71"/>
    <w:rsid w:val="00A573DC"/>
    <w:rsid w:val="00A6339A"/>
    <w:rsid w:val="00A725A4"/>
    <w:rsid w:val="00A83290"/>
    <w:rsid w:val="00A90C75"/>
    <w:rsid w:val="00A94A2B"/>
    <w:rsid w:val="00AA01C9"/>
    <w:rsid w:val="00AA2502"/>
    <w:rsid w:val="00AA3866"/>
    <w:rsid w:val="00AA3F72"/>
    <w:rsid w:val="00AC3D44"/>
    <w:rsid w:val="00AD2F06"/>
    <w:rsid w:val="00AD4D7C"/>
    <w:rsid w:val="00AD5E54"/>
    <w:rsid w:val="00AE0B53"/>
    <w:rsid w:val="00AE59DF"/>
    <w:rsid w:val="00B048FA"/>
    <w:rsid w:val="00B05CF3"/>
    <w:rsid w:val="00B2665E"/>
    <w:rsid w:val="00B42E00"/>
    <w:rsid w:val="00B462AB"/>
    <w:rsid w:val="00B57187"/>
    <w:rsid w:val="00B706F8"/>
    <w:rsid w:val="00B908C2"/>
    <w:rsid w:val="00B9670F"/>
    <w:rsid w:val="00BA0E30"/>
    <w:rsid w:val="00BA28CD"/>
    <w:rsid w:val="00BA70A4"/>
    <w:rsid w:val="00BA72BF"/>
    <w:rsid w:val="00BE451B"/>
    <w:rsid w:val="00BE5B77"/>
    <w:rsid w:val="00C10547"/>
    <w:rsid w:val="00C201AE"/>
    <w:rsid w:val="00C337A4"/>
    <w:rsid w:val="00C35743"/>
    <w:rsid w:val="00C43107"/>
    <w:rsid w:val="00C44327"/>
    <w:rsid w:val="00C4670A"/>
    <w:rsid w:val="00C51F66"/>
    <w:rsid w:val="00C66D61"/>
    <w:rsid w:val="00C80EF2"/>
    <w:rsid w:val="00C8200F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2F4A"/>
    <w:rsid w:val="00D14240"/>
    <w:rsid w:val="00D1614C"/>
    <w:rsid w:val="00D224CD"/>
    <w:rsid w:val="00D3583F"/>
    <w:rsid w:val="00D4286A"/>
    <w:rsid w:val="00D62C4D"/>
    <w:rsid w:val="00D8016C"/>
    <w:rsid w:val="00D8130A"/>
    <w:rsid w:val="00D87BF3"/>
    <w:rsid w:val="00D92A3D"/>
    <w:rsid w:val="00DA1B90"/>
    <w:rsid w:val="00DB0A6B"/>
    <w:rsid w:val="00DB28EB"/>
    <w:rsid w:val="00DB6366"/>
    <w:rsid w:val="00DF1B55"/>
    <w:rsid w:val="00E06EC9"/>
    <w:rsid w:val="00E12A6D"/>
    <w:rsid w:val="00E143F7"/>
    <w:rsid w:val="00E25569"/>
    <w:rsid w:val="00E36B8F"/>
    <w:rsid w:val="00E45F94"/>
    <w:rsid w:val="00E601A2"/>
    <w:rsid w:val="00E616D0"/>
    <w:rsid w:val="00E7588C"/>
    <w:rsid w:val="00E77198"/>
    <w:rsid w:val="00E83E23"/>
    <w:rsid w:val="00EA3233"/>
    <w:rsid w:val="00EA3AD1"/>
    <w:rsid w:val="00EA42E8"/>
    <w:rsid w:val="00EB1248"/>
    <w:rsid w:val="00EC08EF"/>
    <w:rsid w:val="00ED018E"/>
    <w:rsid w:val="00ED236E"/>
    <w:rsid w:val="00EE03CA"/>
    <w:rsid w:val="00EE3C33"/>
    <w:rsid w:val="00EE7199"/>
    <w:rsid w:val="00F05A9B"/>
    <w:rsid w:val="00F22D90"/>
    <w:rsid w:val="00F25005"/>
    <w:rsid w:val="00F31E0B"/>
    <w:rsid w:val="00F3220D"/>
    <w:rsid w:val="00F43750"/>
    <w:rsid w:val="00F764AD"/>
    <w:rsid w:val="00F95A2D"/>
    <w:rsid w:val="00F9714F"/>
    <w:rsid w:val="00F978E2"/>
    <w:rsid w:val="00F97BA9"/>
    <w:rsid w:val="00FA4E25"/>
    <w:rsid w:val="00FB6CCF"/>
    <w:rsid w:val="00FD51EB"/>
    <w:rsid w:val="00FE2B6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CDBED8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05CF3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05CF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05CF3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B05CF3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B0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AZJMDCZ6QSYZ-1849078857-21417</_dlc_DocId>
    <_dlc_DocIdUrl xmlns="a494813a-d0d8-4dad-94cb-0d196f36ba15">
      <Url>https://ekoordinacije.vlada.hr/koordinacija-gospodarstvo/_layouts/15/DocIdRedir.aspx?ID=AZJMDCZ6QSYZ-1849078857-21417</Url>
      <Description>AZJMDCZ6QSYZ-1849078857-21417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72E1-126C-4E0C-9BA1-A5C3F3ED82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04B4C-D966-440E-9FAB-F25CEC5B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785E0-81BE-442F-BC59-84CE185896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CFF289-7125-4D02-BED9-9F3800654F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7F5A58-37E6-40A2-AAC8-F3BBDCE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12</cp:revision>
  <cp:lastPrinted>2022-10-20T10:53:00Z</cp:lastPrinted>
  <dcterms:created xsi:type="dcterms:W3CDTF">2022-10-07T10:14:00Z</dcterms:created>
  <dcterms:modified xsi:type="dcterms:W3CDTF">2022-10-24T10:39:00Z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cfc5efe1-3cd7-46ec-816c-5799e78edb70</vt:lpwstr>
  </property>
</Properties>
</file>