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124E" w14:textId="77777777" w:rsidR="00F63E1E" w:rsidRPr="001E7FA0" w:rsidRDefault="00F63E1E" w:rsidP="001C5465">
      <w:pPr>
        <w:rPr>
          <w:szCs w:val="24"/>
        </w:rPr>
      </w:pPr>
    </w:p>
    <w:p w14:paraId="5AFD154C" w14:textId="77777777" w:rsidR="00F63E1E" w:rsidRDefault="00F63E1E" w:rsidP="00F63E1E">
      <w:pPr>
        <w:jc w:val="center"/>
      </w:pPr>
      <w:r>
        <w:rPr>
          <w:noProof/>
        </w:rPr>
        <w:drawing>
          <wp:inline distT="0" distB="0" distL="0" distR="0" wp14:anchorId="54806882" wp14:editId="5D361918">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3A26F215" w14:textId="77777777" w:rsidR="00F63E1E" w:rsidRDefault="00F63E1E" w:rsidP="00F63E1E">
      <w:pPr>
        <w:spacing w:before="60" w:after="1680"/>
        <w:jc w:val="center"/>
        <w:rPr>
          <w:sz w:val="28"/>
        </w:rPr>
      </w:pPr>
      <w:r>
        <w:rPr>
          <w:sz w:val="28"/>
        </w:rPr>
        <w:t>VLADA REPUBLIKE HRVATSKE</w:t>
      </w:r>
    </w:p>
    <w:p w14:paraId="0321D192" w14:textId="77777777" w:rsidR="00F63E1E" w:rsidRDefault="00F63E1E" w:rsidP="00F63E1E">
      <w:pPr>
        <w:rPr>
          <w:szCs w:val="24"/>
        </w:rPr>
      </w:pPr>
    </w:p>
    <w:p w14:paraId="43717B85" w14:textId="67648565" w:rsidR="00F63E1E" w:rsidRDefault="00B643DE" w:rsidP="00F63E1E">
      <w:pPr>
        <w:jc w:val="right"/>
        <w:rPr>
          <w:szCs w:val="24"/>
        </w:rPr>
      </w:pPr>
      <w:r>
        <w:rPr>
          <w:szCs w:val="24"/>
        </w:rPr>
        <w:t xml:space="preserve">Zagreb, </w:t>
      </w:r>
      <w:r w:rsidR="002029BB">
        <w:rPr>
          <w:szCs w:val="24"/>
        </w:rPr>
        <w:t>14. prosinca</w:t>
      </w:r>
      <w:r w:rsidR="00F63E1E">
        <w:rPr>
          <w:szCs w:val="24"/>
        </w:rPr>
        <w:t xml:space="preserve"> 20</w:t>
      </w:r>
      <w:r w:rsidR="00B16DA3">
        <w:rPr>
          <w:szCs w:val="24"/>
        </w:rPr>
        <w:t>2</w:t>
      </w:r>
      <w:r w:rsidR="002E59B0">
        <w:rPr>
          <w:szCs w:val="24"/>
        </w:rPr>
        <w:t>2</w:t>
      </w:r>
      <w:r w:rsidR="00F63E1E">
        <w:rPr>
          <w:szCs w:val="24"/>
        </w:rPr>
        <w:t>.</w:t>
      </w:r>
    </w:p>
    <w:p w14:paraId="739C80F8" w14:textId="77777777" w:rsidR="00F63E1E" w:rsidRDefault="00F63E1E" w:rsidP="00F63E1E">
      <w:pPr>
        <w:jc w:val="right"/>
        <w:rPr>
          <w:szCs w:val="24"/>
        </w:rPr>
      </w:pPr>
    </w:p>
    <w:p w14:paraId="560CB143" w14:textId="77777777" w:rsidR="00F63E1E" w:rsidRDefault="00F63E1E" w:rsidP="00F63E1E">
      <w:pPr>
        <w:jc w:val="right"/>
        <w:rPr>
          <w:szCs w:val="24"/>
        </w:rPr>
      </w:pPr>
    </w:p>
    <w:p w14:paraId="3FF94B41" w14:textId="77777777" w:rsidR="00F63E1E" w:rsidRDefault="00F63E1E" w:rsidP="00F63E1E">
      <w:pPr>
        <w:jc w:val="right"/>
        <w:rPr>
          <w:szCs w:val="24"/>
        </w:rPr>
      </w:pPr>
    </w:p>
    <w:p w14:paraId="59C8D660" w14:textId="77777777" w:rsidR="00F63E1E" w:rsidRDefault="00F63E1E" w:rsidP="00F63E1E">
      <w:pPr>
        <w:jc w:val="right"/>
        <w:rPr>
          <w:szCs w:val="24"/>
        </w:rPr>
      </w:pPr>
    </w:p>
    <w:p w14:paraId="08D511F2" w14:textId="77777777" w:rsidR="00F63E1E" w:rsidRDefault="00F63E1E" w:rsidP="00F63E1E">
      <w:pPr>
        <w:jc w:val="right"/>
        <w:rPr>
          <w:szCs w:val="24"/>
        </w:rPr>
      </w:pPr>
    </w:p>
    <w:p w14:paraId="711E280F"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F63E1E" w14:paraId="683C4B5B" w14:textId="77777777" w:rsidTr="001D43FA">
        <w:tc>
          <w:tcPr>
            <w:tcW w:w="1951" w:type="dxa"/>
            <w:shd w:val="clear" w:color="auto" w:fill="auto"/>
            <w:hideMark/>
          </w:tcPr>
          <w:p w14:paraId="2CF3BBAA" w14:textId="77777777" w:rsidR="00F63E1E" w:rsidRPr="00D20D4F" w:rsidRDefault="00F63E1E" w:rsidP="001D43FA">
            <w:pPr>
              <w:rPr>
                <w:szCs w:val="24"/>
              </w:rPr>
            </w:pPr>
            <w:r w:rsidRPr="00D20D4F">
              <w:rPr>
                <w:b/>
                <w:smallCaps/>
                <w:szCs w:val="24"/>
              </w:rPr>
              <w:t>Predlagatelj</w:t>
            </w:r>
            <w:r w:rsidRPr="00D20D4F">
              <w:rPr>
                <w:b/>
                <w:szCs w:val="24"/>
              </w:rPr>
              <w:t>:</w:t>
            </w:r>
          </w:p>
        </w:tc>
        <w:tc>
          <w:tcPr>
            <w:tcW w:w="7229" w:type="dxa"/>
            <w:shd w:val="clear" w:color="auto" w:fill="auto"/>
            <w:hideMark/>
          </w:tcPr>
          <w:p w14:paraId="1D73381C" w14:textId="1A1D92F6" w:rsidR="00F63E1E" w:rsidRPr="00D20D4F" w:rsidRDefault="00027D4C" w:rsidP="00B16DA3">
            <w:pPr>
              <w:rPr>
                <w:szCs w:val="24"/>
              </w:rPr>
            </w:pPr>
            <w:r>
              <w:rPr>
                <w:szCs w:val="24"/>
              </w:rPr>
              <w:t xml:space="preserve">Ministarstvo </w:t>
            </w:r>
            <w:r w:rsidR="008771C5">
              <w:rPr>
                <w:szCs w:val="24"/>
              </w:rPr>
              <w:t>rada, mirovinskog</w:t>
            </w:r>
            <w:r w:rsidR="009F1854">
              <w:rPr>
                <w:szCs w:val="24"/>
              </w:rPr>
              <w:t>a</w:t>
            </w:r>
            <w:r w:rsidR="008771C5">
              <w:rPr>
                <w:szCs w:val="24"/>
              </w:rPr>
              <w:t xml:space="preserve"> sustava, obitelji i socijalne politike</w:t>
            </w:r>
          </w:p>
        </w:tc>
      </w:tr>
    </w:tbl>
    <w:p w14:paraId="6C23E34F" w14:textId="77777777" w:rsidR="00F63E1E" w:rsidRDefault="00F63E1E" w:rsidP="00F63E1E">
      <w:pPr>
        <w:rPr>
          <w:szCs w:val="24"/>
        </w:rPr>
      </w:pPr>
      <w:r>
        <w:rPr>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F63E1E" w14:paraId="4B0A61BF" w14:textId="77777777" w:rsidTr="000D7545">
        <w:trPr>
          <w:trHeight w:val="905"/>
        </w:trPr>
        <w:tc>
          <w:tcPr>
            <w:tcW w:w="1951" w:type="dxa"/>
            <w:shd w:val="clear" w:color="auto" w:fill="auto"/>
            <w:hideMark/>
          </w:tcPr>
          <w:p w14:paraId="37D43434" w14:textId="77777777" w:rsidR="00F63E1E" w:rsidRPr="00D20D4F" w:rsidRDefault="00F63E1E" w:rsidP="001D43FA">
            <w:pPr>
              <w:rPr>
                <w:szCs w:val="24"/>
              </w:rPr>
            </w:pPr>
            <w:r w:rsidRPr="00D20D4F">
              <w:rPr>
                <w:b/>
                <w:smallCaps/>
                <w:szCs w:val="24"/>
              </w:rPr>
              <w:t>Predmet</w:t>
            </w:r>
            <w:r w:rsidRPr="00D20D4F">
              <w:rPr>
                <w:b/>
                <w:szCs w:val="24"/>
              </w:rPr>
              <w:t>:</w:t>
            </w:r>
          </w:p>
        </w:tc>
        <w:tc>
          <w:tcPr>
            <w:tcW w:w="7229" w:type="dxa"/>
            <w:shd w:val="clear" w:color="auto" w:fill="auto"/>
            <w:hideMark/>
          </w:tcPr>
          <w:p w14:paraId="62E374F2" w14:textId="0C262748" w:rsidR="00F63E1E" w:rsidRPr="00D20D4F" w:rsidRDefault="00F63E1E" w:rsidP="000D7545">
            <w:pPr>
              <w:rPr>
                <w:szCs w:val="24"/>
              </w:rPr>
            </w:pPr>
            <w:r w:rsidRPr="00D20D4F">
              <w:rPr>
                <w:szCs w:val="24"/>
              </w:rPr>
              <w:t xml:space="preserve">Davanje prethodne suglasnosti predstavniku Vlade </w:t>
            </w:r>
            <w:r w:rsidR="001C5465">
              <w:rPr>
                <w:szCs w:val="24"/>
              </w:rPr>
              <w:t xml:space="preserve">Republike Hrvatske </w:t>
            </w:r>
            <w:r w:rsidRPr="00D20D4F">
              <w:rPr>
                <w:szCs w:val="24"/>
              </w:rPr>
              <w:t>za prihvaćanje</w:t>
            </w:r>
            <w:r w:rsidR="00726A9B">
              <w:rPr>
                <w:szCs w:val="24"/>
              </w:rPr>
              <w:t xml:space="preserve"> </w:t>
            </w:r>
            <w:r w:rsidRPr="00D20D4F">
              <w:rPr>
                <w:szCs w:val="24"/>
              </w:rPr>
              <w:t>amandmana</w:t>
            </w:r>
            <w:r w:rsidR="00493E08">
              <w:rPr>
                <w:szCs w:val="24"/>
              </w:rPr>
              <w:t xml:space="preserve"> </w:t>
            </w:r>
            <w:r w:rsidR="00F92CC8">
              <w:rPr>
                <w:szCs w:val="24"/>
              </w:rPr>
              <w:t>drugih predlagatelja</w:t>
            </w:r>
            <w:r w:rsidR="002029BB">
              <w:rPr>
                <w:szCs w:val="24"/>
              </w:rPr>
              <w:t xml:space="preserve"> na Konačni prijedlog z</w:t>
            </w:r>
            <w:r w:rsidR="00493E08">
              <w:rPr>
                <w:szCs w:val="24"/>
              </w:rPr>
              <w:t xml:space="preserve">akona o </w:t>
            </w:r>
            <w:r w:rsidR="002E59B0">
              <w:rPr>
                <w:szCs w:val="24"/>
              </w:rPr>
              <w:t>suzbijanju neprijavljenoga rada</w:t>
            </w:r>
            <w:r w:rsidRPr="00D20D4F">
              <w:rPr>
                <w:szCs w:val="24"/>
              </w:rPr>
              <w:t xml:space="preserve"> </w:t>
            </w:r>
          </w:p>
        </w:tc>
      </w:tr>
    </w:tbl>
    <w:p w14:paraId="6854C390" w14:textId="77777777" w:rsidR="00F63E1E" w:rsidRDefault="00F63E1E" w:rsidP="00F63E1E">
      <w:pPr>
        <w:rPr>
          <w:szCs w:val="24"/>
        </w:rPr>
      </w:pPr>
      <w:r>
        <w:rPr>
          <w:szCs w:val="24"/>
        </w:rPr>
        <w:t>__________________________________________________________________________</w:t>
      </w:r>
    </w:p>
    <w:p w14:paraId="16DF49BA" w14:textId="77777777" w:rsidR="00F63E1E" w:rsidRDefault="00F63E1E" w:rsidP="00F63E1E">
      <w:pPr>
        <w:rPr>
          <w:szCs w:val="24"/>
        </w:rPr>
      </w:pPr>
    </w:p>
    <w:p w14:paraId="0F1C12F4" w14:textId="77777777" w:rsidR="00F63E1E" w:rsidRDefault="00F63E1E" w:rsidP="00F63E1E">
      <w:pPr>
        <w:rPr>
          <w:szCs w:val="24"/>
        </w:rPr>
      </w:pPr>
    </w:p>
    <w:p w14:paraId="430FDED3" w14:textId="77777777" w:rsidR="00F63E1E" w:rsidRDefault="00F63E1E" w:rsidP="00F63E1E">
      <w:pPr>
        <w:rPr>
          <w:szCs w:val="24"/>
        </w:rPr>
      </w:pPr>
    </w:p>
    <w:p w14:paraId="52E429BB" w14:textId="77777777" w:rsidR="00F63E1E" w:rsidRDefault="00F63E1E" w:rsidP="00F63E1E">
      <w:pPr>
        <w:rPr>
          <w:szCs w:val="24"/>
        </w:rPr>
      </w:pPr>
    </w:p>
    <w:p w14:paraId="1621C60D" w14:textId="77777777" w:rsidR="00F63E1E" w:rsidRDefault="00F63E1E" w:rsidP="00F63E1E">
      <w:pPr>
        <w:rPr>
          <w:szCs w:val="24"/>
        </w:rPr>
      </w:pPr>
    </w:p>
    <w:p w14:paraId="28B78F68" w14:textId="7682580D" w:rsidR="00F63E1E" w:rsidRDefault="00F63E1E" w:rsidP="00F63E1E">
      <w:pPr>
        <w:pStyle w:val="Header"/>
      </w:pPr>
    </w:p>
    <w:p w14:paraId="0178ECE1" w14:textId="77777777" w:rsidR="004C5847" w:rsidRDefault="004C5847" w:rsidP="00F63E1E">
      <w:pPr>
        <w:pStyle w:val="Header"/>
      </w:pPr>
    </w:p>
    <w:p w14:paraId="2505427A" w14:textId="77777777" w:rsidR="00F63E1E" w:rsidRDefault="00F63E1E" w:rsidP="00F63E1E"/>
    <w:p w14:paraId="55D416EA" w14:textId="77777777" w:rsidR="00F63E1E" w:rsidRDefault="00F63E1E" w:rsidP="00F63E1E">
      <w:pPr>
        <w:pStyle w:val="Footer"/>
      </w:pPr>
    </w:p>
    <w:p w14:paraId="447FEB9F" w14:textId="77777777" w:rsidR="00F63E1E" w:rsidRDefault="00F63E1E" w:rsidP="00F63E1E">
      <w:pPr>
        <w:pStyle w:val="Footer"/>
      </w:pPr>
    </w:p>
    <w:p w14:paraId="7A7EF9B7" w14:textId="77777777" w:rsidR="00F63E1E" w:rsidRDefault="00F63E1E" w:rsidP="00F63E1E">
      <w:pPr>
        <w:pStyle w:val="Footer"/>
      </w:pPr>
    </w:p>
    <w:p w14:paraId="743EE234" w14:textId="77777777" w:rsidR="00F63E1E" w:rsidRDefault="00F63E1E" w:rsidP="00F63E1E">
      <w:pPr>
        <w:pStyle w:val="Footer"/>
      </w:pPr>
    </w:p>
    <w:p w14:paraId="2B78E77E" w14:textId="77777777" w:rsidR="00F63E1E" w:rsidRDefault="00F63E1E" w:rsidP="00F63E1E">
      <w:pPr>
        <w:pStyle w:val="Footer"/>
      </w:pPr>
    </w:p>
    <w:p w14:paraId="58559753" w14:textId="77777777" w:rsidR="00F63E1E" w:rsidRDefault="00F63E1E" w:rsidP="00F63E1E">
      <w:pPr>
        <w:pStyle w:val="Footer"/>
      </w:pPr>
    </w:p>
    <w:p w14:paraId="669B4116" w14:textId="77777777" w:rsidR="00F63E1E" w:rsidRDefault="00F63E1E" w:rsidP="00F63E1E">
      <w:pPr>
        <w:pStyle w:val="Footer"/>
      </w:pPr>
    </w:p>
    <w:p w14:paraId="6D1CE572" w14:textId="77777777" w:rsidR="00F63E1E" w:rsidRDefault="00F63E1E" w:rsidP="00F63E1E">
      <w:pPr>
        <w:pStyle w:val="Footer"/>
      </w:pPr>
    </w:p>
    <w:p w14:paraId="089B3B4E" w14:textId="77777777" w:rsidR="00F63E1E" w:rsidRDefault="00F63E1E" w:rsidP="00F63E1E">
      <w:pPr>
        <w:pStyle w:val="Footer"/>
      </w:pPr>
    </w:p>
    <w:p w14:paraId="463EE099" w14:textId="77777777" w:rsidR="00F63E1E" w:rsidRDefault="00F63E1E" w:rsidP="00F63E1E">
      <w:pPr>
        <w:pStyle w:val="Footer"/>
      </w:pPr>
    </w:p>
    <w:p w14:paraId="753B2F6F" w14:textId="77777777" w:rsidR="003948EB" w:rsidRDefault="003948EB" w:rsidP="00F63E1E">
      <w:pPr>
        <w:pStyle w:val="Footer"/>
      </w:pPr>
    </w:p>
    <w:p w14:paraId="7A97BE11" w14:textId="77777777" w:rsidR="003948EB" w:rsidRDefault="003948EB" w:rsidP="00F63E1E">
      <w:pPr>
        <w:pStyle w:val="Footer"/>
      </w:pPr>
    </w:p>
    <w:p w14:paraId="2A637F0C" w14:textId="77777777" w:rsidR="00F63E1E" w:rsidRDefault="00F63E1E" w:rsidP="00F63E1E">
      <w:pPr>
        <w:pStyle w:val="Footer"/>
      </w:pPr>
    </w:p>
    <w:p w14:paraId="460DC65A" w14:textId="77777777" w:rsidR="00F63E1E" w:rsidRDefault="00F63E1E" w:rsidP="00F63E1E"/>
    <w:p w14:paraId="41CB7512" w14:textId="77777777" w:rsidR="00F63E1E" w:rsidRDefault="00F63E1E" w:rsidP="00F63E1E">
      <w:pPr>
        <w:pStyle w:val="Footer"/>
        <w:pBdr>
          <w:top w:val="single" w:sz="4" w:space="1" w:color="404040"/>
        </w:pBdr>
        <w:jc w:val="center"/>
        <w:rPr>
          <w:color w:val="404040"/>
          <w:spacing w:val="20"/>
          <w:sz w:val="20"/>
        </w:rPr>
      </w:pPr>
      <w:r w:rsidRPr="00234046">
        <w:rPr>
          <w:color w:val="404040"/>
          <w:spacing w:val="20"/>
          <w:sz w:val="20"/>
        </w:rPr>
        <w:t>Banski dvori | Trg Sv. Marka 2  | 10000 Zagreb | tel. 01 4569 222 | vlada.gov.hr</w:t>
      </w:r>
    </w:p>
    <w:p w14:paraId="6F5B4F55" w14:textId="77777777" w:rsidR="00F92CC8" w:rsidRDefault="00F92CC8" w:rsidP="003948EB">
      <w:pPr>
        <w:jc w:val="right"/>
        <w:rPr>
          <w:b/>
          <w:szCs w:val="24"/>
        </w:rPr>
      </w:pPr>
    </w:p>
    <w:p w14:paraId="355719E4" w14:textId="74475380" w:rsidR="003948EB" w:rsidRPr="003948EB" w:rsidRDefault="003948EB" w:rsidP="003948EB">
      <w:pPr>
        <w:jc w:val="right"/>
        <w:rPr>
          <w:b/>
          <w:szCs w:val="24"/>
        </w:rPr>
      </w:pPr>
      <w:r w:rsidRPr="003948EB">
        <w:rPr>
          <w:b/>
          <w:szCs w:val="24"/>
        </w:rPr>
        <w:lastRenderedPageBreak/>
        <w:t>PRIJEDLOG</w:t>
      </w:r>
    </w:p>
    <w:p w14:paraId="69891E4F" w14:textId="77777777" w:rsidR="003948EB" w:rsidRPr="00AC02E4" w:rsidRDefault="003948EB" w:rsidP="003948EB">
      <w:pPr>
        <w:rPr>
          <w:szCs w:val="24"/>
        </w:rPr>
      </w:pPr>
    </w:p>
    <w:p w14:paraId="4C5CBEC6" w14:textId="77777777" w:rsidR="003B695B" w:rsidRPr="00AC02E4" w:rsidRDefault="003B695B" w:rsidP="003948EB">
      <w:pPr>
        <w:rPr>
          <w:szCs w:val="24"/>
        </w:rPr>
      </w:pPr>
    </w:p>
    <w:p w14:paraId="1D0F985C" w14:textId="04EB02D1" w:rsidR="003948EB" w:rsidRPr="00AC02E4" w:rsidRDefault="003948EB" w:rsidP="003948EB">
      <w:pPr>
        <w:rPr>
          <w:szCs w:val="24"/>
        </w:rPr>
      </w:pPr>
      <w:r w:rsidRPr="00AC02E4">
        <w:rPr>
          <w:szCs w:val="24"/>
        </w:rPr>
        <w:tab/>
      </w:r>
      <w:r w:rsidRPr="00AC02E4">
        <w:rPr>
          <w:szCs w:val="24"/>
        </w:rPr>
        <w:tab/>
        <w:t>Na temelju članka 31. stavka 3. Zakona o Vladi Republike Hrvatske (</w:t>
      </w:r>
      <w:r w:rsidR="002E59B0">
        <w:rPr>
          <w:szCs w:val="24"/>
        </w:rPr>
        <w:t>„</w:t>
      </w:r>
      <w:r w:rsidRPr="00AC02E4">
        <w:rPr>
          <w:szCs w:val="24"/>
        </w:rPr>
        <w:t>Narodne novine</w:t>
      </w:r>
      <w:r w:rsidR="002E59B0">
        <w:rPr>
          <w:szCs w:val="24"/>
        </w:rPr>
        <w:t>“</w:t>
      </w:r>
      <w:r w:rsidRPr="00AC02E4">
        <w:rPr>
          <w:szCs w:val="24"/>
        </w:rPr>
        <w:t>, br. 150/11</w:t>
      </w:r>
      <w:r w:rsidR="002E59B0">
        <w:rPr>
          <w:szCs w:val="24"/>
        </w:rPr>
        <w:t>.</w:t>
      </w:r>
      <w:r w:rsidRPr="00AC02E4">
        <w:rPr>
          <w:szCs w:val="24"/>
        </w:rPr>
        <w:t>, 119/14</w:t>
      </w:r>
      <w:r w:rsidR="002E59B0">
        <w:rPr>
          <w:szCs w:val="24"/>
        </w:rPr>
        <w:t>.</w:t>
      </w:r>
      <w:r w:rsidR="00A32A0B">
        <w:rPr>
          <w:szCs w:val="24"/>
        </w:rPr>
        <w:t xml:space="preserve">, </w:t>
      </w:r>
      <w:r w:rsidRPr="00AC02E4">
        <w:rPr>
          <w:szCs w:val="24"/>
        </w:rPr>
        <w:t>93/16</w:t>
      </w:r>
      <w:r w:rsidR="002E59B0">
        <w:rPr>
          <w:szCs w:val="24"/>
        </w:rPr>
        <w:t xml:space="preserve">., </w:t>
      </w:r>
      <w:r w:rsidR="00A32A0B">
        <w:rPr>
          <w:szCs w:val="24"/>
        </w:rPr>
        <w:t>116/18</w:t>
      </w:r>
      <w:r w:rsidR="002E59B0">
        <w:rPr>
          <w:szCs w:val="24"/>
        </w:rPr>
        <w:t>. i 80/22.</w:t>
      </w:r>
      <w:r w:rsidRPr="00AC02E4">
        <w:rPr>
          <w:szCs w:val="24"/>
        </w:rPr>
        <w:t>), Vlada Republike Hrvatske je na sjednici održanoj _____________ 20</w:t>
      </w:r>
      <w:r w:rsidR="00B16DA3">
        <w:rPr>
          <w:szCs w:val="24"/>
        </w:rPr>
        <w:t>2</w:t>
      </w:r>
      <w:r w:rsidR="002E59B0">
        <w:rPr>
          <w:szCs w:val="24"/>
        </w:rPr>
        <w:t>2</w:t>
      </w:r>
      <w:r w:rsidRPr="00AC02E4">
        <w:rPr>
          <w:szCs w:val="24"/>
        </w:rPr>
        <w:t xml:space="preserve">. godine donijela </w:t>
      </w:r>
    </w:p>
    <w:p w14:paraId="7A54C082" w14:textId="77777777" w:rsidR="003948EB" w:rsidRPr="00AC02E4" w:rsidRDefault="003948EB" w:rsidP="003948EB">
      <w:pPr>
        <w:rPr>
          <w:szCs w:val="24"/>
        </w:rPr>
      </w:pPr>
    </w:p>
    <w:p w14:paraId="206A392F" w14:textId="77777777" w:rsidR="003B695B" w:rsidRPr="00AC02E4" w:rsidRDefault="003B695B" w:rsidP="003948EB">
      <w:pPr>
        <w:rPr>
          <w:szCs w:val="24"/>
        </w:rPr>
      </w:pPr>
    </w:p>
    <w:p w14:paraId="022DE11D" w14:textId="77777777" w:rsidR="00101C4B" w:rsidRDefault="00101C4B" w:rsidP="003948EB">
      <w:pPr>
        <w:jc w:val="center"/>
        <w:rPr>
          <w:b/>
          <w:szCs w:val="24"/>
        </w:rPr>
      </w:pPr>
    </w:p>
    <w:p w14:paraId="26208097" w14:textId="59B4A514" w:rsidR="003948EB" w:rsidRPr="00AC02E4" w:rsidRDefault="003948EB" w:rsidP="003948EB">
      <w:pPr>
        <w:jc w:val="center"/>
        <w:rPr>
          <w:b/>
          <w:szCs w:val="24"/>
        </w:rPr>
      </w:pPr>
      <w:r w:rsidRPr="00AC02E4">
        <w:rPr>
          <w:b/>
          <w:szCs w:val="24"/>
        </w:rPr>
        <w:t>Z A K L J U Č A K</w:t>
      </w:r>
    </w:p>
    <w:p w14:paraId="25AD588F" w14:textId="77777777" w:rsidR="003B695B" w:rsidRPr="00AC02E4" w:rsidRDefault="003B695B" w:rsidP="00D21863">
      <w:pPr>
        <w:rPr>
          <w:b/>
          <w:szCs w:val="24"/>
        </w:rPr>
      </w:pPr>
    </w:p>
    <w:p w14:paraId="062B28A4" w14:textId="21FE2A3C" w:rsidR="003948EB" w:rsidRPr="00AC02E4" w:rsidRDefault="003948EB" w:rsidP="003948EB">
      <w:pPr>
        <w:autoSpaceDE w:val="0"/>
        <w:autoSpaceDN w:val="0"/>
        <w:adjustRightInd w:val="0"/>
        <w:rPr>
          <w:color w:val="000000"/>
          <w:szCs w:val="24"/>
        </w:rPr>
      </w:pPr>
      <w:r w:rsidRPr="00AC02E4">
        <w:rPr>
          <w:color w:val="000000"/>
          <w:szCs w:val="24"/>
        </w:rPr>
        <w:tab/>
      </w:r>
      <w:r w:rsidRPr="00AC02E4">
        <w:rPr>
          <w:color w:val="000000"/>
          <w:szCs w:val="24"/>
        </w:rPr>
        <w:tab/>
      </w:r>
    </w:p>
    <w:p w14:paraId="75F3E390" w14:textId="77777777" w:rsidR="008771C5" w:rsidRPr="008771C5" w:rsidRDefault="008771C5" w:rsidP="008771C5">
      <w:pPr>
        <w:rPr>
          <w:szCs w:val="24"/>
        </w:rPr>
      </w:pPr>
    </w:p>
    <w:p w14:paraId="73CCA741" w14:textId="7208DF4F" w:rsidR="002E59B0" w:rsidRPr="002E59B0" w:rsidRDefault="00F92CC8" w:rsidP="002E59B0">
      <w:pPr>
        <w:rPr>
          <w:szCs w:val="24"/>
        </w:rPr>
      </w:pPr>
      <w:r w:rsidRPr="002E59B0">
        <w:rPr>
          <w:szCs w:val="24"/>
        </w:rPr>
        <w:t>Daje se prethodna suglasnost predstavniku Vlade Republike Hrvatske za prihvaćanje amandmana</w:t>
      </w:r>
      <w:r w:rsidR="00203945" w:rsidRPr="002E59B0">
        <w:rPr>
          <w:szCs w:val="24"/>
        </w:rPr>
        <w:t xml:space="preserve"> </w:t>
      </w:r>
      <w:r w:rsidR="002E59B0" w:rsidRPr="002E59B0">
        <w:rPr>
          <w:szCs w:val="24"/>
        </w:rPr>
        <w:t>Klub</w:t>
      </w:r>
      <w:r w:rsidR="002E59B0">
        <w:rPr>
          <w:szCs w:val="24"/>
        </w:rPr>
        <w:t>a</w:t>
      </w:r>
      <w:r w:rsidR="002E59B0" w:rsidRPr="002E59B0">
        <w:rPr>
          <w:szCs w:val="24"/>
        </w:rPr>
        <w:t xml:space="preserve"> zastupnika Hrvatske narodne stranke - liberalnih demokrata, Hrvatske stranke umirovljenika i nezavisnih zastupnika</w:t>
      </w:r>
      <w:r w:rsidR="002029BB">
        <w:rPr>
          <w:szCs w:val="24"/>
        </w:rPr>
        <w:t>,</w:t>
      </w:r>
      <w:r w:rsidR="002E59B0">
        <w:rPr>
          <w:szCs w:val="24"/>
        </w:rPr>
        <w:t xml:space="preserve"> </w:t>
      </w:r>
      <w:r w:rsidR="00203945" w:rsidRPr="002E59B0">
        <w:rPr>
          <w:szCs w:val="24"/>
        </w:rPr>
        <w:t xml:space="preserve">od </w:t>
      </w:r>
      <w:r w:rsidR="002E59B0">
        <w:rPr>
          <w:szCs w:val="24"/>
        </w:rPr>
        <w:t>8</w:t>
      </w:r>
      <w:r w:rsidR="00203945" w:rsidRPr="002E59B0">
        <w:rPr>
          <w:szCs w:val="24"/>
        </w:rPr>
        <w:t xml:space="preserve">. </w:t>
      </w:r>
      <w:r w:rsidR="002E59B0">
        <w:rPr>
          <w:szCs w:val="24"/>
        </w:rPr>
        <w:t>prosinca</w:t>
      </w:r>
      <w:r w:rsidR="00203945" w:rsidRPr="002E59B0">
        <w:rPr>
          <w:szCs w:val="24"/>
        </w:rPr>
        <w:t xml:space="preserve"> 202</w:t>
      </w:r>
      <w:r w:rsidR="002E59B0">
        <w:rPr>
          <w:szCs w:val="24"/>
        </w:rPr>
        <w:t>2.,</w:t>
      </w:r>
      <w:r w:rsidR="002E59B0" w:rsidRPr="002E59B0">
        <w:rPr>
          <w:szCs w:val="24"/>
        </w:rPr>
        <w:t xml:space="preserve"> na članak 22. stavak 1.</w:t>
      </w:r>
      <w:r w:rsidR="002029BB" w:rsidRPr="002029BB">
        <w:rPr>
          <w:szCs w:val="24"/>
        </w:rPr>
        <w:t xml:space="preserve"> </w:t>
      </w:r>
      <w:r w:rsidR="002029BB">
        <w:rPr>
          <w:szCs w:val="24"/>
        </w:rPr>
        <w:t>Konačn</w:t>
      </w:r>
      <w:r w:rsidR="00FC5365">
        <w:rPr>
          <w:szCs w:val="24"/>
        </w:rPr>
        <w:t>og</w:t>
      </w:r>
      <w:r w:rsidR="002029BB">
        <w:rPr>
          <w:szCs w:val="24"/>
        </w:rPr>
        <w:t xml:space="preserve"> prijedlog</w:t>
      </w:r>
      <w:r w:rsidR="00FC5365">
        <w:rPr>
          <w:szCs w:val="24"/>
        </w:rPr>
        <w:t>a</w:t>
      </w:r>
      <w:bookmarkStart w:id="0" w:name="_GoBack"/>
      <w:bookmarkEnd w:id="0"/>
      <w:r w:rsidR="002029BB">
        <w:rPr>
          <w:szCs w:val="24"/>
        </w:rPr>
        <w:t xml:space="preserve"> zakona o suzbijanju neprijavljenoga rada.</w:t>
      </w:r>
    </w:p>
    <w:p w14:paraId="56FD3C6C" w14:textId="0D3964EC" w:rsidR="00D21863" w:rsidRPr="00D21863" w:rsidRDefault="00D21863" w:rsidP="00D21863">
      <w:pPr>
        <w:rPr>
          <w:bCs/>
          <w:szCs w:val="24"/>
        </w:rPr>
      </w:pPr>
    </w:p>
    <w:p w14:paraId="604FE1DB" w14:textId="77777777" w:rsidR="00F92CC8" w:rsidRPr="00F92CC8" w:rsidRDefault="00F92CC8" w:rsidP="00F92CC8">
      <w:pPr>
        <w:pStyle w:val="ListParagraph"/>
        <w:ind w:left="1080"/>
        <w:rPr>
          <w:bCs/>
          <w:szCs w:val="24"/>
        </w:rPr>
      </w:pPr>
    </w:p>
    <w:p w14:paraId="43B6D430" w14:textId="77777777" w:rsidR="008771C5" w:rsidRPr="008771C5" w:rsidRDefault="008771C5" w:rsidP="008771C5">
      <w:pPr>
        <w:rPr>
          <w:szCs w:val="24"/>
        </w:rPr>
      </w:pPr>
    </w:p>
    <w:p w14:paraId="0A99F444" w14:textId="77777777" w:rsidR="003948EB" w:rsidRPr="00AC02E4" w:rsidRDefault="003948EB" w:rsidP="003948EB">
      <w:pPr>
        <w:rPr>
          <w:szCs w:val="24"/>
        </w:rPr>
      </w:pPr>
      <w:r w:rsidRPr="00AC02E4">
        <w:rPr>
          <w:szCs w:val="24"/>
        </w:rPr>
        <w:t>Klasa:</w:t>
      </w:r>
      <w:r w:rsidRPr="00AC02E4">
        <w:rPr>
          <w:szCs w:val="24"/>
        </w:rPr>
        <w:tab/>
      </w:r>
      <w:r w:rsidRPr="00AC02E4">
        <w:rPr>
          <w:szCs w:val="24"/>
        </w:rPr>
        <w:tab/>
      </w:r>
    </w:p>
    <w:p w14:paraId="4F3C7BE4" w14:textId="77777777" w:rsidR="003948EB" w:rsidRPr="00AC02E4" w:rsidRDefault="003948EB" w:rsidP="003948EB">
      <w:pPr>
        <w:rPr>
          <w:szCs w:val="24"/>
        </w:rPr>
      </w:pPr>
      <w:proofErr w:type="spellStart"/>
      <w:r w:rsidRPr="00AC02E4">
        <w:rPr>
          <w:szCs w:val="24"/>
        </w:rPr>
        <w:t>Urbroj</w:t>
      </w:r>
      <w:proofErr w:type="spellEnd"/>
      <w:r w:rsidRPr="00AC02E4">
        <w:rPr>
          <w:szCs w:val="24"/>
        </w:rPr>
        <w:t>:</w:t>
      </w:r>
      <w:r w:rsidRPr="00AC02E4">
        <w:rPr>
          <w:szCs w:val="24"/>
        </w:rPr>
        <w:tab/>
      </w:r>
      <w:r w:rsidRPr="00AC02E4">
        <w:rPr>
          <w:szCs w:val="24"/>
        </w:rPr>
        <w:tab/>
      </w:r>
    </w:p>
    <w:p w14:paraId="5E69B397" w14:textId="77777777" w:rsidR="003948EB" w:rsidRPr="00AC02E4" w:rsidRDefault="003948EB" w:rsidP="003948EB">
      <w:pPr>
        <w:rPr>
          <w:szCs w:val="24"/>
        </w:rPr>
      </w:pPr>
    </w:p>
    <w:p w14:paraId="181B98ED" w14:textId="77777777" w:rsidR="003948EB" w:rsidRPr="00AC02E4" w:rsidRDefault="003948EB" w:rsidP="003948EB">
      <w:pPr>
        <w:rPr>
          <w:szCs w:val="24"/>
        </w:rPr>
      </w:pPr>
      <w:r w:rsidRPr="00AC02E4">
        <w:rPr>
          <w:szCs w:val="24"/>
        </w:rPr>
        <w:t>Zagreb,</w:t>
      </w:r>
    </w:p>
    <w:p w14:paraId="75C6733E" w14:textId="77777777" w:rsidR="003948EB" w:rsidRPr="00AC02E4" w:rsidRDefault="003948EB" w:rsidP="003948EB">
      <w:pPr>
        <w:widowControl w:val="0"/>
        <w:tabs>
          <w:tab w:val="center" w:pos="7371"/>
        </w:tabs>
        <w:rPr>
          <w:snapToGrid w:val="0"/>
          <w:szCs w:val="24"/>
          <w:lang w:val="en-GB" w:eastAsia="en-US"/>
        </w:rPr>
      </w:pPr>
      <w:r w:rsidRPr="00AC02E4">
        <w:rPr>
          <w:snapToGrid w:val="0"/>
          <w:szCs w:val="24"/>
          <w:lang w:val="en-GB" w:eastAsia="en-US"/>
        </w:rPr>
        <w:tab/>
        <w:t>PREDSJEDNIK</w:t>
      </w:r>
    </w:p>
    <w:p w14:paraId="594005BC" w14:textId="77777777" w:rsidR="003948EB" w:rsidRPr="00AC02E4" w:rsidRDefault="003948EB" w:rsidP="003948EB">
      <w:pPr>
        <w:widowControl w:val="0"/>
        <w:tabs>
          <w:tab w:val="center" w:pos="7371"/>
        </w:tabs>
        <w:rPr>
          <w:snapToGrid w:val="0"/>
          <w:szCs w:val="24"/>
          <w:lang w:val="en-GB" w:eastAsia="en-US"/>
        </w:rPr>
      </w:pPr>
    </w:p>
    <w:p w14:paraId="0828F303" w14:textId="77777777" w:rsidR="003948EB" w:rsidRPr="00AC02E4" w:rsidRDefault="003948EB" w:rsidP="003948EB">
      <w:pPr>
        <w:widowControl w:val="0"/>
        <w:tabs>
          <w:tab w:val="center" w:pos="7371"/>
        </w:tabs>
        <w:rPr>
          <w:b/>
          <w:snapToGrid w:val="0"/>
          <w:szCs w:val="24"/>
          <w:lang w:val="en-GB" w:eastAsia="en-US"/>
        </w:rPr>
      </w:pPr>
      <w:r w:rsidRPr="00AC02E4">
        <w:rPr>
          <w:bCs/>
          <w:snapToGrid w:val="0"/>
          <w:szCs w:val="24"/>
          <w:lang w:val="en-GB" w:eastAsia="en-US"/>
        </w:rPr>
        <w:tab/>
      </w:r>
      <w:proofErr w:type="spellStart"/>
      <w:r w:rsidRPr="00AC02E4">
        <w:rPr>
          <w:snapToGrid w:val="0"/>
          <w:szCs w:val="24"/>
          <w:lang w:val="en-GB" w:eastAsia="en-US"/>
        </w:rPr>
        <w:t>mr</w:t>
      </w:r>
      <w:proofErr w:type="spellEnd"/>
      <w:r w:rsidRPr="00AC02E4">
        <w:rPr>
          <w:snapToGrid w:val="0"/>
          <w:szCs w:val="24"/>
          <w:lang w:val="en-GB" w:eastAsia="en-US"/>
        </w:rPr>
        <w:t xml:space="preserve">. sc. Andrej </w:t>
      </w:r>
      <w:proofErr w:type="spellStart"/>
      <w:r w:rsidRPr="00AC02E4">
        <w:rPr>
          <w:snapToGrid w:val="0"/>
          <w:szCs w:val="24"/>
          <w:lang w:val="en-GB" w:eastAsia="en-US"/>
        </w:rPr>
        <w:t>Plenković</w:t>
      </w:r>
      <w:proofErr w:type="spellEnd"/>
    </w:p>
    <w:p w14:paraId="25FF7B48" w14:textId="77777777" w:rsidR="003948EB" w:rsidRPr="00AC02E4" w:rsidRDefault="003948EB" w:rsidP="003948EB">
      <w:pPr>
        <w:tabs>
          <w:tab w:val="left" w:pos="1845"/>
        </w:tabs>
        <w:rPr>
          <w:szCs w:val="24"/>
        </w:rPr>
      </w:pPr>
    </w:p>
    <w:p w14:paraId="55292DAE" w14:textId="77777777" w:rsidR="003948EB" w:rsidRPr="00AC02E4" w:rsidRDefault="003948EB" w:rsidP="003948EB">
      <w:pPr>
        <w:jc w:val="left"/>
        <w:rPr>
          <w:szCs w:val="24"/>
        </w:rPr>
      </w:pPr>
    </w:p>
    <w:p w14:paraId="27CA52B7" w14:textId="77777777" w:rsidR="003B695B" w:rsidRPr="00AC02E4" w:rsidRDefault="003B695B" w:rsidP="003948EB">
      <w:pPr>
        <w:jc w:val="left"/>
        <w:rPr>
          <w:szCs w:val="24"/>
        </w:rPr>
      </w:pPr>
    </w:p>
    <w:p w14:paraId="17D3FC8B" w14:textId="77777777" w:rsidR="003B695B" w:rsidRPr="00AC02E4" w:rsidRDefault="003B695B" w:rsidP="003948EB">
      <w:pPr>
        <w:jc w:val="left"/>
        <w:rPr>
          <w:szCs w:val="24"/>
        </w:rPr>
      </w:pPr>
    </w:p>
    <w:p w14:paraId="3A8C0D9B" w14:textId="77777777" w:rsidR="003B695B" w:rsidRPr="00AC02E4" w:rsidRDefault="003B695B" w:rsidP="003948EB">
      <w:pPr>
        <w:jc w:val="left"/>
        <w:rPr>
          <w:szCs w:val="24"/>
        </w:rPr>
      </w:pPr>
    </w:p>
    <w:p w14:paraId="29F2B420" w14:textId="77777777" w:rsidR="003B695B" w:rsidRDefault="003B695B" w:rsidP="003948EB">
      <w:pPr>
        <w:jc w:val="left"/>
        <w:rPr>
          <w:szCs w:val="24"/>
        </w:rPr>
      </w:pPr>
    </w:p>
    <w:p w14:paraId="5EF4E7AB" w14:textId="77777777" w:rsidR="003B695B" w:rsidRDefault="003B695B" w:rsidP="003948EB">
      <w:pPr>
        <w:jc w:val="left"/>
        <w:rPr>
          <w:szCs w:val="24"/>
        </w:rPr>
      </w:pPr>
    </w:p>
    <w:p w14:paraId="7468863A" w14:textId="77777777" w:rsidR="003B695B" w:rsidRDefault="003B695B" w:rsidP="003948EB">
      <w:pPr>
        <w:jc w:val="left"/>
        <w:rPr>
          <w:szCs w:val="24"/>
        </w:rPr>
      </w:pPr>
    </w:p>
    <w:p w14:paraId="68F2499E" w14:textId="77777777" w:rsidR="003B695B" w:rsidRDefault="003B695B" w:rsidP="003948EB">
      <w:pPr>
        <w:jc w:val="left"/>
        <w:rPr>
          <w:szCs w:val="24"/>
        </w:rPr>
      </w:pPr>
    </w:p>
    <w:p w14:paraId="31FF17A1" w14:textId="77777777" w:rsidR="003B695B" w:rsidRDefault="003B695B" w:rsidP="003948EB">
      <w:pPr>
        <w:jc w:val="left"/>
        <w:rPr>
          <w:szCs w:val="24"/>
        </w:rPr>
      </w:pPr>
    </w:p>
    <w:p w14:paraId="223A3E2D" w14:textId="77777777" w:rsidR="003B695B" w:rsidRDefault="003B695B" w:rsidP="003948EB">
      <w:pPr>
        <w:jc w:val="left"/>
        <w:rPr>
          <w:szCs w:val="24"/>
        </w:rPr>
      </w:pPr>
    </w:p>
    <w:p w14:paraId="2F701127" w14:textId="77777777" w:rsidR="003B695B" w:rsidRDefault="003B695B" w:rsidP="003948EB">
      <w:pPr>
        <w:jc w:val="left"/>
        <w:rPr>
          <w:szCs w:val="24"/>
        </w:rPr>
      </w:pPr>
    </w:p>
    <w:p w14:paraId="794EBF9C" w14:textId="77777777" w:rsidR="003B695B" w:rsidRDefault="003B695B" w:rsidP="003948EB">
      <w:pPr>
        <w:jc w:val="left"/>
        <w:rPr>
          <w:szCs w:val="24"/>
        </w:rPr>
      </w:pPr>
    </w:p>
    <w:p w14:paraId="5D19B796" w14:textId="77777777" w:rsidR="003B695B" w:rsidRDefault="003B695B" w:rsidP="003948EB">
      <w:pPr>
        <w:jc w:val="left"/>
        <w:rPr>
          <w:szCs w:val="24"/>
        </w:rPr>
      </w:pPr>
    </w:p>
    <w:p w14:paraId="3EA4CF55" w14:textId="77777777" w:rsidR="003B695B" w:rsidRDefault="003B695B" w:rsidP="003948EB">
      <w:pPr>
        <w:jc w:val="left"/>
        <w:rPr>
          <w:szCs w:val="24"/>
        </w:rPr>
      </w:pPr>
    </w:p>
    <w:p w14:paraId="53B2C18D" w14:textId="77777777" w:rsidR="003B695B" w:rsidRDefault="003B695B" w:rsidP="003948EB">
      <w:pPr>
        <w:jc w:val="left"/>
        <w:rPr>
          <w:szCs w:val="24"/>
        </w:rPr>
      </w:pPr>
    </w:p>
    <w:p w14:paraId="0BB8179E" w14:textId="5EDD647B" w:rsidR="003B695B" w:rsidRDefault="003B695B" w:rsidP="003948EB">
      <w:pPr>
        <w:jc w:val="left"/>
        <w:rPr>
          <w:szCs w:val="24"/>
        </w:rPr>
      </w:pPr>
    </w:p>
    <w:p w14:paraId="6E64BB04" w14:textId="29677DB8" w:rsidR="002E59B0" w:rsidRDefault="002E59B0" w:rsidP="003948EB">
      <w:pPr>
        <w:jc w:val="left"/>
        <w:rPr>
          <w:szCs w:val="24"/>
        </w:rPr>
      </w:pPr>
    </w:p>
    <w:p w14:paraId="024EB9AA" w14:textId="21355C9E" w:rsidR="002E59B0" w:rsidRDefault="002E59B0" w:rsidP="003948EB">
      <w:pPr>
        <w:jc w:val="left"/>
        <w:rPr>
          <w:szCs w:val="24"/>
        </w:rPr>
      </w:pPr>
    </w:p>
    <w:p w14:paraId="172ED32C" w14:textId="77777777" w:rsidR="002E59B0" w:rsidRDefault="002E59B0" w:rsidP="003948EB">
      <w:pPr>
        <w:jc w:val="left"/>
        <w:rPr>
          <w:szCs w:val="24"/>
        </w:rPr>
      </w:pPr>
    </w:p>
    <w:p w14:paraId="422DE0E2" w14:textId="77777777" w:rsidR="003B695B" w:rsidRDefault="003B695B" w:rsidP="003948EB">
      <w:pPr>
        <w:jc w:val="left"/>
        <w:rPr>
          <w:szCs w:val="24"/>
        </w:rPr>
      </w:pPr>
    </w:p>
    <w:p w14:paraId="7519092D" w14:textId="5B4733F2" w:rsidR="003B695B" w:rsidRDefault="003B695B" w:rsidP="003948EB">
      <w:pPr>
        <w:jc w:val="left"/>
        <w:rPr>
          <w:szCs w:val="24"/>
        </w:rPr>
      </w:pPr>
    </w:p>
    <w:p w14:paraId="55A0BC21" w14:textId="77777777" w:rsidR="000C1E80" w:rsidRDefault="000C1E80" w:rsidP="003948EB">
      <w:pPr>
        <w:jc w:val="left"/>
        <w:rPr>
          <w:szCs w:val="24"/>
        </w:rPr>
      </w:pPr>
    </w:p>
    <w:p w14:paraId="384B233C" w14:textId="77777777" w:rsidR="003B695B" w:rsidRPr="003948EB" w:rsidRDefault="003B695B" w:rsidP="003948EB">
      <w:pPr>
        <w:jc w:val="left"/>
        <w:rPr>
          <w:szCs w:val="24"/>
        </w:rPr>
      </w:pPr>
    </w:p>
    <w:p w14:paraId="35937FA7" w14:textId="75B509F3" w:rsidR="003948EB" w:rsidRDefault="003948EB" w:rsidP="003948EB">
      <w:pPr>
        <w:jc w:val="center"/>
        <w:rPr>
          <w:b/>
          <w:szCs w:val="24"/>
        </w:rPr>
      </w:pPr>
      <w:r w:rsidRPr="003948EB">
        <w:rPr>
          <w:b/>
          <w:szCs w:val="24"/>
        </w:rPr>
        <w:t>O B R A Z L O Ž E NJ E</w:t>
      </w:r>
    </w:p>
    <w:p w14:paraId="3D4BB04E" w14:textId="77777777" w:rsidR="00D21863" w:rsidRPr="003948EB" w:rsidRDefault="00D21863" w:rsidP="003948EB">
      <w:pPr>
        <w:jc w:val="center"/>
        <w:rPr>
          <w:b/>
          <w:szCs w:val="24"/>
        </w:rPr>
      </w:pPr>
    </w:p>
    <w:p w14:paraId="769505C0" w14:textId="77777777" w:rsidR="003948EB" w:rsidRPr="003948EB" w:rsidRDefault="003948EB" w:rsidP="003948EB">
      <w:pPr>
        <w:jc w:val="center"/>
        <w:rPr>
          <w:szCs w:val="24"/>
        </w:rPr>
      </w:pPr>
    </w:p>
    <w:p w14:paraId="075ECEEF" w14:textId="54E1C27D" w:rsidR="00546783" w:rsidRDefault="002E59B0" w:rsidP="00546783">
      <w:pPr>
        <w:ind w:firstLine="708"/>
        <w:rPr>
          <w:szCs w:val="24"/>
        </w:rPr>
      </w:pPr>
      <w:r w:rsidRPr="002E59B0">
        <w:rPr>
          <w:szCs w:val="24"/>
        </w:rPr>
        <w:t>Klub zastupnika Hrvatske narodne stranke - liberalnih demokrata, Hrvatske stranke umirovljenika i nezavisnih zastupnika</w:t>
      </w:r>
      <w:r>
        <w:rPr>
          <w:szCs w:val="24"/>
        </w:rPr>
        <w:t xml:space="preserve"> </w:t>
      </w:r>
      <w:r w:rsidR="00546783">
        <w:rPr>
          <w:szCs w:val="24"/>
        </w:rPr>
        <w:t xml:space="preserve">podnio je amandman na </w:t>
      </w:r>
      <w:r w:rsidR="00546783" w:rsidRPr="00101C4B">
        <w:rPr>
          <w:szCs w:val="24"/>
        </w:rPr>
        <w:t>Konačni prijedlog</w:t>
      </w:r>
      <w:r w:rsidR="00546783">
        <w:rPr>
          <w:szCs w:val="24"/>
        </w:rPr>
        <w:t xml:space="preserve"> Zakona o </w:t>
      </w:r>
      <w:r>
        <w:rPr>
          <w:szCs w:val="24"/>
        </w:rPr>
        <w:t>suzbijanju neprijavljenoga rada</w:t>
      </w:r>
      <w:r w:rsidR="00546783">
        <w:rPr>
          <w:szCs w:val="24"/>
        </w:rPr>
        <w:t xml:space="preserve">, </w:t>
      </w:r>
      <w:r w:rsidR="00546783" w:rsidRPr="00101C4B">
        <w:rPr>
          <w:szCs w:val="24"/>
        </w:rPr>
        <w:t xml:space="preserve">i to na članak </w:t>
      </w:r>
      <w:r>
        <w:rPr>
          <w:szCs w:val="24"/>
        </w:rPr>
        <w:t>22</w:t>
      </w:r>
      <w:r w:rsidR="00546783" w:rsidRPr="00101C4B">
        <w:rPr>
          <w:szCs w:val="24"/>
        </w:rPr>
        <w:t xml:space="preserve">. </w:t>
      </w:r>
      <w:r>
        <w:rPr>
          <w:szCs w:val="24"/>
        </w:rPr>
        <w:t>stav</w:t>
      </w:r>
      <w:r w:rsidR="000C1E80">
        <w:rPr>
          <w:szCs w:val="24"/>
        </w:rPr>
        <w:t>ak</w:t>
      </w:r>
      <w:r>
        <w:rPr>
          <w:szCs w:val="24"/>
        </w:rPr>
        <w:t xml:space="preserve"> 1. </w:t>
      </w:r>
      <w:r w:rsidR="00546783">
        <w:rPr>
          <w:szCs w:val="24"/>
        </w:rPr>
        <w:t>te</w:t>
      </w:r>
      <w:r w:rsidR="00546783" w:rsidRPr="00101C4B">
        <w:rPr>
          <w:szCs w:val="24"/>
        </w:rPr>
        <w:t xml:space="preserve"> predlaže</w:t>
      </w:r>
      <w:r w:rsidR="00546783">
        <w:rPr>
          <w:szCs w:val="24"/>
        </w:rPr>
        <w:t>:</w:t>
      </w:r>
    </w:p>
    <w:p w14:paraId="20CE259B" w14:textId="1F856B26" w:rsidR="005E1E19" w:rsidRDefault="005E1E19" w:rsidP="00546783">
      <w:pPr>
        <w:ind w:firstLine="708"/>
        <w:rPr>
          <w:szCs w:val="24"/>
        </w:rPr>
      </w:pPr>
    </w:p>
    <w:p w14:paraId="5E302AB7" w14:textId="77777777" w:rsidR="002E59B0" w:rsidRPr="00626014" w:rsidRDefault="002E59B0" w:rsidP="00626014">
      <w:pPr>
        <w:ind w:firstLine="708"/>
        <w:rPr>
          <w:szCs w:val="24"/>
        </w:rPr>
      </w:pPr>
      <w:r w:rsidRPr="00626014">
        <w:rPr>
          <w:szCs w:val="24"/>
        </w:rPr>
        <w:t>U članku 22. stavku 1. riječi: „jedne godine“ zamjenjuje se riječima „šest mjeseci“.</w:t>
      </w:r>
    </w:p>
    <w:p w14:paraId="3790003F" w14:textId="77777777" w:rsidR="000C1E80" w:rsidRDefault="000C1E80" w:rsidP="00626014">
      <w:pPr>
        <w:ind w:firstLine="708"/>
        <w:rPr>
          <w:szCs w:val="24"/>
        </w:rPr>
      </w:pPr>
    </w:p>
    <w:p w14:paraId="314D933E" w14:textId="77777777" w:rsidR="000C1E80" w:rsidRPr="000C1E80" w:rsidRDefault="000C1E80" w:rsidP="000C1E80">
      <w:pPr>
        <w:ind w:firstLine="708"/>
        <w:rPr>
          <w:szCs w:val="24"/>
        </w:rPr>
      </w:pPr>
      <w:r w:rsidRPr="000C1E80">
        <w:rPr>
          <w:szCs w:val="24"/>
        </w:rPr>
        <w:t>U obrazloženju amandmana navodi se da je šest mjeseci dovoljan rok za ministarstvo da prikupi podatke od inspekcije rada i ostalih nadležnih subjekata.</w:t>
      </w:r>
    </w:p>
    <w:p w14:paraId="153B5DDE" w14:textId="77777777" w:rsidR="00503223" w:rsidRPr="00046554" w:rsidRDefault="00503223" w:rsidP="00046554">
      <w:pPr>
        <w:ind w:firstLine="708"/>
        <w:rPr>
          <w:szCs w:val="24"/>
        </w:rPr>
      </w:pPr>
    </w:p>
    <w:p w14:paraId="0D1EAE54" w14:textId="75193232" w:rsidR="00503223" w:rsidRDefault="00503223" w:rsidP="00E55274">
      <w:pPr>
        <w:ind w:firstLine="708"/>
        <w:rPr>
          <w:szCs w:val="24"/>
        </w:rPr>
      </w:pPr>
      <w:r w:rsidRPr="00046554">
        <w:rPr>
          <w:szCs w:val="24"/>
        </w:rPr>
        <w:t>Razlog prihvaćanja ovog amandmana</w:t>
      </w:r>
      <w:r w:rsidR="002E59B0">
        <w:rPr>
          <w:szCs w:val="24"/>
        </w:rPr>
        <w:t xml:space="preserve"> u dijelu koji se odnosi na stavak 1. </w:t>
      </w:r>
      <w:r w:rsidRPr="00046554">
        <w:rPr>
          <w:szCs w:val="24"/>
        </w:rPr>
        <w:t>je</w:t>
      </w:r>
      <w:r w:rsidR="002E59B0">
        <w:rPr>
          <w:szCs w:val="24"/>
        </w:rPr>
        <w:t xml:space="preserve"> što brža uspostava </w:t>
      </w:r>
      <w:r w:rsidR="00626014">
        <w:rPr>
          <w:szCs w:val="24"/>
        </w:rPr>
        <w:t>popisa</w:t>
      </w:r>
      <w:r w:rsidR="002E59B0">
        <w:rPr>
          <w:szCs w:val="24"/>
        </w:rPr>
        <w:t xml:space="preserve"> poslodavaca kod kojih je utvrđen neprijavljeni rad, kao i onih koji poštuju propise vezane uz radno pravne obveze. </w:t>
      </w:r>
    </w:p>
    <w:p w14:paraId="384C8172" w14:textId="6A0EBA1E" w:rsidR="002E59B0" w:rsidRDefault="002E59B0" w:rsidP="00E55274">
      <w:pPr>
        <w:ind w:firstLine="708"/>
        <w:rPr>
          <w:szCs w:val="24"/>
        </w:rPr>
      </w:pPr>
    </w:p>
    <w:p w14:paraId="52070A95" w14:textId="7A02BB22" w:rsidR="002E59B0" w:rsidRDefault="00626014" w:rsidP="00E55274">
      <w:pPr>
        <w:ind w:firstLine="708"/>
        <w:rPr>
          <w:szCs w:val="24"/>
        </w:rPr>
      </w:pPr>
      <w:r>
        <w:rPr>
          <w:szCs w:val="24"/>
        </w:rPr>
        <w:t>Prvi od ova dva popisa ima, osim represivne, i preventivnu ulogu. Već sama činjenica da bi se mogao naći na ovom negativnom popisu trebala bi navesti poslodavce da uredno prijavljuju svoje radnike. Skraćivanje roka za donošenje pravilnika utjecati će na loše poslodavce kao poticaj da odmah odustanu od korištenja neprijavljenoga rada.</w:t>
      </w:r>
    </w:p>
    <w:p w14:paraId="55D207B4" w14:textId="757E6412" w:rsidR="00626014" w:rsidRDefault="00626014" w:rsidP="00E55274">
      <w:pPr>
        <w:ind w:firstLine="708"/>
        <w:rPr>
          <w:szCs w:val="24"/>
        </w:rPr>
      </w:pPr>
    </w:p>
    <w:p w14:paraId="0CD20505" w14:textId="2588D1BE" w:rsidR="00626014" w:rsidRPr="00046554" w:rsidRDefault="00626014" w:rsidP="00E55274">
      <w:pPr>
        <w:ind w:firstLine="708"/>
        <w:rPr>
          <w:szCs w:val="24"/>
        </w:rPr>
      </w:pPr>
      <w:r>
        <w:rPr>
          <w:szCs w:val="24"/>
        </w:rPr>
        <w:t>Također, drugi popis ima poticajnu ulogu u smislu promoviranja onih poslodavaca kod kojih je obavljen inspekcijski nadzor, ali nisu pronađene nepravilnosti. Smatra se svrsishodno što prije omogućiti dobrim poslodavcima da iskoriste prednosti pojavljivanja na takvom pozitivnom popisu.</w:t>
      </w:r>
    </w:p>
    <w:p w14:paraId="585B7681" w14:textId="77777777" w:rsidR="004C5847" w:rsidRPr="004C5847" w:rsidRDefault="004C5847" w:rsidP="00626014">
      <w:pPr>
        <w:rPr>
          <w:szCs w:val="24"/>
        </w:rPr>
      </w:pPr>
      <w:r w:rsidRPr="004C5847">
        <w:rPr>
          <w:szCs w:val="24"/>
        </w:rPr>
        <w:t> </w:t>
      </w:r>
    </w:p>
    <w:p w14:paraId="1A5C88D4" w14:textId="7E02ED87" w:rsidR="00AE0055" w:rsidRPr="00101C4B" w:rsidRDefault="00AE0055" w:rsidP="00AE0055">
      <w:pPr>
        <w:ind w:firstLine="708"/>
        <w:rPr>
          <w:szCs w:val="24"/>
        </w:rPr>
      </w:pPr>
      <w:r w:rsidRPr="00101C4B">
        <w:rPr>
          <w:szCs w:val="24"/>
        </w:rPr>
        <w:t xml:space="preserve">Slijedom navedenoga, amandman </w:t>
      </w:r>
      <w:r w:rsidR="00626014">
        <w:rPr>
          <w:szCs w:val="24"/>
        </w:rPr>
        <w:t>je</w:t>
      </w:r>
      <w:r w:rsidRPr="00101C4B">
        <w:rPr>
          <w:szCs w:val="24"/>
        </w:rPr>
        <w:t xml:space="preserve"> osnovan te se daje prethodna suglasnost predstavniku Vlade Republike Hrvatske za prihvaćanje naveden</w:t>
      </w:r>
      <w:r w:rsidR="00626014">
        <w:rPr>
          <w:szCs w:val="24"/>
        </w:rPr>
        <w:t>og</w:t>
      </w:r>
      <w:r w:rsidRPr="00101C4B">
        <w:rPr>
          <w:szCs w:val="24"/>
        </w:rPr>
        <w:t xml:space="preserve"> amandmana.</w:t>
      </w:r>
    </w:p>
    <w:p w14:paraId="036F08CA" w14:textId="17C5A0F0" w:rsidR="00B16DA3" w:rsidRPr="00B16DA3" w:rsidRDefault="00B16DA3" w:rsidP="00B16DA3">
      <w:pPr>
        <w:rPr>
          <w:szCs w:val="24"/>
        </w:rPr>
      </w:pPr>
    </w:p>
    <w:p w14:paraId="55B0D23F" w14:textId="77777777" w:rsidR="00B16DA3" w:rsidRPr="00B16DA3" w:rsidRDefault="00B16DA3" w:rsidP="00B16DA3">
      <w:pPr>
        <w:rPr>
          <w:b/>
          <w:szCs w:val="24"/>
          <w:u w:val="single"/>
        </w:rPr>
      </w:pPr>
    </w:p>
    <w:p w14:paraId="7B7EA2CF" w14:textId="77777777" w:rsidR="00B16DA3" w:rsidRPr="00B16DA3" w:rsidRDefault="00B16DA3" w:rsidP="00B16DA3">
      <w:pPr>
        <w:rPr>
          <w:szCs w:val="24"/>
        </w:rPr>
      </w:pPr>
    </w:p>
    <w:p w14:paraId="0C02A433" w14:textId="77777777" w:rsidR="00F94115" w:rsidRDefault="00F94115" w:rsidP="00F94115">
      <w:pPr>
        <w:pStyle w:val="xmsonormal"/>
      </w:pPr>
      <w:bookmarkStart w:id="1" w:name="_Hlk86266227"/>
      <w:bookmarkEnd w:id="1"/>
    </w:p>
    <w:sectPr w:rsidR="00F94115" w:rsidSect="003948EB">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1FD6" w14:textId="77777777" w:rsidR="00D75D27" w:rsidRDefault="00D75D27" w:rsidP="003948EB">
      <w:r>
        <w:separator/>
      </w:r>
    </w:p>
  </w:endnote>
  <w:endnote w:type="continuationSeparator" w:id="0">
    <w:p w14:paraId="46A6B68E" w14:textId="77777777" w:rsidR="00D75D27" w:rsidRDefault="00D75D27" w:rsidP="003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936139"/>
      <w:docPartObj>
        <w:docPartGallery w:val="Page Numbers (Bottom of Page)"/>
        <w:docPartUnique/>
      </w:docPartObj>
    </w:sdtPr>
    <w:sdtEndPr/>
    <w:sdtContent>
      <w:p w14:paraId="22A8A1B2" w14:textId="13EBD8D2" w:rsidR="003948EB" w:rsidRDefault="003948EB">
        <w:pPr>
          <w:pStyle w:val="Footer"/>
          <w:jc w:val="center"/>
        </w:pPr>
        <w:r>
          <w:fldChar w:fldCharType="begin"/>
        </w:r>
        <w:r>
          <w:instrText>PAGE   \* MERGEFORMAT</w:instrText>
        </w:r>
        <w:r>
          <w:fldChar w:fldCharType="separate"/>
        </w:r>
        <w:r w:rsidR="00FC5365">
          <w:rPr>
            <w:noProof/>
          </w:rPr>
          <w:t>3</w:t>
        </w:r>
        <w:r>
          <w:fldChar w:fldCharType="end"/>
        </w:r>
      </w:p>
    </w:sdtContent>
  </w:sdt>
  <w:p w14:paraId="3A4FF425" w14:textId="77777777" w:rsidR="003948EB" w:rsidRDefault="0039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7A7E3" w14:textId="77777777" w:rsidR="00D75D27" w:rsidRDefault="00D75D27" w:rsidP="003948EB">
      <w:r>
        <w:separator/>
      </w:r>
    </w:p>
  </w:footnote>
  <w:footnote w:type="continuationSeparator" w:id="0">
    <w:p w14:paraId="3856EEF4" w14:textId="77777777" w:rsidR="00D75D27" w:rsidRDefault="00D75D27" w:rsidP="0039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301"/>
    <w:multiLevelType w:val="hybridMultilevel"/>
    <w:tmpl w:val="964682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E034019"/>
    <w:multiLevelType w:val="hybridMultilevel"/>
    <w:tmpl w:val="721035A0"/>
    <w:lvl w:ilvl="0" w:tplc="CD24755C">
      <w:start w:val="1"/>
      <w:numFmt w:val="decimal"/>
      <w:lvlText w:val="%1."/>
      <w:lvlJc w:val="left"/>
      <w:pPr>
        <w:ind w:left="1352" w:hanging="360"/>
      </w:pPr>
      <w:rPr>
        <w:color w:val="1F497D" w:themeColor="text2"/>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716D2C3B"/>
    <w:multiLevelType w:val="hybridMultilevel"/>
    <w:tmpl w:val="3ED26DA2"/>
    <w:lvl w:ilvl="0" w:tplc="A6221AB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1E"/>
    <w:rsid w:val="000235DC"/>
    <w:rsid w:val="00027D4C"/>
    <w:rsid w:val="00042C8F"/>
    <w:rsid w:val="00046554"/>
    <w:rsid w:val="00091DC2"/>
    <w:rsid w:val="000C1E80"/>
    <w:rsid w:val="000D7545"/>
    <w:rsid w:val="000E0386"/>
    <w:rsid w:val="00101C4B"/>
    <w:rsid w:val="001121FD"/>
    <w:rsid w:val="0015609D"/>
    <w:rsid w:val="00171447"/>
    <w:rsid w:val="00174D7A"/>
    <w:rsid w:val="00196972"/>
    <w:rsid w:val="001C5465"/>
    <w:rsid w:val="001E5232"/>
    <w:rsid w:val="002029BB"/>
    <w:rsid w:val="00203945"/>
    <w:rsid w:val="002135E0"/>
    <w:rsid w:val="00222ECE"/>
    <w:rsid w:val="002264C6"/>
    <w:rsid w:val="00243AA4"/>
    <w:rsid w:val="00284E38"/>
    <w:rsid w:val="002C311A"/>
    <w:rsid w:val="002E4884"/>
    <w:rsid w:val="002E59B0"/>
    <w:rsid w:val="003948EB"/>
    <w:rsid w:val="003B695B"/>
    <w:rsid w:val="003C71E0"/>
    <w:rsid w:val="004572E3"/>
    <w:rsid w:val="00476B2E"/>
    <w:rsid w:val="00493E08"/>
    <w:rsid w:val="004C04A7"/>
    <w:rsid w:val="004C5847"/>
    <w:rsid w:val="00503223"/>
    <w:rsid w:val="00510EBD"/>
    <w:rsid w:val="0051545C"/>
    <w:rsid w:val="00546783"/>
    <w:rsid w:val="00562298"/>
    <w:rsid w:val="0057668D"/>
    <w:rsid w:val="005A64B7"/>
    <w:rsid w:val="005D1867"/>
    <w:rsid w:val="005E1E19"/>
    <w:rsid w:val="00626014"/>
    <w:rsid w:val="00637D21"/>
    <w:rsid w:val="00647943"/>
    <w:rsid w:val="00671DDC"/>
    <w:rsid w:val="00674176"/>
    <w:rsid w:val="006911AE"/>
    <w:rsid w:val="0070633F"/>
    <w:rsid w:val="0071002B"/>
    <w:rsid w:val="007161FF"/>
    <w:rsid w:val="00726A9B"/>
    <w:rsid w:val="00733390"/>
    <w:rsid w:val="007A4EC6"/>
    <w:rsid w:val="007B59B8"/>
    <w:rsid w:val="007C6EAD"/>
    <w:rsid w:val="007E1361"/>
    <w:rsid w:val="008074CC"/>
    <w:rsid w:val="008671A4"/>
    <w:rsid w:val="008771C5"/>
    <w:rsid w:val="008A7328"/>
    <w:rsid w:val="008B3062"/>
    <w:rsid w:val="008C0E59"/>
    <w:rsid w:val="00904EE9"/>
    <w:rsid w:val="009B6008"/>
    <w:rsid w:val="009D3BF8"/>
    <w:rsid w:val="009E6EF3"/>
    <w:rsid w:val="009F1854"/>
    <w:rsid w:val="00A04813"/>
    <w:rsid w:val="00A26824"/>
    <w:rsid w:val="00A32A0B"/>
    <w:rsid w:val="00A337C9"/>
    <w:rsid w:val="00A53DF6"/>
    <w:rsid w:val="00AC02E4"/>
    <w:rsid w:val="00AD026A"/>
    <w:rsid w:val="00AE0055"/>
    <w:rsid w:val="00AE6302"/>
    <w:rsid w:val="00B16DA3"/>
    <w:rsid w:val="00B643DE"/>
    <w:rsid w:val="00B86841"/>
    <w:rsid w:val="00B96CBC"/>
    <w:rsid w:val="00BA570C"/>
    <w:rsid w:val="00BD5FB5"/>
    <w:rsid w:val="00C246C1"/>
    <w:rsid w:val="00C26680"/>
    <w:rsid w:val="00C9204D"/>
    <w:rsid w:val="00D21863"/>
    <w:rsid w:val="00D352D8"/>
    <w:rsid w:val="00D65D81"/>
    <w:rsid w:val="00D70835"/>
    <w:rsid w:val="00D75D27"/>
    <w:rsid w:val="00DC30BF"/>
    <w:rsid w:val="00E33B3D"/>
    <w:rsid w:val="00E55274"/>
    <w:rsid w:val="00E706A7"/>
    <w:rsid w:val="00EC2F88"/>
    <w:rsid w:val="00F11499"/>
    <w:rsid w:val="00F63E1E"/>
    <w:rsid w:val="00F92CC8"/>
    <w:rsid w:val="00F94115"/>
    <w:rsid w:val="00FC5365"/>
    <w:rsid w:val="00FD09F7"/>
    <w:rsid w:val="00FF2B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9B5E"/>
  <w15:docId w15:val="{5314280D-81E8-4250-BEAE-EB6E1C1F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E1E"/>
    <w:pPr>
      <w:spacing w:after="0" w:line="240" w:lineRule="auto"/>
      <w:jc w:val="both"/>
    </w:pPr>
    <w:rPr>
      <w:rFonts w:ascii="Times New Roman" w:eastAsia="Times New Roman" w:hAnsi="Times New Roman" w:cs="Times New Roman"/>
      <w:sz w:val="24"/>
      <w:szCs w:val="20"/>
      <w:lang w:eastAsia="hr-HR"/>
    </w:rPr>
  </w:style>
  <w:style w:type="paragraph" w:styleId="Heading2">
    <w:name w:val="heading 2"/>
    <w:basedOn w:val="Normal"/>
    <w:next w:val="Normal"/>
    <w:link w:val="Heading2Char"/>
    <w:uiPriority w:val="9"/>
    <w:semiHidden/>
    <w:unhideWhenUsed/>
    <w:qFormat/>
    <w:rsid w:val="002E59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E1E"/>
    <w:pPr>
      <w:tabs>
        <w:tab w:val="center" w:pos="4536"/>
        <w:tab w:val="right" w:pos="9072"/>
      </w:tabs>
    </w:pPr>
  </w:style>
  <w:style w:type="character" w:customStyle="1" w:styleId="HeaderChar">
    <w:name w:val="Header Char"/>
    <w:basedOn w:val="DefaultParagraphFont"/>
    <w:link w:val="Header"/>
    <w:rsid w:val="00F63E1E"/>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F63E1E"/>
    <w:pPr>
      <w:tabs>
        <w:tab w:val="center" w:pos="4536"/>
        <w:tab w:val="right" w:pos="9072"/>
      </w:tabs>
    </w:pPr>
  </w:style>
  <w:style w:type="character" w:customStyle="1" w:styleId="FooterChar">
    <w:name w:val="Footer Char"/>
    <w:basedOn w:val="DefaultParagraphFont"/>
    <w:link w:val="Footer"/>
    <w:uiPriority w:val="99"/>
    <w:rsid w:val="00F63E1E"/>
    <w:rPr>
      <w:rFonts w:ascii="Times New Roman" w:eastAsia="Times New Roman" w:hAnsi="Times New Roman" w:cs="Times New Roman"/>
      <w:sz w:val="24"/>
      <w:szCs w:val="20"/>
      <w:lang w:eastAsia="hr-HR"/>
    </w:rPr>
  </w:style>
  <w:style w:type="paragraph" w:styleId="BalloonText">
    <w:name w:val="Balloon Text"/>
    <w:basedOn w:val="Normal"/>
    <w:link w:val="BalloonTextChar"/>
    <w:uiPriority w:val="99"/>
    <w:semiHidden/>
    <w:unhideWhenUsed/>
    <w:rsid w:val="00F63E1E"/>
    <w:rPr>
      <w:rFonts w:ascii="Tahoma" w:hAnsi="Tahoma" w:cs="Tahoma"/>
      <w:sz w:val="16"/>
      <w:szCs w:val="16"/>
    </w:rPr>
  </w:style>
  <w:style w:type="character" w:customStyle="1" w:styleId="BalloonTextChar">
    <w:name w:val="Balloon Text Char"/>
    <w:basedOn w:val="DefaultParagraphFont"/>
    <w:link w:val="BalloonText"/>
    <w:uiPriority w:val="99"/>
    <w:semiHidden/>
    <w:rsid w:val="00F63E1E"/>
    <w:rPr>
      <w:rFonts w:ascii="Tahoma" w:eastAsia="Times New Roman" w:hAnsi="Tahoma" w:cs="Tahoma"/>
      <w:sz w:val="16"/>
      <w:szCs w:val="16"/>
      <w:lang w:eastAsia="hr-HR"/>
    </w:rPr>
  </w:style>
  <w:style w:type="paragraph" w:customStyle="1" w:styleId="xmsonormal">
    <w:name w:val="x_msonormal"/>
    <w:basedOn w:val="Normal"/>
    <w:rsid w:val="004C5847"/>
    <w:pPr>
      <w:jc w:val="left"/>
    </w:pPr>
    <w:rPr>
      <w:rFonts w:ascii="Calibri" w:eastAsiaTheme="minorHAnsi" w:hAnsi="Calibri" w:cs="Calibri"/>
      <w:sz w:val="22"/>
      <w:szCs w:val="22"/>
    </w:rPr>
  </w:style>
  <w:style w:type="paragraph" w:styleId="ListParagraph">
    <w:name w:val="List Paragraph"/>
    <w:basedOn w:val="Normal"/>
    <w:uiPriority w:val="34"/>
    <w:qFormat/>
    <w:rsid w:val="00F92CC8"/>
    <w:pPr>
      <w:ind w:left="720"/>
      <w:contextualSpacing/>
    </w:pPr>
  </w:style>
  <w:style w:type="character" w:customStyle="1" w:styleId="Heading2Char">
    <w:name w:val="Heading 2 Char"/>
    <w:basedOn w:val="DefaultParagraphFont"/>
    <w:link w:val="Heading2"/>
    <w:uiPriority w:val="9"/>
    <w:semiHidden/>
    <w:rsid w:val="002E59B0"/>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907">
      <w:bodyDiv w:val="1"/>
      <w:marLeft w:val="0"/>
      <w:marRight w:val="0"/>
      <w:marTop w:val="0"/>
      <w:marBottom w:val="0"/>
      <w:divBdr>
        <w:top w:val="none" w:sz="0" w:space="0" w:color="auto"/>
        <w:left w:val="none" w:sz="0" w:space="0" w:color="auto"/>
        <w:bottom w:val="none" w:sz="0" w:space="0" w:color="auto"/>
        <w:right w:val="none" w:sz="0" w:space="0" w:color="auto"/>
      </w:divBdr>
    </w:div>
    <w:div w:id="229923014">
      <w:bodyDiv w:val="1"/>
      <w:marLeft w:val="0"/>
      <w:marRight w:val="0"/>
      <w:marTop w:val="0"/>
      <w:marBottom w:val="0"/>
      <w:divBdr>
        <w:top w:val="none" w:sz="0" w:space="0" w:color="auto"/>
        <w:left w:val="none" w:sz="0" w:space="0" w:color="auto"/>
        <w:bottom w:val="none" w:sz="0" w:space="0" w:color="auto"/>
        <w:right w:val="none" w:sz="0" w:space="0" w:color="auto"/>
      </w:divBdr>
    </w:div>
    <w:div w:id="231278589">
      <w:bodyDiv w:val="1"/>
      <w:marLeft w:val="0"/>
      <w:marRight w:val="0"/>
      <w:marTop w:val="0"/>
      <w:marBottom w:val="0"/>
      <w:divBdr>
        <w:top w:val="none" w:sz="0" w:space="0" w:color="auto"/>
        <w:left w:val="none" w:sz="0" w:space="0" w:color="auto"/>
        <w:bottom w:val="none" w:sz="0" w:space="0" w:color="auto"/>
        <w:right w:val="none" w:sz="0" w:space="0" w:color="auto"/>
      </w:divBdr>
    </w:div>
    <w:div w:id="596985927">
      <w:bodyDiv w:val="1"/>
      <w:marLeft w:val="0"/>
      <w:marRight w:val="0"/>
      <w:marTop w:val="0"/>
      <w:marBottom w:val="0"/>
      <w:divBdr>
        <w:top w:val="none" w:sz="0" w:space="0" w:color="auto"/>
        <w:left w:val="none" w:sz="0" w:space="0" w:color="auto"/>
        <w:bottom w:val="none" w:sz="0" w:space="0" w:color="auto"/>
        <w:right w:val="none" w:sz="0" w:space="0" w:color="auto"/>
      </w:divBdr>
    </w:div>
    <w:div w:id="933897981">
      <w:bodyDiv w:val="1"/>
      <w:marLeft w:val="0"/>
      <w:marRight w:val="0"/>
      <w:marTop w:val="0"/>
      <w:marBottom w:val="0"/>
      <w:divBdr>
        <w:top w:val="none" w:sz="0" w:space="0" w:color="auto"/>
        <w:left w:val="none" w:sz="0" w:space="0" w:color="auto"/>
        <w:bottom w:val="none" w:sz="0" w:space="0" w:color="auto"/>
        <w:right w:val="none" w:sz="0" w:space="0" w:color="auto"/>
      </w:divBdr>
    </w:div>
    <w:div w:id="1163012265">
      <w:bodyDiv w:val="1"/>
      <w:marLeft w:val="0"/>
      <w:marRight w:val="0"/>
      <w:marTop w:val="0"/>
      <w:marBottom w:val="0"/>
      <w:divBdr>
        <w:top w:val="none" w:sz="0" w:space="0" w:color="auto"/>
        <w:left w:val="none" w:sz="0" w:space="0" w:color="auto"/>
        <w:bottom w:val="none" w:sz="0" w:space="0" w:color="auto"/>
        <w:right w:val="none" w:sz="0" w:space="0" w:color="auto"/>
      </w:divBdr>
    </w:div>
    <w:div w:id="1421373466">
      <w:bodyDiv w:val="1"/>
      <w:marLeft w:val="0"/>
      <w:marRight w:val="0"/>
      <w:marTop w:val="0"/>
      <w:marBottom w:val="0"/>
      <w:divBdr>
        <w:top w:val="none" w:sz="0" w:space="0" w:color="auto"/>
        <w:left w:val="none" w:sz="0" w:space="0" w:color="auto"/>
        <w:bottom w:val="none" w:sz="0" w:space="0" w:color="auto"/>
        <w:right w:val="none" w:sz="0" w:space="0" w:color="auto"/>
      </w:divBdr>
    </w:div>
    <w:div w:id="1429888790">
      <w:bodyDiv w:val="1"/>
      <w:marLeft w:val="0"/>
      <w:marRight w:val="0"/>
      <w:marTop w:val="0"/>
      <w:marBottom w:val="0"/>
      <w:divBdr>
        <w:top w:val="none" w:sz="0" w:space="0" w:color="auto"/>
        <w:left w:val="none" w:sz="0" w:space="0" w:color="auto"/>
        <w:bottom w:val="none" w:sz="0" w:space="0" w:color="auto"/>
        <w:right w:val="none" w:sz="0" w:space="0" w:color="auto"/>
      </w:divBdr>
    </w:div>
    <w:div w:id="1583635359">
      <w:bodyDiv w:val="1"/>
      <w:marLeft w:val="0"/>
      <w:marRight w:val="0"/>
      <w:marTop w:val="0"/>
      <w:marBottom w:val="0"/>
      <w:divBdr>
        <w:top w:val="none" w:sz="0" w:space="0" w:color="auto"/>
        <w:left w:val="none" w:sz="0" w:space="0" w:color="auto"/>
        <w:bottom w:val="none" w:sz="0" w:space="0" w:color="auto"/>
        <w:right w:val="none" w:sz="0" w:space="0" w:color="auto"/>
      </w:divBdr>
    </w:div>
    <w:div w:id="1699427427">
      <w:bodyDiv w:val="1"/>
      <w:marLeft w:val="0"/>
      <w:marRight w:val="0"/>
      <w:marTop w:val="0"/>
      <w:marBottom w:val="0"/>
      <w:divBdr>
        <w:top w:val="none" w:sz="0" w:space="0" w:color="auto"/>
        <w:left w:val="none" w:sz="0" w:space="0" w:color="auto"/>
        <w:bottom w:val="none" w:sz="0" w:space="0" w:color="auto"/>
        <w:right w:val="none" w:sz="0" w:space="0" w:color="auto"/>
      </w:divBdr>
    </w:div>
    <w:div w:id="19767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AF9F-730E-4340-A954-BEE7FBA569E3}">
  <ds:schemaRefs>
    <ds:schemaRef ds:uri="http://schemas.microsoft.com/sharepoint/v3/contenttype/forms"/>
  </ds:schemaRefs>
</ds:datastoreItem>
</file>

<file path=customXml/itemProps2.xml><?xml version="1.0" encoding="utf-8"?>
<ds:datastoreItem xmlns:ds="http://schemas.openxmlformats.org/officeDocument/2006/customXml" ds:itemID="{DD5045B1-F7C9-44B3-9438-C6C8C56D568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9E2E96-BC76-43D8-BFAF-52C3F4861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77D67-4D96-4111-A709-790683522F7A}">
  <ds:schemaRefs>
    <ds:schemaRef ds:uri="http://schemas.microsoft.com/sharepoint/events"/>
  </ds:schemaRefs>
</ds:datastoreItem>
</file>

<file path=customXml/itemProps5.xml><?xml version="1.0" encoding="utf-8"?>
<ds:datastoreItem xmlns:ds="http://schemas.openxmlformats.org/officeDocument/2006/customXml" ds:itemID="{6965AF2D-3D2E-4B8F-8944-8F128029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Duspara</dc:creator>
  <cp:lastModifiedBy>Maja Lebarović</cp:lastModifiedBy>
  <cp:revision>4</cp:revision>
  <cp:lastPrinted>2021-07-07T11:20:00Z</cp:lastPrinted>
  <dcterms:created xsi:type="dcterms:W3CDTF">2022-12-13T07:40:00Z</dcterms:created>
  <dcterms:modified xsi:type="dcterms:W3CDTF">2022-12-14T10:36:00Z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