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89" w:rsidRPr="00C208B8" w:rsidRDefault="00675B89" w:rsidP="00675B89">
      <w:pPr>
        <w:jc w:val="center"/>
      </w:pPr>
      <w:bookmarkStart w:id="0" w:name="_GoBack"/>
      <w:bookmarkEnd w:id="0"/>
      <w:r>
        <w:rPr>
          <w:noProof/>
        </w:rPr>
        <w:drawing>
          <wp:inline distT="0" distB="0" distL="0" distR="0" wp14:anchorId="2C2AE478" wp14:editId="048BA04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675B89" w:rsidRPr="0023763F" w:rsidRDefault="00675B89" w:rsidP="00675B89">
      <w:pPr>
        <w:spacing w:before="60" w:after="1680"/>
        <w:jc w:val="center"/>
        <w:rPr>
          <w:sz w:val="28"/>
        </w:rPr>
      </w:pPr>
      <w:r w:rsidRPr="0023763F">
        <w:rPr>
          <w:sz w:val="28"/>
        </w:rPr>
        <w:t>VLADA REPUBLIKE HRVATSKE</w:t>
      </w:r>
    </w:p>
    <w:p w:rsidR="00675B89" w:rsidRDefault="00675B89" w:rsidP="00675B89"/>
    <w:p w:rsidR="00675B89" w:rsidRPr="003A2F05" w:rsidRDefault="00675B89" w:rsidP="00675B89">
      <w:pPr>
        <w:spacing w:after="2400"/>
        <w:jc w:val="right"/>
      </w:pPr>
      <w:r w:rsidRPr="00FB75F5">
        <w:t xml:space="preserve">Zagreb, </w:t>
      </w:r>
      <w:r>
        <w:t>8. rujna</w:t>
      </w:r>
      <w:r w:rsidRPr="00FB75F5">
        <w:t xml:space="preserve"> 2022</w:t>
      </w:r>
      <w:r w:rsidRPr="003A2F05">
        <w:t>.</w:t>
      </w:r>
    </w:p>
    <w:p w:rsidR="00675B89" w:rsidRPr="002179F8" w:rsidRDefault="00675B89" w:rsidP="00675B89">
      <w:pPr>
        <w:spacing w:line="360" w:lineRule="auto"/>
      </w:pPr>
      <w:r w:rsidRPr="002179F8">
        <w:t>__________________________________________________________________________</w:t>
      </w:r>
    </w:p>
    <w:p w:rsidR="00675B89" w:rsidRDefault="00675B89" w:rsidP="00675B89">
      <w:pPr>
        <w:tabs>
          <w:tab w:val="right" w:pos="1701"/>
          <w:tab w:val="left" w:pos="1843"/>
        </w:tabs>
        <w:spacing w:line="360" w:lineRule="auto"/>
        <w:ind w:left="1843" w:hanging="1843"/>
        <w:rPr>
          <w:b/>
          <w:smallCaps/>
        </w:rPr>
        <w:sectPr w:rsidR="00675B89" w:rsidSect="00A961B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75B89" w:rsidTr="00675B89">
        <w:tc>
          <w:tcPr>
            <w:tcW w:w="1949" w:type="dxa"/>
          </w:tcPr>
          <w:p w:rsidR="00675B89" w:rsidRDefault="00675B89" w:rsidP="00744030">
            <w:pPr>
              <w:spacing w:line="360" w:lineRule="auto"/>
              <w:jc w:val="right"/>
            </w:pPr>
            <w:r w:rsidRPr="003A2F05">
              <w:rPr>
                <w:b/>
                <w:smallCaps/>
              </w:rPr>
              <w:lastRenderedPageBreak/>
              <w:t>Predlagatelj</w:t>
            </w:r>
            <w:r w:rsidRPr="002179F8">
              <w:rPr>
                <w:b/>
              </w:rPr>
              <w:t>:</w:t>
            </w:r>
          </w:p>
        </w:tc>
        <w:tc>
          <w:tcPr>
            <w:tcW w:w="7123" w:type="dxa"/>
          </w:tcPr>
          <w:p w:rsidR="00675B89" w:rsidRDefault="00675B89" w:rsidP="00744030">
            <w:pPr>
              <w:spacing w:line="360" w:lineRule="auto"/>
            </w:pPr>
            <w:r>
              <w:t>Ministarstvo gospodarstva i održivog razvoja</w:t>
            </w:r>
          </w:p>
        </w:tc>
      </w:tr>
    </w:tbl>
    <w:p w:rsidR="00675B89" w:rsidRPr="002179F8" w:rsidRDefault="00675B89" w:rsidP="00675B89">
      <w:pPr>
        <w:tabs>
          <w:tab w:val="left" w:pos="1843"/>
        </w:tabs>
        <w:spacing w:line="360" w:lineRule="auto"/>
        <w:ind w:left="1843" w:hanging="1843"/>
      </w:pPr>
      <w:r w:rsidRPr="002179F8">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75B89" w:rsidTr="00744030">
        <w:tc>
          <w:tcPr>
            <w:tcW w:w="1951" w:type="dxa"/>
          </w:tcPr>
          <w:p w:rsidR="00675B89" w:rsidRDefault="00675B89" w:rsidP="00744030">
            <w:pPr>
              <w:spacing w:line="360" w:lineRule="auto"/>
              <w:jc w:val="right"/>
            </w:pPr>
            <w:r>
              <w:rPr>
                <w:b/>
                <w:smallCaps/>
              </w:rPr>
              <w:t>Predmet</w:t>
            </w:r>
            <w:r w:rsidRPr="002179F8">
              <w:rPr>
                <w:b/>
              </w:rPr>
              <w:t>:</w:t>
            </w:r>
          </w:p>
        </w:tc>
        <w:tc>
          <w:tcPr>
            <w:tcW w:w="7229" w:type="dxa"/>
          </w:tcPr>
          <w:p w:rsidR="00675B89" w:rsidRDefault="00675B89" w:rsidP="00744030">
            <w:pPr>
              <w:jc w:val="both"/>
            </w:pPr>
            <w:r w:rsidRPr="00A84A2B">
              <w:t>Prijedlog uredbe o otklanjanju poremećaja na tržištu energenata</w:t>
            </w:r>
          </w:p>
        </w:tc>
      </w:tr>
    </w:tbl>
    <w:p w:rsidR="00675B89" w:rsidRDefault="00675B89" w:rsidP="00412691">
      <w:pPr>
        <w:spacing w:line="360" w:lineRule="auto"/>
      </w:pPr>
      <w:r w:rsidRPr="002179F8">
        <w:t>________________________________________________________________________</w:t>
      </w:r>
      <w:r>
        <w:t>__</w:t>
      </w: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pPr>
    </w:p>
    <w:p w:rsidR="00412691" w:rsidRPr="00CE78D1" w:rsidRDefault="00412691" w:rsidP="0041269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412691" w:rsidRDefault="00412691" w:rsidP="00412691">
      <w:pPr>
        <w:spacing w:line="360" w:lineRule="auto"/>
      </w:pPr>
    </w:p>
    <w:p w:rsidR="00412691" w:rsidRDefault="00412691" w:rsidP="00412691">
      <w:pPr>
        <w:spacing w:line="360" w:lineRule="auto"/>
      </w:pPr>
    </w:p>
    <w:p w:rsidR="00412691" w:rsidRDefault="00412691" w:rsidP="00412691">
      <w:pPr>
        <w:spacing w:line="360" w:lineRule="auto"/>
        <w:rPr>
          <w:b/>
          <w:smallCaps/>
        </w:rPr>
        <w:sectPr w:rsidR="00412691" w:rsidSect="006977AD">
          <w:type w:val="continuous"/>
          <w:pgSz w:w="11906" w:h="16838"/>
          <w:pgMar w:top="993" w:right="1417" w:bottom="1417" w:left="1417" w:header="709" w:footer="658" w:gutter="0"/>
          <w:cols w:space="708"/>
          <w:docGrid w:linePitch="360"/>
        </w:sectPr>
      </w:pPr>
    </w:p>
    <w:p w:rsidR="00675B89" w:rsidRPr="00CE78D1" w:rsidRDefault="00675B89" w:rsidP="00675B89"/>
    <w:p w:rsidR="00675B89" w:rsidRPr="00CE78D1" w:rsidRDefault="00675B89" w:rsidP="00675B89"/>
    <w:p w:rsidR="002B1764" w:rsidRDefault="002B1764" w:rsidP="006D4E90">
      <w:pPr>
        <w:jc w:val="both"/>
      </w:pPr>
    </w:p>
    <w:p w:rsidR="00412691" w:rsidRDefault="00412691" w:rsidP="006D4E90">
      <w:pPr>
        <w:jc w:val="both"/>
      </w:pPr>
    </w:p>
    <w:p w:rsidR="002721C0" w:rsidRPr="002721C0" w:rsidRDefault="002721C0" w:rsidP="006D4E90">
      <w:pPr>
        <w:ind w:firstLine="1418"/>
        <w:jc w:val="both"/>
      </w:pPr>
      <w:r w:rsidRPr="002721C0">
        <w:t>Na temelju članka 26. Zakona o energiji</w:t>
      </w:r>
      <w:r w:rsidRPr="002721C0">
        <w:rPr>
          <w:color w:val="231F20"/>
          <w:shd w:val="clear" w:color="auto" w:fill="FFFFFF"/>
        </w:rPr>
        <w:t xml:space="preserve"> („Narodne novine“, br. 120/12., 14/14., 102/15. i 68/18.) i članka </w:t>
      </w:r>
      <w:r w:rsidRPr="002721C0">
        <w:t>30. stavka 1. Zakona o Vladi Republike Hrvatske („Narodne novine</w:t>
      </w:r>
      <w:r w:rsidR="00C83652" w:rsidRPr="002721C0">
        <w:rPr>
          <w:color w:val="231F20"/>
          <w:shd w:val="clear" w:color="auto" w:fill="FFFFFF"/>
        </w:rPr>
        <w:t>“</w:t>
      </w:r>
      <w:r w:rsidRPr="002721C0">
        <w:t>, br. 150/11</w:t>
      </w:r>
      <w:r w:rsidR="00C83652">
        <w:t>.</w:t>
      </w:r>
      <w:r w:rsidRPr="002721C0">
        <w:t>, 119/14</w:t>
      </w:r>
      <w:r w:rsidR="00C83652">
        <w:t>.</w:t>
      </w:r>
      <w:r w:rsidRPr="002721C0">
        <w:t>, 93/16</w:t>
      </w:r>
      <w:r w:rsidR="00C83652">
        <w:t>.</w:t>
      </w:r>
      <w:r w:rsidRPr="002721C0">
        <w:t>, 116/18</w:t>
      </w:r>
      <w:r w:rsidR="00C83652">
        <w:t>.</w:t>
      </w:r>
      <w:r w:rsidRPr="002721C0">
        <w:t xml:space="preserve"> i 80/22</w:t>
      </w:r>
      <w:r w:rsidR="00C83652">
        <w:t>.</w:t>
      </w:r>
      <w:r w:rsidRPr="002721C0">
        <w:t>), a u vezi s člankom 120. Zakon o tržištu električne energije („Narodne novine“, br</w:t>
      </w:r>
      <w:r w:rsidR="00C83652">
        <w:t>oj</w:t>
      </w:r>
      <w:r w:rsidRPr="002721C0">
        <w:t xml:space="preserve"> 111/21</w:t>
      </w:r>
      <w:r w:rsidR="00C83652">
        <w:t>.</w:t>
      </w:r>
      <w:r w:rsidRPr="002721C0">
        <w:t>)</w:t>
      </w:r>
      <w:r w:rsidR="00C83652">
        <w:t>,</w:t>
      </w:r>
      <w:r w:rsidRPr="002721C0">
        <w:t xml:space="preserve"> Vlada Republike Hrvatske je na sjednici održanoj</w:t>
      </w:r>
      <w:r w:rsidR="00C83652">
        <w:t xml:space="preserve"> </w:t>
      </w:r>
      <w:r w:rsidR="00675B89">
        <w:t>__________</w:t>
      </w:r>
      <w:r w:rsidRPr="002721C0">
        <w:t xml:space="preserve"> donijela</w:t>
      </w:r>
    </w:p>
    <w:p w:rsidR="002721C0" w:rsidRPr="002721C0" w:rsidRDefault="002721C0" w:rsidP="006D4E90">
      <w:pPr>
        <w:jc w:val="both"/>
      </w:pPr>
    </w:p>
    <w:p w:rsidR="002721C0" w:rsidRPr="002721C0" w:rsidRDefault="002721C0" w:rsidP="006D4E90">
      <w:pPr>
        <w:jc w:val="center"/>
        <w:rPr>
          <w:b/>
        </w:rPr>
      </w:pPr>
    </w:p>
    <w:p w:rsidR="002721C0" w:rsidRPr="00CA4351" w:rsidRDefault="002721C0" w:rsidP="006D4E90">
      <w:pPr>
        <w:jc w:val="center"/>
        <w:rPr>
          <w:b/>
        </w:rPr>
      </w:pPr>
      <w:r w:rsidRPr="00CA4351">
        <w:rPr>
          <w:b/>
        </w:rPr>
        <w:t>U</w:t>
      </w:r>
      <w:r w:rsidR="00CA4351">
        <w:rPr>
          <w:b/>
        </w:rPr>
        <w:t xml:space="preserve"> </w:t>
      </w:r>
      <w:r w:rsidRPr="00CA4351">
        <w:rPr>
          <w:b/>
        </w:rPr>
        <w:t>R</w:t>
      </w:r>
      <w:r w:rsidR="00CA4351">
        <w:rPr>
          <w:b/>
        </w:rPr>
        <w:t xml:space="preserve"> </w:t>
      </w:r>
      <w:r w:rsidRPr="00CA4351">
        <w:rPr>
          <w:b/>
        </w:rPr>
        <w:t>E</w:t>
      </w:r>
      <w:r w:rsidR="00CA4351">
        <w:rPr>
          <w:b/>
        </w:rPr>
        <w:t xml:space="preserve"> </w:t>
      </w:r>
      <w:r w:rsidRPr="00CA4351">
        <w:rPr>
          <w:b/>
        </w:rPr>
        <w:t>D</w:t>
      </w:r>
      <w:r w:rsidR="00CA4351">
        <w:rPr>
          <w:b/>
        </w:rPr>
        <w:t xml:space="preserve"> </w:t>
      </w:r>
      <w:r w:rsidRPr="00CA4351">
        <w:rPr>
          <w:b/>
        </w:rPr>
        <w:t>B</w:t>
      </w:r>
      <w:r w:rsidR="00CA4351">
        <w:rPr>
          <w:b/>
        </w:rPr>
        <w:t xml:space="preserve"> </w:t>
      </w:r>
      <w:r w:rsidRPr="00CA4351">
        <w:rPr>
          <w:b/>
        </w:rPr>
        <w:t xml:space="preserve">U </w:t>
      </w:r>
    </w:p>
    <w:p w:rsidR="00CA4351" w:rsidRDefault="00CA4351" w:rsidP="006D4E90">
      <w:pPr>
        <w:jc w:val="center"/>
        <w:rPr>
          <w:b/>
        </w:rPr>
      </w:pPr>
    </w:p>
    <w:p w:rsidR="002721C0" w:rsidRPr="00CA4351" w:rsidRDefault="00CA4351" w:rsidP="006D4E90">
      <w:pPr>
        <w:jc w:val="center"/>
        <w:rPr>
          <w:b/>
        </w:rPr>
      </w:pPr>
      <w:r w:rsidRPr="00CA4351">
        <w:rPr>
          <w:b/>
        </w:rPr>
        <w:t>o otklanjanju poremećaja na domaćem tržištu energije</w:t>
      </w:r>
    </w:p>
    <w:p w:rsidR="002721C0" w:rsidRDefault="002721C0" w:rsidP="006D4E90">
      <w:pPr>
        <w:jc w:val="center"/>
        <w:rPr>
          <w:b/>
        </w:rPr>
      </w:pPr>
    </w:p>
    <w:p w:rsidR="006D4E90" w:rsidRPr="00CA4351" w:rsidRDefault="006D4E90" w:rsidP="006D4E90">
      <w:pPr>
        <w:jc w:val="center"/>
        <w:rPr>
          <w:b/>
        </w:rPr>
      </w:pPr>
    </w:p>
    <w:p w:rsidR="002721C0" w:rsidRPr="002721C0" w:rsidRDefault="002721C0" w:rsidP="006D4E90">
      <w:pPr>
        <w:jc w:val="center"/>
        <w:rPr>
          <w:b/>
        </w:rPr>
      </w:pPr>
      <w:r w:rsidRPr="002721C0">
        <w:rPr>
          <w:b/>
        </w:rPr>
        <w:t xml:space="preserve">Članak 1. </w:t>
      </w:r>
    </w:p>
    <w:p w:rsidR="002721C0" w:rsidRPr="002721C0" w:rsidRDefault="002721C0" w:rsidP="006D4E90">
      <w:pPr>
        <w:jc w:val="both"/>
        <w:rPr>
          <w:b/>
        </w:rPr>
      </w:pPr>
    </w:p>
    <w:p w:rsidR="002721C0" w:rsidRPr="002721C0" w:rsidRDefault="00233D57" w:rsidP="006D4E90">
      <w:pPr>
        <w:ind w:firstLine="708"/>
        <w:contextualSpacing/>
        <w:jc w:val="both"/>
      </w:pPr>
      <w:r>
        <w:t>(1)</w:t>
      </w:r>
      <w:r>
        <w:tab/>
      </w:r>
      <w:r w:rsidR="002721C0" w:rsidRPr="002721C0">
        <w:t xml:space="preserve">Ovom </w:t>
      </w:r>
      <w:r w:rsidR="007B32F1">
        <w:t>U</w:t>
      </w:r>
      <w:r w:rsidR="007B32F1" w:rsidRPr="002721C0">
        <w:t xml:space="preserve">redbom </w:t>
      </w:r>
      <w:r w:rsidR="002721C0" w:rsidRPr="002721C0">
        <w:t>se, zbog poremećaja na domaćem tržištu energije</w:t>
      </w:r>
      <w:r w:rsidR="006D4E90">
        <w:t>,</w:t>
      </w:r>
      <w:r w:rsidR="002721C0" w:rsidRPr="002721C0">
        <w:t xml:space="preserve"> uređuju posebne mjere za trgovinu električnom energijom, način i uvjeti formiranja cijena za određene kategorije kupaca električne energije i toplinske energije, nadzor nad primjenom cijena određenih ovom Uredbom, te posebni uvjeti obavljanja energetskih djelatnosti.</w:t>
      </w:r>
    </w:p>
    <w:p w:rsidR="002721C0" w:rsidRPr="002721C0" w:rsidRDefault="002721C0" w:rsidP="006D4E90">
      <w:pPr>
        <w:jc w:val="both"/>
        <w:rPr>
          <w:highlight w:val="yellow"/>
        </w:rPr>
      </w:pPr>
    </w:p>
    <w:p w:rsidR="002721C0" w:rsidRPr="002721C0" w:rsidRDefault="00233D57" w:rsidP="006D4E90">
      <w:pPr>
        <w:ind w:firstLine="708"/>
        <w:contextualSpacing/>
        <w:jc w:val="both"/>
      </w:pPr>
      <w:r>
        <w:t>(2)</w:t>
      </w:r>
      <w:r>
        <w:tab/>
      </w:r>
      <w:r w:rsidR="002721C0" w:rsidRPr="002721C0">
        <w:t xml:space="preserve">Posebne mjere iz stavka 1. ovoga članka su privremene i propisuju se za razdoblje od </w:t>
      </w:r>
      <w:r w:rsidR="00700A39">
        <w:t>1. listopada</w:t>
      </w:r>
      <w:r w:rsidR="002721C0" w:rsidRPr="002721C0">
        <w:t xml:space="preserve"> 2022. do 31. ožujka 2023. </w:t>
      </w:r>
    </w:p>
    <w:p w:rsidR="002721C0" w:rsidRPr="002721C0" w:rsidRDefault="002721C0" w:rsidP="006D4E90">
      <w:pPr>
        <w:jc w:val="center"/>
        <w:rPr>
          <w:b/>
        </w:rPr>
      </w:pPr>
    </w:p>
    <w:p w:rsidR="002721C0" w:rsidRPr="002721C0" w:rsidRDefault="002721C0" w:rsidP="006D4E90">
      <w:pPr>
        <w:jc w:val="center"/>
        <w:rPr>
          <w:b/>
        </w:rPr>
      </w:pPr>
      <w:r w:rsidRPr="002721C0">
        <w:rPr>
          <w:b/>
        </w:rPr>
        <w:t>Električna energija</w:t>
      </w:r>
    </w:p>
    <w:p w:rsidR="002721C0" w:rsidRPr="002721C0" w:rsidRDefault="002721C0" w:rsidP="006D4E90">
      <w:pPr>
        <w:rPr>
          <w:rFonts w:ascii="PF BeauSans Pro" w:hAnsi="PF BeauSans Pro"/>
          <w:sz w:val="22"/>
          <w:szCs w:val="22"/>
        </w:rPr>
      </w:pPr>
    </w:p>
    <w:p w:rsidR="002721C0" w:rsidRPr="002721C0" w:rsidRDefault="002721C0" w:rsidP="006D4E90">
      <w:pPr>
        <w:jc w:val="center"/>
        <w:rPr>
          <w:b/>
        </w:rPr>
      </w:pPr>
      <w:r w:rsidRPr="002721C0">
        <w:rPr>
          <w:b/>
        </w:rPr>
        <w:t>Članak 2.</w:t>
      </w:r>
    </w:p>
    <w:p w:rsidR="002721C0" w:rsidRPr="002721C0" w:rsidRDefault="002721C0" w:rsidP="006D4E90">
      <w:pPr>
        <w:rPr>
          <w:rFonts w:ascii="PF BeauSans Pro" w:hAnsi="PF BeauSans Pro"/>
          <w:sz w:val="22"/>
          <w:szCs w:val="22"/>
        </w:rPr>
      </w:pPr>
    </w:p>
    <w:p w:rsidR="002721C0" w:rsidRPr="00672EB9" w:rsidRDefault="00672EB9" w:rsidP="006D4E90">
      <w:pPr>
        <w:ind w:firstLine="708"/>
        <w:contextualSpacing/>
        <w:jc w:val="both"/>
      </w:pPr>
      <w:r w:rsidRPr="00672EB9">
        <w:t>(1)</w:t>
      </w:r>
      <w:r w:rsidRPr="00672EB9">
        <w:tab/>
      </w:r>
      <w:r w:rsidR="002721C0" w:rsidRPr="00672EB9">
        <w:t>Ovom Uredbom određuje se cijena radne</w:t>
      </w:r>
      <w:r w:rsidR="00B7367A" w:rsidRPr="00672EB9">
        <w:t xml:space="preserve"> energije u iznosu od 0,5295 kn</w:t>
      </w:r>
      <w:r w:rsidR="002721C0" w:rsidRPr="00672EB9">
        <w:t>/kWh</w:t>
      </w:r>
      <w:r w:rsidR="00B7367A" w:rsidRPr="00672EB9">
        <w:t xml:space="preserve"> (0,07 EUR/kWh)</w:t>
      </w:r>
      <w:r w:rsidR="002721C0" w:rsidRPr="00672EB9">
        <w:t xml:space="preserve"> za kupce</w:t>
      </w:r>
      <w:r w:rsidR="00823CBC" w:rsidRPr="00823CBC">
        <w:t xml:space="preserve"> </w:t>
      </w:r>
      <w:r w:rsidR="00823CBC" w:rsidRPr="00672EB9">
        <w:t>iz kategorije kućanstvo</w:t>
      </w:r>
      <w:r w:rsidR="002721C0" w:rsidRPr="00672EB9">
        <w:t xml:space="preserve"> </w:t>
      </w:r>
      <w:r w:rsidR="00823CBC" w:rsidRPr="00672EB9">
        <w:t xml:space="preserve">sukladno propisu kojim se regulira tržište električne energije </w:t>
      </w:r>
      <w:r w:rsidR="002721C0" w:rsidRPr="00672EB9">
        <w:t>po jedinstvenoj tarifi, odnosno za kupce s višom i nižo</w:t>
      </w:r>
      <w:r w:rsidR="00B7367A" w:rsidRPr="00672EB9">
        <w:t>m tarifom u iznosu od 0,5635 kn</w:t>
      </w:r>
      <w:r w:rsidR="002721C0" w:rsidRPr="00672EB9">
        <w:t>/kWh</w:t>
      </w:r>
      <w:r w:rsidR="00B7367A" w:rsidRPr="00672EB9">
        <w:t xml:space="preserve"> (0,07 EUR/kWh) </w:t>
      </w:r>
      <w:r w:rsidR="002721C0" w:rsidRPr="00672EB9">
        <w:t>u višoj ta</w:t>
      </w:r>
      <w:r w:rsidR="00B7367A" w:rsidRPr="00672EB9">
        <w:t>rifi (VT) i iznosu od 0,2765 kn</w:t>
      </w:r>
      <w:r w:rsidR="002721C0" w:rsidRPr="00672EB9">
        <w:t xml:space="preserve">/kWh </w:t>
      </w:r>
      <w:r w:rsidR="00B7367A" w:rsidRPr="00672EB9">
        <w:t xml:space="preserve">(0,04 EUR/kWh) </w:t>
      </w:r>
      <w:r w:rsidR="002721C0" w:rsidRPr="00672EB9">
        <w:t>u nižoj tarifi (NT) za kupce iz kategorije kućanstvo, do visine 2.500 kWh ukupne šestomjesečne potrošnje električne energije.</w:t>
      </w:r>
    </w:p>
    <w:p w:rsidR="002721C0" w:rsidRPr="00672EB9" w:rsidRDefault="002721C0" w:rsidP="006D4E90">
      <w:pPr>
        <w:contextualSpacing/>
        <w:jc w:val="both"/>
        <w:rPr>
          <w:i/>
          <w:szCs w:val="20"/>
        </w:rPr>
      </w:pPr>
    </w:p>
    <w:p w:rsidR="002721C0" w:rsidRPr="00100A8F" w:rsidRDefault="00672EB9" w:rsidP="006D4E90">
      <w:pPr>
        <w:ind w:firstLine="708"/>
        <w:contextualSpacing/>
        <w:jc w:val="both"/>
      </w:pPr>
      <w:r>
        <w:t>(2)</w:t>
      </w:r>
      <w:r>
        <w:tab/>
      </w:r>
      <w:r w:rsidR="002721C0" w:rsidRPr="00672EB9">
        <w:t xml:space="preserve">Ovom Uredbom određuje se </w:t>
      </w:r>
      <w:r w:rsidR="007B32F1" w:rsidRPr="00672EB9">
        <w:t>cijen</w:t>
      </w:r>
      <w:r w:rsidR="007B32F1">
        <w:t>a</w:t>
      </w:r>
      <w:r w:rsidR="007B32F1" w:rsidRPr="00672EB9">
        <w:t xml:space="preserve"> </w:t>
      </w:r>
      <w:r w:rsidR="002721C0" w:rsidRPr="00672EB9">
        <w:t>radne energije u iznosu od 0,5295 kn/kWh</w:t>
      </w:r>
      <w:r w:rsidR="00B7367A" w:rsidRPr="00672EB9">
        <w:t xml:space="preserve"> (0,07 EUR/kWh) </w:t>
      </w:r>
      <w:r w:rsidR="002721C0" w:rsidRPr="00672EB9">
        <w:t>za kupce</w:t>
      </w:r>
      <w:r w:rsidR="00823CBC" w:rsidRPr="00823CBC">
        <w:t xml:space="preserve"> </w:t>
      </w:r>
      <w:r w:rsidR="00823CBC" w:rsidRPr="00672EB9">
        <w:t>iz kategorije poduzetništvo sukladno propisu kojim se regulira tržište električne energije</w:t>
      </w:r>
      <w:r w:rsidR="002721C0" w:rsidRPr="00672EB9">
        <w:t xml:space="preserve"> po jedinstvenoj tarifi, odnosno za kupce s višom i nižo</w:t>
      </w:r>
      <w:r w:rsidR="00B7367A" w:rsidRPr="00672EB9">
        <w:t>m tarifom u iznosu od 0,5635 kn</w:t>
      </w:r>
      <w:r w:rsidR="002721C0" w:rsidRPr="00672EB9">
        <w:t>/kWh</w:t>
      </w:r>
      <w:r w:rsidR="00B7367A" w:rsidRPr="00672EB9">
        <w:t xml:space="preserve"> (0,07 EUR/kWh)</w:t>
      </w:r>
      <w:r w:rsidR="002721C0" w:rsidRPr="00672EB9">
        <w:t xml:space="preserve"> u višoj tarifi (VT) i iznosu od 0,</w:t>
      </w:r>
      <w:r w:rsidR="002721C0" w:rsidRPr="00100A8F">
        <w:t>2765 kn/kWh</w:t>
      </w:r>
      <w:r w:rsidR="00B7367A" w:rsidRPr="00100A8F">
        <w:t xml:space="preserve"> (0,04 EUR/kWh) </w:t>
      </w:r>
      <w:r w:rsidR="002721C0" w:rsidRPr="00100A8F">
        <w:t>u nižoj tarifi (NT)</w:t>
      </w:r>
      <w:r w:rsidR="00823CBC" w:rsidRPr="00100A8F">
        <w:t>, odnosno</w:t>
      </w:r>
      <w:r w:rsidR="002721C0" w:rsidRPr="00100A8F">
        <w:t xml:space="preserve"> za kupce iz kategorije poduzetništvo do visine 250.000 kWh ukupne šestomjesečne potrošnje električne energije</w:t>
      </w:r>
      <w:r w:rsidR="00642B9E" w:rsidRPr="00100A8F">
        <w:t xml:space="preserve">, </w:t>
      </w:r>
      <w:r w:rsidR="00823CBC" w:rsidRPr="00100A8F">
        <w:t xml:space="preserve">za koje se, </w:t>
      </w:r>
      <w:r w:rsidR="008749FE" w:rsidRPr="00100A8F">
        <w:t xml:space="preserve">za razliku potrošene energije </w:t>
      </w:r>
      <w:r w:rsidR="00642B9E" w:rsidRPr="00100A8F">
        <w:t>od visine 250.000 kWh do 2.500.000 kWh ukupne šestomjesečne potrošnje prim</w:t>
      </w:r>
      <w:r w:rsidR="00823CBC" w:rsidRPr="00100A8F">
        <w:t>j</w:t>
      </w:r>
      <w:r w:rsidR="00642B9E" w:rsidRPr="00100A8F">
        <w:t xml:space="preserve">enjuje jedinstvena maksimalna cijena u iznosu od 1,356210 kn/kWh (0,18 EUR/kWh), </w:t>
      </w:r>
      <w:r w:rsidR="00823CBC" w:rsidRPr="00100A8F">
        <w:t>odnosno</w:t>
      </w:r>
      <w:r w:rsidR="00642B9E" w:rsidRPr="00100A8F">
        <w:t xml:space="preserve"> </w:t>
      </w:r>
      <w:r w:rsidR="00823CBC" w:rsidRPr="00100A8F">
        <w:t xml:space="preserve">za koje se, </w:t>
      </w:r>
      <w:r w:rsidR="00642B9E" w:rsidRPr="00100A8F">
        <w:t xml:space="preserve">za </w:t>
      </w:r>
      <w:r w:rsidR="008749FE" w:rsidRPr="00100A8F">
        <w:t xml:space="preserve">razliku potrošene energije </w:t>
      </w:r>
      <w:r w:rsidR="00823CBC" w:rsidRPr="00100A8F">
        <w:t>i</w:t>
      </w:r>
      <w:r w:rsidR="00642B9E" w:rsidRPr="00100A8F">
        <w:t>znad 2.500.000 kWh ukupne šestomjesečne potrošnje prim</w:t>
      </w:r>
      <w:r w:rsidR="00823CBC" w:rsidRPr="00100A8F">
        <w:t>j</w:t>
      </w:r>
      <w:r w:rsidR="00642B9E" w:rsidRPr="00100A8F">
        <w:t>enjuje jedinstvena maksimalna cijena u iznosu od 1,732935 kn/kWh (0,23 EUR/kWh)</w:t>
      </w:r>
      <w:r w:rsidR="00AE5293" w:rsidRPr="00100A8F">
        <w:t>.</w:t>
      </w:r>
    </w:p>
    <w:p w:rsidR="002721C0" w:rsidRPr="00672EB9" w:rsidRDefault="002721C0" w:rsidP="006D4E90">
      <w:pPr>
        <w:contextualSpacing/>
        <w:jc w:val="both"/>
      </w:pPr>
    </w:p>
    <w:p w:rsidR="002721C0" w:rsidRPr="0030327E" w:rsidRDefault="0030327E" w:rsidP="006D4E90">
      <w:pPr>
        <w:ind w:firstLine="708"/>
        <w:contextualSpacing/>
        <w:jc w:val="both"/>
      </w:pPr>
      <w:r>
        <w:lastRenderedPageBreak/>
        <w:t>(3)</w:t>
      </w:r>
      <w:r>
        <w:tab/>
      </w:r>
      <w:r w:rsidR="00275D9E" w:rsidRPr="00275D9E">
        <w:t>Ovom Uredbom određuje se cijena radne energije u iznosu od 0,5295 kn/kWh (0,07 EUR/kWh) za kupce po jedinstvenoj tarifi, odnosno za kupce s višom i nižom tarifom u iznosu od 0,5635 kn/kWh (0,07 EUR/kWh) u višoj tarifi (VT) i iznosu od 0,2765 kn/kWh (0,04 EUR/kWh) u nižoj tarifi (NT) sukladno propisu kojim se regulira tržište električne energije</w:t>
      </w:r>
      <w:r w:rsidR="006D4E90">
        <w:t xml:space="preserve"> </w:t>
      </w:r>
      <w:r w:rsidR="00275D9E">
        <w:t>za</w:t>
      </w:r>
      <w:r w:rsidR="00275D9E" w:rsidRPr="0030327E">
        <w:t xml:space="preserve"> </w:t>
      </w:r>
      <w:r w:rsidR="002721C0" w:rsidRPr="0030327E">
        <w:t>sljedeće kupce iz kategorije poduzetništvo, bez obzira na njihovu ukupnu šestomjesečnu potrošnju električne energije:</w:t>
      </w:r>
    </w:p>
    <w:p w:rsidR="002721C0" w:rsidRPr="002721C0" w:rsidRDefault="002721C0" w:rsidP="006D4E90">
      <w:pPr>
        <w:contextualSpacing/>
        <w:jc w:val="both"/>
        <w:rPr>
          <w:szCs w:val="20"/>
        </w:rPr>
      </w:pPr>
    </w:p>
    <w:p w:rsidR="00993998" w:rsidRPr="00D30EA3" w:rsidRDefault="007B32F1" w:rsidP="006D4E90">
      <w:pPr>
        <w:ind w:left="709"/>
        <w:jc w:val="both"/>
      </w:pPr>
      <w:r>
        <w:t>1.</w:t>
      </w:r>
      <w:r>
        <w:tab/>
      </w:r>
      <w:r w:rsidR="00993998">
        <w:t>ustanove,</w:t>
      </w:r>
      <w:r w:rsidR="002721C0" w:rsidRPr="002721C0">
        <w:t xml:space="preserve"> udruge</w:t>
      </w:r>
      <w:r w:rsidR="00993998">
        <w:t xml:space="preserve"> i zadruge</w:t>
      </w:r>
      <w:r w:rsidR="002721C0" w:rsidRPr="002721C0">
        <w:t xml:space="preserve"> - sukladno Zakonu o ustanovama („Narodne novine“</w:t>
      </w:r>
      <w:r w:rsidR="0018159F">
        <w:t>,</w:t>
      </w:r>
      <w:r w:rsidR="002721C0" w:rsidRPr="002721C0">
        <w:t xml:space="preserve"> br. 76/93</w:t>
      </w:r>
      <w:r w:rsidR="0030327E">
        <w:t>.</w:t>
      </w:r>
      <w:r w:rsidR="002721C0" w:rsidRPr="002721C0">
        <w:t>, 29/97</w:t>
      </w:r>
      <w:r w:rsidR="0030327E">
        <w:t>.</w:t>
      </w:r>
      <w:r w:rsidR="002721C0" w:rsidRPr="002721C0">
        <w:t>, 47/99</w:t>
      </w:r>
      <w:r w:rsidR="0030327E">
        <w:t>.</w:t>
      </w:r>
      <w:r w:rsidR="002721C0" w:rsidRPr="002721C0">
        <w:t>, 35/08</w:t>
      </w:r>
      <w:r w:rsidR="0030327E">
        <w:t>.</w:t>
      </w:r>
      <w:r w:rsidR="00CC5FD2">
        <w:t xml:space="preserve"> i</w:t>
      </w:r>
      <w:r w:rsidR="002721C0" w:rsidRPr="002721C0">
        <w:t xml:space="preserve"> 127/19</w:t>
      </w:r>
      <w:r w:rsidR="0030327E">
        <w:t>.</w:t>
      </w:r>
      <w:r w:rsidR="00CC5FD2">
        <w:t>)</w:t>
      </w:r>
      <w:r w:rsidR="002721C0" w:rsidRPr="002721C0">
        <w:t xml:space="preserve">, </w:t>
      </w:r>
      <w:r w:rsidR="002721C0" w:rsidRPr="00662251">
        <w:t>Zakonu o udrugama („Narodne novine“, br. 74/14</w:t>
      </w:r>
      <w:r w:rsidR="0030327E" w:rsidRPr="00662251">
        <w:t>.</w:t>
      </w:r>
      <w:r w:rsidR="002721C0" w:rsidRPr="00662251">
        <w:t>, 70/17</w:t>
      </w:r>
      <w:r w:rsidR="0030327E" w:rsidRPr="00662251">
        <w:t>.</w:t>
      </w:r>
      <w:r w:rsidR="002721C0" w:rsidRPr="00662251">
        <w:t xml:space="preserve"> i 98/19</w:t>
      </w:r>
      <w:r w:rsidR="0030327E" w:rsidRPr="00662251">
        <w:t>.</w:t>
      </w:r>
      <w:r w:rsidR="002721C0" w:rsidRPr="00662251">
        <w:t>),</w:t>
      </w:r>
      <w:r w:rsidR="002721C0" w:rsidRPr="002721C0">
        <w:t xml:space="preserve"> </w:t>
      </w:r>
      <w:r w:rsidR="00662251">
        <w:t>Zakon</w:t>
      </w:r>
      <w:r w:rsidR="00DC0FB4">
        <w:t>u</w:t>
      </w:r>
      <w:r w:rsidR="00662251">
        <w:t xml:space="preserve"> o zadrugama („Narodne novine“, br. 34/11., 125/13., 76/14., 114/18.</w:t>
      </w:r>
      <w:r>
        <w:t xml:space="preserve"> i</w:t>
      </w:r>
      <w:r w:rsidR="00662251">
        <w:t xml:space="preserve"> 98/19.),</w:t>
      </w:r>
      <w:r w:rsidR="009B6FC2" w:rsidRPr="002721C0">
        <w:t xml:space="preserve"> </w:t>
      </w:r>
      <w:r w:rsidR="002721C0" w:rsidRPr="002721C0">
        <w:t>Zakon</w:t>
      </w:r>
      <w:r w:rsidR="0030327E">
        <w:t>u</w:t>
      </w:r>
      <w:r w:rsidR="002721C0" w:rsidRPr="002721C0">
        <w:t xml:space="preserve"> o Hrvatskom </w:t>
      </w:r>
      <w:r w:rsidR="0030327E">
        <w:t>C</w:t>
      </w:r>
      <w:r w:rsidR="0030327E" w:rsidRPr="002721C0">
        <w:t xml:space="preserve">rvenom </w:t>
      </w:r>
      <w:r w:rsidR="002721C0" w:rsidRPr="002721C0">
        <w:t>križu („Narodne novine“, br. 71/10</w:t>
      </w:r>
      <w:r w:rsidR="0030327E">
        <w:t>. i</w:t>
      </w:r>
      <w:r w:rsidR="0030327E" w:rsidRPr="002721C0">
        <w:t xml:space="preserve"> </w:t>
      </w:r>
      <w:r w:rsidR="002721C0" w:rsidRPr="002721C0">
        <w:t>136/20</w:t>
      </w:r>
      <w:r w:rsidR="0030327E">
        <w:t>.</w:t>
      </w:r>
      <w:r w:rsidR="002721C0" w:rsidRPr="002721C0">
        <w:t>)</w:t>
      </w:r>
      <w:r w:rsidR="0030327E">
        <w:t>,</w:t>
      </w:r>
      <w:r w:rsidR="00993998">
        <w:t xml:space="preserve"> </w:t>
      </w:r>
      <w:r w:rsidR="002721C0" w:rsidRPr="002721C0">
        <w:t xml:space="preserve">uključujući župne urede, vjerske domove, pučke kuhinje, dobrotvorna vjerska društva koja skrbe </w:t>
      </w:r>
      <w:r w:rsidR="00662251">
        <w:t>za materijalne potrebe vjernika i pružaju</w:t>
      </w:r>
      <w:r w:rsidR="002721C0" w:rsidRPr="002721C0">
        <w:t xml:space="preserve"> </w:t>
      </w:r>
      <w:r w:rsidR="00141828" w:rsidRPr="00993998">
        <w:rPr>
          <w:bCs/>
          <w:szCs w:val="22"/>
        </w:rPr>
        <w:t>socijalne usluge</w:t>
      </w:r>
      <w:r w:rsidR="00141828" w:rsidRPr="00993998">
        <w:rPr>
          <w:szCs w:val="22"/>
        </w:rPr>
        <w:t xml:space="preserve"> građanima u potrebi</w:t>
      </w:r>
      <w:r w:rsidR="00141828" w:rsidRPr="00993998">
        <w:rPr>
          <w:bCs/>
          <w:szCs w:val="22"/>
        </w:rPr>
        <w:t>, te druge pravne i fizičke osobe koje pružaju socijalne usluge građanima u potrebi sukladno Zakonu o socijalnoj skrbi („Narodne novine“, br. 18/22</w:t>
      </w:r>
      <w:r w:rsidR="0030327E" w:rsidRPr="00993998">
        <w:rPr>
          <w:bCs/>
          <w:szCs w:val="22"/>
        </w:rPr>
        <w:t>.</w:t>
      </w:r>
      <w:r w:rsidR="00141828" w:rsidRPr="00993998">
        <w:rPr>
          <w:bCs/>
          <w:szCs w:val="22"/>
        </w:rPr>
        <w:t xml:space="preserve"> i 46/22</w:t>
      </w:r>
      <w:r w:rsidR="0030327E" w:rsidRPr="00993998">
        <w:rPr>
          <w:bCs/>
          <w:szCs w:val="22"/>
        </w:rPr>
        <w:t>.</w:t>
      </w:r>
      <w:r w:rsidR="00141828" w:rsidRPr="00993998">
        <w:rPr>
          <w:bCs/>
          <w:szCs w:val="22"/>
        </w:rPr>
        <w:t>)</w:t>
      </w:r>
      <w:r w:rsidR="000A7C8E" w:rsidRPr="00993998">
        <w:rPr>
          <w:bCs/>
          <w:szCs w:val="22"/>
        </w:rPr>
        <w:t>, sportske udruge, trgovačka društva registrirana za obavljanj</w:t>
      </w:r>
      <w:r w:rsidR="0030327E" w:rsidRPr="00993998">
        <w:rPr>
          <w:bCs/>
          <w:szCs w:val="22"/>
        </w:rPr>
        <w:t>e</w:t>
      </w:r>
      <w:r w:rsidR="008856B8">
        <w:rPr>
          <w:bCs/>
          <w:szCs w:val="22"/>
        </w:rPr>
        <w:t xml:space="preserve"> sportske djelatnosti, usta</w:t>
      </w:r>
      <w:r w:rsidR="000A7C8E" w:rsidRPr="00993998">
        <w:rPr>
          <w:bCs/>
          <w:szCs w:val="22"/>
        </w:rPr>
        <w:t xml:space="preserve">nove te školska sportska društva </w:t>
      </w:r>
      <w:r w:rsidR="0030327E" w:rsidRPr="00993998">
        <w:rPr>
          <w:rFonts w:ascii="Minion Pro" w:hAnsi="Minion Pro"/>
        </w:rPr>
        <w:t xml:space="preserve">upisana </w:t>
      </w:r>
      <w:r w:rsidR="000A7C8E" w:rsidRPr="00993998">
        <w:rPr>
          <w:rFonts w:ascii="Minion Pro" w:hAnsi="Minion Pro"/>
        </w:rPr>
        <w:t xml:space="preserve">u registre sportskih djelatnosti koje </w:t>
      </w:r>
      <w:r w:rsidR="000A7C8E" w:rsidRPr="00C00501">
        <w:t>vodi nadležno upravno tijelo županije, odnosno Grada Zagreba prema sjedištu pravne, odnosno prebivalištu fizičke osobe, u čijem je djelokrugu obavljanje povjerenih poslova državne uprave koji se odnose na sportske djelatnosti</w:t>
      </w:r>
      <w:r w:rsidR="000A7C8E" w:rsidRPr="00993998">
        <w:rPr>
          <w:rFonts w:ascii="Minion Pro" w:hAnsi="Minion Pro"/>
        </w:rPr>
        <w:t xml:space="preserve"> sukladno Zakonu o sportu („Narodne novine“, br. </w:t>
      </w:r>
      <w:r w:rsidR="000A7C8E" w:rsidRPr="00C00501">
        <w:t>71/06</w:t>
      </w:r>
      <w:r w:rsidR="0030327E" w:rsidRPr="00C00501">
        <w:t>.</w:t>
      </w:r>
      <w:r w:rsidR="000A7C8E" w:rsidRPr="00C00501">
        <w:t>, 124/10</w:t>
      </w:r>
      <w:r w:rsidR="0030327E" w:rsidRPr="00C00501">
        <w:t>.</w:t>
      </w:r>
      <w:r w:rsidR="000A7C8E" w:rsidRPr="00C00501">
        <w:t>, 124/11</w:t>
      </w:r>
      <w:r w:rsidR="0030327E" w:rsidRPr="00C00501">
        <w:t>.</w:t>
      </w:r>
      <w:r w:rsidR="000A7C8E" w:rsidRPr="00C00501">
        <w:t>, 86/12</w:t>
      </w:r>
      <w:r w:rsidR="0030327E" w:rsidRPr="00C00501">
        <w:t>.</w:t>
      </w:r>
      <w:r w:rsidR="000A7C8E" w:rsidRPr="00C00501">
        <w:t>, 94/13</w:t>
      </w:r>
      <w:r w:rsidR="0030327E" w:rsidRPr="00C00501">
        <w:t>.</w:t>
      </w:r>
      <w:r w:rsidR="000A7C8E" w:rsidRPr="00C00501">
        <w:t>, 85/15</w:t>
      </w:r>
      <w:r w:rsidR="0030327E" w:rsidRPr="00C00501">
        <w:t>.</w:t>
      </w:r>
      <w:r w:rsidR="000A7C8E" w:rsidRPr="00C00501">
        <w:t>, 19/16</w:t>
      </w:r>
      <w:r w:rsidR="0030327E" w:rsidRPr="00C00501">
        <w:t>.</w:t>
      </w:r>
      <w:r w:rsidR="000A7C8E" w:rsidRPr="00C00501">
        <w:t>, 98/19</w:t>
      </w:r>
      <w:r w:rsidR="0030327E" w:rsidRPr="00C00501">
        <w:t>.</w:t>
      </w:r>
      <w:r w:rsidR="00A47595" w:rsidRPr="00C00501">
        <w:t xml:space="preserve"> i</w:t>
      </w:r>
      <w:r w:rsidR="000A7C8E" w:rsidRPr="00C00501">
        <w:t xml:space="preserve"> 47/20</w:t>
      </w:r>
      <w:r w:rsidR="0030327E" w:rsidRPr="00C00501">
        <w:t>.</w:t>
      </w:r>
      <w:r w:rsidR="00C00501" w:rsidRPr="00C00501">
        <w:t>)</w:t>
      </w:r>
      <w:r w:rsidR="00662251">
        <w:t>, braniteljske socija</w:t>
      </w:r>
      <w:r w:rsidR="00993998">
        <w:t>lne-radne zadruge koje su upisane u evidenciju o braniteljskim socijalno-radnim zadrugama i njihovim upraviteljima</w:t>
      </w:r>
      <w:r w:rsidR="00662251">
        <w:t>,</w:t>
      </w:r>
      <w:r w:rsidR="00993998">
        <w:t xml:space="preserve"> koju vodi tijelo nadležno za hrvatske branitelja</w:t>
      </w:r>
      <w:r w:rsidR="00662251">
        <w:t>,</w:t>
      </w:r>
      <w:r w:rsidR="00993998">
        <w:t xml:space="preserve"> te ustano</w:t>
      </w:r>
      <w:r w:rsidR="00662251">
        <w:t>ve čiji je osnovač Republika Hr</w:t>
      </w:r>
      <w:r w:rsidR="00993998">
        <w:t>v</w:t>
      </w:r>
      <w:r w:rsidR="00662251">
        <w:t>ats</w:t>
      </w:r>
      <w:r w:rsidR="00993998">
        <w:t xml:space="preserve">ka, a osnivačka prava obavlja Ministarstvo hrvatskih branitelja, </w:t>
      </w:r>
      <w:r w:rsidR="00AC5052">
        <w:t xml:space="preserve">samostalne umjetnike </w:t>
      </w:r>
      <w:r w:rsidR="00662251">
        <w:t>i umjetničke organizacije</w:t>
      </w:r>
      <w:r w:rsidR="00AC5052">
        <w:t xml:space="preserve"> </w:t>
      </w:r>
      <w:r w:rsidR="00993998">
        <w:t>sukladno Zakonu o pravima samostalnih umjetnika i poticanju kulturnog i umjetničkog stvaralaštva („Narodne novine“, br. 43/96</w:t>
      </w:r>
      <w:r w:rsidR="000C0255">
        <w:t>.</w:t>
      </w:r>
      <w:r w:rsidR="00993998">
        <w:t xml:space="preserve"> i 44/96</w:t>
      </w:r>
      <w:r w:rsidR="000C0255">
        <w:t>.</w:t>
      </w:r>
      <w:r w:rsidR="00993998">
        <w:t xml:space="preserve">) te registru koji se vodi pri Ministarstvu kulture i medija </w:t>
      </w:r>
    </w:p>
    <w:p w:rsidR="002721C0" w:rsidRPr="00141828" w:rsidRDefault="002721C0" w:rsidP="006D4E90">
      <w:pPr>
        <w:ind w:left="720"/>
        <w:jc w:val="both"/>
        <w:rPr>
          <w:szCs w:val="22"/>
        </w:rPr>
      </w:pPr>
      <w:r w:rsidRPr="002721C0">
        <w:t>2.</w:t>
      </w:r>
      <w:r w:rsidRPr="002721C0">
        <w:tab/>
        <w:t xml:space="preserve">općine, </w:t>
      </w:r>
      <w:r w:rsidR="0018159F" w:rsidRPr="002721C0">
        <w:t>gradov</w:t>
      </w:r>
      <w:r w:rsidR="0018159F">
        <w:t>e</w:t>
      </w:r>
      <w:r w:rsidR="0018159F" w:rsidRPr="002721C0">
        <w:t xml:space="preserve"> </w:t>
      </w:r>
      <w:r w:rsidRPr="002721C0">
        <w:t>i županije sukladno Zakonu o lokalnoj i područnoj (regionalnoj) samoupravi („Narodne novine</w:t>
      </w:r>
      <w:r w:rsidR="007270BF">
        <w:t>“</w:t>
      </w:r>
      <w:r w:rsidRPr="002721C0">
        <w:t>, br. 33/01</w:t>
      </w:r>
      <w:r w:rsidR="0018159F">
        <w:t>.</w:t>
      </w:r>
      <w:r w:rsidRPr="002721C0">
        <w:t>, 60/01</w:t>
      </w:r>
      <w:r w:rsidR="0018159F">
        <w:t>.</w:t>
      </w:r>
      <w:r w:rsidRPr="002721C0">
        <w:t>, 129/05</w:t>
      </w:r>
      <w:r w:rsidR="0018159F">
        <w:t>.</w:t>
      </w:r>
      <w:r w:rsidRPr="002721C0">
        <w:t>, 109/07</w:t>
      </w:r>
      <w:r w:rsidR="0018159F">
        <w:t>.</w:t>
      </w:r>
      <w:r w:rsidRPr="002721C0">
        <w:t>, 125/08</w:t>
      </w:r>
      <w:r w:rsidR="0018159F">
        <w:t>.</w:t>
      </w:r>
      <w:r w:rsidRPr="002721C0">
        <w:t>, 36/09</w:t>
      </w:r>
      <w:r w:rsidR="0018159F">
        <w:t>.</w:t>
      </w:r>
      <w:r w:rsidRPr="002721C0">
        <w:t>, 150/11</w:t>
      </w:r>
      <w:r w:rsidR="0018159F">
        <w:t>.</w:t>
      </w:r>
      <w:r w:rsidRPr="002721C0">
        <w:t>, 144/12</w:t>
      </w:r>
      <w:r w:rsidR="0018159F">
        <w:t>.</w:t>
      </w:r>
      <w:r w:rsidRPr="002721C0">
        <w:t>, 19/13</w:t>
      </w:r>
      <w:r w:rsidR="0018159F">
        <w:t>.</w:t>
      </w:r>
      <w:r w:rsidRPr="002721C0">
        <w:t>, 137/15</w:t>
      </w:r>
      <w:r w:rsidR="0018159F">
        <w:t>.</w:t>
      </w:r>
      <w:r w:rsidRPr="002721C0">
        <w:t>, 123/17</w:t>
      </w:r>
      <w:r w:rsidR="0018159F">
        <w:t>.</w:t>
      </w:r>
      <w:r w:rsidRPr="002721C0">
        <w:t>, 98/19</w:t>
      </w:r>
      <w:r w:rsidR="0018159F">
        <w:t>. i</w:t>
      </w:r>
      <w:r w:rsidRPr="002721C0">
        <w:t xml:space="preserve"> 144/20</w:t>
      </w:r>
      <w:r w:rsidR="0018159F">
        <w:t>.</w:t>
      </w:r>
      <w:r w:rsidRPr="002721C0">
        <w:t xml:space="preserve">) i Zakonu o </w:t>
      </w:r>
      <w:r w:rsidR="0018159F">
        <w:t>G</w:t>
      </w:r>
      <w:r w:rsidR="0018159F" w:rsidRPr="002721C0">
        <w:t xml:space="preserve">radu </w:t>
      </w:r>
      <w:r w:rsidRPr="002721C0">
        <w:t>Zagrebu („Narodne novine“, br. 62/01</w:t>
      </w:r>
      <w:r w:rsidR="0018159F">
        <w:t>.</w:t>
      </w:r>
      <w:r w:rsidRPr="002721C0">
        <w:t>, 125/08</w:t>
      </w:r>
      <w:r w:rsidR="0018159F">
        <w:t>.</w:t>
      </w:r>
      <w:r w:rsidRPr="002721C0">
        <w:t>, 36/09</w:t>
      </w:r>
      <w:r w:rsidR="0018159F">
        <w:t>.</w:t>
      </w:r>
      <w:r w:rsidRPr="002721C0">
        <w:t>, 119/14</w:t>
      </w:r>
      <w:r w:rsidR="0018159F">
        <w:t>.</w:t>
      </w:r>
      <w:r w:rsidRPr="002721C0">
        <w:t>, 98/19</w:t>
      </w:r>
      <w:r w:rsidR="0018159F">
        <w:t>. i</w:t>
      </w:r>
      <w:r w:rsidRPr="002721C0">
        <w:t xml:space="preserve"> 144/20</w:t>
      </w:r>
      <w:r w:rsidR="0018159F">
        <w:t>.</w:t>
      </w:r>
      <w:r w:rsidRPr="002721C0">
        <w:t xml:space="preserve">) i pravne osobe kojima je osnivač jedinica lokalne ili područne </w:t>
      </w:r>
      <w:r w:rsidR="0018159F">
        <w:t xml:space="preserve">(regionalne) </w:t>
      </w:r>
      <w:r w:rsidRPr="002721C0">
        <w:t>samouprave</w:t>
      </w:r>
    </w:p>
    <w:p w:rsidR="002721C0" w:rsidRPr="002721C0" w:rsidRDefault="002721C0" w:rsidP="006D4E90">
      <w:pPr>
        <w:ind w:left="720"/>
        <w:contextualSpacing/>
        <w:jc w:val="both"/>
      </w:pPr>
      <w:r w:rsidRPr="002721C0">
        <w:t>3.</w:t>
      </w:r>
      <w:r w:rsidRPr="002721C0">
        <w:tab/>
      </w:r>
      <w:r w:rsidR="00B772CA" w:rsidRPr="002721C0">
        <w:t>pružatelj</w:t>
      </w:r>
      <w:r w:rsidR="00B772CA">
        <w:t>e</w:t>
      </w:r>
      <w:r w:rsidR="00B772CA" w:rsidRPr="002721C0">
        <w:t xml:space="preserve"> vodn</w:t>
      </w:r>
      <w:r w:rsidR="00B772CA">
        <w:t>ih</w:t>
      </w:r>
      <w:r w:rsidR="00B772CA" w:rsidRPr="002721C0">
        <w:t xml:space="preserve"> uslug</w:t>
      </w:r>
      <w:r w:rsidR="00B772CA">
        <w:t>a</w:t>
      </w:r>
      <w:r w:rsidR="00B772CA" w:rsidRPr="002721C0">
        <w:t xml:space="preserve"> </w:t>
      </w:r>
      <w:r w:rsidRPr="002721C0">
        <w:t>sukladno Zakonu o vodnim uslugama („Narodne novine“</w:t>
      </w:r>
      <w:r w:rsidR="00B772CA">
        <w:t>,</w:t>
      </w:r>
      <w:r w:rsidRPr="002721C0">
        <w:t xml:space="preserve"> br</w:t>
      </w:r>
      <w:r w:rsidR="00B772CA">
        <w:t>oj</w:t>
      </w:r>
      <w:r w:rsidRPr="002721C0">
        <w:t xml:space="preserve"> 66/19</w:t>
      </w:r>
      <w:r w:rsidR="00B772CA">
        <w:t>.</w:t>
      </w:r>
      <w:r w:rsidRPr="002721C0">
        <w:t>)</w:t>
      </w:r>
    </w:p>
    <w:p w:rsidR="002721C0" w:rsidRDefault="009B6FC2" w:rsidP="006D4E90">
      <w:pPr>
        <w:ind w:left="720"/>
        <w:contextualSpacing/>
        <w:jc w:val="both"/>
      </w:pPr>
      <w:r>
        <w:t>4.</w:t>
      </w:r>
      <w:r>
        <w:tab/>
        <w:t xml:space="preserve">vjerske zajednice </w:t>
      </w:r>
      <w:r w:rsidR="002721C0" w:rsidRPr="002721C0">
        <w:t>sukladno Zakon</w:t>
      </w:r>
      <w:r w:rsidR="00D30EA3">
        <w:t>u</w:t>
      </w:r>
      <w:r w:rsidR="002721C0" w:rsidRPr="002721C0">
        <w:t xml:space="preserve"> o pravnom položaju vjerskih zajednica („Narodne novine“</w:t>
      </w:r>
      <w:r w:rsidR="00D30EA3">
        <w:t>,</w:t>
      </w:r>
      <w:r w:rsidR="002721C0" w:rsidRPr="002721C0">
        <w:t xml:space="preserve"> br. 83/02</w:t>
      </w:r>
      <w:r w:rsidR="00D30EA3">
        <w:t>. i</w:t>
      </w:r>
      <w:r w:rsidR="002721C0" w:rsidRPr="002721C0">
        <w:t xml:space="preserve"> 73/13</w:t>
      </w:r>
      <w:r w:rsidR="00D30EA3">
        <w:t>.</w:t>
      </w:r>
      <w:r w:rsidR="002721C0" w:rsidRPr="002721C0">
        <w:t xml:space="preserve">) </w:t>
      </w:r>
    </w:p>
    <w:p w:rsidR="000A7C8E" w:rsidRPr="00A935E0" w:rsidRDefault="00A935E0" w:rsidP="006D4E90">
      <w:pPr>
        <w:pStyle w:val="ListParagraph"/>
        <w:jc w:val="both"/>
      </w:pPr>
      <w:r>
        <w:t>5.</w:t>
      </w:r>
      <w:r>
        <w:tab/>
      </w:r>
      <w:r w:rsidR="000A7C8E" w:rsidRPr="00C00501">
        <w:t xml:space="preserve">turističke zajednice sukladno Zakonu o turističkim zajednicama i </w:t>
      </w:r>
      <w:r w:rsidR="001C6CA2" w:rsidRPr="00C00501">
        <w:t xml:space="preserve">promicanju </w:t>
      </w:r>
      <w:r w:rsidR="000A7C8E" w:rsidRPr="00C00501">
        <w:t>hrvatskog turizma („Narodne novine“ , br. 52/19</w:t>
      </w:r>
      <w:r w:rsidR="00E54DFF" w:rsidRPr="00C00501">
        <w:t>.</w:t>
      </w:r>
      <w:r w:rsidR="000A7C8E" w:rsidRPr="00C00501">
        <w:t xml:space="preserve"> i 42/20</w:t>
      </w:r>
      <w:r w:rsidR="00E54DFF" w:rsidRPr="00C00501">
        <w:t>.</w:t>
      </w:r>
      <w:r w:rsidR="000A7C8E" w:rsidRPr="00C00501">
        <w:t>)</w:t>
      </w:r>
    </w:p>
    <w:p w:rsidR="002721C0" w:rsidRPr="002721C0" w:rsidRDefault="000A7C8E" w:rsidP="006D4E90">
      <w:pPr>
        <w:ind w:left="720"/>
        <w:contextualSpacing/>
        <w:jc w:val="both"/>
      </w:pPr>
      <w:r>
        <w:t>6</w:t>
      </w:r>
      <w:r w:rsidR="002721C0" w:rsidRPr="002721C0">
        <w:t>.</w:t>
      </w:r>
      <w:r w:rsidR="002721C0" w:rsidRPr="002721C0">
        <w:tab/>
        <w:t xml:space="preserve">kaznionice, </w:t>
      </w:r>
      <w:r w:rsidR="00D440DB" w:rsidRPr="002721C0">
        <w:t>zatvor</w:t>
      </w:r>
      <w:r w:rsidR="00D440DB">
        <w:t>e</w:t>
      </w:r>
      <w:r w:rsidR="00D440DB" w:rsidRPr="002721C0">
        <w:t xml:space="preserve"> </w:t>
      </w:r>
      <w:r w:rsidR="002721C0" w:rsidRPr="002721C0">
        <w:t xml:space="preserve">i </w:t>
      </w:r>
      <w:r w:rsidR="00D440DB" w:rsidRPr="002721C0">
        <w:t>odgojn</w:t>
      </w:r>
      <w:r w:rsidR="00D440DB">
        <w:t>e</w:t>
      </w:r>
      <w:r w:rsidR="00D440DB" w:rsidRPr="002721C0">
        <w:t xml:space="preserve"> zavod</w:t>
      </w:r>
      <w:r w:rsidR="00D440DB">
        <w:t>e</w:t>
      </w:r>
      <w:r w:rsidR="00D440DB" w:rsidRPr="002721C0">
        <w:t xml:space="preserve"> </w:t>
      </w:r>
      <w:r w:rsidR="002721C0" w:rsidRPr="002721C0">
        <w:t>sukladno Zakonu o izvršavanju kazne zatvora („Narodne novine“</w:t>
      </w:r>
      <w:r w:rsidR="00D440DB">
        <w:t>,</w:t>
      </w:r>
      <w:r w:rsidR="002721C0" w:rsidRPr="002721C0">
        <w:t xml:space="preserve"> br</w:t>
      </w:r>
      <w:r w:rsidR="00313ADC">
        <w:t>oj</w:t>
      </w:r>
      <w:r w:rsidR="002721C0" w:rsidRPr="002721C0">
        <w:t xml:space="preserve"> 14/21</w:t>
      </w:r>
      <w:r w:rsidR="00D440DB">
        <w:t>.</w:t>
      </w:r>
      <w:r w:rsidR="002721C0" w:rsidRPr="002721C0">
        <w:t>)</w:t>
      </w:r>
    </w:p>
    <w:p w:rsidR="002721C0" w:rsidRDefault="000A7C8E" w:rsidP="006D4E90">
      <w:pPr>
        <w:ind w:left="720"/>
        <w:contextualSpacing/>
        <w:jc w:val="both"/>
      </w:pPr>
      <w:r>
        <w:t>7</w:t>
      </w:r>
      <w:r w:rsidR="002721C0" w:rsidRPr="002721C0">
        <w:t>.</w:t>
      </w:r>
      <w:r w:rsidR="002721C0" w:rsidRPr="002721C0">
        <w:tab/>
        <w:t>ustanove predškolskog i školskog obrazovanja, visoka učilišta</w:t>
      </w:r>
      <w:r w:rsidR="009B6FC2">
        <w:t xml:space="preserve"> i njihove sastavnice, ustanove čiji su osnivači visoka učilišta te</w:t>
      </w:r>
      <w:r w:rsidR="002721C0" w:rsidRPr="002721C0">
        <w:t xml:space="preserve"> </w:t>
      </w:r>
      <w:r w:rsidR="00313ADC" w:rsidRPr="002721C0">
        <w:t>javn</w:t>
      </w:r>
      <w:r w:rsidR="00313ADC">
        <w:t>e</w:t>
      </w:r>
      <w:r w:rsidR="00313ADC" w:rsidRPr="002721C0">
        <w:t xml:space="preserve"> znanstven</w:t>
      </w:r>
      <w:r w:rsidR="00313ADC">
        <w:t>e</w:t>
      </w:r>
      <w:r w:rsidR="00313ADC" w:rsidRPr="002721C0">
        <w:t xml:space="preserve"> institut</w:t>
      </w:r>
      <w:r w:rsidR="00313ADC">
        <w:t>e</w:t>
      </w:r>
      <w:r w:rsidR="00313ADC" w:rsidRPr="002721C0">
        <w:t xml:space="preserve"> </w:t>
      </w:r>
      <w:r w:rsidR="002721C0" w:rsidRPr="002721C0">
        <w:t xml:space="preserve">sukladno </w:t>
      </w:r>
      <w:r w:rsidR="00C32F0E" w:rsidRPr="002721C0">
        <w:t>Zakonu o predškolskom odgoju i obrazovanju („Narodne novine“</w:t>
      </w:r>
      <w:r w:rsidR="00C32F0E">
        <w:t>,</w:t>
      </w:r>
      <w:r w:rsidR="00C32F0E" w:rsidRPr="002721C0">
        <w:t xml:space="preserve"> br. 10/97</w:t>
      </w:r>
      <w:r w:rsidR="00C32F0E">
        <w:t>.</w:t>
      </w:r>
      <w:r w:rsidR="00C32F0E" w:rsidRPr="002721C0">
        <w:t>, 107/07</w:t>
      </w:r>
      <w:r w:rsidR="00C32F0E">
        <w:t>.</w:t>
      </w:r>
      <w:r w:rsidR="00C32F0E" w:rsidRPr="002721C0">
        <w:t>, 94/13</w:t>
      </w:r>
      <w:r w:rsidR="00C32F0E">
        <w:t>.</w:t>
      </w:r>
      <w:r w:rsidR="00C32F0E" w:rsidRPr="002721C0">
        <w:t>, 98/19</w:t>
      </w:r>
      <w:r w:rsidR="00C32F0E">
        <w:t>. i</w:t>
      </w:r>
      <w:r w:rsidR="00C32F0E" w:rsidRPr="002721C0">
        <w:t xml:space="preserve"> 57/22</w:t>
      </w:r>
      <w:r w:rsidR="00C32F0E">
        <w:t>.</w:t>
      </w:r>
      <w:r w:rsidR="00C32F0E" w:rsidRPr="002721C0">
        <w:t>),</w:t>
      </w:r>
      <w:r w:rsidR="00C32F0E">
        <w:t xml:space="preserve"> </w:t>
      </w:r>
      <w:r w:rsidR="002721C0" w:rsidRPr="002721C0">
        <w:t>Zakonu o odgoju i obrazovanju u osnovnoj i srednjoj školi („Narodne novine“</w:t>
      </w:r>
      <w:r w:rsidR="00313ADC">
        <w:t>,</w:t>
      </w:r>
      <w:r w:rsidR="002721C0" w:rsidRPr="002721C0">
        <w:t xml:space="preserve"> br. 87/08</w:t>
      </w:r>
      <w:r w:rsidR="00313ADC">
        <w:t>.</w:t>
      </w:r>
      <w:r w:rsidR="002721C0" w:rsidRPr="002721C0">
        <w:t>, 86/09</w:t>
      </w:r>
      <w:r w:rsidR="00313ADC">
        <w:t>.</w:t>
      </w:r>
      <w:r w:rsidR="002721C0" w:rsidRPr="002721C0">
        <w:t>, 92/10</w:t>
      </w:r>
      <w:r w:rsidR="00313ADC">
        <w:t>.</w:t>
      </w:r>
      <w:r w:rsidR="002721C0" w:rsidRPr="002721C0">
        <w:t>, 105/10</w:t>
      </w:r>
      <w:r w:rsidR="00313ADC">
        <w:t>.</w:t>
      </w:r>
      <w:r w:rsidR="002721C0" w:rsidRPr="002721C0">
        <w:t>, 90/11</w:t>
      </w:r>
      <w:r w:rsidR="00313ADC">
        <w:t>.</w:t>
      </w:r>
      <w:r w:rsidR="002721C0" w:rsidRPr="002721C0">
        <w:t>, 5/12</w:t>
      </w:r>
      <w:r w:rsidR="00313ADC">
        <w:t>.</w:t>
      </w:r>
      <w:r w:rsidR="002721C0" w:rsidRPr="002721C0">
        <w:t>, 16/12</w:t>
      </w:r>
      <w:r w:rsidR="00313ADC">
        <w:t>.</w:t>
      </w:r>
      <w:r w:rsidR="002721C0" w:rsidRPr="002721C0">
        <w:t>, 86/12</w:t>
      </w:r>
      <w:r w:rsidR="00313ADC">
        <w:t>.</w:t>
      </w:r>
      <w:r w:rsidR="002721C0" w:rsidRPr="002721C0">
        <w:t>, 126/12</w:t>
      </w:r>
      <w:r w:rsidR="00313ADC">
        <w:t>.</w:t>
      </w:r>
      <w:r w:rsidR="002721C0" w:rsidRPr="002721C0">
        <w:t>, 94/13</w:t>
      </w:r>
      <w:r w:rsidR="00313ADC">
        <w:t>.</w:t>
      </w:r>
      <w:r w:rsidR="002721C0" w:rsidRPr="002721C0">
        <w:t>, 152/14</w:t>
      </w:r>
      <w:r w:rsidR="00313ADC">
        <w:t>.</w:t>
      </w:r>
      <w:r w:rsidR="002721C0" w:rsidRPr="002721C0">
        <w:t>, 07/17</w:t>
      </w:r>
      <w:r w:rsidR="00313ADC">
        <w:t>.</w:t>
      </w:r>
      <w:r w:rsidR="002721C0" w:rsidRPr="002721C0">
        <w:t>, 68/18</w:t>
      </w:r>
      <w:r w:rsidR="00313ADC">
        <w:t>.</w:t>
      </w:r>
      <w:r w:rsidR="002721C0" w:rsidRPr="002721C0">
        <w:t>, 98/19</w:t>
      </w:r>
      <w:r w:rsidR="00313ADC">
        <w:t>. i</w:t>
      </w:r>
      <w:r w:rsidR="002721C0" w:rsidRPr="002721C0">
        <w:t xml:space="preserve"> 64/20</w:t>
      </w:r>
      <w:r w:rsidR="00313ADC">
        <w:t>.</w:t>
      </w:r>
      <w:r w:rsidR="00C32F0E">
        <w:t xml:space="preserve">) i </w:t>
      </w:r>
      <w:r w:rsidR="002721C0" w:rsidRPr="002721C0">
        <w:t>Zakonu o znanstvenoj djelatnosti i visokom obrazovanju („Narodne novine“</w:t>
      </w:r>
      <w:r w:rsidR="00313ADC">
        <w:t>,</w:t>
      </w:r>
      <w:r w:rsidR="002721C0" w:rsidRPr="002721C0">
        <w:t xml:space="preserve"> br. 123/03</w:t>
      </w:r>
      <w:r w:rsidR="00313ADC">
        <w:t>.</w:t>
      </w:r>
      <w:r w:rsidR="002721C0" w:rsidRPr="002721C0">
        <w:t>, 198/03</w:t>
      </w:r>
      <w:r w:rsidR="00313ADC">
        <w:t>.</w:t>
      </w:r>
      <w:r w:rsidR="002721C0" w:rsidRPr="002721C0">
        <w:t>, 105/04</w:t>
      </w:r>
      <w:r w:rsidR="00313ADC">
        <w:t>.</w:t>
      </w:r>
      <w:r w:rsidR="002721C0" w:rsidRPr="002721C0">
        <w:t>, 174/04</w:t>
      </w:r>
      <w:r w:rsidR="00313ADC">
        <w:t>.</w:t>
      </w:r>
      <w:r w:rsidR="002721C0" w:rsidRPr="002721C0">
        <w:t>, 02/07</w:t>
      </w:r>
      <w:r w:rsidR="00313ADC">
        <w:t>.</w:t>
      </w:r>
      <w:r w:rsidR="002721C0" w:rsidRPr="002721C0">
        <w:t>, 46/07</w:t>
      </w:r>
      <w:r w:rsidR="00313ADC">
        <w:t>.</w:t>
      </w:r>
      <w:r w:rsidR="002721C0" w:rsidRPr="002721C0">
        <w:t>, 45/09</w:t>
      </w:r>
      <w:r w:rsidR="00313ADC">
        <w:t>.</w:t>
      </w:r>
      <w:r w:rsidR="002721C0" w:rsidRPr="002721C0">
        <w:t>, 63/11</w:t>
      </w:r>
      <w:r w:rsidR="00313ADC">
        <w:t>.</w:t>
      </w:r>
      <w:r w:rsidR="002721C0" w:rsidRPr="002721C0">
        <w:t>, 94/13</w:t>
      </w:r>
      <w:r w:rsidR="00313ADC">
        <w:t>.</w:t>
      </w:r>
      <w:r w:rsidR="002721C0" w:rsidRPr="002721C0">
        <w:t>, 139/13</w:t>
      </w:r>
      <w:r w:rsidR="00313ADC">
        <w:t>.</w:t>
      </w:r>
      <w:r w:rsidR="002721C0" w:rsidRPr="002721C0">
        <w:t>, 101/14</w:t>
      </w:r>
      <w:r w:rsidR="00313ADC">
        <w:t>.</w:t>
      </w:r>
      <w:r w:rsidR="0058369F">
        <w:t xml:space="preserve"> i</w:t>
      </w:r>
      <w:r w:rsidR="002721C0" w:rsidRPr="002721C0">
        <w:t xml:space="preserve"> 60/15</w:t>
      </w:r>
      <w:r w:rsidR="00C00501">
        <w:t>.</w:t>
      </w:r>
      <w:r w:rsidR="002721C0" w:rsidRPr="002721C0">
        <w:t xml:space="preserve">) </w:t>
      </w:r>
    </w:p>
    <w:p w:rsidR="00104790" w:rsidRPr="00C00501" w:rsidRDefault="00101780" w:rsidP="006D4E90">
      <w:pPr>
        <w:pStyle w:val="ListParagraph"/>
        <w:contextualSpacing w:val="0"/>
        <w:jc w:val="both"/>
        <w:rPr>
          <w:rFonts w:eastAsia="Calibri"/>
          <w:lang w:eastAsia="en-US"/>
        </w:rPr>
      </w:pPr>
      <w:r w:rsidRPr="00C00501">
        <w:lastRenderedPageBreak/>
        <w:t>8.</w:t>
      </w:r>
      <w:r w:rsidRPr="00C00501">
        <w:tab/>
      </w:r>
      <w:r w:rsidR="00104790" w:rsidRPr="00C00501">
        <w:rPr>
          <w:rFonts w:eastAsia="Calibri"/>
          <w:lang w:eastAsia="en-US"/>
        </w:rPr>
        <w:t>zdravstvene ustanove, trgovačka društva koja obavljaju zdravstvenu djelatnost i privatne prakse za obavljanje zdravstvene djelatnosti sukladno Zakonu o zdravstvenoj zaštiti („Narodne novine“, br. 100/18</w:t>
      </w:r>
      <w:r w:rsidRPr="00C00501">
        <w:rPr>
          <w:rFonts w:eastAsia="Calibri"/>
          <w:lang w:eastAsia="en-US"/>
        </w:rPr>
        <w:t>.</w:t>
      </w:r>
      <w:r w:rsidR="00104790" w:rsidRPr="00C00501">
        <w:rPr>
          <w:rFonts w:eastAsia="Calibri"/>
          <w:lang w:eastAsia="en-US"/>
        </w:rPr>
        <w:t xml:space="preserve"> i 147/20</w:t>
      </w:r>
      <w:r w:rsidRPr="00C00501">
        <w:rPr>
          <w:rFonts w:eastAsia="Calibri"/>
          <w:lang w:eastAsia="en-US"/>
        </w:rPr>
        <w:t>.</w:t>
      </w:r>
      <w:r w:rsidR="00104790" w:rsidRPr="00C00501">
        <w:rPr>
          <w:rFonts w:eastAsia="Calibri"/>
          <w:lang w:eastAsia="en-US"/>
        </w:rPr>
        <w:t>) i Zakonu o ustanovama („Narodne novine“</w:t>
      </w:r>
      <w:r w:rsidR="007270BF">
        <w:rPr>
          <w:rFonts w:eastAsia="Calibri"/>
          <w:lang w:eastAsia="en-US"/>
        </w:rPr>
        <w:t>,</w:t>
      </w:r>
      <w:r w:rsidR="00104790" w:rsidRPr="00C00501">
        <w:rPr>
          <w:rFonts w:eastAsia="Calibri"/>
          <w:lang w:eastAsia="en-US"/>
        </w:rPr>
        <w:t xml:space="preserve"> br. 76/93</w:t>
      </w:r>
      <w:r w:rsidRPr="00C00501">
        <w:rPr>
          <w:rFonts w:eastAsia="Calibri"/>
          <w:lang w:eastAsia="en-US"/>
        </w:rPr>
        <w:t>.</w:t>
      </w:r>
      <w:r w:rsidR="00104790" w:rsidRPr="00C00501">
        <w:rPr>
          <w:rFonts w:eastAsia="Calibri"/>
          <w:lang w:eastAsia="en-US"/>
        </w:rPr>
        <w:t>, 29/97</w:t>
      </w:r>
      <w:r w:rsidRPr="00C00501">
        <w:rPr>
          <w:rFonts w:eastAsia="Calibri"/>
          <w:lang w:eastAsia="en-US"/>
        </w:rPr>
        <w:t>.</w:t>
      </w:r>
      <w:r w:rsidR="00104790" w:rsidRPr="00C00501">
        <w:rPr>
          <w:rFonts w:eastAsia="Calibri"/>
          <w:lang w:eastAsia="en-US"/>
        </w:rPr>
        <w:t>, 47/99</w:t>
      </w:r>
      <w:r w:rsidRPr="00C00501">
        <w:rPr>
          <w:rFonts w:eastAsia="Calibri"/>
          <w:lang w:eastAsia="en-US"/>
        </w:rPr>
        <w:t>.</w:t>
      </w:r>
      <w:r w:rsidR="00104790" w:rsidRPr="00C00501">
        <w:rPr>
          <w:rFonts w:eastAsia="Calibri"/>
          <w:lang w:eastAsia="en-US"/>
        </w:rPr>
        <w:t>, 35/08</w:t>
      </w:r>
      <w:r w:rsidRPr="00C00501">
        <w:rPr>
          <w:rFonts w:eastAsia="Calibri"/>
          <w:lang w:eastAsia="en-US"/>
        </w:rPr>
        <w:t>. i</w:t>
      </w:r>
      <w:r w:rsidR="00104790" w:rsidRPr="00C00501">
        <w:rPr>
          <w:rFonts w:eastAsia="Calibri"/>
          <w:lang w:eastAsia="en-US"/>
        </w:rPr>
        <w:t xml:space="preserve"> 127/19</w:t>
      </w:r>
      <w:r w:rsidRPr="00C00501">
        <w:rPr>
          <w:rFonts w:eastAsia="Calibri"/>
          <w:lang w:eastAsia="en-US"/>
        </w:rPr>
        <w:t>.</w:t>
      </w:r>
      <w:r w:rsidR="00104790" w:rsidRPr="00C00501">
        <w:rPr>
          <w:rFonts w:eastAsia="Calibri"/>
          <w:lang w:eastAsia="en-US"/>
        </w:rPr>
        <w:t>)</w:t>
      </w:r>
    </w:p>
    <w:p w:rsidR="002721C0" w:rsidRPr="00C00501" w:rsidRDefault="00104790" w:rsidP="006D4E90">
      <w:pPr>
        <w:ind w:left="720"/>
        <w:contextualSpacing/>
        <w:jc w:val="both"/>
      </w:pPr>
      <w:r w:rsidRPr="00C00501">
        <w:t>9</w:t>
      </w:r>
      <w:r w:rsidR="002721C0" w:rsidRPr="00C00501">
        <w:t>.</w:t>
      </w:r>
      <w:r w:rsidR="002721C0" w:rsidRPr="00C00501">
        <w:tab/>
        <w:t>davatelj</w:t>
      </w:r>
      <w:r w:rsidR="00412691">
        <w:t>e</w:t>
      </w:r>
      <w:r w:rsidR="002721C0" w:rsidRPr="00C00501">
        <w:t xml:space="preserve"> poštanskih usluga sukladno Zakonu o poštanskim uslugama („Narodne novine“</w:t>
      </w:r>
      <w:r w:rsidR="00101780" w:rsidRPr="00C00501">
        <w:t>,</w:t>
      </w:r>
      <w:r w:rsidR="002721C0" w:rsidRPr="00C00501">
        <w:t xml:space="preserve"> br. 144/12</w:t>
      </w:r>
      <w:r w:rsidR="00101780" w:rsidRPr="00C00501">
        <w:t>.</w:t>
      </w:r>
      <w:r w:rsidR="002721C0" w:rsidRPr="00C00501">
        <w:t>, 153/13</w:t>
      </w:r>
      <w:r w:rsidR="00101780" w:rsidRPr="00C00501">
        <w:t>.</w:t>
      </w:r>
      <w:r w:rsidR="002721C0" w:rsidRPr="00C00501">
        <w:t>, 78/15</w:t>
      </w:r>
      <w:r w:rsidR="00101780" w:rsidRPr="00C00501">
        <w:t>. i</w:t>
      </w:r>
      <w:r w:rsidR="002721C0" w:rsidRPr="00C00501">
        <w:t xml:space="preserve"> 110/19</w:t>
      </w:r>
      <w:r w:rsidR="00101780" w:rsidRPr="00C00501">
        <w:t>.</w:t>
      </w:r>
      <w:r w:rsidR="002721C0" w:rsidRPr="00C00501">
        <w:t>)</w:t>
      </w:r>
    </w:p>
    <w:p w:rsidR="00C337E5" w:rsidRPr="00C337E5" w:rsidRDefault="00104790" w:rsidP="006D4E90">
      <w:pPr>
        <w:ind w:left="709"/>
        <w:jc w:val="both"/>
      </w:pPr>
      <w:r w:rsidRPr="00C00501">
        <w:t>10</w:t>
      </w:r>
      <w:r w:rsidR="002721C0" w:rsidRPr="00C00501">
        <w:t>.</w:t>
      </w:r>
      <w:r w:rsidR="002721C0" w:rsidRPr="00C00501">
        <w:tab/>
      </w:r>
      <w:r w:rsidR="007270BF" w:rsidRPr="00C337E5">
        <w:t>Hrvatsk</w:t>
      </w:r>
      <w:r w:rsidR="007270BF">
        <w:t>u</w:t>
      </w:r>
      <w:r w:rsidR="007270BF" w:rsidRPr="00C337E5">
        <w:t xml:space="preserve"> radiotelevizij</w:t>
      </w:r>
      <w:r w:rsidR="007270BF">
        <w:t>u</w:t>
      </w:r>
      <w:r w:rsidR="007270BF" w:rsidRPr="00C337E5">
        <w:t xml:space="preserve"> </w:t>
      </w:r>
      <w:r w:rsidR="00C337E5" w:rsidRPr="00C337E5">
        <w:t xml:space="preserve">i </w:t>
      </w:r>
      <w:r w:rsidR="007270BF" w:rsidRPr="00C337E5">
        <w:t>Hrvatsk</w:t>
      </w:r>
      <w:r w:rsidR="007270BF">
        <w:t>u</w:t>
      </w:r>
      <w:r w:rsidR="007270BF" w:rsidRPr="00C337E5">
        <w:t xml:space="preserve"> izvještajn</w:t>
      </w:r>
      <w:r w:rsidR="007270BF">
        <w:t>u</w:t>
      </w:r>
      <w:r w:rsidR="007270BF" w:rsidRPr="00C337E5">
        <w:t xml:space="preserve"> novinsk</w:t>
      </w:r>
      <w:r w:rsidR="007270BF">
        <w:t>u</w:t>
      </w:r>
      <w:r w:rsidR="007270BF" w:rsidRPr="00C337E5">
        <w:t xml:space="preserve"> agencij</w:t>
      </w:r>
      <w:r w:rsidR="007270BF">
        <w:t>u</w:t>
      </w:r>
      <w:r w:rsidR="007270BF" w:rsidRPr="00C337E5">
        <w:t xml:space="preserve"> </w:t>
      </w:r>
      <w:r w:rsidR="00C337E5" w:rsidRPr="00C337E5">
        <w:t xml:space="preserve">sukladno Zakonu </w:t>
      </w:r>
      <w:r w:rsidR="007A4945">
        <w:t>o Hr</w:t>
      </w:r>
      <w:r w:rsidR="00C337E5" w:rsidRPr="00C337E5">
        <w:t>v</w:t>
      </w:r>
      <w:r w:rsidR="007A4945">
        <w:t>a</w:t>
      </w:r>
      <w:r w:rsidR="00C337E5" w:rsidRPr="00C337E5">
        <w:t>tskoj radioteleviziji („Narodne novine“, br. 137/10</w:t>
      </w:r>
      <w:r w:rsidR="00C32F0E">
        <w:t xml:space="preserve">., </w:t>
      </w:r>
      <w:r w:rsidR="00C337E5" w:rsidRPr="00C337E5">
        <w:t>76/12</w:t>
      </w:r>
      <w:r w:rsidR="00C32F0E">
        <w:t>.</w:t>
      </w:r>
      <w:r w:rsidR="00C337E5" w:rsidRPr="00C337E5">
        <w:t>, 78/16</w:t>
      </w:r>
      <w:r w:rsidR="00C32F0E">
        <w:t>.</w:t>
      </w:r>
      <w:r w:rsidR="00C337E5" w:rsidRPr="00C337E5">
        <w:t>, 46/17</w:t>
      </w:r>
      <w:r w:rsidR="00C32F0E">
        <w:t>.</w:t>
      </w:r>
      <w:r w:rsidR="00C337E5" w:rsidRPr="00C337E5">
        <w:t>, 73/17</w:t>
      </w:r>
      <w:r w:rsidR="00C32F0E">
        <w:t>.</w:t>
      </w:r>
      <w:r w:rsidR="00C337E5" w:rsidRPr="00C337E5">
        <w:t>, 94/18</w:t>
      </w:r>
      <w:r w:rsidR="00C32F0E">
        <w:t>.</w:t>
      </w:r>
      <w:r w:rsidR="007A4945">
        <w:t>)</w:t>
      </w:r>
      <w:r w:rsidR="00C337E5" w:rsidRPr="00C337E5">
        <w:t xml:space="preserve"> i Zakonu o Hrvatskoj izvještajnoj novinskoj agenciji („Naro</w:t>
      </w:r>
      <w:r w:rsidR="007A4945">
        <w:t>d</w:t>
      </w:r>
      <w:r w:rsidR="00C337E5" w:rsidRPr="00C337E5">
        <w:t>ne novine“, br</w:t>
      </w:r>
      <w:r w:rsidR="007270BF">
        <w:t>oj</w:t>
      </w:r>
      <w:r w:rsidR="00C337E5" w:rsidRPr="00C337E5">
        <w:t xml:space="preserve"> 96/01</w:t>
      </w:r>
      <w:r w:rsidR="00C32F0E">
        <w:t>.</w:t>
      </w:r>
      <w:r w:rsidR="00C337E5" w:rsidRPr="00C337E5">
        <w:t>)</w:t>
      </w:r>
    </w:p>
    <w:p w:rsidR="002721C0" w:rsidRPr="00C161A6" w:rsidRDefault="00104790" w:rsidP="006D4E90">
      <w:pPr>
        <w:ind w:left="720"/>
        <w:contextualSpacing/>
        <w:jc w:val="both"/>
      </w:pPr>
      <w:r w:rsidRPr="00C337E5">
        <w:t>11</w:t>
      </w:r>
      <w:r w:rsidR="002721C0" w:rsidRPr="00C337E5">
        <w:t>.</w:t>
      </w:r>
      <w:r w:rsidR="002721C0" w:rsidRPr="00C337E5">
        <w:tab/>
        <w:t>subjekt</w:t>
      </w:r>
      <w:r w:rsidR="006D4E90">
        <w:t>e</w:t>
      </w:r>
      <w:r w:rsidR="00DB7AD7">
        <w:t xml:space="preserve"> koji obavljaju</w:t>
      </w:r>
      <w:r w:rsidR="002721C0" w:rsidRPr="00C337E5">
        <w:t xml:space="preserve"> </w:t>
      </w:r>
      <w:r w:rsidR="00A65C43" w:rsidRPr="00C337E5">
        <w:t xml:space="preserve">komunalne </w:t>
      </w:r>
      <w:r w:rsidR="002721C0" w:rsidRPr="00C00501">
        <w:t>djelatnost</w:t>
      </w:r>
      <w:r w:rsidR="00A65C43" w:rsidRPr="00C00501">
        <w:t>i</w:t>
      </w:r>
      <w:r w:rsidR="002721C0" w:rsidRPr="00C00501">
        <w:t xml:space="preserve"> sukladno Zakonu o komunalnom gospodarstvu („Narodne novine“</w:t>
      </w:r>
      <w:r w:rsidR="00A65C43" w:rsidRPr="00C00501">
        <w:t>,</w:t>
      </w:r>
      <w:r w:rsidR="002721C0" w:rsidRPr="00C00501">
        <w:t xml:space="preserve"> br.</w:t>
      </w:r>
      <w:r w:rsidR="00A65C43" w:rsidRPr="00C00501">
        <w:t xml:space="preserve"> </w:t>
      </w:r>
      <w:r w:rsidR="002721C0" w:rsidRPr="00C00501">
        <w:t>68/18</w:t>
      </w:r>
      <w:r w:rsidR="00A65C43" w:rsidRPr="00C00501">
        <w:t>.</w:t>
      </w:r>
      <w:r w:rsidR="002721C0" w:rsidRPr="00C00501">
        <w:t>, 110/18</w:t>
      </w:r>
      <w:r w:rsidR="00A65C43" w:rsidRPr="00C00501">
        <w:t>. i</w:t>
      </w:r>
      <w:r w:rsidR="002721C0" w:rsidRPr="00C00501">
        <w:t xml:space="preserve"> 32/20</w:t>
      </w:r>
      <w:r w:rsidR="00A65C43" w:rsidRPr="00C00501">
        <w:t>.</w:t>
      </w:r>
      <w:r w:rsidR="002721C0" w:rsidRPr="00C00501">
        <w:t>)</w:t>
      </w:r>
      <w:r w:rsidR="006D4E90">
        <w:t>,</w:t>
      </w:r>
      <w:r w:rsidR="00AE5293">
        <w:t xml:space="preserve"> </w:t>
      </w:r>
      <w:r w:rsidR="006D4E90">
        <w:t>uključujući</w:t>
      </w:r>
      <w:r w:rsidR="00AE5293">
        <w:t xml:space="preserve"> javni električni </w:t>
      </w:r>
      <w:r w:rsidR="006D4E90">
        <w:t>prijevoz</w:t>
      </w:r>
    </w:p>
    <w:p w:rsidR="002721C0" w:rsidRPr="00C00501" w:rsidRDefault="00104790" w:rsidP="006D4E90">
      <w:pPr>
        <w:ind w:left="720"/>
        <w:contextualSpacing/>
        <w:jc w:val="both"/>
      </w:pPr>
      <w:r w:rsidRPr="00C00501">
        <w:t>12</w:t>
      </w:r>
      <w:r w:rsidR="002721C0" w:rsidRPr="00C00501">
        <w:t>.</w:t>
      </w:r>
      <w:r w:rsidR="00A65C43" w:rsidRPr="00C00501">
        <w:tab/>
      </w:r>
      <w:r w:rsidR="002721C0" w:rsidRPr="00C00501">
        <w:t>komore i druga strukovna, gospodarska i profesionalna udruženja</w:t>
      </w:r>
      <w:r w:rsidR="000C0255">
        <w:t>, uključujući sindikate</w:t>
      </w:r>
      <w:r w:rsidR="002721C0" w:rsidRPr="00C00501">
        <w:t xml:space="preserve"> </w:t>
      </w:r>
    </w:p>
    <w:p w:rsidR="00E30939" w:rsidRPr="00A65C43" w:rsidRDefault="00104790" w:rsidP="006D4E90">
      <w:pPr>
        <w:ind w:left="720"/>
        <w:contextualSpacing/>
        <w:jc w:val="both"/>
      </w:pPr>
      <w:r w:rsidRPr="00C00501">
        <w:t>13</w:t>
      </w:r>
      <w:r w:rsidR="00A65C43" w:rsidRPr="00C00501">
        <w:t>.</w:t>
      </w:r>
      <w:r w:rsidR="00A65C43" w:rsidRPr="00C00501">
        <w:tab/>
      </w:r>
      <w:r w:rsidR="00E30939" w:rsidRPr="00C00501">
        <w:t>v</w:t>
      </w:r>
      <w:r w:rsidR="00E30939" w:rsidRPr="00C00501">
        <w:rPr>
          <w:shd w:val="clear" w:color="auto" w:fill="FFFFFF"/>
        </w:rPr>
        <w:t xml:space="preserve">ijeće nacionalne manjine i </w:t>
      </w:r>
      <w:r w:rsidR="00B2424B" w:rsidRPr="00C00501">
        <w:rPr>
          <w:shd w:val="clear" w:color="auto" w:fill="FFFFFF"/>
        </w:rPr>
        <w:t>koordinacij</w:t>
      </w:r>
      <w:r w:rsidR="00B2424B">
        <w:rPr>
          <w:shd w:val="clear" w:color="auto" w:fill="FFFFFF"/>
        </w:rPr>
        <w:t>u</w:t>
      </w:r>
      <w:r w:rsidR="00B2424B" w:rsidRPr="00C00501">
        <w:rPr>
          <w:shd w:val="clear" w:color="auto" w:fill="FFFFFF"/>
        </w:rPr>
        <w:t xml:space="preserve"> </w:t>
      </w:r>
      <w:r w:rsidR="00E30939" w:rsidRPr="00C00501">
        <w:rPr>
          <w:shd w:val="clear" w:color="auto" w:fill="FFFFFF"/>
        </w:rPr>
        <w:t>vijeća nacionalnih manjina upisane u Registar vijeća, koordinacija vijeća i predstavnika naciona</w:t>
      </w:r>
      <w:r w:rsidR="00A65C43" w:rsidRPr="00C00501">
        <w:rPr>
          <w:shd w:val="clear" w:color="auto" w:fill="FFFFFF"/>
        </w:rPr>
        <w:t xml:space="preserve">lnih manjina sukladno odredbama </w:t>
      </w:r>
      <w:r w:rsidR="00B2424B" w:rsidRPr="00C00501">
        <w:rPr>
          <w:shd w:val="clear" w:color="auto" w:fill="FFFFFF"/>
        </w:rPr>
        <w:t>Zakon</w:t>
      </w:r>
      <w:r w:rsidR="00B2424B">
        <w:rPr>
          <w:shd w:val="clear" w:color="auto" w:fill="FFFFFF"/>
        </w:rPr>
        <w:t>a</w:t>
      </w:r>
      <w:r w:rsidR="00B2424B" w:rsidRPr="00C00501">
        <w:rPr>
          <w:shd w:val="clear" w:color="auto" w:fill="FFFFFF"/>
        </w:rPr>
        <w:t xml:space="preserve"> </w:t>
      </w:r>
      <w:r w:rsidR="00E30939" w:rsidRPr="00C00501">
        <w:rPr>
          <w:shd w:val="clear" w:color="auto" w:fill="FFFFFF"/>
        </w:rPr>
        <w:t>o Registru vijeća, koordinacija vijeća i predstavnika nacionalnih manjina („Narodne novine“</w:t>
      </w:r>
      <w:r w:rsidR="00A65C43" w:rsidRPr="00C00501">
        <w:rPr>
          <w:shd w:val="clear" w:color="auto" w:fill="FFFFFF"/>
        </w:rPr>
        <w:t>,</w:t>
      </w:r>
      <w:r w:rsidR="00E30939" w:rsidRPr="00C00501">
        <w:rPr>
          <w:shd w:val="clear" w:color="auto" w:fill="FFFFFF"/>
        </w:rPr>
        <w:t xml:space="preserve"> br. </w:t>
      </w:r>
      <w:hyperlink r:id="rId9" w:history="1">
        <w:r w:rsidR="00E30939" w:rsidRPr="00C00501">
          <w:rPr>
            <w:rStyle w:val="Hyperlink"/>
            <w:rFonts w:eastAsiaTheme="majorEastAsia"/>
            <w:color w:val="auto"/>
            <w:u w:val="none"/>
            <w:shd w:val="clear" w:color="auto" w:fill="FFFFFF"/>
          </w:rPr>
          <w:t>80/11</w:t>
        </w:r>
      </w:hyperlink>
      <w:r w:rsidR="00A65C43" w:rsidRPr="00C00501">
        <w:rPr>
          <w:rStyle w:val="Hyperlink"/>
          <w:rFonts w:eastAsiaTheme="majorEastAsia"/>
          <w:color w:val="auto"/>
          <w:u w:val="none"/>
          <w:shd w:val="clear" w:color="auto" w:fill="FFFFFF"/>
        </w:rPr>
        <w:t>.</w:t>
      </w:r>
      <w:r w:rsidR="00E30939" w:rsidRPr="00C00501">
        <w:rPr>
          <w:shd w:val="clear" w:color="auto" w:fill="FFFFFF"/>
        </w:rPr>
        <w:t>, </w:t>
      </w:r>
      <w:hyperlink r:id="rId10" w:history="1">
        <w:r w:rsidR="00E30939" w:rsidRPr="00C00501">
          <w:rPr>
            <w:rStyle w:val="Hyperlink"/>
            <w:rFonts w:eastAsiaTheme="majorEastAsia"/>
            <w:color w:val="auto"/>
            <w:u w:val="none"/>
            <w:shd w:val="clear" w:color="auto" w:fill="FFFFFF"/>
          </w:rPr>
          <w:t>34/12</w:t>
        </w:r>
      </w:hyperlink>
      <w:r w:rsidR="00A65C43" w:rsidRPr="00C00501">
        <w:rPr>
          <w:rStyle w:val="Hyperlink"/>
          <w:rFonts w:eastAsiaTheme="majorEastAsia"/>
          <w:color w:val="auto"/>
          <w:u w:val="none"/>
          <w:shd w:val="clear" w:color="auto" w:fill="FFFFFF"/>
        </w:rPr>
        <w:t>.</w:t>
      </w:r>
      <w:r w:rsidR="00E30939" w:rsidRPr="00C00501">
        <w:rPr>
          <w:shd w:val="clear" w:color="auto" w:fill="FFFFFF"/>
        </w:rPr>
        <w:t> i </w:t>
      </w:r>
      <w:hyperlink r:id="rId11" w:history="1">
        <w:r w:rsidR="00E30939" w:rsidRPr="00C00501">
          <w:rPr>
            <w:rStyle w:val="Hyperlink"/>
            <w:rFonts w:eastAsiaTheme="majorEastAsia"/>
            <w:color w:val="auto"/>
            <w:u w:val="none"/>
            <w:shd w:val="clear" w:color="auto" w:fill="FFFFFF"/>
          </w:rPr>
          <w:t>98/19</w:t>
        </w:r>
      </w:hyperlink>
      <w:r w:rsidR="00A65C43" w:rsidRPr="00C00501">
        <w:rPr>
          <w:rStyle w:val="Hyperlink"/>
          <w:rFonts w:eastAsiaTheme="majorEastAsia"/>
          <w:color w:val="auto"/>
          <w:u w:val="none"/>
          <w:shd w:val="clear" w:color="auto" w:fill="FFFFFF"/>
        </w:rPr>
        <w:t>.</w:t>
      </w:r>
      <w:r w:rsidR="00E30939" w:rsidRPr="00C00501">
        <w:t>)</w:t>
      </w:r>
    </w:p>
    <w:p w:rsidR="00DB7AD7" w:rsidRDefault="00104790" w:rsidP="006D4E90">
      <w:pPr>
        <w:ind w:left="720"/>
        <w:contextualSpacing/>
        <w:jc w:val="both"/>
      </w:pPr>
      <w:r>
        <w:t>14</w:t>
      </w:r>
      <w:r w:rsidR="002721C0" w:rsidRPr="002721C0">
        <w:t>.</w:t>
      </w:r>
      <w:r w:rsidR="002721C0" w:rsidRPr="002721C0">
        <w:tab/>
        <w:t xml:space="preserve">tijela državne uprave, druga državna tijela (Hrvatski </w:t>
      </w:r>
      <w:r w:rsidR="00B2424B">
        <w:t>s</w:t>
      </w:r>
      <w:r w:rsidR="00B2424B" w:rsidRPr="002721C0">
        <w:t>abor</w:t>
      </w:r>
      <w:r w:rsidR="002721C0" w:rsidRPr="002721C0">
        <w:t>, Predsjednik Republike Hrvatske, Vlada Republike Hrvatske, Ustavni sud Republike Hrvatske, državno odvjetništvo, pučki pravobranitelj, sudovi, agencije, zavodi, fondovi), pravne osobe s javnim ovlastima te neprofitne organizacije kako su definirane zakonom kojim se uređuje proračun.</w:t>
      </w:r>
    </w:p>
    <w:p w:rsidR="00DB7AD7" w:rsidRDefault="00DB7AD7" w:rsidP="006D4E90">
      <w:pPr>
        <w:ind w:left="720"/>
        <w:contextualSpacing/>
        <w:jc w:val="both"/>
      </w:pPr>
    </w:p>
    <w:p w:rsidR="00FB15B0" w:rsidRPr="00C161A6" w:rsidRDefault="006D4E90" w:rsidP="006D4E90">
      <w:pPr>
        <w:contextualSpacing/>
        <w:jc w:val="both"/>
      </w:pPr>
      <w:r>
        <w:tab/>
      </w:r>
      <w:r w:rsidR="00E96F01" w:rsidRPr="00C161A6">
        <w:t>(</w:t>
      </w:r>
      <w:r w:rsidR="00823CBC" w:rsidRPr="00C161A6">
        <w:t>4</w:t>
      </w:r>
      <w:r w:rsidR="00E96F01" w:rsidRPr="00C161A6">
        <w:t>)</w:t>
      </w:r>
      <w:r w:rsidR="00E96F01" w:rsidRPr="00C161A6">
        <w:tab/>
      </w:r>
      <w:r w:rsidR="00FB15B0" w:rsidRPr="00C161A6">
        <w:t xml:space="preserve">Za kupce iz kategorije kućanstvo cijena se obračunava pojedinačno za svako obračunsko mjerno mjesto, a za kupca iz kategorije poduzetništvo cijena se obračunava prema osobnom identifikacijskom broju </w:t>
      </w:r>
      <w:r w:rsidR="00275D9E" w:rsidRPr="00C161A6">
        <w:t>(</w:t>
      </w:r>
      <w:r w:rsidR="00FB15B0" w:rsidRPr="00C161A6">
        <w:t>OIB</w:t>
      </w:r>
      <w:r w:rsidR="00275D9E" w:rsidRPr="00C161A6">
        <w:t>) poduzetnika</w:t>
      </w:r>
      <w:r w:rsidR="00FB15B0" w:rsidRPr="00C161A6">
        <w:t>.</w:t>
      </w:r>
    </w:p>
    <w:p w:rsidR="002721C0" w:rsidRPr="002721C0" w:rsidRDefault="002721C0" w:rsidP="006D4E90">
      <w:pPr>
        <w:contextualSpacing/>
        <w:jc w:val="both"/>
      </w:pPr>
    </w:p>
    <w:p w:rsidR="002721C0" w:rsidRPr="002721C0" w:rsidRDefault="006D4E90" w:rsidP="006D4E90">
      <w:pPr>
        <w:contextualSpacing/>
        <w:jc w:val="both"/>
      </w:pPr>
      <w:r>
        <w:tab/>
      </w:r>
      <w:r w:rsidR="00E96F01">
        <w:t>(</w:t>
      </w:r>
      <w:r w:rsidR="00823CBC">
        <w:t>5</w:t>
      </w:r>
      <w:r w:rsidR="00E96F01">
        <w:t>)</w:t>
      </w:r>
      <w:r w:rsidR="00E96F01">
        <w:tab/>
      </w:r>
      <w:r w:rsidR="002721C0" w:rsidRPr="002721C0">
        <w:t xml:space="preserve">Ako kupci iz stavka 1. ovoga članka prelaze visinu </w:t>
      </w:r>
      <w:r w:rsidR="00E96F01" w:rsidRPr="002721C0">
        <w:t>šestomjesečn</w:t>
      </w:r>
      <w:r w:rsidR="00E96F01">
        <w:t>e</w:t>
      </w:r>
      <w:r w:rsidR="00E96F01" w:rsidRPr="002721C0">
        <w:t xml:space="preserve"> potrošnj</w:t>
      </w:r>
      <w:r w:rsidR="00E96F01">
        <w:t>e</w:t>
      </w:r>
      <w:r w:rsidR="00E96F01" w:rsidRPr="002721C0">
        <w:t xml:space="preserve"> </w:t>
      </w:r>
      <w:r w:rsidR="002721C0" w:rsidRPr="002721C0">
        <w:t>iz stavka 1. ovoga članka, za razliku potrošnje energije plaća se iznos uvećan za 50</w:t>
      </w:r>
      <w:r w:rsidR="00E96F01">
        <w:t xml:space="preserve"> </w:t>
      </w:r>
      <w:r w:rsidR="002721C0" w:rsidRPr="002721C0">
        <w:t>% iznosa iz stavka 1. ovoga članka</w:t>
      </w:r>
      <w:r w:rsidR="002721C0" w:rsidRPr="00E96F01">
        <w:t>.</w:t>
      </w:r>
    </w:p>
    <w:p w:rsidR="00F03A21" w:rsidRPr="002721C0" w:rsidRDefault="00F03A21" w:rsidP="006D4E90">
      <w:pPr>
        <w:ind w:firstLine="142"/>
        <w:contextualSpacing/>
        <w:jc w:val="both"/>
      </w:pPr>
    </w:p>
    <w:p w:rsidR="002721C0" w:rsidRDefault="006D4E90" w:rsidP="006D4E90">
      <w:pPr>
        <w:contextualSpacing/>
        <w:jc w:val="both"/>
      </w:pPr>
      <w:r>
        <w:tab/>
      </w:r>
      <w:r w:rsidR="004C1320">
        <w:t>(</w:t>
      </w:r>
      <w:r w:rsidR="00823CBC">
        <w:t>6</w:t>
      </w:r>
      <w:r w:rsidR="004C1320">
        <w:t>)</w:t>
      </w:r>
      <w:r w:rsidR="004C1320">
        <w:tab/>
      </w:r>
      <w:r w:rsidR="002721C0" w:rsidRPr="004C1320">
        <w:t>Za svako pojedinačno obračunsko mjerno mjesto kupca iz kategorije kućanstvo iz članka 2. stavka 1. ove Uredbe,</w:t>
      </w:r>
      <w:r w:rsidR="002721C0" w:rsidRPr="002721C0">
        <w:t xml:space="preserve"> koji u trenutku stupanja na snagu ove Uredbe nema podatke o potrošnji električne energije za razdoblje od 1. listopada 2021. do 31. ožujka 2022., njihova potrošnja električne energije računa se na temelju prosjeka potrošnje električne energije kategorije kućanstva za razdoblje od 1. listopada 2021. do 31. ožujka 2022.</w:t>
      </w:r>
    </w:p>
    <w:p w:rsidR="004145DA" w:rsidRDefault="004145DA" w:rsidP="006D4E90">
      <w:pPr>
        <w:jc w:val="center"/>
        <w:rPr>
          <w:b/>
        </w:rPr>
      </w:pPr>
    </w:p>
    <w:p w:rsidR="002721C0" w:rsidRPr="002721C0" w:rsidRDefault="002721C0" w:rsidP="006D4E90">
      <w:pPr>
        <w:jc w:val="center"/>
        <w:rPr>
          <w:b/>
        </w:rPr>
      </w:pPr>
      <w:r w:rsidRPr="002721C0">
        <w:rPr>
          <w:b/>
        </w:rPr>
        <w:t>Članak 3.</w:t>
      </w:r>
    </w:p>
    <w:p w:rsidR="002721C0" w:rsidRPr="002721C0" w:rsidRDefault="002721C0" w:rsidP="006D4E90">
      <w:pPr>
        <w:contextualSpacing/>
        <w:jc w:val="both"/>
      </w:pPr>
    </w:p>
    <w:p w:rsidR="00DB7AD7" w:rsidRPr="001C63D1" w:rsidRDefault="00DB7AD7" w:rsidP="006D4E90">
      <w:pPr>
        <w:pStyle w:val="ListParagraph"/>
        <w:numPr>
          <w:ilvl w:val="0"/>
          <w:numId w:val="38"/>
        </w:numPr>
        <w:ind w:left="0" w:firstLine="0"/>
        <w:jc w:val="both"/>
      </w:pPr>
      <w:r w:rsidRPr="001C63D1">
        <w:t>Ako je prije stupanja na snagu ove Uredbe, sklopljen ugovor o opskrbi električnom energijom s opskrbljivačem električne energije</w:t>
      </w:r>
      <w:r w:rsidR="00DE2E13">
        <w:t xml:space="preserve"> s</w:t>
      </w:r>
      <w:r w:rsidRPr="001C63D1">
        <w:t xml:space="preserve"> kojim je ugovorena cijena niža od one određene  člankom 2. ove Uredbe, takav opskrbljivač električne energije ima pravo na  naplatu isporučene električne energije isključivo po cijeni iz tako sklopljenog ugovora. </w:t>
      </w:r>
    </w:p>
    <w:p w:rsidR="00DB7AD7" w:rsidRPr="001C63D1" w:rsidRDefault="00DB7AD7" w:rsidP="006D4E90">
      <w:pPr>
        <w:jc w:val="both"/>
      </w:pPr>
    </w:p>
    <w:p w:rsidR="00DB7AD7" w:rsidRPr="001C63D1" w:rsidRDefault="00DB7AD7" w:rsidP="006D4E90">
      <w:pPr>
        <w:pStyle w:val="ListParagraph"/>
        <w:numPr>
          <w:ilvl w:val="0"/>
          <w:numId w:val="38"/>
        </w:numPr>
        <w:ind w:left="0" w:firstLine="0"/>
        <w:jc w:val="both"/>
        <w:rPr>
          <w:bCs/>
        </w:rPr>
      </w:pPr>
      <w:r w:rsidRPr="001C63D1">
        <w:t>Ako je prije stupanja na snagu ove Uredbe, sklopljen ugovor o opskrbi električnom energijom s opskrbljivačem električne energije i ako je ugovorena cijena niža od one određene  člankom 2. ove Uredbe, a ugovorom je predviđena mogućnost povećanja cijene</w:t>
      </w:r>
      <w:r w:rsidR="00DE2E13" w:rsidRPr="00C161A6">
        <w:t>,</w:t>
      </w:r>
      <w:r w:rsidRPr="001C63D1">
        <w:t xml:space="preserve"> za </w:t>
      </w:r>
      <w:r w:rsidRPr="001C63D1">
        <w:lastRenderedPageBreak/>
        <w:t>vrijeme važenja ove Uredbe povećanje cijena je moguće sukladno sklopljenom ugovoru najviše do cijena utvrđenih člankom 2. ove Uredbe.</w:t>
      </w:r>
      <w:r w:rsidRPr="001C63D1">
        <w:rPr>
          <w:bCs/>
        </w:rPr>
        <w:t xml:space="preserve"> </w:t>
      </w:r>
    </w:p>
    <w:p w:rsidR="00DB7AD7" w:rsidRPr="001C63D1" w:rsidRDefault="00DB7AD7" w:rsidP="006D4E90">
      <w:pPr>
        <w:jc w:val="center"/>
        <w:rPr>
          <w:bCs/>
        </w:rPr>
      </w:pPr>
    </w:p>
    <w:p w:rsidR="00DB7AD7" w:rsidRPr="001C63D1" w:rsidRDefault="00DB7AD7" w:rsidP="005B033C">
      <w:pPr>
        <w:pStyle w:val="ListParagraph"/>
        <w:numPr>
          <w:ilvl w:val="0"/>
          <w:numId w:val="38"/>
        </w:numPr>
        <w:ind w:left="0" w:firstLine="709"/>
        <w:jc w:val="both"/>
        <w:rPr>
          <w:bCs/>
        </w:rPr>
      </w:pPr>
      <w:r w:rsidRPr="001C63D1">
        <w:t>Ako je prije stupanja na snagu ove Uredbe, sklopljen ugovor o opskrbi električnom energijom s opskrbljivačem električne energije koji je član HEP grupe i ako je ugovorena cijena viša od one određene  člankom 2. ove Uredbe ili ako je ugovorena mogućnost povećanja cijene</w:t>
      </w:r>
      <w:r w:rsidR="00DE2E13">
        <w:t>,</w:t>
      </w:r>
      <w:r w:rsidRPr="001C63D1">
        <w:t xml:space="preserve"> za vrijeme važenja ove Uredbe  takav opskrbljivač električne energije ima pravo na  naplatu isporučene električne energije isključivo po cijeni iz članka 2. ove Uredbe, a tako sklopljeni ugovori nastavljaju se primjenjivati u dijelu koji se odnosi na ugovorenu cijenu po prestanku važenja ove Uredbe.</w:t>
      </w:r>
    </w:p>
    <w:p w:rsidR="00DB7AD7" w:rsidRDefault="00DB7AD7" w:rsidP="005B033C">
      <w:pPr>
        <w:ind w:firstLine="709"/>
        <w:jc w:val="both"/>
      </w:pPr>
    </w:p>
    <w:p w:rsidR="00DB7AD7" w:rsidRPr="001C63D1" w:rsidRDefault="00DB7AD7" w:rsidP="005B033C">
      <w:pPr>
        <w:pStyle w:val="ListParagraph"/>
        <w:numPr>
          <w:ilvl w:val="0"/>
          <w:numId w:val="38"/>
        </w:numPr>
        <w:ind w:left="0" w:firstLine="709"/>
        <w:jc w:val="both"/>
        <w:rPr>
          <w:bCs/>
        </w:rPr>
      </w:pPr>
      <w:r w:rsidRPr="001C63D1">
        <w:t>Ako je prije stupanja na snagu ove Uredbe, sklopljen ugovor o opskrbi električnom energijom s opskrbljivačem električne energije koji nije član HEP grupe, i ako je ugovorena cijena viša od one određene člankom 2. ove Uredbe ili ako je ugovorena mogućnost povećanja cijene</w:t>
      </w:r>
      <w:r w:rsidR="00DE2E13">
        <w:t>,</w:t>
      </w:r>
      <w:r w:rsidRPr="001C63D1">
        <w:t xml:space="preserve"> za vrijeme važenja ove Uredbe, takav opskrbljivač električne energije ima pravo na naplatu isporučene električne energije isključivo po cijeni iz članka 2. ove Uredbe, a tako sklopljeni ugovori nastavljaju se primjenjivati u dijelu koji se odnosi na ugovorenu cijenu po prestanku važenja ove Uredbe.</w:t>
      </w:r>
    </w:p>
    <w:p w:rsidR="00DB7AD7" w:rsidRPr="001C63D1" w:rsidRDefault="00DB7AD7" w:rsidP="005B033C">
      <w:pPr>
        <w:ind w:firstLine="709"/>
        <w:jc w:val="both"/>
        <w:rPr>
          <w:bCs/>
        </w:rPr>
      </w:pPr>
    </w:p>
    <w:p w:rsidR="00DB7AD7" w:rsidRPr="001C63D1" w:rsidRDefault="00DB7AD7" w:rsidP="005B033C">
      <w:pPr>
        <w:pStyle w:val="ListParagraph"/>
        <w:numPr>
          <w:ilvl w:val="0"/>
          <w:numId w:val="38"/>
        </w:numPr>
        <w:ind w:left="0" w:firstLine="709"/>
        <w:jc w:val="both"/>
      </w:pPr>
      <w:r w:rsidRPr="001C63D1">
        <w:t>Opskrbljivači e</w:t>
      </w:r>
      <w:r>
        <w:t>lektričnom energijom iz stavka 4</w:t>
      </w:r>
      <w:r w:rsidRPr="001C63D1">
        <w:t xml:space="preserve">. ovoga članka dužni su na mjesečnoj razini krajnjim kupcima električne energije ispostavljati račune za isporučenu električnu energiju na način </w:t>
      </w:r>
      <w:r>
        <w:t>da se iskaže razlika iz stavka 4</w:t>
      </w:r>
      <w:r w:rsidRPr="001C63D1">
        <w:t>. ovoga članka i za taj iznos umanji račun.</w:t>
      </w:r>
    </w:p>
    <w:p w:rsidR="00DB7AD7" w:rsidRPr="001C63D1" w:rsidRDefault="00DB7AD7" w:rsidP="005B033C">
      <w:pPr>
        <w:ind w:firstLine="709"/>
        <w:contextualSpacing/>
        <w:jc w:val="both"/>
      </w:pPr>
    </w:p>
    <w:p w:rsidR="00DB7AD7" w:rsidRPr="001C63D1" w:rsidRDefault="00DB7AD7" w:rsidP="005B033C">
      <w:pPr>
        <w:pStyle w:val="ListParagraph"/>
        <w:numPr>
          <w:ilvl w:val="0"/>
          <w:numId w:val="38"/>
        </w:numPr>
        <w:ind w:left="0" w:firstLine="709"/>
        <w:jc w:val="both"/>
      </w:pPr>
      <w:r w:rsidRPr="001C63D1">
        <w:t>Po isteku obračunskog mjeseca, opskrbljivači električnom energijom dostavljaju Ministarstvu gospodarstva i održivog razvoja zahtje</w:t>
      </w:r>
      <w:r>
        <w:t>v za naknadu razlike iz stavka 5</w:t>
      </w:r>
      <w:r w:rsidRPr="001C63D1">
        <w:t>. ovoga članka za sve svoje krajnje kupce</w:t>
      </w:r>
      <w:r>
        <w:t xml:space="preserve"> električne energije iz stavka 4</w:t>
      </w:r>
      <w:r w:rsidRPr="001C63D1">
        <w:t>. ovoga članka, kojem zahtjevu su dužni priložiti obračun.</w:t>
      </w:r>
    </w:p>
    <w:p w:rsidR="002401C4" w:rsidRDefault="002401C4" w:rsidP="006D4E90">
      <w:pPr>
        <w:rPr>
          <w:b/>
        </w:rPr>
      </w:pPr>
    </w:p>
    <w:p w:rsidR="002721C0" w:rsidRPr="002721C0" w:rsidRDefault="002721C0" w:rsidP="006D4E90">
      <w:pPr>
        <w:jc w:val="center"/>
        <w:rPr>
          <w:b/>
        </w:rPr>
      </w:pPr>
      <w:r w:rsidRPr="002721C0">
        <w:rPr>
          <w:b/>
        </w:rPr>
        <w:t>Toplinska energija</w:t>
      </w:r>
    </w:p>
    <w:p w:rsidR="002721C0" w:rsidRPr="002721C0" w:rsidRDefault="002721C0" w:rsidP="006D4E90">
      <w:pPr>
        <w:jc w:val="center"/>
        <w:rPr>
          <w:b/>
        </w:rPr>
      </w:pPr>
    </w:p>
    <w:p w:rsidR="002721C0" w:rsidRPr="002721C0" w:rsidRDefault="002721C0" w:rsidP="006D4E90">
      <w:pPr>
        <w:jc w:val="center"/>
        <w:rPr>
          <w:b/>
        </w:rPr>
      </w:pPr>
      <w:r w:rsidRPr="002721C0">
        <w:rPr>
          <w:b/>
        </w:rPr>
        <w:t>Članak 4.</w:t>
      </w:r>
    </w:p>
    <w:p w:rsidR="002721C0" w:rsidRPr="002721C0" w:rsidRDefault="002721C0" w:rsidP="006D4E90">
      <w:pPr>
        <w:rPr>
          <w:b/>
          <w:bCs/>
          <w:sz w:val="20"/>
          <w:szCs w:val="20"/>
        </w:rPr>
      </w:pPr>
    </w:p>
    <w:p w:rsidR="002721C0" w:rsidRPr="002721C0" w:rsidRDefault="002721C0" w:rsidP="006D4E90">
      <w:pPr>
        <w:numPr>
          <w:ilvl w:val="0"/>
          <w:numId w:val="31"/>
        </w:numPr>
        <w:ind w:left="0" w:firstLine="709"/>
        <w:contextualSpacing/>
        <w:jc w:val="both"/>
      </w:pPr>
      <w:r w:rsidRPr="002721C0">
        <w:t xml:space="preserve">Krajnja cijena isporučene toplinske energije, koja uključuje naknade i </w:t>
      </w:r>
      <w:r w:rsidR="004F0A67">
        <w:t>porez na dodanu vrijednost</w:t>
      </w:r>
      <w:r w:rsidRPr="002721C0">
        <w:t xml:space="preserve">, za krajnje kupce toplinske energije na toplinskim sustavima, osim za toplinsku </w:t>
      </w:r>
      <w:r w:rsidR="004F0A67" w:rsidRPr="002721C0">
        <w:rPr>
          <w:szCs w:val="20"/>
        </w:rPr>
        <w:t>energij</w:t>
      </w:r>
      <w:r w:rsidR="004F0A67">
        <w:rPr>
          <w:szCs w:val="20"/>
        </w:rPr>
        <w:t>u</w:t>
      </w:r>
      <w:r w:rsidR="004F0A67" w:rsidRPr="002721C0">
        <w:rPr>
          <w:szCs w:val="20"/>
        </w:rPr>
        <w:t xml:space="preserve"> </w:t>
      </w:r>
      <w:r w:rsidRPr="002721C0">
        <w:rPr>
          <w:szCs w:val="20"/>
        </w:rPr>
        <w:t xml:space="preserve">korištenu u tehnološke svrhe (vrela voda, topla voda ili para) </w:t>
      </w:r>
      <w:r w:rsidRPr="002721C0">
        <w:t>ostaje nepromijenjena u ogrjevnoj sezoni 2022.</w:t>
      </w:r>
      <w:r w:rsidR="004F0A67">
        <w:t>/</w:t>
      </w:r>
      <w:r w:rsidRPr="002721C0">
        <w:t>2023. u odnosu na krajnje cijene važeće na dan donošenja ove Uredbe.</w:t>
      </w:r>
    </w:p>
    <w:p w:rsidR="002721C0" w:rsidRPr="002721C0" w:rsidRDefault="002721C0" w:rsidP="006D4E90">
      <w:pPr>
        <w:ind w:firstLine="709"/>
        <w:contextualSpacing/>
        <w:jc w:val="both"/>
      </w:pPr>
    </w:p>
    <w:p w:rsidR="002721C0" w:rsidRPr="002721C0" w:rsidRDefault="002721C0" w:rsidP="006D4E90">
      <w:pPr>
        <w:numPr>
          <w:ilvl w:val="0"/>
          <w:numId w:val="31"/>
        </w:numPr>
        <w:ind w:left="0" w:firstLine="709"/>
        <w:contextualSpacing/>
        <w:jc w:val="both"/>
      </w:pPr>
      <w:r w:rsidRPr="002721C0">
        <w:t>Hrvatska energetska regulatorna agencija će, do 30. rujna 2022., za ogrjevnu sezonu 2022</w:t>
      </w:r>
      <w:r w:rsidR="004F0A67">
        <w:t>.</w:t>
      </w:r>
      <w:r w:rsidRPr="002721C0">
        <w:t xml:space="preserve">/2023., odrediti jediničnu cijenu za proizvodnju toplinske energije za centralne toplinske sustave, temeljem dostavljenih podataka energetskog subjekta o cijeni ulaznog energenta i cijeni </w:t>
      </w:r>
      <w:r w:rsidRPr="002721C0">
        <w:rPr>
          <w:shd w:val="clear" w:color="auto" w:fill="FFFFFF"/>
        </w:rPr>
        <w:t>emisijskih jedinica stakleničkih plinova.</w:t>
      </w:r>
      <w:r w:rsidRPr="002721C0">
        <w:t xml:space="preserve"> </w:t>
      </w:r>
    </w:p>
    <w:p w:rsidR="002721C0" w:rsidRPr="002721C0" w:rsidRDefault="002721C0" w:rsidP="006D4E90">
      <w:pPr>
        <w:ind w:firstLine="709"/>
        <w:contextualSpacing/>
      </w:pPr>
    </w:p>
    <w:p w:rsidR="002721C0" w:rsidRDefault="002721C0" w:rsidP="006D4E90">
      <w:pPr>
        <w:numPr>
          <w:ilvl w:val="0"/>
          <w:numId w:val="31"/>
        </w:numPr>
        <w:ind w:left="0" w:firstLine="709"/>
        <w:contextualSpacing/>
        <w:jc w:val="both"/>
      </w:pPr>
      <w:r w:rsidRPr="002721C0">
        <w:t xml:space="preserve">Temeljem dostavljenih podataka energetskog subjekta iz stavka 2. ovoga članka Hrvatska energetska regulatorna agencija određuje jediničnu </w:t>
      </w:r>
      <w:r w:rsidR="00425565" w:rsidRPr="002721C0">
        <w:t>cijen</w:t>
      </w:r>
      <w:r w:rsidR="00425565">
        <w:t>u</w:t>
      </w:r>
      <w:r w:rsidR="00425565" w:rsidRPr="002721C0">
        <w:t xml:space="preserve"> </w:t>
      </w:r>
      <w:r w:rsidRPr="002721C0">
        <w:t xml:space="preserve">koja čini razliku između cijene ulaznog energenta (goriva), cijene </w:t>
      </w:r>
      <w:r w:rsidRPr="002721C0">
        <w:rPr>
          <w:shd w:val="clear" w:color="auto" w:fill="FFFFFF"/>
        </w:rPr>
        <w:t>emisijskih jedinica stakleničkih plinova</w:t>
      </w:r>
      <w:r w:rsidRPr="002721C0">
        <w:t xml:space="preserve"> i krajnje cijene za ogrjevnu sezonu 2021./2022. koja uključuje </w:t>
      </w:r>
      <w:r w:rsidR="004F0A67">
        <w:t>porez na dodanu vrijednost</w:t>
      </w:r>
      <w:r w:rsidRPr="002721C0">
        <w:t>.</w:t>
      </w:r>
    </w:p>
    <w:p w:rsidR="006D4E90" w:rsidRDefault="006D4E90" w:rsidP="006D4E90">
      <w:pPr>
        <w:contextualSpacing/>
        <w:jc w:val="both"/>
      </w:pPr>
    </w:p>
    <w:p w:rsidR="006D4E90" w:rsidRDefault="006D4E90" w:rsidP="006D4E90">
      <w:pPr>
        <w:contextualSpacing/>
        <w:jc w:val="both"/>
      </w:pPr>
    </w:p>
    <w:p w:rsidR="002721C0" w:rsidRPr="002721C0" w:rsidRDefault="002721C0" w:rsidP="006D4E90">
      <w:pPr>
        <w:numPr>
          <w:ilvl w:val="0"/>
          <w:numId w:val="31"/>
        </w:numPr>
        <w:ind w:left="0" w:firstLine="709"/>
        <w:contextualSpacing/>
        <w:jc w:val="both"/>
      </w:pPr>
      <w:r w:rsidRPr="002721C0">
        <w:lastRenderedPageBreak/>
        <w:t>Hrvatska energetska regulatorna agencija će, do 15. listopada 2022., za ogrjevnu sezonu 2022./2023., odrediti iznos jedinične cijen</w:t>
      </w:r>
      <w:r w:rsidR="005B033C">
        <w:t>e</w:t>
      </w:r>
      <w:r w:rsidRPr="002721C0">
        <w:t xml:space="preserve"> za toplinsku energij</w:t>
      </w:r>
      <w:r w:rsidR="005B033C">
        <w:t>u</w:t>
      </w:r>
      <w:r w:rsidRPr="002721C0">
        <w:t xml:space="preserve"> za zatvorene toplinske sustave, temeljem dostavljenih podataka energetskog subjekta o cijeni ulaznog energenta (goriva).</w:t>
      </w:r>
    </w:p>
    <w:p w:rsidR="002721C0" w:rsidRPr="002721C0" w:rsidRDefault="002721C0" w:rsidP="006D4E90">
      <w:pPr>
        <w:contextualSpacing/>
      </w:pPr>
    </w:p>
    <w:p w:rsidR="002721C0" w:rsidRPr="002721C0" w:rsidRDefault="002721C0" w:rsidP="006D4E90">
      <w:pPr>
        <w:numPr>
          <w:ilvl w:val="0"/>
          <w:numId w:val="31"/>
        </w:numPr>
        <w:ind w:left="0" w:firstLine="709"/>
        <w:contextualSpacing/>
        <w:jc w:val="both"/>
      </w:pPr>
      <w:r w:rsidRPr="002721C0">
        <w:t xml:space="preserve">Temeljem dostavljenih podataka energetskog subjekta iz stavka 4. ovoga članka Hrvatska energetska regulatorna agencija određuje iznos jedinične cijene koja čini razliku između cijene ulaznog energenta, cijene </w:t>
      </w:r>
      <w:r w:rsidRPr="002721C0">
        <w:rPr>
          <w:shd w:val="clear" w:color="auto" w:fill="FFFFFF"/>
        </w:rPr>
        <w:t>emisijskih jedinica stakleničkih plinova</w:t>
      </w:r>
      <w:r w:rsidRPr="002721C0">
        <w:t xml:space="preserve"> i krajnje cijene za ogrjevnu sezonu 2021./2022. koja uključuje </w:t>
      </w:r>
      <w:r w:rsidR="004F0A67">
        <w:t>porez na dodanu vrijednost</w:t>
      </w:r>
      <w:r w:rsidRPr="002721C0">
        <w:t>.</w:t>
      </w:r>
    </w:p>
    <w:p w:rsidR="002721C0" w:rsidRPr="002721C0" w:rsidRDefault="002721C0" w:rsidP="006D4E90">
      <w:pPr>
        <w:ind w:firstLine="709"/>
        <w:jc w:val="both"/>
      </w:pPr>
    </w:p>
    <w:p w:rsidR="002721C0" w:rsidRPr="002721C0" w:rsidRDefault="002721C0" w:rsidP="006D4E90">
      <w:pPr>
        <w:numPr>
          <w:ilvl w:val="0"/>
          <w:numId w:val="31"/>
        </w:numPr>
        <w:ind w:left="0" w:firstLine="709"/>
        <w:contextualSpacing/>
        <w:jc w:val="both"/>
      </w:pPr>
      <w:r w:rsidRPr="002721C0">
        <w:t>Na temelju jediničnih iznosa određenih u skladu sa stavcima 2. i 4. ovoga članka, a uzimajući u obzir stavak 1. ovoga članka, Vlada Republike Hrvatske će odlukom odrediti iznos razlike između jediničnih cijena određenih sukladno stavcima 2. i 4. ovoga članka i cijene iz stavka 1. ovoga članka.</w:t>
      </w:r>
    </w:p>
    <w:p w:rsidR="002721C0" w:rsidRPr="002721C0" w:rsidRDefault="002721C0" w:rsidP="006D4E90">
      <w:pPr>
        <w:ind w:firstLine="709"/>
        <w:contextualSpacing/>
      </w:pPr>
    </w:p>
    <w:p w:rsidR="002721C0" w:rsidRPr="002721C0" w:rsidRDefault="002721C0" w:rsidP="006D4E90">
      <w:pPr>
        <w:numPr>
          <w:ilvl w:val="0"/>
          <w:numId w:val="31"/>
        </w:numPr>
        <w:ind w:left="0" w:firstLine="709"/>
        <w:contextualSpacing/>
        <w:jc w:val="both"/>
      </w:pPr>
      <w:r w:rsidRPr="002721C0">
        <w:t>Opskrbljivači toplinskom energijom dužni su na mjesečnoj razini krajnjim kupcima toplinske energije ispostavljati račune za isporučenu toplinsku energiju, na način da se iskaže razlika iz stavka 6. ovoga članka i za taj iznos umanji račun.</w:t>
      </w:r>
    </w:p>
    <w:p w:rsidR="002721C0" w:rsidRPr="002721C0" w:rsidRDefault="002721C0" w:rsidP="006D4E90">
      <w:pPr>
        <w:ind w:firstLine="709"/>
      </w:pPr>
    </w:p>
    <w:p w:rsidR="002721C0" w:rsidRDefault="002721C0" w:rsidP="006D4E90">
      <w:pPr>
        <w:numPr>
          <w:ilvl w:val="0"/>
          <w:numId w:val="31"/>
        </w:numPr>
        <w:ind w:left="0" w:firstLine="709"/>
        <w:contextualSpacing/>
        <w:jc w:val="both"/>
      </w:pPr>
      <w:r w:rsidRPr="002721C0">
        <w:t>Po isteku obračunskog mjeseca, opskrbljivači toplinskom energijom dostavljaju Ministarstvu gospodarstva i održivog razvoja zahtjev za naknadu razlike iz stavka 6. ovoga članka za sve svoje krajnje kupce iz stavka 1. ovoga članka, kojem zahtjevu su dužni priložiti obračun po svakom obračunskom mjernom mjestu.</w:t>
      </w:r>
    </w:p>
    <w:p w:rsidR="004145DA" w:rsidRDefault="004145DA" w:rsidP="006D4E90">
      <w:pPr>
        <w:rPr>
          <w:b/>
        </w:rPr>
      </w:pPr>
    </w:p>
    <w:p w:rsidR="002721C0" w:rsidRPr="002721C0" w:rsidRDefault="002721C0" w:rsidP="006D4E90">
      <w:pPr>
        <w:jc w:val="center"/>
        <w:rPr>
          <w:b/>
        </w:rPr>
      </w:pPr>
      <w:r w:rsidRPr="002721C0">
        <w:rPr>
          <w:b/>
        </w:rPr>
        <w:t>Članak 5.</w:t>
      </w:r>
    </w:p>
    <w:p w:rsidR="002721C0" w:rsidRPr="002721C0" w:rsidRDefault="002721C0" w:rsidP="006D4E90"/>
    <w:p w:rsidR="002721C0" w:rsidRPr="002721C0" w:rsidRDefault="00733AE2" w:rsidP="006D4E90">
      <w:pPr>
        <w:numPr>
          <w:ilvl w:val="0"/>
          <w:numId w:val="30"/>
        </w:numPr>
        <w:ind w:left="0" w:firstLine="709"/>
        <w:contextualSpacing/>
        <w:jc w:val="both"/>
      </w:pPr>
      <w:r>
        <w:t xml:space="preserve">Društva </w:t>
      </w:r>
      <w:r w:rsidR="002721C0" w:rsidRPr="002721C0">
        <w:t>Hrvatski operator prijenosnog sustava d.d., HEP</w:t>
      </w:r>
      <w:r>
        <w:t xml:space="preserve"> </w:t>
      </w:r>
      <w:r w:rsidR="002721C0" w:rsidRPr="002721C0">
        <w:t xml:space="preserve">- </w:t>
      </w:r>
      <w:r>
        <w:t>O</w:t>
      </w:r>
      <w:r w:rsidRPr="002721C0">
        <w:t xml:space="preserve">perator </w:t>
      </w:r>
      <w:r w:rsidR="002721C0" w:rsidRPr="002721C0">
        <w:t xml:space="preserve">distribucijskog sustava d.o.o., </w:t>
      </w:r>
      <w:r w:rsidR="002721C0" w:rsidRPr="00B7367A">
        <w:rPr>
          <w:bCs/>
          <w:shd w:val="clear" w:color="auto" w:fill="FFFFFF"/>
        </w:rPr>
        <w:t>PLINACRO d.o.o.</w:t>
      </w:r>
      <w:r w:rsidR="002721C0" w:rsidRPr="002721C0">
        <w:t>, te operatori distribucijskih sustava plina, te distributeri toplinske energije, za vrijeme trajanja privremenih mjera iz članka 1. stavka 2. ove Uredbe, odnosno do 31. ožujka 2023. neće podnositi zahtjev Hrvatskoj energetskoj regulatornoj agenciji za promjenom iznosa tarifnih stavki.</w:t>
      </w:r>
    </w:p>
    <w:p w:rsidR="002721C0" w:rsidRPr="002721C0" w:rsidRDefault="002721C0" w:rsidP="006D4E90">
      <w:pPr>
        <w:ind w:firstLine="709"/>
        <w:contextualSpacing/>
        <w:jc w:val="both"/>
      </w:pPr>
    </w:p>
    <w:p w:rsidR="002721C0" w:rsidRPr="002721C0" w:rsidRDefault="002721C0" w:rsidP="006D4E90">
      <w:pPr>
        <w:numPr>
          <w:ilvl w:val="0"/>
          <w:numId w:val="30"/>
        </w:numPr>
        <w:ind w:left="0" w:firstLine="709"/>
        <w:contextualSpacing/>
        <w:jc w:val="both"/>
      </w:pPr>
      <w:r w:rsidRPr="002721C0">
        <w:t>Opskrbljivači električne energije dužni su ugovore o opskrbi električnom energijom, osim za univerzalnu opskrbu i zajamčenu opskrbu električnom energijom dostaviti Hrvatskoj energetskoj regulatornoj agenciji u roku od 15 dana od dana stupanja na snage ove Uredbe.</w:t>
      </w:r>
    </w:p>
    <w:p w:rsidR="002721C0" w:rsidRPr="002721C0" w:rsidRDefault="002721C0" w:rsidP="006D4E90">
      <w:pPr>
        <w:ind w:firstLine="709"/>
        <w:contextualSpacing/>
      </w:pPr>
    </w:p>
    <w:p w:rsidR="002721C0" w:rsidRPr="002721C0" w:rsidRDefault="002721C0" w:rsidP="006D4E90">
      <w:pPr>
        <w:numPr>
          <w:ilvl w:val="0"/>
          <w:numId w:val="30"/>
        </w:numPr>
        <w:ind w:left="0" w:firstLine="709"/>
        <w:contextualSpacing/>
        <w:jc w:val="both"/>
      </w:pPr>
      <w:r w:rsidRPr="002721C0">
        <w:t>Na zahtjev, Ministarstva gospodarstva i održivog razvoja, opskrbljivači električne energije iz stavka 2. ovog</w:t>
      </w:r>
      <w:r w:rsidR="00B726A7">
        <w:t>a</w:t>
      </w:r>
      <w:r w:rsidRPr="002721C0">
        <w:t xml:space="preserve"> članka dužni su dostaviti sve potrebne podatke za provedbu ove Uredbe iz ugovora o opskrbi iz stavka 2. ovoga članka, u</w:t>
      </w:r>
      <w:r w:rsidR="00556A41">
        <w:t xml:space="preserve"> roku od 30 dana od zaprimljeno</w:t>
      </w:r>
      <w:r w:rsidRPr="002721C0">
        <w:t xml:space="preserve">g zahtjeva. </w:t>
      </w:r>
    </w:p>
    <w:p w:rsidR="002721C0" w:rsidRPr="002721C0" w:rsidRDefault="002721C0" w:rsidP="006D4E90">
      <w:pPr>
        <w:ind w:firstLine="709"/>
        <w:contextualSpacing/>
      </w:pPr>
    </w:p>
    <w:p w:rsidR="002721C0" w:rsidRPr="002721C0" w:rsidRDefault="002721C0" w:rsidP="006D4E90">
      <w:pPr>
        <w:numPr>
          <w:ilvl w:val="0"/>
          <w:numId w:val="30"/>
        </w:numPr>
        <w:ind w:left="0" w:firstLine="709"/>
        <w:contextualSpacing/>
        <w:jc w:val="both"/>
      </w:pPr>
      <w:r w:rsidRPr="002721C0">
        <w:t xml:space="preserve">Hrvatska energetska regulatorna agencija prati primjenu ove Uredbe, te nadzire primjenu cijena određenim odredbama ove Uredbe. </w:t>
      </w:r>
    </w:p>
    <w:p w:rsidR="002721C0" w:rsidRPr="002721C0" w:rsidRDefault="002721C0" w:rsidP="006D4E90">
      <w:pPr>
        <w:ind w:left="720" w:firstLine="709"/>
        <w:contextualSpacing/>
      </w:pPr>
    </w:p>
    <w:p w:rsidR="002721C0" w:rsidRPr="002721C0" w:rsidRDefault="002721C0" w:rsidP="006D4E90">
      <w:pPr>
        <w:numPr>
          <w:ilvl w:val="0"/>
          <w:numId w:val="30"/>
        </w:numPr>
        <w:ind w:left="0" w:firstLine="709"/>
        <w:contextualSpacing/>
        <w:jc w:val="both"/>
      </w:pPr>
      <w:r w:rsidRPr="002721C0">
        <w:t xml:space="preserve">Glavna skupština </w:t>
      </w:r>
      <w:r w:rsidR="00733AE2">
        <w:t xml:space="preserve">društva </w:t>
      </w:r>
      <w:r w:rsidRPr="002721C0">
        <w:t>HEP d.d. ovlaštena je za osiguranje provedbe ove Uredbe.</w:t>
      </w:r>
    </w:p>
    <w:p w:rsidR="002721C0" w:rsidRPr="002721C0" w:rsidRDefault="002721C0" w:rsidP="006D4E90">
      <w:pPr>
        <w:ind w:left="720" w:firstLine="709"/>
        <w:contextualSpacing/>
      </w:pPr>
    </w:p>
    <w:p w:rsidR="002721C0" w:rsidRDefault="002721C0" w:rsidP="006D4E90">
      <w:pPr>
        <w:numPr>
          <w:ilvl w:val="0"/>
          <w:numId w:val="30"/>
        </w:numPr>
        <w:ind w:left="0" w:firstLine="709"/>
        <w:contextualSpacing/>
        <w:jc w:val="both"/>
      </w:pPr>
      <w:r w:rsidRPr="002721C0">
        <w:t>O poduzetim mjerama određenim odredbama ove Uredbe, ministarstvo nadležno za energetiku obavijestit će nadležna tijela Europske unije.</w:t>
      </w:r>
    </w:p>
    <w:p w:rsidR="002721C0" w:rsidRPr="002721C0" w:rsidRDefault="002721C0" w:rsidP="006D4E90">
      <w:pPr>
        <w:jc w:val="center"/>
        <w:rPr>
          <w:b/>
        </w:rPr>
      </w:pPr>
      <w:r w:rsidRPr="002721C0">
        <w:rPr>
          <w:b/>
        </w:rPr>
        <w:lastRenderedPageBreak/>
        <w:t>Članak 6.</w:t>
      </w:r>
    </w:p>
    <w:p w:rsidR="002721C0" w:rsidRPr="002721C0" w:rsidRDefault="002721C0" w:rsidP="006D4E90">
      <w:pPr>
        <w:jc w:val="center"/>
        <w:rPr>
          <w:b/>
        </w:rPr>
      </w:pPr>
    </w:p>
    <w:p w:rsidR="002721C0" w:rsidRPr="002721C0" w:rsidRDefault="00733AE2" w:rsidP="006D4E90">
      <w:pPr>
        <w:numPr>
          <w:ilvl w:val="0"/>
          <w:numId w:val="28"/>
        </w:numPr>
        <w:ind w:left="0" w:firstLine="709"/>
        <w:contextualSpacing/>
        <w:jc w:val="both"/>
      </w:pPr>
      <w:r>
        <w:t xml:space="preserve">Društvo </w:t>
      </w:r>
      <w:r w:rsidR="002721C0" w:rsidRPr="002721C0">
        <w:t>HEP - Operator distribucijskog sustava d.o.o. duž</w:t>
      </w:r>
      <w:r w:rsidR="005B033C">
        <w:t>no</w:t>
      </w:r>
      <w:r w:rsidR="002721C0" w:rsidRPr="002721C0">
        <w:t xml:space="preserve"> je očitati stanje brojila za </w:t>
      </w:r>
      <w:r w:rsidR="002721C0" w:rsidRPr="002721C0">
        <w:rPr>
          <w:szCs w:val="20"/>
        </w:rPr>
        <w:t xml:space="preserve">kupce iz </w:t>
      </w:r>
      <w:r w:rsidR="002721C0" w:rsidRPr="002721C0">
        <w:t>č</w:t>
      </w:r>
      <w:r w:rsidR="0007331F">
        <w:t>lanka 2. stavaka 1., 2. i 3.</w:t>
      </w:r>
      <w:r w:rsidR="002721C0" w:rsidRPr="002721C0">
        <w:t xml:space="preserve"> ove Uredbe do 1. listopada 2022. i svakom kupcu </w:t>
      </w:r>
      <w:r w:rsidR="002721C0" w:rsidRPr="002721C0">
        <w:rPr>
          <w:szCs w:val="20"/>
        </w:rPr>
        <w:t xml:space="preserve">iz </w:t>
      </w:r>
      <w:r w:rsidR="002721C0" w:rsidRPr="002721C0">
        <w:t>članka 2. stavaka 1., 2.</w:t>
      </w:r>
      <w:r w:rsidR="0007331F">
        <w:t xml:space="preserve"> i 3.</w:t>
      </w:r>
      <w:r w:rsidR="002721C0" w:rsidRPr="002721C0">
        <w:t xml:space="preserve"> ove Uredbe u roku od 30 dana od dana stupanja na snagu ove Uredbe, dostaviti podatke o njegovoj potrošnji električne energije za razdoblje od 1. listopada 2021. do 31. ožujka 2022.</w:t>
      </w:r>
    </w:p>
    <w:p w:rsidR="002721C0" w:rsidRPr="002721C0" w:rsidRDefault="002721C0" w:rsidP="006D4E90">
      <w:pPr>
        <w:ind w:firstLine="709"/>
        <w:contextualSpacing/>
        <w:jc w:val="both"/>
      </w:pPr>
    </w:p>
    <w:p w:rsidR="002721C0" w:rsidRPr="00C161A6" w:rsidRDefault="00733AE2" w:rsidP="006D4E90">
      <w:pPr>
        <w:numPr>
          <w:ilvl w:val="0"/>
          <w:numId w:val="28"/>
        </w:numPr>
        <w:ind w:left="0" w:firstLine="709"/>
        <w:contextualSpacing/>
        <w:jc w:val="both"/>
      </w:pPr>
      <w:r w:rsidRPr="00C161A6">
        <w:t xml:space="preserve">Društvo </w:t>
      </w:r>
      <w:r w:rsidR="002721C0" w:rsidRPr="00C161A6">
        <w:t>HEP</w:t>
      </w:r>
      <w:r w:rsidRPr="00C161A6">
        <w:t xml:space="preserve"> </w:t>
      </w:r>
      <w:r w:rsidR="002721C0" w:rsidRPr="00C161A6">
        <w:t>- Operator distribucijskog sustava d.o.o. će za kupce iz članka 2. stavka 1. ove Uredbe dostaviti podatak o prosječnoj potrošnji električn</w:t>
      </w:r>
      <w:r w:rsidR="0007331F" w:rsidRPr="00C161A6">
        <w:t xml:space="preserve">e energije iz članka 2. stavka </w:t>
      </w:r>
      <w:r w:rsidR="00823CBC" w:rsidRPr="00C161A6">
        <w:t>6</w:t>
      </w:r>
      <w:r w:rsidR="002721C0" w:rsidRPr="00C161A6">
        <w:t>. ove Uredbe.</w:t>
      </w:r>
    </w:p>
    <w:p w:rsidR="002721C0" w:rsidRPr="002721C0" w:rsidRDefault="002721C0" w:rsidP="006D4E90">
      <w:pPr>
        <w:ind w:firstLine="709"/>
        <w:contextualSpacing/>
        <w:rPr>
          <w:color w:val="212121"/>
          <w:lang w:val="en-GB" w:eastAsia="en-GB"/>
        </w:rPr>
      </w:pPr>
    </w:p>
    <w:p w:rsidR="002721C0" w:rsidRPr="000C0255" w:rsidRDefault="000C0255" w:rsidP="006D4E90">
      <w:pPr>
        <w:numPr>
          <w:ilvl w:val="0"/>
          <w:numId w:val="28"/>
        </w:numPr>
        <w:ind w:left="0" w:firstLine="709"/>
        <w:contextualSpacing/>
        <w:jc w:val="both"/>
      </w:pPr>
      <w:r w:rsidRPr="000C0255">
        <w:rPr>
          <w:color w:val="212121"/>
          <w:lang w:val="en-GB" w:eastAsia="en-GB"/>
        </w:rPr>
        <w:t>Opskrbljivač električne energije će za kupce</w:t>
      </w:r>
      <w:r w:rsidR="002721C0" w:rsidRPr="000C0255">
        <w:rPr>
          <w:color w:val="212121"/>
          <w:lang w:val="en-GB" w:eastAsia="en-GB"/>
        </w:rPr>
        <w:t> </w:t>
      </w:r>
      <w:r w:rsidR="002721C0" w:rsidRPr="000C0255">
        <w:t>iz članka 2. stavka 1. ove Uredbe</w:t>
      </w:r>
      <w:r w:rsidR="002721C0" w:rsidRPr="000C0255">
        <w:rPr>
          <w:color w:val="212121"/>
          <w:lang w:val="en-GB" w:eastAsia="en-GB"/>
        </w:rPr>
        <w:t xml:space="preserve">, sukladno dostavljenim podacima </w:t>
      </w:r>
      <w:r w:rsidR="00733AE2">
        <w:rPr>
          <w:color w:val="212121"/>
          <w:lang w:val="en-GB" w:eastAsia="en-GB"/>
        </w:rPr>
        <w:t xml:space="preserve">društva </w:t>
      </w:r>
      <w:r w:rsidR="002721C0" w:rsidRPr="000C0255">
        <w:rPr>
          <w:color w:val="212121"/>
          <w:lang w:val="en-GB" w:eastAsia="en-GB"/>
        </w:rPr>
        <w:t>HEP -</w:t>
      </w:r>
      <w:r w:rsidR="00733AE2">
        <w:rPr>
          <w:color w:val="212121"/>
          <w:lang w:val="en-GB" w:eastAsia="en-GB"/>
        </w:rPr>
        <w:t xml:space="preserve"> </w:t>
      </w:r>
      <w:r w:rsidR="002721C0" w:rsidRPr="000C0255">
        <w:t>Operator distribucijskog sustava d.o.o. iz stavka 2. ovoga članka,</w:t>
      </w:r>
      <w:r w:rsidR="002721C0" w:rsidRPr="000C0255">
        <w:rPr>
          <w:color w:val="212121"/>
          <w:lang w:val="en-GB" w:eastAsia="en-GB"/>
        </w:rPr>
        <w:t xml:space="preserve"> po zav</w:t>
      </w:r>
      <w:r>
        <w:rPr>
          <w:color w:val="212121"/>
          <w:lang w:val="en-GB" w:eastAsia="en-GB"/>
        </w:rPr>
        <w:t xml:space="preserve">ršetku šestomjesečnog razdoblja, </w:t>
      </w:r>
      <w:r w:rsidR="002721C0" w:rsidRPr="000C0255">
        <w:rPr>
          <w:color w:val="212121"/>
          <w:lang w:val="en-GB" w:eastAsia="en-GB"/>
        </w:rPr>
        <w:t>izvršiti konačni</w:t>
      </w:r>
      <w:r w:rsidR="005B033C">
        <w:rPr>
          <w:color w:val="212121"/>
          <w:lang w:val="en-GB" w:eastAsia="en-GB"/>
        </w:rPr>
        <w:t xml:space="preserve"> </w:t>
      </w:r>
      <w:r w:rsidR="002721C0" w:rsidRPr="000C0255">
        <w:rPr>
          <w:color w:val="212121"/>
          <w:lang w:val="en-GB" w:eastAsia="en-GB"/>
        </w:rPr>
        <w:t>obračun potrošenog i uplaćenog iznosa.</w:t>
      </w:r>
    </w:p>
    <w:p w:rsidR="002721C0" w:rsidRPr="002721C0" w:rsidRDefault="002721C0" w:rsidP="006D4E90">
      <w:pPr>
        <w:contextualSpacing/>
        <w:jc w:val="both"/>
      </w:pPr>
    </w:p>
    <w:p w:rsidR="002721C0" w:rsidRDefault="002721C0" w:rsidP="006D4E90">
      <w:pPr>
        <w:jc w:val="center"/>
        <w:rPr>
          <w:b/>
        </w:rPr>
      </w:pPr>
      <w:r w:rsidRPr="002721C0">
        <w:rPr>
          <w:b/>
        </w:rPr>
        <w:t>Članak 7.</w:t>
      </w:r>
    </w:p>
    <w:p w:rsidR="0007331F" w:rsidRPr="002721C0" w:rsidRDefault="0007331F" w:rsidP="006D4E90">
      <w:pPr>
        <w:jc w:val="center"/>
        <w:rPr>
          <w:b/>
        </w:rPr>
      </w:pPr>
    </w:p>
    <w:p w:rsidR="00700A39" w:rsidRDefault="002721C0" w:rsidP="006D4E90">
      <w:pPr>
        <w:pStyle w:val="ListParagraph"/>
        <w:numPr>
          <w:ilvl w:val="0"/>
          <w:numId w:val="32"/>
        </w:numPr>
        <w:ind w:left="0" w:firstLine="709"/>
        <w:jc w:val="both"/>
      </w:pPr>
      <w:r w:rsidRPr="002721C0">
        <w:t>Vlada Republike Hrvatske će odluku iz članka 4. stavka 6. ove Uredbe donijeti do 31. listopada 2022.</w:t>
      </w:r>
    </w:p>
    <w:p w:rsidR="00700A39" w:rsidRDefault="00700A39" w:rsidP="006D4E90">
      <w:pPr>
        <w:pStyle w:val="ListParagraph"/>
        <w:ind w:left="0" w:firstLine="709"/>
        <w:jc w:val="both"/>
      </w:pPr>
    </w:p>
    <w:p w:rsidR="004145DA" w:rsidRDefault="006D4E90" w:rsidP="006D4E90">
      <w:pPr>
        <w:ind w:firstLine="709"/>
      </w:pPr>
      <w:r>
        <w:t>(2)</w:t>
      </w:r>
      <w:r>
        <w:tab/>
      </w:r>
      <w:r w:rsidR="00700A39" w:rsidRPr="00F254E6">
        <w:t>Obračunavanje cijen</w:t>
      </w:r>
      <w:r w:rsidR="00700A39">
        <w:t xml:space="preserve">a </w:t>
      </w:r>
      <w:r w:rsidR="00700A39" w:rsidRPr="00F254E6">
        <w:t>električne energije u eurima iz članka 2. stavaka 1. i 2. ove Uredbe, počinje na dan uvođenja eura</w:t>
      </w:r>
      <w:r w:rsidR="00700A39">
        <w:t>,</w:t>
      </w:r>
      <w:r w:rsidR="00700A39" w:rsidRPr="00F254E6">
        <w:t xml:space="preserve"> kao slu</w:t>
      </w:r>
      <w:r w:rsidR="00700A39">
        <w:t xml:space="preserve">žbene valute </w:t>
      </w:r>
      <w:r w:rsidR="00733AE2">
        <w:t>u Republici Hrvatskoj</w:t>
      </w:r>
      <w:r w:rsidR="00DE2E13">
        <w:t>.</w:t>
      </w:r>
      <w:r w:rsidR="00733AE2">
        <w:t xml:space="preserve"> </w:t>
      </w:r>
    </w:p>
    <w:p w:rsidR="0082667C" w:rsidRPr="002721C0" w:rsidRDefault="0082667C" w:rsidP="006D4E90">
      <w:pPr>
        <w:rPr>
          <w:b/>
        </w:rPr>
      </w:pPr>
    </w:p>
    <w:p w:rsidR="002721C0" w:rsidRPr="002721C0" w:rsidRDefault="002721C0" w:rsidP="006D4E90">
      <w:pPr>
        <w:jc w:val="center"/>
        <w:rPr>
          <w:b/>
        </w:rPr>
      </w:pPr>
      <w:r w:rsidRPr="002721C0">
        <w:rPr>
          <w:b/>
        </w:rPr>
        <w:t>Članak 8.</w:t>
      </w:r>
    </w:p>
    <w:p w:rsidR="00B726A7" w:rsidRDefault="00B726A7" w:rsidP="006D4E90"/>
    <w:p w:rsidR="002721C0" w:rsidRPr="002721C0" w:rsidRDefault="002721C0" w:rsidP="006D4E90">
      <w:pPr>
        <w:ind w:firstLine="1418"/>
        <w:jc w:val="both"/>
      </w:pPr>
      <w:r w:rsidRPr="002721C0">
        <w:t>Ova Uredba stupa na snagu prvog</w:t>
      </w:r>
      <w:r w:rsidR="004F0A67">
        <w:t>a</w:t>
      </w:r>
      <w:r w:rsidRPr="002721C0">
        <w:t xml:space="preserve"> dana od dana objave u „Narodnim novinama“.</w:t>
      </w:r>
    </w:p>
    <w:p w:rsidR="002721C0" w:rsidRPr="002721C0" w:rsidRDefault="002721C0" w:rsidP="006D4E90">
      <w:pPr>
        <w:jc w:val="both"/>
      </w:pPr>
    </w:p>
    <w:p w:rsidR="002721C0" w:rsidRPr="002721C0" w:rsidRDefault="002721C0" w:rsidP="006D4E90"/>
    <w:p w:rsidR="002721C0" w:rsidRPr="002721C0" w:rsidRDefault="002721C0" w:rsidP="006D4E90"/>
    <w:p w:rsidR="00412691" w:rsidRDefault="005B033C" w:rsidP="006D4E90">
      <w:r>
        <w:t>KLASA:</w:t>
      </w:r>
      <w:r>
        <w:tab/>
      </w:r>
    </w:p>
    <w:p w:rsidR="005B033C" w:rsidRDefault="005B033C" w:rsidP="006D4E90">
      <w:r>
        <w:t>URBROJ:</w:t>
      </w:r>
      <w:r>
        <w:tab/>
      </w:r>
    </w:p>
    <w:p w:rsidR="00412691" w:rsidRDefault="00412691" w:rsidP="006D4E90"/>
    <w:p w:rsidR="005B033C" w:rsidRDefault="005B033C" w:rsidP="006D4E90">
      <w:r>
        <w:t>Zagreb,</w:t>
      </w:r>
      <w:r>
        <w:tab/>
      </w:r>
    </w:p>
    <w:p w:rsidR="005B033C" w:rsidRDefault="005B033C" w:rsidP="006D4E90"/>
    <w:p w:rsidR="005B033C" w:rsidRDefault="005B033C" w:rsidP="006D4E90"/>
    <w:p w:rsidR="005B033C" w:rsidRDefault="005B033C" w:rsidP="006D4E90">
      <w:r>
        <w:tab/>
      </w:r>
      <w:r>
        <w:tab/>
      </w:r>
      <w:r>
        <w:tab/>
      </w:r>
      <w:r>
        <w:tab/>
      </w:r>
      <w:r>
        <w:tab/>
      </w:r>
      <w:r>
        <w:tab/>
        <w:t xml:space="preserve">       </w:t>
      </w:r>
      <w:r w:rsidR="00DA176F">
        <w:tab/>
      </w:r>
      <w:r w:rsidR="00DA176F">
        <w:tab/>
      </w:r>
      <w:r w:rsidR="00DA176F">
        <w:tab/>
      </w:r>
      <w:r>
        <w:t xml:space="preserve">  PREDSJEDNIK</w:t>
      </w:r>
    </w:p>
    <w:p w:rsidR="005B033C" w:rsidRDefault="005B033C" w:rsidP="006D4E90"/>
    <w:p w:rsidR="005B033C" w:rsidRDefault="005B033C" w:rsidP="006D4E90"/>
    <w:p w:rsidR="005B033C" w:rsidRDefault="005B033C" w:rsidP="006D4E90">
      <w:r>
        <w:tab/>
      </w:r>
      <w:r>
        <w:tab/>
      </w:r>
      <w:r>
        <w:tab/>
      </w:r>
      <w:r>
        <w:tab/>
      </w:r>
      <w:r>
        <w:tab/>
      </w:r>
      <w:r>
        <w:tab/>
        <w:t xml:space="preserve"> </w:t>
      </w:r>
      <w:r w:rsidR="00DA176F">
        <w:tab/>
      </w:r>
      <w:r w:rsidR="00DA176F">
        <w:tab/>
        <w:t xml:space="preserve">    </w:t>
      </w:r>
      <w:r>
        <w:t xml:space="preserve">  </w:t>
      </w:r>
      <w:r w:rsidR="00DA176F">
        <w:t xml:space="preserve"> </w:t>
      </w:r>
      <w:r>
        <w:t>mr. sc. Andrej Plenković</w:t>
      </w:r>
    </w:p>
    <w:p w:rsidR="005062B1" w:rsidRDefault="005062B1" w:rsidP="006D4E90"/>
    <w:p w:rsidR="005062B1" w:rsidRDefault="005062B1" w:rsidP="006D4E90"/>
    <w:p w:rsidR="005062B1" w:rsidRDefault="005062B1" w:rsidP="006D4E90"/>
    <w:p w:rsidR="005062B1" w:rsidRDefault="005062B1" w:rsidP="006D4E90"/>
    <w:p w:rsidR="005062B1" w:rsidRDefault="005062B1" w:rsidP="006D4E90"/>
    <w:p w:rsidR="005062B1" w:rsidRDefault="005062B1" w:rsidP="006D4E90"/>
    <w:p w:rsidR="005062B1" w:rsidRDefault="005062B1" w:rsidP="006D4E90"/>
    <w:p w:rsidR="005062B1" w:rsidRDefault="005062B1" w:rsidP="006D4E90"/>
    <w:p w:rsidR="005062B1" w:rsidRPr="002721C0" w:rsidRDefault="005062B1" w:rsidP="005062B1">
      <w:pPr>
        <w:jc w:val="center"/>
        <w:rPr>
          <w:b/>
        </w:rPr>
      </w:pPr>
      <w:r w:rsidRPr="002721C0">
        <w:rPr>
          <w:b/>
        </w:rPr>
        <w:lastRenderedPageBreak/>
        <w:t>OBRAZLOŽENJE</w:t>
      </w:r>
    </w:p>
    <w:p w:rsidR="005062B1" w:rsidRPr="002721C0" w:rsidRDefault="005062B1" w:rsidP="005062B1">
      <w:pPr>
        <w:jc w:val="center"/>
        <w:rPr>
          <w:b/>
        </w:rPr>
      </w:pPr>
    </w:p>
    <w:p w:rsidR="005062B1" w:rsidRPr="002721C0" w:rsidRDefault="005062B1" w:rsidP="005062B1">
      <w:pPr>
        <w:ind w:left="708" w:firstLine="708"/>
        <w:jc w:val="center"/>
        <w:rPr>
          <w:b/>
        </w:rPr>
      </w:pPr>
      <w:r w:rsidRPr="002721C0">
        <w:rPr>
          <w:b/>
        </w:rPr>
        <w:t>UREDBA O OTKLANJANJU POREMEĆAJA NA DOMAĆEM TRŽIŠTU ENERGIJE</w:t>
      </w:r>
    </w:p>
    <w:p w:rsidR="005062B1" w:rsidRPr="002721C0" w:rsidRDefault="005062B1" w:rsidP="005062B1">
      <w:pPr>
        <w:jc w:val="center"/>
        <w:rPr>
          <w:b/>
        </w:rPr>
      </w:pPr>
    </w:p>
    <w:p w:rsidR="005062B1" w:rsidRPr="002721C0" w:rsidRDefault="005062B1" w:rsidP="005062B1">
      <w:pPr>
        <w:shd w:val="clear" w:color="auto" w:fill="FFFFFF"/>
        <w:jc w:val="both"/>
        <w:rPr>
          <w:lang w:val="en-GB" w:eastAsia="en-GB"/>
        </w:rPr>
      </w:pPr>
      <w:r w:rsidRPr="002721C0">
        <w:rPr>
          <w:lang w:val="en-GB" w:eastAsia="en-GB"/>
        </w:rPr>
        <w:t>Ničim izazvana i neopravdana agresija Rusije na Ukrajinu uvelike je poremetila svjetski energetski sustav. Prouzročila je teškoće zbog visokih cijena energije i povećala zabrinutost u pogledu energetske sigurnosti, a prekomjerna ovisnost EU-a o uvozu plina, nafte i ugljena iz Rusije došla je u prvi plan. EU uvozi oko 58% energije, a najveći dobavljač je Rusija. Iz Rusije na tržište EU dolazi 54% potrošnje ugljena, 43% plina i 29% nafte. Proglašavanjem sankcija EU na uvoz ugljena i nafte EU ostaje bez velikog dijela opskrbe koju u kratkom roku, do ogrjevne sezone 2022/2023 treba nadoknaditi.</w:t>
      </w:r>
    </w:p>
    <w:p w:rsidR="005062B1" w:rsidRPr="002721C0" w:rsidRDefault="005062B1" w:rsidP="005062B1">
      <w:pPr>
        <w:shd w:val="clear" w:color="auto" w:fill="FFFFFF"/>
        <w:jc w:val="both"/>
        <w:rPr>
          <w:lang w:val="en-GB" w:eastAsia="en-GB"/>
        </w:rPr>
      </w:pPr>
      <w:r w:rsidRPr="002721C0">
        <w:rPr>
          <w:lang w:val="en-GB" w:eastAsia="en-GB"/>
        </w:rPr>
        <w:t> </w:t>
      </w:r>
    </w:p>
    <w:p w:rsidR="005062B1" w:rsidRPr="002721C0" w:rsidRDefault="005062B1" w:rsidP="005062B1">
      <w:pPr>
        <w:shd w:val="clear" w:color="auto" w:fill="FFFFFF"/>
        <w:jc w:val="both"/>
        <w:rPr>
          <w:lang w:val="en-GB" w:eastAsia="en-GB"/>
        </w:rPr>
      </w:pPr>
      <w:r w:rsidRPr="002721C0">
        <w:rPr>
          <w:lang w:val="en-GB" w:eastAsia="en-GB"/>
        </w:rPr>
        <w:t>Republika Hrvatska je također neto uvoznik energije u iz svojih izvora pokriva nešto manje od 50% tržišta, dok ostalo uvozi. RH tako uvozi plin, naftu, ugljen i električnu energiju. RH najviše ovisi o uvozu plina i ugljena iz Rusije. </w:t>
      </w:r>
    </w:p>
    <w:p w:rsidR="005062B1" w:rsidRPr="002721C0" w:rsidRDefault="005062B1" w:rsidP="005062B1">
      <w:pPr>
        <w:shd w:val="clear" w:color="auto" w:fill="FFFFFF"/>
        <w:jc w:val="both"/>
        <w:rPr>
          <w:lang w:val="en-GB" w:eastAsia="en-GB"/>
        </w:rPr>
      </w:pPr>
    </w:p>
    <w:p w:rsidR="005062B1" w:rsidRPr="002721C0" w:rsidRDefault="005062B1" w:rsidP="005062B1">
      <w:pPr>
        <w:shd w:val="clear" w:color="auto" w:fill="FFFFFF"/>
        <w:jc w:val="both"/>
        <w:rPr>
          <w:lang w:val="en-GB" w:eastAsia="en-GB"/>
        </w:rPr>
      </w:pPr>
      <w:r w:rsidRPr="002721C0">
        <w:rPr>
          <w:lang w:val="en-GB" w:eastAsia="en-GB"/>
        </w:rPr>
        <w:t>Prosječni porast cijena u Europskoj uniji krajem 2021. godine bio je 30 % za električnu energiju i 70 i više % za plin. Nadalje, ističe se kako Republika Hrvatska proizvodi 21 % plina, 57 % dolazi putem LNG terminala, dok je 22 % uvoz iz Rusije. Polovica ukupne potrošnje plina ide kućanstvima i poduzećima, više od četvrtine ide toplanama i termoelektranama, a 15 % ide petrokemijskoj industriji. Ukupna potrošnja plina u Republici Hrvatskoj u 2021. godini iznosi 26,7 TWh.. Tijekom drugog kvartala cijene električne energije i plina dosegle su povijesne razine. Na današnji dan cijene električne energije na burzi je 476 Eura/MWh za električnu energiju te na razioni 260 Eura/MWh za plin. Također cijene trgovanja energijom za naredne mjesece prelaze ove iznose (preko 600 Eura/MWh za električnu energiju i 300 Eura/MWh za plin)  što znači da bi svi kupci koji moraju ugovoriti s opskrbljivačima električnu ili toplinsku energiju po novim cijenama bili izloženi višestrukim povećanjima troškova za energiju.</w:t>
      </w:r>
    </w:p>
    <w:p w:rsidR="005062B1" w:rsidRPr="002721C0" w:rsidRDefault="005062B1" w:rsidP="005062B1">
      <w:pPr>
        <w:shd w:val="clear" w:color="auto" w:fill="FFFFFF"/>
        <w:jc w:val="both"/>
        <w:rPr>
          <w:lang w:val="en-GB" w:eastAsia="en-GB"/>
        </w:rPr>
      </w:pPr>
      <w:r w:rsidRPr="002721C0">
        <w:rPr>
          <w:lang w:val="en-GB" w:eastAsia="en-GB"/>
        </w:rPr>
        <w:t> </w:t>
      </w:r>
    </w:p>
    <w:p w:rsidR="005062B1" w:rsidRPr="002721C0" w:rsidRDefault="005062B1" w:rsidP="005062B1">
      <w:pPr>
        <w:jc w:val="both"/>
      </w:pPr>
      <w:r w:rsidRPr="002721C0">
        <w:t xml:space="preserve">Ovom uredbom, zbog poremećaja na domaćem tržištu energije osiguravaju se stabilne cijene električne i toplinske energije, za kategoriju kupaca  kućanstvo te kupce iz kategorije poduzetništvo sukladno Zakonu o tržištu električne energije („Narodne novine“, br. 111/21), odnosno za sve krajnje kupce  toplinske energije na toplinskim sustavima, osim za toplinsku </w:t>
      </w:r>
      <w:r w:rsidRPr="002721C0">
        <w:rPr>
          <w:szCs w:val="20"/>
        </w:rPr>
        <w:t xml:space="preserve">energija korištena u tehnološke svrhe (vrela voda, topla voda ili para) </w:t>
      </w:r>
      <w:r w:rsidRPr="002721C0">
        <w:t xml:space="preserve">i to kao privremenu mjeru za razdoblje od šest mjeseci, odnosno do 31. ožujka 2023. godine određenih kategorija kupaca kod određenih energenata. </w:t>
      </w:r>
    </w:p>
    <w:p w:rsidR="005062B1" w:rsidRPr="002721C0" w:rsidRDefault="005062B1" w:rsidP="005062B1"/>
    <w:p w:rsidR="005062B1" w:rsidRPr="002721C0" w:rsidRDefault="005062B1" w:rsidP="005062B1">
      <w:pPr>
        <w:jc w:val="both"/>
      </w:pPr>
      <w:r w:rsidRPr="002721C0">
        <w:t>Za kategoriju kupaca kućanstvo te kupce iz kategorije poduzetništvo i to do ukupne polugodišnje potrošnje do visine od 250.000 kWh i iznad visine od  250.000 kWh, kao i za taksativno navedeno korisnike iz kategorije poduzetništvo, neovisno o njihovoj potrošnji električne energije.</w:t>
      </w:r>
    </w:p>
    <w:p w:rsidR="005062B1" w:rsidRPr="002721C0" w:rsidRDefault="005062B1" w:rsidP="005062B1">
      <w:pPr>
        <w:jc w:val="both"/>
      </w:pPr>
    </w:p>
    <w:p w:rsidR="005062B1" w:rsidRPr="002721C0" w:rsidRDefault="005062B1" w:rsidP="005062B1">
      <w:pPr>
        <w:jc w:val="both"/>
      </w:pPr>
      <w:r w:rsidRPr="002721C0">
        <w:t>Cijena električne energije primjenjuje se za svako pojedinačno obračunsko mjerno mjesto kupca električne energije.</w:t>
      </w:r>
    </w:p>
    <w:p w:rsidR="005062B1" w:rsidRPr="002721C0" w:rsidRDefault="005062B1" w:rsidP="005062B1">
      <w:pPr>
        <w:jc w:val="both"/>
      </w:pPr>
    </w:p>
    <w:p w:rsidR="005062B1" w:rsidRPr="002721C0" w:rsidRDefault="005062B1" w:rsidP="005062B1">
      <w:pPr>
        <w:spacing w:after="160"/>
        <w:jc w:val="both"/>
      </w:pPr>
      <w:r w:rsidRPr="002721C0">
        <w:t xml:space="preserve">Krajnja cijena isporučene toplinske energije, koja uključuje naknade i PDV, za krajnje kupce toplinske energije na toplinskim sustavima, osim za toplinsku </w:t>
      </w:r>
      <w:r w:rsidRPr="002721C0">
        <w:rPr>
          <w:szCs w:val="20"/>
        </w:rPr>
        <w:t xml:space="preserve">energija korištena u tehnološke svrhe (vrela voda, topla voda ili para) </w:t>
      </w:r>
      <w:r w:rsidRPr="002721C0">
        <w:t>ostaje nepromijenjena u ogrjevnoj sezoni 2022.-2023. godini u odnosu na važeće krajnje cijene na dan donošenja ove Uredbe.</w:t>
      </w:r>
    </w:p>
    <w:p w:rsidR="005062B1" w:rsidRPr="002721C0" w:rsidRDefault="005062B1" w:rsidP="005062B1">
      <w:pPr>
        <w:ind w:left="720"/>
        <w:contextualSpacing/>
        <w:jc w:val="both"/>
      </w:pPr>
    </w:p>
    <w:p w:rsidR="005062B1" w:rsidRPr="002721C0" w:rsidRDefault="005062B1" w:rsidP="005062B1">
      <w:pPr>
        <w:spacing w:after="160"/>
        <w:jc w:val="both"/>
      </w:pPr>
      <w:r w:rsidRPr="002721C0">
        <w:t>Na temelju jediničnih iznosa koje određuje Hrvatska energetska regulatorna cijena, Vlada Republike Hrvatske će odlukom odrediti iznos razlike između jediničnih cijena i krajnje cijene isporučene toplinske energije.</w:t>
      </w:r>
    </w:p>
    <w:p w:rsidR="005062B1" w:rsidRPr="002721C0" w:rsidRDefault="005062B1" w:rsidP="005062B1">
      <w:pPr>
        <w:spacing w:after="160"/>
        <w:jc w:val="both"/>
      </w:pPr>
      <w:r w:rsidRPr="002721C0">
        <w:t>Stupanje na snagu ove Uredbe određuje se prvog dana od dana objave u „Narodnim novinama“, zbog stabiliziranja cijene električne i toplinske energije, u smislu žurnog poduzimanja mjera za smanjenje cjenovnog udara na gospodarstvo i očuvanja standarda građana, kao i zaustavljnje inflatornog pritiska na rast sveukupnih cijena, sirovina, materijala, namirnica i robe široke potronje, koji je dosada prouzročen prvenstveno velikim rastom cijene energenata.</w:t>
      </w:r>
    </w:p>
    <w:p w:rsidR="005062B1" w:rsidRPr="002721C0" w:rsidRDefault="005062B1" w:rsidP="005062B1">
      <w:pPr>
        <w:spacing w:after="160"/>
        <w:jc w:val="both"/>
        <w:rPr>
          <w:b/>
        </w:rPr>
      </w:pPr>
    </w:p>
    <w:p w:rsidR="005062B1" w:rsidRDefault="005062B1" w:rsidP="006D4E90"/>
    <w:p w:rsidR="002F40EC" w:rsidRDefault="002F40EC" w:rsidP="006D4E90"/>
    <w:p w:rsidR="00D25202" w:rsidRDefault="00D25202" w:rsidP="006D4E90"/>
    <w:p w:rsidR="00D25202" w:rsidRDefault="00D25202" w:rsidP="006D4E90"/>
    <w:sectPr w:rsidR="00D25202" w:rsidSect="005B033C">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1A" w:rsidRDefault="0057671A">
      <w:r>
        <w:separator/>
      </w:r>
    </w:p>
  </w:endnote>
  <w:endnote w:type="continuationSeparator" w:id="0">
    <w:p w:rsidR="0057671A" w:rsidRDefault="0057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F Beau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1A" w:rsidRDefault="0057671A">
      <w:r>
        <w:separator/>
      </w:r>
    </w:p>
  </w:footnote>
  <w:footnote w:type="continuationSeparator" w:id="0">
    <w:p w:rsidR="0057671A" w:rsidRDefault="00576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59574"/>
      <w:docPartObj>
        <w:docPartGallery w:val="Page Numbers (Top of Page)"/>
        <w:docPartUnique/>
      </w:docPartObj>
    </w:sdtPr>
    <w:sdtEndPr/>
    <w:sdtContent>
      <w:p w:rsidR="005B033C" w:rsidRDefault="005B033C">
        <w:pPr>
          <w:pStyle w:val="Header"/>
          <w:jc w:val="center"/>
        </w:pPr>
        <w:r>
          <w:fldChar w:fldCharType="begin"/>
        </w:r>
        <w:r>
          <w:instrText>PAGE   \* MERGEFORMAT</w:instrText>
        </w:r>
        <w:r>
          <w:fldChar w:fldCharType="separate"/>
        </w:r>
        <w:r w:rsidR="00256A7D">
          <w:rPr>
            <w:noProof/>
          </w:rPr>
          <w:t>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443E65"/>
    <w:multiLevelType w:val="hybridMultilevel"/>
    <w:tmpl w:val="00E25518"/>
    <w:lvl w:ilvl="0" w:tplc="83783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E54C5F"/>
    <w:multiLevelType w:val="hybridMultilevel"/>
    <w:tmpl w:val="ABBE1A6E"/>
    <w:lvl w:ilvl="0" w:tplc="C088D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834B2"/>
    <w:multiLevelType w:val="hybridMultilevel"/>
    <w:tmpl w:val="FD4A99EC"/>
    <w:lvl w:ilvl="0" w:tplc="DB6A18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DD4380"/>
    <w:multiLevelType w:val="hybridMultilevel"/>
    <w:tmpl w:val="E802398E"/>
    <w:lvl w:ilvl="0" w:tplc="AEF218E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E7133E"/>
    <w:multiLevelType w:val="hybridMultilevel"/>
    <w:tmpl w:val="82E61872"/>
    <w:lvl w:ilvl="0" w:tplc="65F2599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F1861A3"/>
    <w:multiLevelType w:val="hybridMultilevel"/>
    <w:tmpl w:val="73922176"/>
    <w:lvl w:ilvl="0" w:tplc="28D01D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2C756D"/>
    <w:multiLevelType w:val="hybridMultilevel"/>
    <w:tmpl w:val="8034F254"/>
    <w:lvl w:ilvl="0" w:tplc="EDF806AE">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3" w15:restartNumberingAfterBreak="0">
    <w:nsid w:val="63975AE0"/>
    <w:multiLevelType w:val="hybridMultilevel"/>
    <w:tmpl w:val="E8048342"/>
    <w:lvl w:ilvl="0" w:tplc="8586DF8E">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7" w15:restartNumberingAfterBreak="0">
    <w:nsid w:val="6C013357"/>
    <w:multiLevelType w:val="hybridMultilevel"/>
    <w:tmpl w:val="DC6A50E0"/>
    <w:lvl w:ilvl="0" w:tplc="2A8CAAA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6FA857FC"/>
    <w:multiLevelType w:val="hybridMultilevel"/>
    <w:tmpl w:val="FB10449C"/>
    <w:lvl w:ilvl="0" w:tplc="93C0C41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401252"/>
    <w:multiLevelType w:val="multilevel"/>
    <w:tmpl w:val="0BCAC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9310F3"/>
    <w:multiLevelType w:val="hybridMultilevel"/>
    <w:tmpl w:val="B4F0EDA6"/>
    <w:lvl w:ilvl="0" w:tplc="25020D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abstractNum w:abstractNumId="36" w15:restartNumberingAfterBreak="0">
    <w:nsid w:val="7F636006"/>
    <w:multiLevelType w:val="hybridMultilevel"/>
    <w:tmpl w:val="C4DE100C"/>
    <w:lvl w:ilvl="0" w:tplc="39F86FE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28"/>
  </w:num>
  <w:num w:numId="2">
    <w:abstractNumId w:val="25"/>
  </w:num>
  <w:num w:numId="3">
    <w:abstractNumId w:val="10"/>
  </w:num>
  <w:num w:numId="4">
    <w:abstractNumId w:val="2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35"/>
  </w:num>
  <w:num w:numId="9">
    <w:abstractNumId w:val="16"/>
  </w:num>
  <w:num w:numId="10">
    <w:abstractNumId w:val="15"/>
  </w:num>
  <w:num w:numId="11">
    <w:abstractNumId w:val="19"/>
  </w:num>
  <w:num w:numId="12">
    <w:abstractNumId w:val="9"/>
  </w:num>
  <w:num w:numId="13">
    <w:abstractNumId w:val="14"/>
  </w:num>
  <w:num w:numId="14">
    <w:abstractNumId w:val="2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0"/>
  </w:num>
  <w:num w:numId="19">
    <w:abstractNumId w:val="17"/>
  </w:num>
  <w:num w:numId="20">
    <w:abstractNumId w:val="0"/>
  </w:num>
  <w:num w:numId="21">
    <w:abstractNumId w:val="11"/>
  </w:num>
  <w:num w:numId="22">
    <w:abstractNumId w:val="3"/>
  </w:num>
  <w:num w:numId="23">
    <w:abstractNumId w:val="33"/>
  </w:num>
  <w:num w:numId="24">
    <w:abstractNumId w:val="32"/>
  </w:num>
  <w:num w:numId="25">
    <w:abstractNumId w:val="2"/>
  </w:num>
  <w:num w:numId="26">
    <w:abstractNumId w:val="30"/>
  </w:num>
  <w:num w:numId="27">
    <w:abstractNumId w:val="36"/>
  </w:num>
  <w:num w:numId="28">
    <w:abstractNumId w:val="34"/>
  </w:num>
  <w:num w:numId="29">
    <w:abstractNumId w:val="8"/>
  </w:num>
  <w:num w:numId="30">
    <w:abstractNumId w:val="1"/>
  </w:num>
  <w:num w:numId="31">
    <w:abstractNumId w:val="27"/>
  </w:num>
  <w:num w:numId="32">
    <w:abstractNumId w:val="5"/>
  </w:num>
  <w:num w:numId="33">
    <w:abstractNumId w:val="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3"/>
  </w:num>
  <w:num w:numId="3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71C17"/>
    <w:rsid w:val="0007331F"/>
    <w:rsid w:val="000808F5"/>
    <w:rsid w:val="00084D8F"/>
    <w:rsid w:val="00086C52"/>
    <w:rsid w:val="0009139D"/>
    <w:rsid w:val="000A1652"/>
    <w:rsid w:val="000A222C"/>
    <w:rsid w:val="000A2CC8"/>
    <w:rsid w:val="000A665E"/>
    <w:rsid w:val="000A7C8E"/>
    <w:rsid w:val="000B06C6"/>
    <w:rsid w:val="000B32DC"/>
    <w:rsid w:val="000B4D5B"/>
    <w:rsid w:val="000B4DB4"/>
    <w:rsid w:val="000B5C2D"/>
    <w:rsid w:val="000C0255"/>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0A8F"/>
    <w:rsid w:val="00101780"/>
    <w:rsid w:val="00103C4E"/>
    <w:rsid w:val="001046D3"/>
    <w:rsid w:val="00104790"/>
    <w:rsid w:val="00105E0C"/>
    <w:rsid w:val="00110093"/>
    <w:rsid w:val="0011063A"/>
    <w:rsid w:val="001109A3"/>
    <w:rsid w:val="00120DC5"/>
    <w:rsid w:val="001230FF"/>
    <w:rsid w:val="00125286"/>
    <w:rsid w:val="00125298"/>
    <w:rsid w:val="00125D06"/>
    <w:rsid w:val="00126D93"/>
    <w:rsid w:val="00132355"/>
    <w:rsid w:val="00133C7E"/>
    <w:rsid w:val="001347D2"/>
    <w:rsid w:val="00136167"/>
    <w:rsid w:val="00136342"/>
    <w:rsid w:val="00141828"/>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159F"/>
    <w:rsid w:val="00184D28"/>
    <w:rsid w:val="00186F3E"/>
    <w:rsid w:val="0019771E"/>
    <w:rsid w:val="001B2ABE"/>
    <w:rsid w:val="001B6AA4"/>
    <w:rsid w:val="001C1C51"/>
    <w:rsid w:val="001C1F56"/>
    <w:rsid w:val="001C2335"/>
    <w:rsid w:val="001C4112"/>
    <w:rsid w:val="001C4B98"/>
    <w:rsid w:val="001C4E98"/>
    <w:rsid w:val="001C6CA2"/>
    <w:rsid w:val="001C7A57"/>
    <w:rsid w:val="001D2E67"/>
    <w:rsid w:val="001D395F"/>
    <w:rsid w:val="001D682C"/>
    <w:rsid w:val="001E4B29"/>
    <w:rsid w:val="001E5059"/>
    <w:rsid w:val="001F0AF0"/>
    <w:rsid w:val="001F440B"/>
    <w:rsid w:val="001F449E"/>
    <w:rsid w:val="001F50D7"/>
    <w:rsid w:val="001F6770"/>
    <w:rsid w:val="0020225B"/>
    <w:rsid w:val="00202835"/>
    <w:rsid w:val="00213431"/>
    <w:rsid w:val="00215083"/>
    <w:rsid w:val="002168B2"/>
    <w:rsid w:val="002208F4"/>
    <w:rsid w:val="00221926"/>
    <w:rsid w:val="00223449"/>
    <w:rsid w:val="00226143"/>
    <w:rsid w:val="00230E1D"/>
    <w:rsid w:val="00230E4A"/>
    <w:rsid w:val="00233213"/>
    <w:rsid w:val="00233D57"/>
    <w:rsid w:val="00234A3C"/>
    <w:rsid w:val="0023794D"/>
    <w:rsid w:val="002401C4"/>
    <w:rsid w:val="00240291"/>
    <w:rsid w:val="002419DF"/>
    <w:rsid w:val="00252C19"/>
    <w:rsid w:val="00252EBB"/>
    <w:rsid w:val="00256A7D"/>
    <w:rsid w:val="0025761D"/>
    <w:rsid w:val="002600E7"/>
    <w:rsid w:val="00260EF0"/>
    <w:rsid w:val="0026150F"/>
    <w:rsid w:val="00262C00"/>
    <w:rsid w:val="00263CDB"/>
    <w:rsid w:val="002641B6"/>
    <w:rsid w:val="002650A8"/>
    <w:rsid w:val="00265DD3"/>
    <w:rsid w:val="002663BA"/>
    <w:rsid w:val="002703C3"/>
    <w:rsid w:val="002715FD"/>
    <w:rsid w:val="002721C0"/>
    <w:rsid w:val="002746FD"/>
    <w:rsid w:val="00275D9E"/>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A6223"/>
    <w:rsid w:val="002B1764"/>
    <w:rsid w:val="002B46AF"/>
    <w:rsid w:val="002B517E"/>
    <w:rsid w:val="002C0156"/>
    <w:rsid w:val="002C2F95"/>
    <w:rsid w:val="002C4382"/>
    <w:rsid w:val="002C5648"/>
    <w:rsid w:val="002C56DE"/>
    <w:rsid w:val="002C6389"/>
    <w:rsid w:val="002D4E02"/>
    <w:rsid w:val="002D503B"/>
    <w:rsid w:val="002E30BA"/>
    <w:rsid w:val="002E5B10"/>
    <w:rsid w:val="002F394F"/>
    <w:rsid w:val="002F40EC"/>
    <w:rsid w:val="002F5273"/>
    <w:rsid w:val="002F7031"/>
    <w:rsid w:val="00301D62"/>
    <w:rsid w:val="0030327E"/>
    <w:rsid w:val="00305374"/>
    <w:rsid w:val="003055CE"/>
    <w:rsid w:val="00305C27"/>
    <w:rsid w:val="00305F9A"/>
    <w:rsid w:val="00310531"/>
    <w:rsid w:val="00311303"/>
    <w:rsid w:val="0031254D"/>
    <w:rsid w:val="003132B8"/>
    <w:rsid w:val="00313ADC"/>
    <w:rsid w:val="00314AF3"/>
    <w:rsid w:val="00314B30"/>
    <w:rsid w:val="0031686F"/>
    <w:rsid w:val="00317727"/>
    <w:rsid w:val="003177B2"/>
    <w:rsid w:val="00322BCE"/>
    <w:rsid w:val="0032692A"/>
    <w:rsid w:val="00327551"/>
    <w:rsid w:val="00327AB0"/>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6B5A"/>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A0"/>
    <w:rsid w:val="003F5CC6"/>
    <w:rsid w:val="003F6E4E"/>
    <w:rsid w:val="003F75FD"/>
    <w:rsid w:val="00400DF5"/>
    <w:rsid w:val="004017CC"/>
    <w:rsid w:val="00401CA4"/>
    <w:rsid w:val="00402C68"/>
    <w:rsid w:val="004033EF"/>
    <w:rsid w:val="0040350C"/>
    <w:rsid w:val="00403CC1"/>
    <w:rsid w:val="00404B76"/>
    <w:rsid w:val="004062AC"/>
    <w:rsid w:val="00411426"/>
    <w:rsid w:val="00412691"/>
    <w:rsid w:val="004145DA"/>
    <w:rsid w:val="00414F18"/>
    <w:rsid w:val="004168E8"/>
    <w:rsid w:val="0041744B"/>
    <w:rsid w:val="00424CAD"/>
    <w:rsid w:val="00424EC3"/>
    <w:rsid w:val="00425565"/>
    <w:rsid w:val="0043196D"/>
    <w:rsid w:val="00432083"/>
    <w:rsid w:val="0043487D"/>
    <w:rsid w:val="00434C41"/>
    <w:rsid w:val="00441491"/>
    <w:rsid w:val="004435A1"/>
    <w:rsid w:val="0044493E"/>
    <w:rsid w:val="004465FE"/>
    <w:rsid w:val="00447879"/>
    <w:rsid w:val="0044794C"/>
    <w:rsid w:val="004536BC"/>
    <w:rsid w:val="00454B3A"/>
    <w:rsid w:val="00455451"/>
    <w:rsid w:val="00460740"/>
    <w:rsid w:val="004609A7"/>
    <w:rsid w:val="0046359E"/>
    <w:rsid w:val="00463CFB"/>
    <w:rsid w:val="004673E4"/>
    <w:rsid w:val="00467D4C"/>
    <w:rsid w:val="004731CB"/>
    <w:rsid w:val="00486F8C"/>
    <w:rsid w:val="00490B93"/>
    <w:rsid w:val="00490E51"/>
    <w:rsid w:val="004944E6"/>
    <w:rsid w:val="004951D7"/>
    <w:rsid w:val="00496A4D"/>
    <w:rsid w:val="004A083E"/>
    <w:rsid w:val="004A15D3"/>
    <w:rsid w:val="004A68AB"/>
    <w:rsid w:val="004A7157"/>
    <w:rsid w:val="004B4647"/>
    <w:rsid w:val="004B6474"/>
    <w:rsid w:val="004C050B"/>
    <w:rsid w:val="004C1320"/>
    <w:rsid w:val="004C1489"/>
    <w:rsid w:val="004C14DF"/>
    <w:rsid w:val="004C1DE0"/>
    <w:rsid w:val="004C3756"/>
    <w:rsid w:val="004C3C40"/>
    <w:rsid w:val="004C76E0"/>
    <w:rsid w:val="004D01E7"/>
    <w:rsid w:val="004D09D8"/>
    <w:rsid w:val="004D4F48"/>
    <w:rsid w:val="004D7AB2"/>
    <w:rsid w:val="004D7AC5"/>
    <w:rsid w:val="004E35E2"/>
    <w:rsid w:val="004E5001"/>
    <w:rsid w:val="004F0411"/>
    <w:rsid w:val="004F0A67"/>
    <w:rsid w:val="004F69C2"/>
    <w:rsid w:val="00502744"/>
    <w:rsid w:val="005027A9"/>
    <w:rsid w:val="00503591"/>
    <w:rsid w:val="0050394A"/>
    <w:rsid w:val="00505238"/>
    <w:rsid w:val="005062B1"/>
    <w:rsid w:val="005123D7"/>
    <w:rsid w:val="005132FA"/>
    <w:rsid w:val="00514268"/>
    <w:rsid w:val="00515458"/>
    <w:rsid w:val="00520407"/>
    <w:rsid w:val="005215DC"/>
    <w:rsid w:val="00524AB4"/>
    <w:rsid w:val="005262F1"/>
    <w:rsid w:val="00526464"/>
    <w:rsid w:val="00526FD1"/>
    <w:rsid w:val="00527F70"/>
    <w:rsid w:val="005322B0"/>
    <w:rsid w:val="00533A07"/>
    <w:rsid w:val="005360FF"/>
    <w:rsid w:val="00536257"/>
    <w:rsid w:val="00536B1F"/>
    <w:rsid w:val="00537377"/>
    <w:rsid w:val="00540D22"/>
    <w:rsid w:val="00543216"/>
    <w:rsid w:val="00545C7D"/>
    <w:rsid w:val="0054612E"/>
    <w:rsid w:val="00547227"/>
    <w:rsid w:val="00550548"/>
    <w:rsid w:val="00550E57"/>
    <w:rsid w:val="005530F2"/>
    <w:rsid w:val="00555700"/>
    <w:rsid w:val="0055633D"/>
    <w:rsid w:val="00556A41"/>
    <w:rsid w:val="005570B6"/>
    <w:rsid w:val="00557205"/>
    <w:rsid w:val="00557CEA"/>
    <w:rsid w:val="00561DDE"/>
    <w:rsid w:val="005636EA"/>
    <w:rsid w:val="00574526"/>
    <w:rsid w:val="0057543E"/>
    <w:rsid w:val="0057671A"/>
    <w:rsid w:val="0058109A"/>
    <w:rsid w:val="00582195"/>
    <w:rsid w:val="00582197"/>
    <w:rsid w:val="0058369F"/>
    <w:rsid w:val="0058608B"/>
    <w:rsid w:val="005863F2"/>
    <w:rsid w:val="00592905"/>
    <w:rsid w:val="00594405"/>
    <w:rsid w:val="00595C76"/>
    <w:rsid w:val="005960D1"/>
    <w:rsid w:val="005A0935"/>
    <w:rsid w:val="005A31E8"/>
    <w:rsid w:val="005A3EDC"/>
    <w:rsid w:val="005A533D"/>
    <w:rsid w:val="005B033C"/>
    <w:rsid w:val="005B075C"/>
    <w:rsid w:val="005B27A8"/>
    <w:rsid w:val="005B48F3"/>
    <w:rsid w:val="005B5188"/>
    <w:rsid w:val="005C471F"/>
    <w:rsid w:val="005C6C3F"/>
    <w:rsid w:val="005D0604"/>
    <w:rsid w:val="005E510A"/>
    <w:rsid w:val="005F0AF5"/>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2B9E"/>
    <w:rsid w:val="006436A3"/>
    <w:rsid w:val="006439FE"/>
    <w:rsid w:val="00646A7E"/>
    <w:rsid w:val="0065589B"/>
    <w:rsid w:val="006615E2"/>
    <w:rsid w:val="00662251"/>
    <w:rsid w:val="00663204"/>
    <w:rsid w:val="006704DA"/>
    <w:rsid w:val="00670502"/>
    <w:rsid w:val="00671841"/>
    <w:rsid w:val="00672EB9"/>
    <w:rsid w:val="006731FB"/>
    <w:rsid w:val="00673C11"/>
    <w:rsid w:val="0067407C"/>
    <w:rsid w:val="00675B89"/>
    <w:rsid w:val="00683EA7"/>
    <w:rsid w:val="006849BD"/>
    <w:rsid w:val="00684A7D"/>
    <w:rsid w:val="006863D2"/>
    <w:rsid w:val="00686A4D"/>
    <w:rsid w:val="00687276"/>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1A33"/>
    <w:rsid w:val="006D322D"/>
    <w:rsid w:val="006D4A76"/>
    <w:rsid w:val="006D4C96"/>
    <w:rsid w:val="006D4E90"/>
    <w:rsid w:val="006D5319"/>
    <w:rsid w:val="006E3F84"/>
    <w:rsid w:val="006E4EBD"/>
    <w:rsid w:val="006E4F2C"/>
    <w:rsid w:val="006E5013"/>
    <w:rsid w:val="006E575A"/>
    <w:rsid w:val="006F00FE"/>
    <w:rsid w:val="006F2C75"/>
    <w:rsid w:val="006F3662"/>
    <w:rsid w:val="006F5A61"/>
    <w:rsid w:val="00700A39"/>
    <w:rsid w:val="00713A11"/>
    <w:rsid w:val="00715D86"/>
    <w:rsid w:val="007174D0"/>
    <w:rsid w:val="00723BD4"/>
    <w:rsid w:val="007270BF"/>
    <w:rsid w:val="0073077C"/>
    <w:rsid w:val="00731F16"/>
    <w:rsid w:val="007339F6"/>
    <w:rsid w:val="00733AE2"/>
    <w:rsid w:val="007359E1"/>
    <w:rsid w:val="00736721"/>
    <w:rsid w:val="0074161C"/>
    <w:rsid w:val="00743275"/>
    <w:rsid w:val="0074560E"/>
    <w:rsid w:val="007456B9"/>
    <w:rsid w:val="007458D0"/>
    <w:rsid w:val="00747B0D"/>
    <w:rsid w:val="007500C4"/>
    <w:rsid w:val="0075098A"/>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4945"/>
    <w:rsid w:val="007A5554"/>
    <w:rsid w:val="007A6B3A"/>
    <w:rsid w:val="007B0BED"/>
    <w:rsid w:val="007B0F41"/>
    <w:rsid w:val="007B14C7"/>
    <w:rsid w:val="007B222C"/>
    <w:rsid w:val="007B2640"/>
    <w:rsid w:val="007B2CCC"/>
    <w:rsid w:val="007B32F1"/>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F5A"/>
    <w:rsid w:val="008206F2"/>
    <w:rsid w:val="008212B4"/>
    <w:rsid w:val="00822D03"/>
    <w:rsid w:val="00823CBC"/>
    <w:rsid w:val="00823CE8"/>
    <w:rsid w:val="00825165"/>
    <w:rsid w:val="008252CB"/>
    <w:rsid w:val="0082667C"/>
    <w:rsid w:val="00831B6A"/>
    <w:rsid w:val="008320E7"/>
    <w:rsid w:val="00833744"/>
    <w:rsid w:val="00837620"/>
    <w:rsid w:val="00837A05"/>
    <w:rsid w:val="00841B91"/>
    <w:rsid w:val="00842982"/>
    <w:rsid w:val="00844901"/>
    <w:rsid w:val="00850217"/>
    <w:rsid w:val="00850E7B"/>
    <w:rsid w:val="00854C9A"/>
    <w:rsid w:val="00855A53"/>
    <w:rsid w:val="00857223"/>
    <w:rsid w:val="00861528"/>
    <w:rsid w:val="00861AE4"/>
    <w:rsid w:val="00864F48"/>
    <w:rsid w:val="008672A4"/>
    <w:rsid w:val="00870B12"/>
    <w:rsid w:val="00872AC2"/>
    <w:rsid w:val="00873C77"/>
    <w:rsid w:val="008749FE"/>
    <w:rsid w:val="00876F37"/>
    <w:rsid w:val="00883DB3"/>
    <w:rsid w:val="00883FDA"/>
    <w:rsid w:val="008856B8"/>
    <w:rsid w:val="00885C24"/>
    <w:rsid w:val="00886F10"/>
    <w:rsid w:val="00886F2E"/>
    <w:rsid w:val="008903EE"/>
    <w:rsid w:val="008910E7"/>
    <w:rsid w:val="00894B4B"/>
    <w:rsid w:val="00896CCC"/>
    <w:rsid w:val="008971BF"/>
    <w:rsid w:val="0089721C"/>
    <w:rsid w:val="008A381D"/>
    <w:rsid w:val="008A39DA"/>
    <w:rsid w:val="008A5E6E"/>
    <w:rsid w:val="008B0B93"/>
    <w:rsid w:val="008B1F4F"/>
    <w:rsid w:val="008B347B"/>
    <w:rsid w:val="008C07E9"/>
    <w:rsid w:val="008C2277"/>
    <w:rsid w:val="008C3D07"/>
    <w:rsid w:val="008C41FD"/>
    <w:rsid w:val="008D5987"/>
    <w:rsid w:val="008D7E70"/>
    <w:rsid w:val="008E29E4"/>
    <w:rsid w:val="008F028A"/>
    <w:rsid w:val="008F1AFC"/>
    <w:rsid w:val="008F1DCE"/>
    <w:rsid w:val="008F1F4A"/>
    <w:rsid w:val="008F377D"/>
    <w:rsid w:val="008F3974"/>
    <w:rsid w:val="008F40F1"/>
    <w:rsid w:val="008F44DB"/>
    <w:rsid w:val="008F5334"/>
    <w:rsid w:val="008F76F5"/>
    <w:rsid w:val="009029D7"/>
    <w:rsid w:val="00914D15"/>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10C"/>
    <w:rsid w:val="00936DF1"/>
    <w:rsid w:val="0093765C"/>
    <w:rsid w:val="009403BF"/>
    <w:rsid w:val="00941D98"/>
    <w:rsid w:val="0094344C"/>
    <w:rsid w:val="009438E0"/>
    <w:rsid w:val="009444C2"/>
    <w:rsid w:val="009446D0"/>
    <w:rsid w:val="00945E9D"/>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93998"/>
    <w:rsid w:val="009A16A7"/>
    <w:rsid w:val="009A3362"/>
    <w:rsid w:val="009A5A28"/>
    <w:rsid w:val="009A7065"/>
    <w:rsid w:val="009B1713"/>
    <w:rsid w:val="009B6FC2"/>
    <w:rsid w:val="009C4B0E"/>
    <w:rsid w:val="009C4C5F"/>
    <w:rsid w:val="009C59FF"/>
    <w:rsid w:val="009D6A95"/>
    <w:rsid w:val="009E62BD"/>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0425"/>
    <w:rsid w:val="00A3203B"/>
    <w:rsid w:val="00A3474A"/>
    <w:rsid w:val="00A357C1"/>
    <w:rsid w:val="00A44668"/>
    <w:rsid w:val="00A44F2D"/>
    <w:rsid w:val="00A47595"/>
    <w:rsid w:val="00A60FA5"/>
    <w:rsid w:val="00A64D81"/>
    <w:rsid w:val="00A65C43"/>
    <w:rsid w:val="00A6698C"/>
    <w:rsid w:val="00A66D6C"/>
    <w:rsid w:val="00A7324C"/>
    <w:rsid w:val="00A815F9"/>
    <w:rsid w:val="00A84A2B"/>
    <w:rsid w:val="00A85BB0"/>
    <w:rsid w:val="00A874FE"/>
    <w:rsid w:val="00A909AF"/>
    <w:rsid w:val="00A935E0"/>
    <w:rsid w:val="00A961B8"/>
    <w:rsid w:val="00A96B64"/>
    <w:rsid w:val="00AA3582"/>
    <w:rsid w:val="00AA491B"/>
    <w:rsid w:val="00AA5771"/>
    <w:rsid w:val="00AA6026"/>
    <w:rsid w:val="00AA686E"/>
    <w:rsid w:val="00AB06B3"/>
    <w:rsid w:val="00AB0717"/>
    <w:rsid w:val="00AB1514"/>
    <w:rsid w:val="00AB2E20"/>
    <w:rsid w:val="00AB4815"/>
    <w:rsid w:val="00AB5FC4"/>
    <w:rsid w:val="00AB63B3"/>
    <w:rsid w:val="00AC5052"/>
    <w:rsid w:val="00AC6451"/>
    <w:rsid w:val="00AD0310"/>
    <w:rsid w:val="00AD0540"/>
    <w:rsid w:val="00AD07F5"/>
    <w:rsid w:val="00AD2A05"/>
    <w:rsid w:val="00AD2D53"/>
    <w:rsid w:val="00AD3784"/>
    <w:rsid w:val="00AD5E92"/>
    <w:rsid w:val="00AD6A0D"/>
    <w:rsid w:val="00AE023A"/>
    <w:rsid w:val="00AE05B5"/>
    <w:rsid w:val="00AE5293"/>
    <w:rsid w:val="00AF09A9"/>
    <w:rsid w:val="00AF3A32"/>
    <w:rsid w:val="00AF3A9C"/>
    <w:rsid w:val="00B0047B"/>
    <w:rsid w:val="00B02753"/>
    <w:rsid w:val="00B02EE2"/>
    <w:rsid w:val="00B0415A"/>
    <w:rsid w:val="00B07D3E"/>
    <w:rsid w:val="00B132BA"/>
    <w:rsid w:val="00B173BC"/>
    <w:rsid w:val="00B17670"/>
    <w:rsid w:val="00B223AE"/>
    <w:rsid w:val="00B2424B"/>
    <w:rsid w:val="00B2454E"/>
    <w:rsid w:val="00B24A73"/>
    <w:rsid w:val="00B32111"/>
    <w:rsid w:val="00B33932"/>
    <w:rsid w:val="00B345E8"/>
    <w:rsid w:val="00B371CA"/>
    <w:rsid w:val="00B45EAA"/>
    <w:rsid w:val="00B46515"/>
    <w:rsid w:val="00B470D0"/>
    <w:rsid w:val="00B47557"/>
    <w:rsid w:val="00B504FA"/>
    <w:rsid w:val="00B53FF9"/>
    <w:rsid w:val="00B5435F"/>
    <w:rsid w:val="00B5519D"/>
    <w:rsid w:val="00B56085"/>
    <w:rsid w:val="00B61C21"/>
    <w:rsid w:val="00B66045"/>
    <w:rsid w:val="00B66CB7"/>
    <w:rsid w:val="00B726A7"/>
    <w:rsid w:val="00B7367A"/>
    <w:rsid w:val="00B755C3"/>
    <w:rsid w:val="00B756F7"/>
    <w:rsid w:val="00B772CA"/>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D12"/>
    <w:rsid w:val="00BB4F88"/>
    <w:rsid w:val="00BB6DA4"/>
    <w:rsid w:val="00BB77FC"/>
    <w:rsid w:val="00BC1807"/>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01"/>
    <w:rsid w:val="00C005D9"/>
    <w:rsid w:val="00C0352E"/>
    <w:rsid w:val="00C1060D"/>
    <w:rsid w:val="00C11D2A"/>
    <w:rsid w:val="00C14FEC"/>
    <w:rsid w:val="00C161A6"/>
    <w:rsid w:val="00C17CCA"/>
    <w:rsid w:val="00C205FF"/>
    <w:rsid w:val="00C271C7"/>
    <w:rsid w:val="00C32F0E"/>
    <w:rsid w:val="00C337E5"/>
    <w:rsid w:val="00C34AF2"/>
    <w:rsid w:val="00C475DB"/>
    <w:rsid w:val="00C5391F"/>
    <w:rsid w:val="00C54199"/>
    <w:rsid w:val="00C541A4"/>
    <w:rsid w:val="00C61747"/>
    <w:rsid w:val="00C754AB"/>
    <w:rsid w:val="00C765B9"/>
    <w:rsid w:val="00C77649"/>
    <w:rsid w:val="00C83652"/>
    <w:rsid w:val="00C841AD"/>
    <w:rsid w:val="00C86F7C"/>
    <w:rsid w:val="00C9267F"/>
    <w:rsid w:val="00C95CE2"/>
    <w:rsid w:val="00C978C1"/>
    <w:rsid w:val="00CA0F73"/>
    <w:rsid w:val="00CA2D4B"/>
    <w:rsid w:val="00CA34C1"/>
    <w:rsid w:val="00CA4351"/>
    <w:rsid w:val="00CA4E7A"/>
    <w:rsid w:val="00CB4B13"/>
    <w:rsid w:val="00CB6B05"/>
    <w:rsid w:val="00CC184E"/>
    <w:rsid w:val="00CC2619"/>
    <w:rsid w:val="00CC5FD2"/>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07E96"/>
    <w:rsid w:val="00D100E5"/>
    <w:rsid w:val="00D13A60"/>
    <w:rsid w:val="00D21B93"/>
    <w:rsid w:val="00D2295F"/>
    <w:rsid w:val="00D22EB4"/>
    <w:rsid w:val="00D24CDF"/>
    <w:rsid w:val="00D25202"/>
    <w:rsid w:val="00D25335"/>
    <w:rsid w:val="00D253ED"/>
    <w:rsid w:val="00D26157"/>
    <w:rsid w:val="00D30EA3"/>
    <w:rsid w:val="00D3130C"/>
    <w:rsid w:val="00D33796"/>
    <w:rsid w:val="00D3469F"/>
    <w:rsid w:val="00D36206"/>
    <w:rsid w:val="00D3646D"/>
    <w:rsid w:val="00D36821"/>
    <w:rsid w:val="00D440DB"/>
    <w:rsid w:val="00D451F5"/>
    <w:rsid w:val="00D5334D"/>
    <w:rsid w:val="00D56FF2"/>
    <w:rsid w:val="00D60EED"/>
    <w:rsid w:val="00D62958"/>
    <w:rsid w:val="00D641E7"/>
    <w:rsid w:val="00D65734"/>
    <w:rsid w:val="00D67027"/>
    <w:rsid w:val="00D70661"/>
    <w:rsid w:val="00D7651F"/>
    <w:rsid w:val="00D81F9E"/>
    <w:rsid w:val="00D82B85"/>
    <w:rsid w:val="00D9088A"/>
    <w:rsid w:val="00D91175"/>
    <w:rsid w:val="00D91FCE"/>
    <w:rsid w:val="00D96837"/>
    <w:rsid w:val="00DA176F"/>
    <w:rsid w:val="00DA35B6"/>
    <w:rsid w:val="00DB31A1"/>
    <w:rsid w:val="00DB5B40"/>
    <w:rsid w:val="00DB7806"/>
    <w:rsid w:val="00DB7AD7"/>
    <w:rsid w:val="00DC0850"/>
    <w:rsid w:val="00DC0A85"/>
    <w:rsid w:val="00DC0FB4"/>
    <w:rsid w:val="00DC2767"/>
    <w:rsid w:val="00DC4466"/>
    <w:rsid w:val="00DD03C0"/>
    <w:rsid w:val="00DD13F0"/>
    <w:rsid w:val="00DD193C"/>
    <w:rsid w:val="00DD1E81"/>
    <w:rsid w:val="00DE0810"/>
    <w:rsid w:val="00DE0E96"/>
    <w:rsid w:val="00DE2E13"/>
    <w:rsid w:val="00DE3774"/>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0939"/>
    <w:rsid w:val="00E327F7"/>
    <w:rsid w:val="00E33162"/>
    <w:rsid w:val="00E34201"/>
    <w:rsid w:val="00E41DD8"/>
    <w:rsid w:val="00E51381"/>
    <w:rsid w:val="00E51938"/>
    <w:rsid w:val="00E522B1"/>
    <w:rsid w:val="00E54A21"/>
    <w:rsid w:val="00E54DFF"/>
    <w:rsid w:val="00E55D2C"/>
    <w:rsid w:val="00E628E2"/>
    <w:rsid w:val="00E6392D"/>
    <w:rsid w:val="00E67C23"/>
    <w:rsid w:val="00E717F8"/>
    <w:rsid w:val="00E72507"/>
    <w:rsid w:val="00E73E69"/>
    <w:rsid w:val="00E80693"/>
    <w:rsid w:val="00E81806"/>
    <w:rsid w:val="00E83997"/>
    <w:rsid w:val="00E84775"/>
    <w:rsid w:val="00E87A8F"/>
    <w:rsid w:val="00E9319A"/>
    <w:rsid w:val="00E96B49"/>
    <w:rsid w:val="00E96F01"/>
    <w:rsid w:val="00EA10F8"/>
    <w:rsid w:val="00EA2E10"/>
    <w:rsid w:val="00EA4306"/>
    <w:rsid w:val="00EA54B1"/>
    <w:rsid w:val="00EA635E"/>
    <w:rsid w:val="00EA6DA3"/>
    <w:rsid w:val="00EB0205"/>
    <w:rsid w:val="00EB0ADE"/>
    <w:rsid w:val="00EB34AD"/>
    <w:rsid w:val="00EB36ED"/>
    <w:rsid w:val="00EB3FAA"/>
    <w:rsid w:val="00EB58A4"/>
    <w:rsid w:val="00EC2E98"/>
    <w:rsid w:val="00EC6E7B"/>
    <w:rsid w:val="00EC7D5B"/>
    <w:rsid w:val="00ED3B76"/>
    <w:rsid w:val="00ED46D1"/>
    <w:rsid w:val="00ED67D6"/>
    <w:rsid w:val="00EE05E8"/>
    <w:rsid w:val="00EE0A8F"/>
    <w:rsid w:val="00EE1D28"/>
    <w:rsid w:val="00EE53CD"/>
    <w:rsid w:val="00EF1F99"/>
    <w:rsid w:val="00EF3CA9"/>
    <w:rsid w:val="00EF7874"/>
    <w:rsid w:val="00EF7FA2"/>
    <w:rsid w:val="00F01A5E"/>
    <w:rsid w:val="00F03A21"/>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2805"/>
    <w:rsid w:val="00F432BC"/>
    <w:rsid w:val="00F43449"/>
    <w:rsid w:val="00F523C2"/>
    <w:rsid w:val="00F54668"/>
    <w:rsid w:val="00F54AC9"/>
    <w:rsid w:val="00F5736A"/>
    <w:rsid w:val="00F66C70"/>
    <w:rsid w:val="00F67651"/>
    <w:rsid w:val="00F73B34"/>
    <w:rsid w:val="00F74141"/>
    <w:rsid w:val="00F769D9"/>
    <w:rsid w:val="00F838A3"/>
    <w:rsid w:val="00F85034"/>
    <w:rsid w:val="00F9573B"/>
    <w:rsid w:val="00F9695D"/>
    <w:rsid w:val="00F96D76"/>
    <w:rsid w:val="00F96E8F"/>
    <w:rsid w:val="00FA1A1B"/>
    <w:rsid w:val="00FA5457"/>
    <w:rsid w:val="00FA5545"/>
    <w:rsid w:val="00FA5EBE"/>
    <w:rsid w:val="00FB15B0"/>
    <w:rsid w:val="00FB3664"/>
    <w:rsid w:val="00FB43D2"/>
    <w:rsid w:val="00FB75F5"/>
    <w:rsid w:val="00FC217B"/>
    <w:rsid w:val="00FC484C"/>
    <w:rsid w:val="00FC4F01"/>
    <w:rsid w:val="00FD14C5"/>
    <w:rsid w:val="00FD2EF1"/>
    <w:rsid w:val="00FD3C4B"/>
    <w:rsid w:val="00FD6027"/>
    <w:rsid w:val="00FD7D12"/>
    <w:rsid w:val="00FE36EE"/>
    <w:rsid w:val="00FE4789"/>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331D0-431B-4083-875F-3A372199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paragraph" w:customStyle="1" w:styleId="xxxmsonormal">
    <w:name w:val="x_x_x_msonormal"/>
    <w:basedOn w:val="Normal"/>
    <w:rsid w:val="00141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153647592">
      <w:bodyDiv w:val="1"/>
      <w:marLeft w:val="0"/>
      <w:marRight w:val="0"/>
      <w:marTop w:val="0"/>
      <w:marBottom w:val="0"/>
      <w:divBdr>
        <w:top w:val="none" w:sz="0" w:space="0" w:color="auto"/>
        <w:left w:val="none" w:sz="0" w:space="0" w:color="auto"/>
        <w:bottom w:val="none" w:sz="0" w:space="0" w:color="auto"/>
        <w:right w:val="none" w:sz="0" w:space="0" w:color="auto"/>
      </w:divBdr>
    </w:div>
    <w:div w:id="252596320">
      <w:bodyDiv w:val="1"/>
      <w:marLeft w:val="0"/>
      <w:marRight w:val="0"/>
      <w:marTop w:val="0"/>
      <w:marBottom w:val="0"/>
      <w:divBdr>
        <w:top w:val="none" w:sz="0" w:space="0" w:color="auto"/>
        <w:left w:val="none" w:sz="0" w:space="0" w:color="auto"/>
        <w:bottom w:val="none" w:sz="0" w:space="0" w:color="auto"/>
        <w:right w:val="none" w:sz="0" w:space="0" w:color="auto"/>
      </w:divBdr>
    </w:div>
    <w:div w:id="603802848">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01216526">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00075468">
      <w:bodyDiv w:val="1"/>
      <w:marLeft w:val="0"/>
      <w:marRight w:val="0"/>
      <w:marTop w:val="0"/>
      <w:marBottom w:val="0"/>
      <w:divBdr>
        <w:top w:val="none" w:sz="0" w:space="0" w:color="auto"/>
        <w:left w:val="none" w:sz="0" w:space="0" w:color="auto"/>
        <w:bottom w:val="none" w:sz="0" w:space="0" w:color="auto"/>
        <w:right w:val="none" w:sz="0" w:space="0" w:color="auto"/>
      </w:divBdr>
    </w:div>
    <w:div w:id="160264511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10_98_1931.html" TargetMode="External"/><Relationship Id="rId5" Type="http://schemas.openxmlformats.org/officeDocument/2006/relationships/webSettings" Target="webSettings.xml"/><Relationship Id="rId10" Type="http://schemas.openxmlformats.org/officeDocument/2006/relationships/hyperlink" Target="https://narodne-novine.nn.hr/clanci/sluzbeni/2012_03_34_816.html" TargetMode="External"/><Relationship Id="rId4" Type="http://schemas.openxmlformats.org/officeDocument/2006/relationships/settings" Target="settings.xml"/><Relationship Id="rId9" Type="http://schemas.openxmlformats.org/officeDocument/2006/relationships/hyperlink" Target="https://narodne-novine.nn.hr/clanci/sluzbeni/2011_07_80_17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C570-7892-4BDF-A5D4-69AA86B7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3135</Words>
  <Characters>17876</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Ivo Antunović</cp:lastModifiedBy>
  <cp:revision>2</cp:revision>
  <cp:lastPrinted>2022-09-08T16:16:00Z</cp:lastPrinted>
  <dcterms:created xsi:type="dcterms:W3CDTF">2022-09-09T05:01:00Z</dcterms:created>
  <dcterms:modified xsi:type="dcterms:W3CDTF">2022-09-09T05:01:00Z</dcterms:modified>
</cp:coreProperties>
</file>