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1654F" w14:textId="77777777" w:rsidR="00A94BB1" w:rsidRDefault="00BD5704" w:rsidP="00A94BB1">
      <w:pPr>
        <w:jc w:val="right"/>
        <w:rPr>
          <w:rFonts w:ascii="CarolinaBar-B39-25F2" w:hAnsi="CarolinaBar-B39-25F2"/>
          <w:color w:val="000000"/>
          <w:sz w:val="32"/>
          <w:szCs w:val="32"/>
        </w:rPr>
      </w:pPr>
      <w:r>
        <w:rPr>
          <w:rFonts w:ascii="CarolinaBar-B39-25F2" w:hAnsi="CarolinaBar-B39-25F2"/>
          <w:color w:val="000000"/>
          <w:sz w:val="32"/>
          <w:szCs w:val="32"/>
        </w:rPr>
        <w:t>*P/</w:t>
      </w:r>
      <w:r>
        <w:rPr>
          <w:rFonts w:ascii="CarolinaBar-B39-25F2" w:hAnsi="CarolinaBar-B39-25F2"/>
          <w:color w:val="000000"/>
          <w:sz w:val="32"/>
          <w:szCs w:val="32"/>
        </w:rPr>
        <w:fldChar w:fldCharType="begin">
          <w:ffData>
            <w:name w:val="Jop"/>
            <w:enabled/>
            <w:calcOnExit w:val="0"/>
            <w:textInput/>
          </w:ffData>
        </w:fldChar>
      </w:r>
      <w:bookmarkStart w:id="0" w:name="Jop"/>
      <w:r>
        <w:rPr>
          <w:rFonts w:ascii="CarolinaBar-B39-25F2" w:hAnsi="CarolinaBar-B39-25F2"/>
          <w:color w:val="000000"/>
          <w:sz w:val="32"/>
          <w:szCs w:val="32"/>
        </w:rPr>
        <w:instrText xml:space="preserve"> FORMTEXT </w:instrText>
      </w:r>
      <w:r>
        <w:rPr>
          <w:rFonts w:ascii="CarolinaBar-B39-25F2" w:hAnsi="CarolinaBar-B39-25F2"/>
          <w:color w:val="000000"/>
          <w:sz w:val="32"/>
          <w:szCs w:val="32"/>
        </w:rPr>
      </w:r>
      <w:r>
        <w:rPr>
          <w:rFonts w:ascii="CarolinaBar-B39-25F2" w:hAnsi="CarolinaBar-B39-25F2"/>
          <w:color w:val="000000"/>
          <w:sz w:val="32"/>
          <w:szCs w:val="32"/>
        </w:rPr>
        <w:fldChar w:fldCharType="separate"/>
      </w:r>
      <w:r>
        <w:rPr>
          <w:rFonts w:ascii="CarolinaBar-B39-25F2" w:hAnsi="CarolinaBar-B39-25F2"/>
          <w:color w:val="000000"/>
          <w:sz w:val="32"/>
          <w:szCs w:val="32"/>
        </w:rPr>
        <w:t>6793581</w:t>
      </w:r>
      <w:r>
        <w:rPr>
          <w:rFonts w:ascii="CarolinaBar-B39-25F2" w:hAnsi="CarolinaBar-B39-25F2"/>
          <w:color w:val="000000"/>
          <w:sz w:val="32"/>
          <w:szCs w:val="32"/>
        </w:rPr>
        <w:fldChar w:fldCharType="end"/>
      </w:r>
      <w:bookmarkEnd w:id="0"/>
      <w:r>
        <w:rPr>
          <w:rFonts w:ascii="CarolinaBar-B39-25F2" w:hAnsi="CarolinaBar-B39-25F2"/>
          <w:color w:val="000000"/>
          <w:sz w:val="32"/>
          <w:szCs w:val="32"/>
        </w:rPr>
        <w:t>*</w:t>
      </w:r>
    </w:p>
    <w:p w14:paraId="5678947D" w14:textId="77777777" w:rsidR="002B41AB" w:rsidRPr="007152B2" w:rsidRDefault="00BD5704">
      <w:pPr>
        <w:jc w:val="right"/>
        <w:rPr>
          <w:color w:val="000000"/>
          <w:sz w:val="22"/>
          <w:szCs w:val="22"/>
        </w:rPr>
      </w:pPr>
      <w:r w:rsidRPr="007152B2">
        <w:rPr>
          <w:color w:val="000000"/>
          <w:sz w:val="22"/>
          <w:szCs w:val="22"/>
        </w:rPr>
        <w:br/>
      </w:r>
    </w:p>
    <w:p w14:paraId="6AE564F0" w14:textId="77777777" w:rsidR="002B41AB" w:rsidRPr="007152B2" w:rsidRDefault="00676FB5">
      <w:pPr>
        <w:rPr>
          <w:color w:val="000000"/>
          <w:sz w:val="22"/>
          <w:szCs w:val="22"/>
        </w:rPr>
      </w:pPr>
    </w:p>
    <w:p w14:paraId="7D5E29BE" w14:textId="77777777" w:rsidR="002B41AB" w:rsidRPr="007152B2" w:rsidRDefault="00676FB5">
      <w:pPr>
        <w:rPr>
          <w:color w:val="000000"/>
          <w:sz w:val="22"/>
          <w:szCs w:val="22"/>
        </w:rPr>
      </w:pPr>
    </w:p>
    <w:p w14:paraId="20746738" w14:textId="77777777" w:rsidR="002B41AB" w:rsidRPr="007152B2" w:rsidRDefault="00676FB5">
      <w:pPr>
        <w:rPr>
          <w:color w:val="000000"/>
          <w:sz w:val="22"/>
          <w:szCs w:val="22"/>
        </w:rPr>
      </w:pPr>
    </w:p>
    <w:p w14:paraId="2CA8994D" w14:textId="77777777" w:rsidR="00BD5704" w:rsidRPr="009C19F3" w:rsidRDefault="003B2351" w:rsidP="00BD5704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19D8CD45">
            <wp:extent cx="502920" cy="6858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704" w:rsidRPr="009C19F3">
        <w:rPr>
          <w:color w:val="FF0000"/>
        </w:rPr>
        <w:fldChar w:fldCharType="begin"/>
      </w:r>
      <w:r w:rsidR="00BD5704" w:rsidRPr="009C19F3">
        <w:rPr>
          <w:color w:val="FF0000"/>
        </w:rPr>
        <w:instrText xml:space="preserve"> INCLUDEPICTURE "http://www.inet.hr/~box/images/grb-rh.gif" \* MERGEFORMATINET </w:instrText>
      </w:r>
      <w:r w:rsidR="00BD5704" w:rsidRPr="009C19F3">
        <w:rPr>
          <w:color w:val="FF0000"/>
        </w:rPr>
        <w:fldChar w:fldCharType="end"/>
      </w:r>
    </w:p>
    <w:p w14:paraId="5B0DDD29" w14:textId="77777777" w:rsidR="00BD5704" w:rsidRPr="009C19F3" w:rsidRDefault="00BD5704" w:rsidP="00BD5704">
      <w:pPr>
        <w:spacing w:before="60" w:after="1680"/>
        <w:jc w:val="center"/>
        <w:rPr>
          <w:sz w:val="28"/>
        </w:rPr>
      </w:pPr>
      <w:r w:rsidRPr="009C19F3">
        <w:rPr>
          <w:sz w:val="28"/>
        </w:rPr>
        <w:t>VLADA REPUBLIKE HRVATSKE</w:t>
      </w:r>
    </w:p>
    <w:p w14:paraId="3DEA64F5" w14:textId="77777777" w:rsidR="00BD5704" w:rsidRPr="009C19F3" w:rsidRDefault="00BD5704" w:rsidP="00BD5704"/>
    <w:p w14:paraId="642FD688" w14:textId="77777777" w:rsidR="00BD5704" w:rsidRPr="00560F38" w:rsidRDefault="00BD5704" w:rsidP="00BD5704">
      <w:pPr>
        <w:jc w:val="both"/>
      </w:pPr>
    </w:p>
    <w:p w14:paraId="1A45FCD8" w14:textId="77777777" w:rsidR="00BD5704" w:rsidRPr="00560F38" w:rsidRDefault="00BD5704" w:rsidP="00BD5704">
      <w:pPr>
        <w:jc w:val="right"/>
      </w:pPr>
      <w:r w:rsidRPr="00560F38">
        <w:t xml:space="preserve">Zagreb, </w:t>
      </w:r>
      <w:r w:rsidR="00B67D80">
        <w:t xml:space="preserve">4. studenoga </w:t>
      </w:r>
      <w:r>
        <w:t>2022</w:t>
      </w:r>
      <w:r w:rsidRPr="00560F38">
        <w:t>.</w:t>
      </w:r>
    </w:p>
    <w:p w14:paraId="0A01B15B" w14:textId="77777777" w:rsidR="00BD5704" w:rsidRPr="009C19F3" w:rsidRDefault="00BD5704" w:rsidP="00BD5704">
      <w:pPr>
        <w:spacing w:after="225"/>
        <w:jc w:val="both"/>
        <w:textAlignment w:val="baseline"/>
      </w:pPr>
    </w:p>
    <w:p w14:paraId="7DFD9D16" w14:textId="77777777" w:rsidR="00BD5704" w:rsidRPr="009C19F3" w:rsidRDefault="00BD5704" w:rsidP="00BD5704">
      <w:pPr>
        <w:pBdr>
          <w:bottom w:val="single" w:sz="12" w:space="1" w:color="auto"/>
        </w:pBdr>
        <w:spacing w:after="225"/>
        <w:jc w:val="both"/>
        <w:textAlignment w:val="baseline"/>
      </w:pPr>
    </w:p>
    <w:p w14:paraId="05805B91" w14:textId="77777777" w:rsidR="00BD5704" w:rsidRDefault="00BD5704" w:rsidP="00A94C64">
      <w:pPr>
        <w:spacing w:after="225"/>
        <w:textAlignment w:val="baseline"/>
      </w:pPr>
      <w:r w:rsidRPr="009C19F3">
        <w:rPr>
          <w:b/>
        </w:rPr>
        <w:t>PREDLAGATELJ:</w:t>
      </w:r>
      <w:r w:rsidRPr="009C19F3">
        <w:tab/>
      </w:r>
      <w:r w:rsidRPr="000B2AF9">
        <w:t>Ministarstvo mora, prometa i infrastrukture</w:t>
      </w:r>
    </w:p>
    <w:p w14:paraId="284585D8" w14:textId="77777777" w:rsidR="00BD5704" w:rsidRPr="009C19F3" w:rsidRDefault="00BD5704" w:rsidP="00BD5704">
      <w:pPr>
        <w:spacing w:after="225"/>
        <w:textAlignment w:val="baseline"/>
      </w:pPr>
      <w:r w:rsidRPr="009C19F3">
        <w:t>_________________________________________________________________________</w:t>
      </w:r>
      <w:r>
        <w:t>__</w:t>
      </w:r>
    </w:p>
    <w:p w14:paraId="0E2C83D7" w14:textId="77777777" w:rsidR="00BD5704" w:rsidRDefault="00BD5704" w:rsidP="00BD5704">
      <w:pPr>
        <w:ind w:left="1410" w:right="674" w:hanging="1410"/>
        <w:jc w:val="both"/>
      </w:pPr>
      <w:r w:rsidRPr="009C19F3">
        <w:rPr>
          <w:b/>
        </w:rPr>
        <w:t>PREDMET:</w:t>
      </w:r>
      <w:r w:rsidRPr="009C19F3">
        <w:tab/>
      </w:r>
      <w:r>
        <w:t>Prijedlog o</w:t>
      </w:r>
      <w:r w:rsidRPr="00AE0BC1">
        <w:t>dluk</w:t>
      </w:r>
      <w:r>
        <w:t xml:space="preserve">e o donošenju </w:t>
      </w:r>
      <w:r w:rsidRPr="000B2AF9">
        <w:t>Strategije razvoja željezničkog sus</w:t>
      </w:r>
      <w:r w:rsidR="00A32AFB">
        <w:t>tava Republike Hrvatske</w:t>
      </w:r>
      <w:r w:rsidRPr="000B2AF9">
        <w:t xml:space="preserve"> do 2032. godine</w:t>
      </w:r>
    </w:p>
    <w:p w14:paraId="5CCA96CF" w14:textId="77777777" w:rsidR="00BD5704" w:rsidRPr="009C19F3" w:rsidRDefault="00BD5704" w:rsidP="00BD5704">
      <w:pPr>
        <w:spacing w:after="225"/>
        <w:jc w:val="both"/>
        <w:textAlignment w:val="baseline"/>
      </w:pPr>
      <w:r w:rsidRPr="009C19F3">
        <w:t>__________________________________________________________________________</w:t>
      </w:r>
      <w:r w:rsidR="00A94C64">
        <w:t>_</w:t>
      </w:r>
    </w:p>
    <w:p w14:paraId="63087CE2" w14:textId="77777777" w:rsidR="00BD5704" w:rsidRPr="009C19F3" w:rsidRDefault="00BD5704" w:rsidP="00BD5704">
      <w:pPr>
        <w:spacing w:after="225"/>
        <w:jc w:val="both"/>
        <w:textAlignment w:val="baseline"/>
      </w:pPr>
    </w:p>
    <w:p w14:paraId="57ABC357" w14:textId="77777777" w:rsidR="00BD5704" w:rsidRPr="009C19F3" w:rsidRDefault="00BD5704" w:rsidP="00BD5704">
      <w:pPr>
        <w:spacing w:after="225"/>
        <w:jc w:val="both"/>
        <w:textAlignment w:val="baseline"/>
      </w:pPr>
    </w:p>
    <w:p w14:paraId="7371C741" w14:textId="77777777" w:rsidR="00BD5704" w:rsidRPr="009C19F3" w:rsidRDefault="00BD5704" w:rsidP="00BD5704">
      <w:pPr>
        <w:spacing w:after="225"/>
        <w:jc w:val="both"/>
        <w:textAlignment w:val="baseline"/>
      </w:pPr>
    </w:p>
    <w:p w14:paraId="6EF602F8" w14:textId="77777777" w:rsidR="00BD5704" w:rsidRPr="009C19F3" w:rsidRDefault="00BD5704" w:rsidP="00BD5704">
      <w:pPr>
        <w:spacing w:after="225"/>
        <w:jc w:val="both"/>
        <w:textAlignment w:val="baseline"/>
      </w:pPr>
    </w:p>
    <w:p w14:paraId="6EDCD5C2" w14:textId="77777777" w:rsidR="00BD5704" w:rsidRDefault="00BD5704" w:rsidP="00BD5704"/>
    <w:p w14:paraId="29016272" w14:textId="77777777" w:rsidR="00BD5704" w:rsidRPr="009C19F3" w:rsidRDefault="00BD5704" w:rsidP="00BD5704"/>
    <w:p w14:paraId="352A89B4" w14:textId="77777777" w:rsidR="00BD5704" w:rsidRDefault="00BD5704" w:rsidP="00BD5704">
      <w:pPr>
        <w:spacing w:after="225"/>
        <w:jc w:val="right"/>
        <w:textAlignment w:val="baseline"/>
        <w:rPr>
          <w:b/>
        </w:rPr>
      </w:pPr>
    </w:p>
    <w:p w14:paraId="3BF19382" w14:textId="77777777" w:rsidR="00BD5704" w:rsidRDefault="00BD5704" w:rsidP="00BD5704">
      <w:pPr>
        <w:spacing w:after="225"/>
        <w:jc w:val="right"/>
        <w:textAlignment w:val="baseline"/>
        <w:rPr>
          <w:b/>
        </w:rPr>
      </w:pPr>
    </w:p>
    <w:p w14:paraId="3DB4C941" w14:textId="77777777" w:rsidR="00BD5704" w:rsidRDefault="00BD5704" w:rsidP="00BD5704">
      <w:pPr>
        <w:spacing w:after="225"/>
        <w:jc w:val="right"/>
        <w:textAlignment w:val="baseline"/>
        <w:rPr>
          <w:b/>
        </w:rPr>
      </w:pPr>
    </w:p>
    <w:p w14:paraId="5B999316" w14:textId="77777777" w:rsidR="00BD5704" w:rsidRDefault="00BD5704" w:rsidP="00BD5704">
      <w:pPr>
        <w:spacing w:after="225"/>
        <w:jc w:val="right"/>
        <w:textAlignment w:val="baseline"/>
        <w:rPr>
          <w:b/>
        </w:rPr>
      </w:pPr>
    </w:p>
    <w:p w14:paraId="2DAC8FFB" w14:textId="77777777" w:rsidR="00A540AF" w:rsidRDefault="00A540AF" w:rsidP="00A540AF">
      <w:pPr>
        <w:jc w:val="right"/>
        <w:textAlignment w:val="baseline"/>
        <w:rPr>
          <w:b/>
        </w:rPr>
      </w:pPr>
    </w:p>
    <w:p w14:paraId="501C539E" w14:textId="77777777" w:rsidR="00A94C64" w:rsidRDefault="00A94C64" w:rsidP="00A540AF">
      <w:pPr>
        <w:jc w:val="right"/>
        <w:textAlignment w:val="baseline"/>
        <w:rPr>
          <w:b/>
        </w:rPr>
      </w:pPr>
    </w:p>
    <w:p w14:paraId="69C0C085" w14:textId="77777777" w:rsidR="00A94C64" w:rsidRDefault="00A94C64" w:rsidP="00A540AF">
      <w:pPr>
        <w:jc w:val="right"/>
        <w:textAlignment w:val="baseline"/>
        <w:rPr>
          <w:b/>
        </w:rPr>
      </w:pPr>
    </w:p>
    <w:p w14:paraId="22A68C47" w14:textId="77777777" w:rsidR="00A540AF" w:rsidRDefault="00A540AF" w:rsidP="00A540AF">
      <w:pPr>
        <w:jc w:val="right"/>
        <w:textAlignment w:val="baseline"/>
        <w:rPr>
          <w:b/>
        </w:rPr>
      </w:pPr>
      <w:r w:rsidRPr="006415F5">
        <w:rPr>
          <w:b/>
        </w:rPr>
        <w:t>PRIJEDLOG</w:t>
      </w:r>
    </w:p>
    <w:p w14:paraId="6A605117" w14:textId="77777777" w:rsidR="00A540AF" w:rsidRDefault="00A540AF" w:rsidP="00A540AF">
      <w:pPr>
        <w:jc w:val="right"/>
        <w:textAlignment w:val="baseline"/>
        <w:rPr>
          <w:b/>
        </w:rPr>
      </w:pPr>
    </w:p>
    <w:p w14:paraId="0C13BC45" w14:textId="77777777" w:rsidR="00A540AF" w:rsidRPr="006415F5" w:rsidRDefault="00A540AF" w:rsidP="00A540AF">
      <w:pPr>
        <w:jc w:val="right"/>
        <w:textAlignment w:val="baseline"/>
        <w:rPr>
          <w:b/>
        </w:rPr>
      </w:pPr>
    </w:p>
    <w:p w14:paraId="6C2A5F88" w14:textId="77777777" w:rsidR="00A540AF" w:rsidRDefault="00A540AF" w:rsidP="00A540AF">
      <w:pPr>
        <w:ind w:firstLine="708"/>
        <w:jc w:val="both"/>
      </w:pPr>
      <w:r w:rsidRPr="000B2AF9">
        <w:t>Na temelju</w:t>
      </w:r>
      <w:r w:rsidR="00B80689">
        <w:t xml:space="preserve"> </w:t>
      </w:r>
      <w:r w:rsidR="00B80689" w:rsidRPr="00B80689">
        <w:t>članka 17. stavka 2. Zakona o željeznici (Narodne novine, broj 32/19, 20/21)</w:t>
      </w:r>
      <w:r w:rsidRPr="000B2AF9">
        <w:t xml:space="preserve"> </w:t>
      </w:r>
      <w:r>
        <w:t xml:space="preserve">i </w:t>
      </w:r>
      <w:r w:rsidR="00B80689" w:rsidRPr="00B80689">
        <w:t>članka 31. stavka 2. Zakona o Vladi Republike Hrvatske („Narodne novine“, br. 150/11, 119/14, 93/16, 116/18 i 80/22)</w:t>
      </w:r>
      <w:r w:rsidRPr="00B1631E">
        <w:t>, Vlada Republike Hrvatske je na sjednici održanoj __</w:t>
      </w:r>
      <w:r>
        <w:t>____ 2022</w:t>
      </w:r>
      <w:r w:rsidRPr="00B1631E">
        <w:t>. godine donijela</w:t>
      </w:r>
    </w:p>
    <w:p w14:paraId="309FD4A6" w14:textId="77777777" w:rsidR="00A540AF" w:rsidRPr="0020215F" w:rsidRDefault="00A540AF" w:rsidP="00A540AF">
      <w:pPr>
        <w:ind w:firstLine="708"/>
        <w:jc w:val="both"/>
      </w:pPr>
    </w:p>
    <w:p w14:paraId="7EADC209" w14:textId="77777777" w:rsidR="00A540AF" w:rsidRDefault="00A540AF" w:rsidP="00A540AF">
      <w:pPr>
        <w:jc w:val="center"/>
        <w:textAlignment w:val="baseline"/>
        <w:rPr>
          <w:b/>
          <w:bCs/>
        </w:rPr>
      </w:pPr>
      <w:r w:rsidRPr="009C19F3">
        <w:rPr>
          <w:b/>
          <w:bCs/>
        </w:rPr>
        <w:t>ODLUKU</w:t>
      </w:r>
      <w:r>
        <w:rPr>
          <w:b/>
          <w:bCs/>
        </w:rPr>
        <w:t xml:space="preserve"> </w:t>
      </w:r>
    </w:p>
    <w:p w14:paraId="6AF9DC63" w14:textId="77777777" w:rsidR="00A540AF" w:rsidRDefault="00A540AF" w:rsidP="00A540AF">
      <w:pPr>
        <w:jc w:val="center"/>
        <w:textAlignment w:val="baseline"/>
        <w:rPr>
          <w:b/>
          <w:bCs/>
        </w:rPr>
      </w:pPr>
      <w:r>
        <w:rPr>
          <w:b/>
          <w:bCs/>
        </w:rPr>
        <w:t xml:space="preserve">o </w:t>
      </w:r>
      <w:r w:rsidRPr="000B2AF9">
        <w:rPr>
          <w:b/>
          <w:bCs/>
        </w:rPr>
        <w:t>donošenju Strategije razvoja željezničkog sus</w:t>
      </w:r>
      <w:r w:rsidR="00A32AFB">
        <w:rPr>
          <w:b/>
          <w:bCs/>
        </w:rPr>
        <w:t>tava Republike Hrvatske</w:t>
      </w:r>
      <w:r w:rsidRPr="000B2AF9">
        <w:rPr>
          <w:b/>
          <w:bCs/>
        </w:rPr>
        <w:t xml:space="preserve"> do 2032. godine</w:t>
      </w:r>
    </w:p>
    <w:p w14:paraId="0E88AB64" w14:textId="77777777" w:rsidR="00A540AF" w:rsidRPr="009C19F3" w:rsidRDefault="00A540AF" w:rsidP="00A540AF">
      <w:pPr>
        <w:jc w:val="center"/>
        <w:textAlignment w:val="baseline"/>
        <w:rPr>
          <w:b/>
          <w:bCs/>
        </w:rPr>
      </w:pPr>
    </w:p>
    <w:p w14:paraId="2C23E4AF" w14:textId="77777777" w:rsidR="00A540AF" w:rsidRPr="000B2AF9" w:rsidRDefault="00A540AF" w:rsidP="00A540AF">
      <w:pPr>
        <w:spacing w:after="225"/>
        <w:jc w:val="center"/>
        <w:textAlignment w:val="baseline"/>
        <w:rPr>
          <w:b/>
        </w:rPr>
      </w:pPr>
      <w:r w:rsidRPr="000B2AF9">
        <w:rPr>
          <w:b/>
        </w:rPr>
        <w:t>I.</w:t>
      </w:r>
    </w:p>
    <w:p w14:paraId="7808E0BE" w14:textId="77777777" w:rsidR="00A540AF" w:rsidRPr="0043602F" w:rsidRDefault="00A540AF" w:rsidP="00A540AF">
      <w:pPr>
        <w:ind w:firstLine="708"/>
        <w:jc w:val="both"/>
      </w:pPr>
      <w:r w:rsidRPr="0043602F">
        <w:t>Donosi se Strategija razvoja željezničkog sus</w:t>
      </w:r>
      <w:r w:rsidR="00A32AFB">
        <w:t>tava Republike Hrvatske</w:t>
      </w:r>
      <w:r w:rsidRPr="0043602F">
        <w:t xml:space="preserve"> do 2032. godine, u tekstu koji je dostavilo Ministarstvo mora, prometa i infrastrukture aktom, klas</w:t>
      </w:r>
      <w:r>
        <w:t>a</w:t>
      </w:r>
      <w:r w:rsidRPr="0043602F">
        <w:t>: 34</w:t>
      </w:r>
      <w:r w:rsidR="00514FEF">
        <w:t>1</w:t>
      </w:r>
      <w:r w:rsidRPr="0043602F">
        <w:t>-0</w:t>
      </w:r>
      <w:r w:rsidR="00514FEF">
        <w:t>2</w:t>
      </w:r>
      <w:r w:rsidRPr="0043602F">
        <w:t>/1</w:t>
      </w:r>
      <w:r w:rsidR="00514FEF">
        <w:t>9</w:t>
      </w:r>
      <w:r w:rsidRPr="0043602F">
        <w:t>-</w:t>
      </w:r>
      <w:r w:rsidR="0033594B">
        <w:t>01/11</w:t>
      </w:r>
      <w:r w:rsidRPr="0043602F">
        <w:t xml:space="preserve">, </w:t>
      </w:r>
      <w:proofErr w:type="spellStart"/>
      <w:r w:rsidRPr="0043602F">
        <w:t>urbroj</w:t>
      </w:r>
      <w:proofErr w:type="spellEnd"/>
      <w:r w:rsidR="0033594B">
        <w:t>: 530-06-1</w:t>
      </w:r>
      <w:r w:rsidRPr="0043602F">
        <w:t>-1-</w:t>
      </w:r>
      <w:r w:rsidR="00D41A3B">
        <w:t>22-43, od 31</w:t>
      </w:r>
      <w:r w:rsidRPr="0043602F">
        <w:t xml:space="preserve">. </w:t>
      </w:r>
      <w:r w:rsidR="0033594B">
        <w:t>listopada</w:t>
      </w:r>
      <w:r w:rsidRPr="0043602F">
        <w:t xml:space="preserve"> 2022. godine.</w:t>
      </w:r>
    </w:p>
    <w:p w14:paraId="07A2CAB2" w14:textId="77777777" w:rsidR="00A540AF" w:rsidRPr="0043602F" w:rsidRDefault="00A540AF" w:rsidP="00A540AF">
      <w:pPr>
        <w:jc w:val="center"/>
      </w:pPr>
    </w:p>
    <w:p w14:paraId="0B46B0E9" w14:textId="77777777" w:rsidR="00A540AF" w:rsidRPr="0043602F" w:rsidRDefault="00A540AF" w:rsidP="00A540AF">
      <w:pPr>
        <w:jc w:val="center"/>
        <w:rPr>
          <w:b/>
        </w:rPr>
      </w:pPr>
      <w:r w:rsidRPr="0043602F">
        <w:rPr>
          <w:b/>
        </w:rPr>
        <w:t>II.</w:t>
      </w:r>
    </w:p>
    <w:p w14:paraId="31FD8E7F" w14:textId="77777777" w:rsidR="00A540AF" w:rsidRPr="0043602F" w:rsidRDefault="00A540AF" w:rsidP="00A540AF">
      <w:pPr>
        <w:jc w:val="center"/>
        <w:rPr>
          <w:b/>
        </w:rPr>
      </w:pPr>
    </w:p>
    <w:p w14:paraId="67506C49" w14:textId="77777777" w:rsidR="00A540AF" w:rsidRPr="0043602F" w:rsidRDefault="00A540AF" w:rsidP="00A540AF">
      <w:pPr>
        <w:jc w:val="both"/>
        <w:rPr>
          <w:rFonts w:eastAsia="Calibri"/>
        </w:rPr>
      </w:pPr>
      <w:r w:rsidRPr="0043602F">
        <w:rPr>
          <w:rFonts w:eastAsia="Calibri"/>
        </w:rPr>
        <w:tab/>
        <w:t>Zadužuje se Ministarstvo mora, prometa i infrastrukture za provedbu Strategije iz točke I. ove Odluke.</w:t>
      </w:r>
    </w:p>
    <w:p w14:paraId="135717AC" w14:textId="77777777" w:rsidR="00A540AF" w:rsidRPr="0043602F" w:rsidRDefault="00A540AF" w:rsidP="00A540AF">
      <w:pPr>
        <w:rPr>
          <w:rFonts w:eastAsia="Calibri"/>
        </w:rPr>
      </w:pPr>
    </w:p>
    <w:p w14:paraId="0F33CB39" w14:textId="77777777" w:rsidR="00A540AF" w:rsidRDefault="00A540AF" w:rsidP="00A540AF">
      <w:pPr>
        <w:jc w:val="center"/>
        <w:rPr>
          <w:b/>
        </w:rPr>
      </w:pPr>
      <w:r w:rsidRPr="0043602F">
        <w:rPr>
          <w:b/>
        </w:rPr>
        <w:t>III.</w:t>
      </w:r>
    </w:p>
    <w:p w14:paraId="510803DA" w14:textId="77777777" w:rsidR="003634F8" w:rsidRPr="0043602F" w:rsidRDefault="003634F8" w:rsidP="00A540AF">
      <w:pPr>
        <w:jc w:val="center"/>
        <w:rPr>
          <w:b/>
        </w:rPr>
      </w:pPr>
    </w:p>
    <w:p w14:paraId="3B889A3D" w14:textId="77777777" w:rsidR="00A540AF" w:rsidRPr="000B2AF9" w:rsidRDefault="00A540AF" w:rsidP="00A540AF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43602F">
        <w:rPr>
          <w:rFonts w:eastAsia="Calibri"/>
        </w:rPr>
        <w:t>Sustav praćenja</w:t>
      </w:r>
      <w:r w:rsidRPr="000B2AF9">
        <w:rPr>
          <w:rFonts w:eastAsia="Calibri"/>
        </w:rPr>
        <w:t xml:space="preserve"> i </w:t>
      </w:r>
      <w:r>
        <w:rPr>
          <w:rFonts w:eastAsia="Calibri"/>
        </w:rPr>
        <w:t>izvj</w:t>
      </w:r>
      <w:r w:rsidR="00B80689">
        <w:rPr>
          <w:rFonts w:eastAsia="Calibri"/>
        </w:rPr>
        <w:t xml:space="preserve">ešćivanja o provedbi Strategije </w:t>
      </w:r>
      <w:r w:rsidR="00B80689" w:rsidRPr="00B80689">
        <w:rPr>
          <w:rFonts w:eastAsia="Calibri"/>
        </w:rPr>
        <w:t>iz točke I. ove Odluke</w:t>
      </w:r>
      <w:r w:rsidRPr="000B2AF9">
        <w:rPr>
          <w:rFonts w:eastAsia="Calibri"/>
        </w:rPr>
        <w:t xml:space="preserve"> objavit će se na mrežnim stranicama Ministarstva</w:t>
      </w:r>
      <w:r>
        <w:rPr>
          <w:rFonts w:eastAsia="Calibri"/>
        </w:rPr>
        <w:t xml:space="preserve"> </w:t>
      </w:r>
      <w:r w:rsidRPr="006331E6">
        <w:rPr>
          <w:rFonts w:eastAsia="Calibri"/>
        </w:rPr>
        <w:t>mora</w:t>
      </w:r>
      <w:r w:rsidR="00DD1F06">
        <w:rPr>
          <w:rFonts w:eastAsia="Calibri"/>
        </w:rPr>
        <w:t>,</w:t>
      </w:r>
      <w:r w:rsidRPr="006331E6">
        <w:rPr>
          <w:rFonts w:eastAsia="Calibri"/>
        </w:rPr>
        <w:t xml:space="preserve"> prometa</w:t>
      </w:r>
      <w:r>
        <w:rPr>
          <w:rFonts w:eastAsia="Calibri"/>
        </w:rPr>
        <w:t xml:space="preserve"> </w:t>
      </w:r>
      <w:r w:rsidRPr="006331E6">
        <w:rPr>
          <w:rFonts w:eastAsia="Calibri"/>
        </w:rPr>
        <w:t>i infrastrukture</w:t>
      </w:r>
      <w:r w:rsidRPr="000B2AF9">
        <w:rPr>
          <w:rFonts w:eastAsia="Calibri"/>
        </w:rPr>
        <w:t>.</w:t>
      </w:r>
    </w:p>
    <w:p w14:paraId="0291DA0D" w14:textId="77777777" w:rsidR="00A540AF" w:rsidRDefault="00A540AF" w:rsidP="00A540AF">
      <w:pPr>
        <w:jc w:val="both"/>
      </w:pPr>
    </w:p>
    <w:p w14:paraId="3066C791" w14:textId="77777777" w:rsidR="00A540AF" w:rsidRDefault="00A540AF" w:rsidP="00A540AF">
      <w:pPr>
        <w:tabs>
          <w:tab w:val="left" w:pos="4253"/>
        </w:tabs>
        <w:ind w:firstLine="708"/>
        <w:rPr>
          <w:b/>
        </w:rPr>
      </w:pPr>
      <w:r>
        <w:t xml:space="preserve">                                  </w:t>
      </w:r>
      <w:r w:rsidR="00F44341">
        <w:t xml:space="preserve">                          </w:t>
      </w:r>
      <w:r>
        <w:t xml:space="preserve"> </w:t>
      </w:r>
      <w:r w:rsidRPr="000B2AF9">
        <w:rPr>
          <w:b/>
        </w:rPr>
        <w:t>I</w:t>
      </w:r>
      <w:r>
        <w:rPr>
          <w:b/>
        </w:rPr>
        <w:t>V</w:t>
      </w:r>
      <w:r w:rsidRPr="000B2AF9">
        <w:rPr>
          <w:b/>
        </w:rPr>
        <w:t>.</w:t>
      </w:r>
    </w:p>
    <w:p w14:paraId="7202CAE9" w14:textId="77777777" w:rsidR="003634F8" w:rsidRDefault="003634F8" w:rsidP="00A540AF">
      <w:pPr>
        <w:tabs>
          <w:tab w:val="left" w:pos="4253"/>
        </w:tabs>
        <w:ind w:firstLine="708"/>
        <w:rPr>
          <w:b/>
        </w:rPr>
      </w:pPr>
    </w:p>
    <w:p w14:paraId="702F3731" w14:textId="77777777" w:rsidR="003634F8" w:rsidRDefault="003634F8" w:rsidP="003634F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634F8">
        <w:rPr>
          <w:rFonts w:eastAsia="Calibri"/>
        </w:rPr>
        <w:t>Zadužuje se Ministarstvo mora</w:t>
      </w:r>
      <w:r w:rsidR="00DD1F06">
        <w:rPr>
          <w:rFonts w:eastAsia="Calibri"/>
        </w:rPr>
        <w:t>,</w:t>
      </w:r>
      <w:r w:rsidRPr="003634F8">
        <w:rPr>
          <w:rFonts w:eastAsia="Calibri"/>
        </w:rPr>
        <w:t xml:space="preserve"> prometa i infrastrukture</w:t>
      </w:r>
      <w:r>
        <w:rPr>
          <w:rFonts w:eastAsia="Calibri"/>
        </w:rPr>
        <w:t xml:space="preserve"> da o donošenju ove O</w:t>
      </w:r>
      <w:r w:rsidRPr="003634F8">
        <w:rPr>
          <w:rFonts w:eastAsia="Calibri"/>
        </w:rPr>
        <w:t>dluke</w:t>
      </w:r>
      <w:r>
        <w:rPr>
          <w:rFonts w:eastAsia="Calibri"/>
        </w:rPr>
        <w:t xml:space="preserve"> </w:t>
      </w:r>
      <w:r w:rsidR="00DD1F06">
        <w:rPr>
          <w:rFonts w:eastAsia="Calibri"/>
        </w:rPr>
        <w:t>obavijesti</w:t>
      </w:r>
      <w:r w:rsidRPr="003634F8">
        <w:rPr>
          <w:rFonts w:eastAsia="Calibri"/>
        </w:rPr>
        <w:t xml:space="preserve"> nadležna tijela uključena u provedbu </w:t>
      </w:r>
      <w:r w:rsidR="00DD1F06">
        <w:rPr>
          <w:rFonts w:eastAsia="Calibri"/>
        </w:rPr>
        <w:t>S</w:t>
      </w:r>
      <w:r w:rsidRPr="003634F8">
        <w:rPr>
          <w:rFonts w:eastAsia="Calibri"/>
        </w:rPr>
        <w:t>trategije</w:t>
      </w:r>
      <w:r w:rsidR="00DD1F06" w:rsidRPr="00DD1F06">
        <w:t xml:space="preserve"> </w:t>
      </w:r>
      <w:r w:rsidR="00DD1F06" w:rsidRPr="00DD1F06">
        <w:rPr>
          <w:rFonts w:eastAsia="Calibri"/>
        </w:rPr>
        <w:t>iz točke I. ove Odluke</w:t>
      </w:r>
      <w:r w:rsidRPr="003634F8">
        <w:rPr>
          <w:rFonts w:eastAsia="Calibri"/>
        </w:rPr>
        <w:t>.</w:t>
      </w:r>
    </w:p>
    <w:p w14:paraId="5E653807" w14:textId="77777777" w:rsidR="003634F8" w:rsidRPr="003634F8" w:rsidRDefault="003634F8" w:rsidP="003634F8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14:paraId="6C234DAA" w14:textId="77777777" w:rsidR="003634F8" w:rsidRDefault="003634F8" w:rsidP="00A540AF">
      <w:pPr>
        <w:tabs>
          <w:tab w:val="left" w:pos="4253"/>
        </w:tabs>
        <w:ind w:firstLine="708"/>
        <w:rPr>
          <w:b/>
        </w:rPr>
      </w:pPr>
      <w:r>
        <w:rPr>
          <w:b/>
        </w:rPr>
        <w:t xml:space="preserve">                                                              </w:t>
      </w:r>
      <w:r w:rsidRPr="003634F8">
        <w:rPr>
          <w:b/>
        </w:rPr>
        <w:t>V.</w:t>
      </w:r>
    </w:p>
    <w:p w14:paraId="21676CE5" w14:textId="77777777" w:rsidR="00A540AF" w:rsidRDefault="00A540AF" w:rsidP="00A540AF">
      <w:pPr>
        <w:tabs>
          <w:tab w:val="left" w:pos="4253"/>
        </w:tabs>
        <w:ind w:firstLine="708"/>
        <w:rPr>
          <w:b/>
        </w:rPr>
      </w:pPr>
    </w:p>
    <w:p w14:paraId="17C943AB" w14:textId="77777777" w:rsidR="00A540AF" w:rsidRDefault="00A540AF" w:rsidP="00A540AF">
      <w:pPr>
        <w:tabs>
          <w:tab w:val="left" w:pos="4253"/>
        </w:tabs>
        <w:ind w:firstLine="708"/>
        <w:jc w:val="both"/>
      </w:pPr>
      <w:r w:rsidRPr="0064192E">
        <w:t>Zadužuje se Ministarstvo mora</w:t>
      </w:r>
      <w:r w:rsidR="00DD1F06">
        <w:t>,</w:t>
      </w:r>
      <w:r w:rsidRPr="0064192E">
        <w:t xml:space="preserve"> prometa i infrastrukture da na svojim mrežnim stranicama objavi Strategij</w:t>
      </w:r>
      <w:r>
        <w:t>u</w:t>
      </w:r>
      <w:r w:rsidRPr="0064192E">
        <w:t xml:space="preserve"> iz točke I. ove Odluke</w:t>
      </w:r>
      <w:r>
        <w:t>.</w:t>
      </w:r>
    </w:p>
    <w:p w14:paraId="1F35AC9F" w14:textId="77777777" w:rsidR="00A540AF" w:rsidRDefault="00A540AF" w:rsidP="00A540AF">
      <w:pPr>
        <w:tabs>
          <w:tab w:val="left" w:pos="4253"/>
        </w:tabs>
        <w:ind w:firstLine="708"/>
        <w:jc w:val="both"/>
      </w:pPr>
    </w:p>
    <w:p w14:paraId="692C1DC3" w14:textId="77777777" w:rsidR="00A540AF" w:rsidRPr="0064192E" w:rsidRDefault="00A540AF" w:rsidP="00A540AF">
      <w:pPr>
        <w:tabs>
          <w:tab w:val="left" w:pos="4253"/>
        </w:tabs>
        <w:ind w:firstLine="708"/>
        <w:rPr>
          <w:b/>
        </w:rPr>
      </w:pPr>
      <w:r>
        <w:rPr>
          <w:b/>
        </w:rPr>
        <w:t xml:space="preserve">                                  </w:t>
      </w:r>
      <w:r w:rsidR="00F44341">
        <w:rPr>
          <w:b/>
        </w:rPr>
        <w:t xml:space="preserve">                          </w:t>
      </w:r>
      <w:r>
        <w:rPr>
          <w:b/>
        </w:rPr>
        <w:t xml:space="preserve"> </w:t>
      </w:r>
      <w:r w:rsidRPr="0064192E">
        <w:rPr>
          <w:b/>
        </w:rPr>
        <w:t>V</w:t>
      </w:r>
      <w:r w:rsidR="003634F8">
        <w:rPr>
          <w:b/>
        </w:rPr>
        <w:t>I</w:t>
      </w:r>
      <w:r w:rsidRPr="0064192E">
        <w:rPr>
          <w:b/>
        </w:rPr>
        <w:t>.</w:t>
      </w:r>
    </w:p>
    <w:p w14:paraId="5C7E9F0D" w14:textId="77777777" w:rsidR="00A540AF" w:rsidRDefault="00A540AF" w:rsidP="00A540AF">
      <w:pPr>
        <w:ind w:firstLine="708"/>
        <w:jc w:val="center"/>
      </w:pPr>
    </w:p>
    <w:p w14:paraId="00A88E11" w14:textId="77777777" w:rsidR="00A540AF" w:rsidRPr="00CC15A3" w:rsidRDefault="00A540AF" w:rsidP="00A540AF">
      <w:pPr>
        <w:ind w:firstLine="708"/>
        <w:jc w:val="both"/>
        <w:rPr>
          <w:b/>
        </w:rPr>
      </w:pPr>
      <w:r w:rsidRPr="0043602F">
        <w:t>Ova Odluka stupa na snagu danom donošenja, a objavit će se u „Narodnim novinama“.</w:t>
      </w:r>
    </w:p>
    <w:p w14:paraId="5D5EDB92" w14:textId="77777777" w:rsidR="00A540AF" w:rsidRPr="00B1631E" w:rsidRDefault="00A540AF" w:rsidP="00A540AF"/>
    <w:p w14:paraId="1B1A4F20" w14:textId="77777777" w:rsidR="00A540AF" w:rsidRDefault="00A540AF" w:rsidP="00A540AF">
      <w:pPr>
        <w:ind w:firstLine="708"/>
        <w:jc w:val="both"/>
      </w:pPr>
    </w:p>
    <w:p w14:paraId="5B5A50D2" w14:textId="77777777" w:rsidR="00A540AF" w:rsidRDefault="00A540AF" w:rsidP="00A540AF">
      <w:pPr>
        <w:jc w:val="both"/>
      </w:pPr>
    </w:p>
    <w:p w14:paraId="32DB6C18" w14:textId="77777777" w:rsidR="00A540AF" w:rsidRDefault="00A540AF" w:rsidP="00A540AF">
      <w:pPr>
        <w:jc w:val="both"/>
      </w:pPr>
      <w:r w:rsidRPr="003B790C">
        <w:t xml:space="preserve">Klasa: </w:t>
      </w:r>
    </w:p>
    <w:p w14:paraId="26CEAC76" w14:textId="77777777" w:rsidR="00A540AF" w:rsidRDefault="00A540AF" w:rsidP="00A540AF">
      <w:pPr>
        <w:jc w:val="both"/>
      </w:pPr>
      <w:proofErr w:type="spellStart"/>
      <w:r w:rsidRPr="003B790C">
        <w:t>Urbroj</w:t>
      </w:r>
      <w:proofErr w:type="spellEnd"/>
      <w:r w:rsidRPr="003B790C">
        <w:t xml:space="preserve">: </w:t>
      </w:r>
    </w:p>
    <w:p w14:paraId="61BAF93E" w14:textId="77777777" w:rsidR="00A540AF" w:rsidRDefault="00A540AF" w:rsidP="00A540AF">
      <w:pPr>
        <w:jc w:val="both"/>
      </w:pPr>
      <w:r>
        <w:t>Zagreb, _______ 2022.</w:t>
      </w:r>
    </w:p>
    <w:p w14:paraId="5CF89936" w14:textId="77777777" w:rsidR="00A540AF" w:rsidRDefault="00A540AF" w:rsidP="00A540AF"/>
    <w:p w14:paraId="481A96B7" w14:textId="77777777" w:rsidR="00A540AF" w:rsidRPr="0043602F" w:rsidRDefault="00A540AF" w:rsidP="00A540AF">
      <w:pPr>
        <w:ind w:firstLine="5387"/>
        <w:jc w:val="center"/>
        <w:rPr>
          <w:b/>
        </w:rPr>
      </w:pPr>
      <w:r w:rsidRPr="0043602F">
        <w:rPr>
          <w:b/>
        </w:rPr>
        <w:t>PREDSJEDNIK</w:t>
      </w:r>
      <w:r>
        <w:rPr>
          <w:b/>
        </w:rPr>
        <w:t xml:space="preserve"> VLADE</w:t>
      </w:r>
    </w:p>
    <w:p w14:paraId="3F14CC1D" w14:textId="77777777" w:rsidR="00A540AF" w:rsidRPr="0043602F" w:rsidRDefault="00A540AF" w:rsidP="00A540AF">
      <w:pPr>
        <w:ind w:firstLine="5387"/>
        <w:jc w:val="center"/>
        <w:rPr>
          <w:b/>
        </w:rPr>
      </w:pPr>
      <w:r w:rsidRPr="0043602F">
        <w:rPr>
          <w:b/>
        </w:rPr>
        <w:t xml:space="preserve">mr. </w:t>
      </w:r>
      <w:proofErr w:type="spellStart"/>
      <w:r w:rsidRPr="0043602F">
        <w:rPr>
          <w:b/>
        </w:rPr>
        <w:t>sc</w:t>
      </w:r>
      <w:proofErr w:type="spellEnd"/>
      <w:r w:rsidRPr="0043602F">
        <w:rPr>
          <w:b/>
        </w:rPr>
        <w:t>. Andrej Plenković</w:t>
      </w:r>
    </w:p>
    <w:p w14:paraId="1BE74203" w14:textId="77777777" w:rsidR="00A540AF" w:rsidRDefault="00A540AF" w:rsidP="00A540AF">
      <w:pPr>
        <w:spacing w:after="225"/>
        <w:textAlignment w:val="baseline"/>
        <w:rPr>
          <w:b/>
        </w:rPr>
      </w:pPr>
    </w:p>
    <w:p w14:paraId="11DC3FE4" w14:textId="77777777" w:rsidR="00A540AF" w:rsidRDefault="00A540AF" w:rsidP="00676FB5">
      <w:pPr>
        <w:jc w:val="center"/>
      </w:pPr>
      <w:r>
        <w:rPr>
          <w:b/>
        </w:rPr>
        <w:br w:type="page"/>
      </w:r>
      <w:bookmarkStart w:id="1" w:name="_GoBack"/>
      <w:r w:rsidRPr="00000894">
        <w:rPr>
          <w:b/>
        </w:rPr>
        <w:lastRenderedPageBreak/>
        <w:t>OBRAZLOŽENJE</w:t>
      </w:r>
    </w:p>
    <w:bookmarkEnd w:id="1"/>
    <w:p w14:paraId="498BB64A" w14:textId="77777777" w:rsidR="00A540AF" w:rsidRDefault="00A540AF" w:rsidP="00A540AF">
      <w:pPr>
        <w:jc w:val="both"/>
        <w:rPr>
          <w:rFonts w:eastAsia="Calibri"/>
        </w:rPr>
      </w:pPr>
    </w:p>
    <w:p w14:paraId="0FDD1206" w14:textId="77777777" w:rsidR="00A540AF" w:rsidRPr="0043602F" w:rsidRDefault="00A540AF" w:rsidP="00A540AF">
      <w:pPr>
        <w:jc w:val="both"/>
        <w:rPr>
          <w:rFonts w:eastAsia="Calibri"/>
        </w:rPr>
      </w:pPr>
      <w:r w:rsidRPr="008128FF">
        <w:rPr>
          <w:rFonts w:eastAsia="Calibri"/>
        </w:rPr>
        <w:t xml:space="preserve">Obveza </w:t>
      </w:r>
      <w:r w:rsidRPr="0043602F">
        <w:rPr>
          <w:rFonts w:eastAsia="Calibri"/>
        </w:rPr>
        <w:t>dugoročnog planiranja razvoja željezničkog prometnog sustava propisana je Zakonom o željeznici („Narodne novine“, broj 32/19 i 20/21). Zakon</w:t>
      </w:r>
      <w:r>
        <w:rPr>
          <w:rFonts w:eastAsia="Calibri"/>
        </w:rPr>
        <w:t>om</w:t>
      </w:r>
      <w:r w:rsidRPr="0043602F">
        <w:rPr>
          <w:rFonts w:eastAsia="Calibri"/>
        </w:rPr>
        <w:t xml:space="preserve"> o željeznici</w:t>
      </w:r>
      <w:r>
        <w:rPr>
          <w:rFonts w:eastAsia="Calibri"/>
        </w:rPr>
        <w:t xml:space="preserve">, </w:t>
      </w:r>
      <w:r w:rsidRPr="00436778">
        <w:rPr>
          <w:rFonts w:eastAsia="Calibri"/>
        </w:rPr>
        <w:t xml:space="preserve"> član</w:t>
      </w:r>
      <w:r>
        <w:rPr>
          <w:rFonts w:eastAsia="Calibri"/>
        </w:rPr>
        <w:t>a</w:t>
      </w:r>
      <w:r w:rsidRPr="00436778">
        <w:rPr>
          <w:rFonts w:eastAsia="Calibri"/>
        </w:rPr>
        <w:t>k 17. stav</w:t>
      </w:r>
      <w:r>
        <w:rPr>
          <w:rFonts w:eastAsia="Calibri"/>
        </w:rPr>
        <w:t>a</w:t>
      </w:r>
      <w:r w:rsidRPr="00436778">
        <w:rPr>
          <w:rFonts w:eastAsia="Calibri"/>
        </w:rPr>
        <w:t>k 2.</w:t>
      </w:r>
      <w:r>
        <w:rPr>
          <w:rFonts w:eastAsia="Calibri"/>
        </w:rPr>
        <w:t>,</w:t>
      </w:r>
      <w:r w:rsidRPr="00436778">
        <w:rPr>
          <w:rFonts w:eastAsia="Calibri"/>
        </w:rPr>
        <w:t xml:space="preserve"> </w:t>
      </w:r>
      <w:r w:rsidRPr="0043602F">
        <w:rPr>
          <w:rFonts w:eastAsia="Calibri"/>
        </w:rPr>
        <w:t xml:space="preserve"> propisano je da Vlada RH </w:t>
      </w:r>
      <w:r>
        <w:rPr>
          <w:rFonts w:eastAsia="Calibri"/>
        </w:rPr>
        <w:t>donosi</w:t>
      </w:r>
      <w:r w:rsidRPr="0043602F">
        <w:rPr>
          <w:rFonts w:eastAsia="Calibri"/>
        </w:rPr>
        <w:t xml:space="preserve"> Strategiju razvoja željezničkog sustava u Republici Hrvatskoj</w:t>
      </w:r>
      <w:r>
        <w:rPr>
          <w:rFonts w:eastAsia="Calibri"/>
        </w:rPr>
        <w:t xml:space="preserve"> (u daljnjem tekstu: S</w:t>
      </w:r>
      <w:r w:rsidRPr="0043602F">
        <w:rPr>
          <w:rFonts w:eastAsia="Calibri"/>
        </w:rPr>
        <w:t xml:space="preserve">trategija) </w:t>
      </w:r>
      <w:r>
        <w:rPr>
          <w:rFonts w:eastAsia="Calibri"/>
        </w:rPr>
        <w:t>radi</w:t>
      </w:r>
      <w:r w:rsidRPr="0043602F">
        <w:rPr>
          <w:rFonts w:eastAsia="Calibri"/>
        </w:rPr>
        <w:t xml:space="preserve"> dugoročnog planiranja razvoja željezničkog sustava</w:t>
      </w:r>
      <w:r>
        <w:rPr>
          <w:rFonts w:eastAsia="Calibri"/>
        </w:rPr>
        <w:t>. Strategijom</w:t>
      </w:r>
      <w:r w:rsidR="00A51DF5">
        <w:rPr>
          <w:rFonts w:eastAsia="Calibri"/>
        </w:rPr>
        <w:t xml:space="preserve"> se</w:t>
      </w:r>
      <w:r w:rsidRPr="0043602F">
        <w:rPr>
          <w:rFonts w:eastAsia="Calibri"/>
        </w:rPr>
        <w:t xml:space="preserve"> utvr</w:t>
      </w:r>
      <w:r w:rsidR="00A51DF5">
        <w:rPr>
          <w:rFonts w:eastAsia="Calibri"/>
        </w:rPr>
        <w:t>đuju</w:t>
      </w:r>
      <w:r w:rsidRPr="0043602F">
        <w:rPr>
          <w:rFonts w:eastAsia="Calibri"/>
        </w:rPr>
        <w:t xml:space="preserve"> ciljevi, mjere, </w:t>
      </w:r>
      <w:r>
        <w:rPr>
          <w:rFonts w:eastAsia="Calibri"/>
        </w:rPr>
        <w:t>pokazatelji</w:t>
      </w:r>
      <w:r w:rsidRPr="0043602F">
        <w:rPr>
          <w:rFonts w:eastAsia="Calibri"/>
        </w:rPr>
        <w:t xml:space="preserve"> uspješnosti provedbe</w:t>
      </w:r>
      <w:r>
        <w:rPr>
          <w:rFonts w:eastAsia="Calibri"/>
        </w:rPr>
        <w:t>.</w:t>
      </w:r>
      <w:r w:rsidRPr="0043602F">
        <w:rPr>
          <w:rFonts w:eastAsia="Calibri"/>
        </w:rPr>
        <w:t xml:space="preserve"> </w:t>
      </w:r>
      <w:r>
        <w:rPr>
          <w:rFonts w:eastAsia="Calibri"/>
        </w:rPr>
        <w:t>Također, S</w:t>
      </w:r>
      <w:r w:rsidRPr="0043602F">
        <w:rPr>
          <w:rFonts w:eastAsia="Calibri"/>
        </w:rPr>
        <w:t>trategijom</w:t>
      </w:r>
      <w:r w:rsidR="000F3751">
        <w:rPr>
          <w:rFonts w:eastAsia="Calibri"/>
        </w:rPr>
        <w:t xml:space="preserve"> se planira</w:t>
      </w:r>
      <w:r w:rsidRPr="0043602F">
        <w:rPr>
          <w:rFonts w:eastAsia="Calibri"/>
        </w:rPr>
        <w:t xml:space="preserve"> i razvoj institucionalnog, zakonodavnog i organizacijskog okvira</w:t>
      </w:r>
      <w:r>
        <w:rPr>
          <w:rFonts w:eastAsia="Calibri"/>
        </w:rPr>
        <w:t xml:space="preserve"> željezničkog sustava u Republici Hrvatskoj</w:t>
      </w:r>
      <w:r w:rsidRPr="0043602F">
        <w:rPr>
          <w:rFonts w:eastAsia="Calibri"/>
        </w:rPr>
        <w:t>.</w:t>
      </w:r>
      <w:r>
        <w:rPr>
          <w:rFonts w:eastAsia="Calibri"/>
        </w:rPr>
        <w:t xml:space="preserve"> S</w:t>
      </w:r>
      <w:r w:rsidRPr="004334DD">
        <w:rPr>
          <w:rFonts w:eastAsia="Calibri"/>
        </w:rPr>
        <w:t>ukladno propis</w:t>
      </w:r>
      <w:r>
        <w:rPr>
          <w:rFonts w:eastAsia="Calibri"/>
        </w:rPr>
        <w:t>ima</w:t>
      </w:r>
      <w:r w:rsidRPr="004334DD">
        <w:rPr>
          <w:rFonts w:eastAsia="Calibri"/>
        </w:rPr>
        <w:t xml:space="preserve"> kojim</w:t>
      </w:r>
      <w:r>
        <w:rPr>
          <w:rFonts w:eastAsia="Calibri"/>
        </w:rPr>
        <w:t>a</w:t>
      </w:r>
      <w:r w:rsidRPr="004334DD">
        <w:rPr>
          <w:rFonts w:eastAsia="Calibri"/>
        </w:rPr>
        <w:t xml:space="preserve"> je uređen sustav strateškog planiranja i upravljanja razvojem Republike Hrvatske</w:t>
      </w:r>
      <w:r>
        <w:rPr>
          <w:rFonts w:eastAsia="Calibri"/>
        </w:rPr>
        <w:t>,</w:t>
      </w:r>
      <w:r w:rsidRPr="004334DD">
        <w:rPr>
          <w:rFonts w:eastAsia="Calibri"/>
        </w:rPr>
        <w:t xml:space="preserve"> </w:t>
      </w:r>
      <w:r>
        <w:rPr>
          <w:rFonts w:eastAsia="Calibri"/>
        </w:rPr>
        <w:t xml:space="preserve">Strategija je izrađena </w:t>
      </w:r>
      <w:r w:rsidRPr="004334DD">
        <w:rPr>
          <w:rFonts w:eastAsia="Calibri"/>
        </w:rPr>
        <w:t>kao dugoročn</w:t>
      </w:r>
      <w:r>
        <w:rPr>
          <w:rFonts w:eastAsia="Calibri"/>
        </w:rPr>
        <w:t>i akt strateškog planiranja od nacionalnog značaja,</w:t>
      </w:r>
      <w:r w:rsidRPr="004334DD">
        <w:rPr>
          <w:rFonts w:eastAsia="Calibri"/>
        </w:rPr>
        <w:t xml:space="preserve"> </w:t>
      </w:r>
      <w:r>
        <w:rPr>
          <w:rFonts w:eastAsia="Calibri"/>
        </w:rPr>
        <w:t xml:space="preserve">koji se </w:t>
      </w:r>
      <w:r w:rsidRPr="004334DD">
        <w:rPr>
          <w:rFonts w:eastAsia="Calibri"/>
        </w:rPr>
        <w:t xml:space="preserve">donosi </w:t>
      </w:r>
      <w:r w:rsidR="00A32AFB">
        <w:rPr>
          <w:rFonts w:eastAsia="Calibri"/>
        </w:rPr>
        <w:t xml:space="preserve">za razdoblje </w:t>
      </w:r>
      <w:r>
        <w:rPr>
          <w:rFonts w:eastAsia="Calibri"/>
        </w:rPr>
        <w:t xml:space="preserve">do 2032. godine, uz </w:t>
      </w:r>
      <w:r w:rsidRPr="004334DD">
        <w:rPr>
          <w:rFonts w:eastAsia="Calibri"/>
        </w:rPr>
        <w:t>u</w:t>
      </w:r>
      <w:r>
        <w:rPr>
          <w:rFonts w:eastAsia="Calibri"/>
        </w:rPr>
        <w:t xml:space="preserve">važavanje razvojnih smjerova i </w:t>
      </w:r>
      <w:r w:rsidRPr="004334DD">
        <w:rPr>
          <w:rFonts w:eastAsia="Calibri"/>
        </w:rPr>
        <w:t>stratešk</w:t>
      </w:r>
      <w:r>
        <w:rPr>
          <w:rFonts w:eastAsia="Calibri"/>
        </w:rPr>
        <w:t>ih</w:t>
      </w:r>
      <w:r w:rsidRPr="004334DD">
        <w:rPr>
          <w:rFonts w:eastAsia="Calibri"/>
        </w:rPr>
        <w:t xml:space="preserve"> ciljev</w:t>
      </w:r>
      <w:r>
        <w:rPr>
          <w:rFonts w:eastAsia="Calibri"/>
        </w:rPr>
        <w:t>a</w:t>
      </w:r>
      <w:r w:rsidRPr="004334DD">
        <w:rPr>
          <w:rFonts w:eastAsia="Calibri"/>
        </w:rPr>
        <w:t xml:space="preserve"> utvrđen</w:t>
      </w:r>
      <w:r>
        <w:rPr>
          <w:rFonts w:eastAsia="Calibri"/>
        </w:rPr>
        <w:t>ih</w:t>
      </w:r>
      <w:r w:rsidRPr="004334DD">
        <w:rPr>
          <w:rFonts w:eastAsia="Calibri"/>
        </w:rPr>
        <w:t xml:space="preserve"> Nacionalnom razvojnom strategijom Republike Hrvatske za razdoblje do 2030. godine.</w:t>
      </w:r>
    </w:p>
    <w:p w14:paraId="2F091B31" w14:textId="77777777" w:rsidR="00A540AF" w:rsidRDefault="00A540AF" w:rsidP="00A540AF">
      <w:pPr>
        <w:jc w:val="both"/>
        <w:rPr>
          <w:rFonts w:eastAsia="Calibri"/>
        </w:rPr>
      </w:pPr>
    </w:p>
    <w:p w14:paraId="0B64E452" w14:textId="77777777" w:rsidR="00A540AF" w:rsidRPr="0043602F" w:rsidRDefault="00A540AF" w:rsidP="00A540AF">
      <w:pPr>
        <w:jc w:val="both"/>
        <w:rPr>
          <w:rFonts w:eastAsia="Calibri"/>
        </w:rPr>
      </w:pPr>
      <w:r>
        <w:rPr>
          <w:rFonts w:eastAsia="Calibri"/>
        </w:rPr>
        <w:t>Temeljem Strategije,</w:t>
      </w:r>
      <w:r w:rsidRPr="0043602F">
        <w:rPr>
          <w:rFonts w:eastAsia="Calibri"/>
        </w:rPr>
        <w:t xml:space="preserve"> Vlada Republike Hrvatske, na prijedlog Ministarstva mora, prometa i infrastrukture, radi </w:t>
      </w:r>
      <w:r>
        <w:rPr>
          <w:rFonts w:eastAsia="Calibri"/>
        </w:rPr>
        <w:t xml:space="preserve">učinkovitog </w:t>
      </w:r>
      <w:r w:rsidRPr="0043602F">
        <w:rPr>
          <w:rFonts w:eastAsia="Calibri"/>
        </w:rPr>
        <w:t>planiranja razvoja željezničkog sustava</w:t>
      </w:r>
      <w:r>
        <w:rPr>
          <w:rFonts w:eastAsia="Calibri"/>
        </w:rPr>
        <w:t xml:space="preserve"> u srednjoročnom razdoblju</w:t>
      </w:r>
      <w:r w:rsidRPr="0043602F">
        <w:rPr>
          <w:rFonts w:eastAsia="Calibri"/>
        </w:rPr>
        <w:t>, donosi Nacionalni plan razvoja željezničke infrastrukture</w:t>
      </w:r>
      <w:r w:rsidR="00A32AFB">
        <w:rPr>
          <w:rFonts w:eastAsia="Calibri"/>
        </w:rPr>
        <w:t xml:space="preserve"> za razdoblje do </w:t>
      </w:r>
      <w:r>
        <w:rPr>
          <w:rFonts w:eastAsia="Calibri"/>
        </w:rPr>
        <w:t>2030.</w:t>
      </w:r>
      <w:r w:rsidR="00A32AFB">
        <w:rPr>
          <w:rFonts w:eastAsia="Calibri"/>
        </w:rPr>
        <w:t xml:space="preserve"> godine</w:t>
      </w:r>
      <w:r w:rsidRPr="0043602F">
        <w:rPr>
          <w:rFonts w:eastAsia="Calibri"/>
        </w:rPr>
        <w:t xml:space="preserve"> i Nacionalni plan upravljanja željezničkom infrastrukturom i razvoja usluga željezničkog prijevoza</w:t>
      </w:r>
      <w:r w:rsidR="00A32AFB">
        <w:rPr>
          <w:rFonts w:eastAsia="Calibri"/>
        </w:rPr>
        <w:t xml:space="preserve"> za razdoblje do </w:t>
      </w:r>
      <w:r>
        <w:rPr>
          <w:rFonts w:eastAsia="Calibri"/>
        </w:rPr>
        <w:t>2030</w:t>
      </w:r>
      <w:r w:rsidRPr="0043602F">
        <w:rPr>
          <w:rFonts w:eastAsia="Calibri"/>
        </w:rPr>
        <w:t>.</w:t>
      </w:r>
      <w:r w:rsidR="00A32AFB">
        <w:rPr>
          <w:rFonts w:eastAsia="Calibri"/>
        </w:rPr>
        <w:t xml:space="preserve"> godine.</w:t>
      </w:r>
      <w:r w:rsidRPr="0043602F">
        <w:rPr>
          <w:rFonts w:eastAsia="Calibri"/>
        </w:rPr>
        <w:t xml:space="preserve"> Navedenim nacionalnim planovima odredit će se projekti i aktivnosti te izvori financiranja potrebni za provedbu </w:t>
      </w:r>
      <w:r>
        <w:rPr>
          <w:rFonts w:eastAsia="Calibri"/>
        </w:rPr>
        <w:t>ciljeva utvrđenih S</w:t>
      </w:r>
      <w:r w:rsidRPr="0043602F">
        <w:rPr>
          <w:rFonts w:eastAsia="Calibri"/>
        </w:rPr>
        <w:t>trategij</w:t>
      </w:r>
      <w:r>
        <w:rPr>
          <w:rFonts w:eastAsia="Calibri"/>
        </w:rPr>
        <w:t>om</w:t>
      </w:r>
      <w:r w:rsidRPr="0043602F">
        <w:rPr>
          <w:rFonts w:eastAsia="Calibri"/>
        </w:rPr>
        <w:t xml:space="preserve">. </w:t>
      </w:r>
    </w:p>
    <w:p w14:paraId="3897D623" w14:textId="77777777" w:rsidR="00A540AF" w:rsidRDefault="00A540AF" w:rsidP="00A540AF">
      <w:pPr>
        <w:jc w:val="both"/>
        <w:rPr>
          <w:rFonts w:eastAsia="Calibri"/>
        </w:rPr>
      </w:pPr>
    </w:p>
    <w:p w14:paraId="33FEC6F8" w14:textId="77777777" w:rsidR="00A540AF" w:rsidRDefault="00687D6E" w:rsidP="00A540AF">
      <w:pPr>
        <w:jc w:val="both"/>
        <w:rPr>
          <w:rFonts w:eastAsia="Calibri"/>
        </w:rPr>
      </w:pPr>
      <w:r>
        <w:rPr>
          <w:rFonts w:eastAsia="Calibri"/>
        </w:rPr>
        <w:t>Procijenjeno je kako S</w:t>
      </w:r>
      <w:r w:rsidR="00A540AF" w:rsidRPr="0043602F">
        <w:rPr>
          <w:rFonts w:eastAsia="Calibri"/>
        </w:rPr>
        <w:t>trategij</w:t>
      </w:r>
      <w:r w:rsidR="00A540AF">
        <w:rPr>
          <w:rFonts w:eastAsia="Calibri"/>
        </w:rPr>
        <w:t>a</w:t>
      </w:r>
      <w:r w:rsidR="00A540AF" w:rsidRPr="0043602F">
        <w:rPr>
          <w:rFonts w:eastAsia="Calibri"/>
        </w:rPr>
        <w:t xml:space="preserve"> neće imati izravni fiskalni učinak </w:t>
      </w:r>
      <w:r w:rsidR="00A540AF">
        <w:rPr>
          <w:rFonts w:eastAsia="Calibri"/>
        </w:rPr>
        <w:t xml:space="preserve">na Državni proračun, </w:t>
      </w:r>
      <w:r w:rsidR="00A540AF" w:rsidRPr="0043602F">
        <w:rPr>
          <w:rFonts w:eastAsia="Calibri"/>
        </w:rPr>
        <w:t xml:space="preserve">obzirom da </w:t>
      </w:r>
      <w:r w:rsidR="00A540AF">
        <w:rPr>
          <w:rFonts w:eastAsia="Calibri"/>
        </w:rPr>
        <w:t xml:space="preserve">je </w:t>
      </w:r>
      <w:r w:rsidR="00A540AF" w:rsidRPr="0043602F">
        <w:rPr>
          <w:rFonts w:eastAsia="Calibri"/>
        </w:rPr>
        <w:t>ist</w:t>
      </w:r>
      <w:r w:rsidR="00A540AF">
        <w:rPr>
          <w:rFonts w:eastAsia="Calibri"/>
        </w:rPr>
        <w:t>om</w:t>
      </w:r>
      <w:r w:rsidR="00A540AF" w:rsidRPr="0043602F">
        <w:rPr>
          <w:rFonts w:eastAsia="Calibri"/>
        </w:rPr>
        <w:t xml:space="preserve"> </w:t>
      </w:r>
      <w:r w:rsidR="00A540AF">
        <w:rPr>
          <w:rFonts w:eastAsia="Calibri"/>
        </w:rPr>
        <w:t>utvrđen</w:t>
      </w:r>
      <w:r w:rsidR="00A540AF" w:rsidRPr="0043602F">
        <w:rPr>
          <w:rFonts w:eastAsia="Calibri"/>
        </w:rPr>
        <w:t xml:space="preserve"> strateški okvir </w:t>
      </w:r>
      <w:r w:rsidR="00A540AF">
        <w:rPr>
          <w:rFonts w:eastAsia="Calibri"/>
        </w:rPr>
        <w:t>razvoja željezničkog sustava u dugoročnom razdoblju, dok će okvir za provedbu Strategije biti razrađen u povezanim srednjoročnim aktima strateškog planiranja</w:t>
      </w:r>
      <w:r w:rsidR="00A540AF" w:rsidRPr="006331E6">
        <w:rPr>
          <w:rFonts w:eastAsia="Calibri"/>
        </w:rPr>
        <w:t>.</w:t>
      </w:r>
    </w:p>
    <w:p w14:paraId="5023F228" w14:textId="77777777" w:rsidR="00A540AF" w:rsidRDefault="00A540AF" w:rsidP="00A540AF">
      <w:pPr>
        <w:spacing w:before="240"/>
        <w:jc w:val="both"/>
        <w:rPr>
          <w:color w:val="000000"/>
        </w:rPr>
      </w:pPr>
      <w:r w:rsidRPr="000B2AF9">
        <w:rPr>
          <w:rFonts w:eastAsia="Calibri"/>
        </w:rPr>
        <w:t>U skladu s prethodno navedenim, predlaže se Vladi Republike Hrvatske donošenje ove</w:t>
      </w:r>
      <w:r>
        <w:rPr>
          <w:rFonts w:eastAsia="Calibri"/>
        </w:rPr>
        <w:t xml:space="preserve"> Odluke.</w:t>
      </w:r>
    </w:p>
    <w:p w14:paraId="0E0DCF1D" w14:textId="77777777" w:rsidR="00A540AF" w:rsidRDefault="00A540AF" w:rsidP="00A540AF">
      <w:pPr>
        <w:rPr>
          <w:color w:val="000000"/>
        </w:rPr>
      </w:pPr>
    </w:p>
    <w:p w14:paraId="42CF3233" w14:textId="77777777" w:rsidR="00A540AF" w:rsidRDefault="00A540AF" w:rsidP="00A540AF">
      <w:pPr>
        <w:rPr>
          <w:color w:val="000000"/>
        </w:rPr>
      </w:pPr>
    </w:p>
    <w:p w14:paraId="21C59DE1" w14:textId="77777777" w:rsidR="00A540AF" w:rsidRDefault="00A540AF" w:rsidP="00A540AF">
      <w:pPr>
        <w:rPr>
          <w:color w:val="000000"/>
        </w:rPr>
      </w:pPr>
    </w:p>
    <w:p w14:paraId="354681ED" w14:textId="77777777" w:rsidR="00A540AF" w:rsidRDefault="00A540AF" w:rsidP="00A540AF">
      <w:pPr>
        <w:rPr>
          <w:color w:val="000000"/>
        </w:rPr>
      </w:pPr>
    </w:p>
    <w:p w14:paraId="6CF33BFC" w14:textId="77777777" w:rsidR="00A742B2" w:rsidRPr="007152B2" w:rsidRDefault="00676FB5" w:rsidP="00A540AF">
      <w:pPr>
        <w:spacing w:after="225"/>
        <w:jc w:val="right"/>
        <w:textAlignment w:val="baseline"/>
      </w:pPr>
    </w:p>
    <w:sectPr w:rsidR="00A742B2" w:rsidRPr="007152B2" w:rsidSect="00A742B2">
      <w:headerReference w:type="default" r:id="rId12"/>
      <w:pgSz w:w="11906" w:h="16838" w:code="9"/>
      <w:pgMar w:top="1134" w:right="1418" w:bottom="1247" w:left="1418" w:header="709" w:footer="709" w:gutter="0"/>
      <w:paperSrc w:firs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F9A99" w14:textId="77777777" w:rsidR="0028328F" w:rsidRDefault="0028328F">
      <w:r>
        <w:separator/>
      </w:r>
    </w:p>
  </w:endnote>
  <w:endnote w:type="continuationSeparator" w:id="0">
    <w:p w14:paraId="6DAAAACF" w14:textId="77777777" w:rsidR="0028328F" w:rsidRDefault="0028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olinaBar-B39-25F2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BEDF8" w14:textId="77777777" w:rsidR="0028328F" w:rsidRDefault="0028328F">
      <w:r>
        <w:separator/>
      </w:r>
    </w:p>
  </w:footnote>
  <w:footnote w:type="continuationSeparator" w:id="0">
    <w:p w14:paraId="28750362" w14:textId="77777777" w:rsidR="0028328F" w:rsidRDefault="0028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D6801" w14:textId="77777777" w:rsidR="00A742B2" w:rsidRDefault="00BD5704" w:rsidP="00A742B2">
    <w:pPr>
      <w:pStyle w:val="Header"/>
      <w:tabs>
        <w:tab w:val="clear" w:pos="9072"/>
        <w:tab w:val="left" w:pos="3780"/>
        <w:tab w:val="right" w:pos="9070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99"/>
    <w:rsid w:val="000F3751"/>
    <w:rsid w:val="00194202"/>
    <w:rsid w:val="0028328F"/>
    <w:rsid w:val="002B590A"/>
    <w:rsid w:val="0033594B"/>
    <w:rsid w:val="003634F8"/>
    <w:rsid w:val="00375A56"/>
    <w:rsid w:val="003B2351"/>
    <w:rsid w:val="00437B9A"/>
    <w:rsid w:val="00514FEF"/>
    <w:rsid w:val="00670C7C"/>
    <w:rsid w:val="00676FB5"/>
    <w:rsid w:val="00684D5F"/>
    <w:rsid w:val="00687D6E"/>
    <w:rsid w:val="00784405"/>
    <w:rsid w:val="007C0670"/>
    <w:rsid w:val="008E71FA"/>
    <w:rsid w:val="008E7802"/>
    <w:rsid w:val="009D7B93"/>
    <w:rsid w:val="00A06F6C"/>
    <w:rsid w:val="00A32AFB"/>
    <w:rsid w:val="00A51DF5"/>
    <w:rsid w:val="00A540AF"/>
    <w:rsid w:val="00A94C64"/>
    <w:rsid w:val="00AB5F4C"/>
    <w:rsid w:val="00B451B2"/>
    <w:rsid w:val="00B67D80"/>
    <w:rsid w:val="00B80689"/>
    <w:rsid w:val="00BB492B"/>
    <w:rsid w:val="00BD5704"/>
    <w:rsid w:val="00BE2899"/>
    <w:rsid w:val="00D215B7"/>
    <w:rsid w:val="00D41A3B"/>
    <w:rsid w:val="00DD1F06"/>
    <w:rsid w:val="00E270E7"/>
    <w:rsid w:val="00E87D27"/>
    <w:rsid w:val="00F44341"/>
    <w:rsid w:val="00F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C77B6"/>
  <w15:docId w15:val="{6C95F087-275B-4D51-A0A7-A6EE0408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742B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742B2"/>
    <w:rPr>
      <w:sz w:val="24"/>
      <w:szCs w:val="24"/>
    </w:rPr>
  </w:style>
  <w:style w:type="paragraph" w:styleId="Footer">
    <w:name w:val="footer"/>
    <w:basedOn w:val="Normal"/>
    <w:link w:val="FooterChar"/>
    <w:rsid w:val="00A742B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742B2"/>
    <w:rPr>
      <w:sz w:val="24"/>
      <w:szCs w:val="24"/>
    </w:rPr>
  </w:style>
  <w:style w:type="paragraph" w:styleId="BalloonText">
    <w:name w:val="Balloon Text"/>
    <w:basedOn w:val="Normal"/>
    <w:link w:val="BalloonTextChar"/>
    <w:rsid w:val="00F443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44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AZJMDCZ6QSYZ-1849078857-21976</_dlc_DocId>
    <_dlc_DocIdUrl xmlns="a494813a-d0d8-4dad-94cb-0d196f36ba15">
      <Url>https://ekoordinacije.vlada.hr/koordinacija-gospodarstvo/_layouts/15/DocIdRedir.aspx?ID=AZJMDCZ6QSYZ-1849078857-21976</Url>
      <Description>AZJMDCZ6QSYZ-1849078857-21976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2F5C4-FE63-4A4B-936C-24E2D75C9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37182-8E26-4924-B02C-C7E8EA467EF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44DEC7-6F70-4048-8952-22584DC81D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10213D3-89CB-45C7-B7B1-89BDD2952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B974C8-43EE-4453-8119-31CD1622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Domagoj Čamber</dc:creator>
  <cp:lastModifiedBy>Ines Uglešić</cp:lastModifiedBy>
  <cp:revision>6</cp:revision>
  <cp:lastPrinted>2022-10-19T07:53:00Z</cp:lastPrinted>
  <dcterms:created xsi:type="dcterms:W3CDTF">2022-10-19T08:04:00Z</dcterms:created>
  <dcterms:modified xsi:type="dcterms:W3CDTF">2022-11-02T08:39:00Z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e659d2a8-2889-4a77-92be-5287ca7df9e5</vt:lpwstr>
  </property>
</Properties>
</file>