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E3C8" w14:textId="77777777" w:rsidR="00C26932" w:rsidRDefault="00C26932" w:rsidP="00C26932">
      <w:pPr>
        <w:jc w:val="center"/>
      </w:pPr>
      <w:r>
        <w:rPr>
          <w:noProof/>
        </w:rPr>
        <w:drawing>
          <wp:inline distT="0" distB="0" distL="0" distR="0" wp14:anchorId="6934B872" wp14:editId="2694E3A7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415CB" w14:textId="77777777" w:rsidR="00C26932" w:rsidRDefault="00C26932" w:rsidP="00C26932">
      <w:pPr>
        <w:spacing w:before="60" w:after="1680"/>
        <w:jc w:val="center"/>
      </w:pPr>
      <w:r>
        <w:t>VLADA REPUBLIKE HRVATSKE</w:t>
      </w:r>
    </w:p>
    <w:p w14:paraId="3694F80B" w14:textId="77777777" w:rsidR="00C26932" w:rsidRDefault="00C26932" w:rsidP="00C26932"/>
    <w:p w14:paraId="0BFC9C09" w14:textId="019BD8CE" w:rsidR="00C26932" w:rsidRDefault="00E909F2" w:rsidP="00C26932">
      <w:pPr>
        <w:spacing w:after="2400"/>
        <w:jc w:val="right"/>
      </w:pPr>
      <w:r>
        <w:t>Zagreb, 12</w:t>
      </w:r>
      <w:bookmarkStart w:id="0" w:name="_GoBack"/>
      <w:bookmarkEnd w:id="0"/>
      <w:r w:rsidR="00E81904">
        <w:t xml:space="preserve">. svibnja </w:t>
      </w:r>
      <w:r w:rsidR="00C26932">
        <w:t>202</w:t>
      </w:r>
      <w:r w:rsidR="00A0485C">
        <w:t>2</w:t>
      </w:r>
      <w:r w:rsidR="00C26932">
        <w:t>.</w:t>
      </w:r>
    </w:p>
    <w:p w14:paraId="74FAB72B" w14:textId="77777777" w:rsidR="00C26932" w:rsidRDefault="00C26932" w:rsidP="00C26932">
      <w:pPr>
        <w:spacing w:line="360" w:lineRule="auto"/>
      </w:pPr>
      <w:r>
        <w:t>__________________________________________________________________________</w:t>
      </w:r>
    </w:p>
    <w:p w14:paraId="5151EBC6" w14:textId="77777777" w:rsidR="00C26932" w:rsidRDefault="00C26932" w:rsidP="00C26932">
      <w:pPr>
        <w:spacing w:line="360" w:lineRule="auto"/>
        <w:rPr>
          <w:b/>
          <w:smallCaps/>
        </w:rPr>
        <w:sectPr w:rsidR="00C26932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26932" w14:paraId="43CEBAC6" w14:textId="77777777" w:rsidTr="00C26932">
        <w:tc>
          <w:tcPr>
            <w:tcW w:w="1951" w:type="dxa"/>
            <w:hideMark/>
          </w:tcPr>
          <w:p w14:paraId="4ECEEE36" w14:textId="77777777" w:rsidR="00C26932" w:rsidRDefault="00C26932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b/>
                <w:smallCaps/>
                <w:lang w:eastAsia="en-US"/>
              </w:rPr>
              <w:t>Predlagatelj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73955AF1" w14:textId="6CDD1D24" w:rsidR="00C26932" w:rsidRDefault="00F055EF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Ministarstvo financija</w:t>
            </w:r>
          </w:p>
        </w:tc>
      </w:tr>
    </w:tbl>
    <w:p w14:paraId="6CE01512" w14:textId="77777777" w:rsidR="00C26932" w:rsidRDefault="00C26932" w:rsidP="00C26932">
      <w:pPr>
        <w:spacing w:line="360" w:lineRule="auto"/>
      </w:pPr>
      <w:r>
        <w:t>__________________________________________________________________________</w:t>
      </w:r>
    </w:p>
    <w:p w14:paraId="6B9536E4" w14:textId="77777777" w:rsidR="00C26932" w:rsidRDefault="00C26932" w:rsidP="00C26932">
      <w:pPr>
        <w:spacing w:line="360" w:lineRule="auto"/>
        <w:rPr>
          <w:b/>
          <w:smallCaps/>
        </w:rPr>
        <w:sectPr w:rsidR="00C26932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26932" w14:paraId="6DE963E5" w14:textId="77777777" w:rsidTr="00C26932">
        <w:tc>
          <w:tcPr>
            <w:tcW w:w="1951" w:type="dxa"/>
            <w:hideMark/>
          </w:tcPr>
          <w:p w14:paraId="5667C3A2" w14:textId="77777777" w:rsidR="00C26932" w:rsidRDefault="00C26932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b/>
                <w:smallCaps/>
                <w:lang w:eastAsia="en-US"/>
              </w:rPr>
              <w:t>Predmet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65C912F6" w14:textId="63F747D3" w:rsidR="00C26932" w:rsidRDefault="00F055EF" w:rsidP="00F055E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Akcijski plan</w:t>
            </w:r>
            <w:r w:rsidRPr="00F055EF">
              <w:rPr>
                <w:lang w:eastAsia="en-US"/>
              </w:rPr>
              <w:t xml:space="preserve"> za jačanje učinkovitosti hrvatskog sustava sprječavanja pranja novca i financiranja terorizm</w:t>
            </w:r>
            <w:r>
              <w:rPr>
                <w:lang w:eastAsia="en-US"/>
              </w:rPr>
              <w:t>a</w:t>
            </w:r>
          </w:p>
        </w:tc>
      </w:tr>
    </w:tbl>
    <w:p w14:paraId="2DAA440D" w14:textId="77777777" w:rsidR="00C26932" w:rsidRDefault="00C26932" w:rsidP="00C26932">
      <w:pPr>
        <w:tabs>
          <w:tab w:val="left" w:pos="1843"/>
        </w:tabs>
        <w:spacing w:line="360" w:lineRule="auto"/>
        <w:ind w:left="1843" w:hanging="1843"/>
      </w:pPr>
      <w:r>
        <w:t>__________________________________________________________________________</w:t>
      </w:r>
    </w:p>
    <w:p w14:paraId="780163F0" w14:textId="77777777" w:rsidR="00C26932" w:rsidRDefault="00C26932" w:rsidP="00C26932"/>
    <w:p w14:paraId="6863D762" w14:textId="77777777" w:rsidR="00C26932" w:rsidRDefault="00C26932" w:rsidP="00C26932"/>
    <w:p w14:paraId="594ACBB4" w14:textId="77777777" w:rsidR="00C26932" w:rsidRDefault="00C26932" w:rsidP="00C26932"/>
    <w:p w14:paraId="257590F5" w14:textId="77777777" w:rsidR="00C26932" w:rsidRDefault="00C26932" w:rsidP="00C26932"/>
    <w:p w14:paraId="2A46D54E" w14:textId="77777777" w:rsidR="00C26932" w:rsidRDefault="00C26932" w:rsidP="00C26932"/>
    <w:p w14:paraId="7A71E40E" w14:textId="77777777" w:rsidR="00C26932" w:rsidRDefault="00C26932" w:rsidP="00C26932"/>
    <w:p w14:paraId="7E46DB4D" w14:textId="77777777" w:rsidR="00C26932" w:rsidRDefault="00C26932" w:rsidP="00C26932"/>
    <w:p w14:paraId="7F5820AA" w14:textId="77777777" w:rsidR="00C26932" w:rsidRDefault="00C26932" w:rsidP="00C26932"/>
    <w:p w14:paraId="72EA1829" w14:textId="77777777" w:rsidR="00C26932" w:rsidRDefault="00C26932" w:rsidP="00C26932"/>
    <w:p w14:paraId="19ADC738" w14:textId="77777777" w:rsidR="00C26932" w:rsidRDefault="00C26932" w:rsidP="00C26932"/>
    <w:p w14:paraId="3AC07F98" w14:textId="2A93ECB8" w:rsidR="00C26932" w:rsidRDefault="00C26932" w:rsidP="00C26932"/>
    <w:p w14:paraId="07ED2757" w14:textId="77777777" w:rsidR="007F1F75" w:rsidRDefault="007F1F75" w:rsidP="00C26932"/>
    <w:p w14:paraId="05EBB24E" w14:textId="77777777" w:rsidR="00C26932" w:rsidRDefault="00C26932" w:rsidP="00C26932"/>
    <w:p w14:paraId="3E2403C6" w14:textId="77777777" w:rsidR="00C26932" w:rsidRDefault="00C26932" w:rsidP="00C26932"/>
    <w:p w14:paraId="06B18791" w14:textId="77777777" w:rsidR="00C26932" w:rsidRDefault="00C26932" w:rsidP="00C26932"/>
    <w:p w14:paraId="63AA87D6" w14:textId="77777777" w:rsidR="00C26932" w:rsidRDefault="00C26932" w:rsidP="00C26932"/>
    <w:p w14:paraId="736CB26E" w14:textId="77777777" w:rsidR="007F1F75" w:rsidRPr="001B06CB" w:rsidRDefault="007F1F75" w:rsidP="007F1F75">
      <w:pPr>
        <w:tabs>
          <w:tab w:val="center" w:pos="4536"/>
          <w:tab w:val="right" w:pos="9072"/>
        </w:tabs>
      </w:pPr>
    </w:p>
    <w:p w14:paraId="2C06215F" w14:textId="77777777" w:rsidR="007F1F75" w:rsidRPr="0034471A" w:rsidRDefault="007F1F75" w:rsidP="007F1F75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jc w:val="center"/>
        <w:rPr>
          <w:color w:val="404040" w:themeColor="text1" w:themeTint="BF"/>
          <w:spacing w:val="20"/>
          <w:sz w:val="20"/>
        </w:rPr>
      </w:pPr>
      <w:r w:rsidRPr="001B06CB">
        <w:rPr>
          <w:color w:val="404040" w:themeColor="text1" w:themeTint="BF"/>
          <w:spacing w:val="20"/>
          <w:sz w:val="20"/>
        </w:rPr>
        <w:t>Banski dvori | Trg sv. Marka 2 | 10000 Zagreb | tel. 01 4569 222 | vlada.gov.h</w:t>
      </w:r>
      <w:r>
        <w:rPr>
          <w:color w:val="404040" w:themeColor="text1" w:themeTint="BF"/>
          <w:spacing w:val="20"/>
          <w:sz w:val="20"/>
        </w:rPr>
        <w:t>r</w:t>
      </w:r>
    </w:p>
    <w:p w14:paraId="023AF349" w14:textId="77777777" w:rsidR="007F1F75" w:rsidRPr="00CD7706" w:rsidRDefault="007F1F75" w:rsidP="007F1F75">
      <w:pPr>
        <w:ind w:right="23"/>
        <w:jc w:val="both"/>
      </w:pPr>
    </w:p>
    <w:p w14:paraId="202A057F" w14:textId="77777777" w:rsidR="00C26932" w:rsidRDefault="00C26932" w:rsidP="00C26932">
      <w:pPr>
        <w:sectPr w:rsidR="00C26932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07218A12" w14:textId="1F54EE56" w:rsidR="00C26932" w:rsidRPr="007F1F75" w:rsidRDefault="00C26932" w:rsidP="00C26932">
      <w:pPr>
        <w:jc w:val="right"/>
        <w:rPr>
          <w:b/>
          <w:bCs/>
        </w:rPr>
      </w:pPr>
      <w:r w:rsidRPr="007F1F75">
        <w:rPr>
          <w:b/>
          <w:bCs/>
        </w:rPr>
        <w:lastRenderedPageBreak/>
        <w:t>P</w:t>
      </w:r>
      <w:r w:rsidR="007F1F75" w:rsidRPr="007F1F75">
        <w:rPr>
          <w:b/>
          <w:bCs/>
        </w:rPr>
        <w:t>rijedlog</w:t>
      </w:r>
    </w:p>
    <w:p w14:paraId="2CBA791B" w14:textId="77777777" w:rsidR="00C26932" w:rsidRDefault="00C26932" w:rsidP="00C26932">
      <w:pPr>
        <w:jc w:val="right"/>
        <w:rPr>
          <w:i/>
        </w:rPr>
      </w:pPr>
    </w:p>
    <w:p w14:paraId="08C4CCDD" w14:textId="77777777" w:rsidR="00C26932" w:rsidRDefault="00C26932" w:rsidP="00C26932"/>
    <w:p w14:paraId="00F3FBC7" w14:textId="6D24A0B1" w:rsidR="00C26932" w:rsidRDefault="00C26932" w:rsidP="00C26932">
      <w:pPr>
        <w:ind w:firstLine="426"/>
        <w:jc w:val="both"/>
      </w:pPr>
      <w:r>
        <w:t>Na temelju članka 31. stavka 3. Zakona o Vladi Republike Hrvatske („Narodne novine“, brojevi 150/11, 119/14, 93/16 i 116/18), Vlada Republike Hrvatske je na sjednici održanoj _________ 202</w:t>
      </w:r>
      <w:r w:rsidR="006B60C7">
        <w:t>2</w:t>
      </w:r>
      <w:r>
        <w:t>. godine donijela</w:t>
      </w:r>
    </w:p>
    <w:p w14:paraId="2B0EAB54" w14:textId="77777777" w:rsidR="00C26932" w:rsidRDefault="00C26932" w:rsidP="00C26932">
      <w:pPr>
        <w:jc w:val="both"/>
      </w:pPr>
    </w:p>
    <w:p w14:paraId="6CCF8B88" w14:textId="77777777" w:rsidR="00C26932" w:rsidRDefault="00C26932" w:rsidP="00C26932">
      <w:pPr>
        <w:spacing w:line="276" w:lineRule="auto"/>
      </w:pPr>
    </w:p>
    <w:p w14:paraId="7128D9D3" w14:textId="77777777" w:rsidR="00C26932" w:rsidRDefault="00C26932" w:rsidP="00C26932">
      <w:pPr>
        <w:spacing w:line="276" w:lineRule="auto"/>
      </w:pPr>
    </w:p>
    <w:p w14:paraId="47396E29" w14:textId="77777777" w:rsidR="00C26932" w:rsidRDefault="00C26932" w:rsidP="00C26932">
      <w:pPr>
        <w:spacing w:line="276" w:lineRule="auto"/>
        <w:jc w:val="center"/>
        <w:rPr>
          <w:b/>
        </w:rPr>
      </w:pPr>
      <w:r>
        <w:rPr>
          <w:b/>
        </w:rPr>
        <w:t>Z A K LJ U Č A K</w:t>
      </w:r>
    </w:p>
    <w:p w14:paraId="0143F423" w14:textId="77777777" w:rsidR="00C26932" w:rsidRDefault="00C26932" w:rsidP="00C26932">
      <w:pPr>
        <w:spacing w:line="276" w:lineRule="auto"/>
        <w:jc w:val="center"/>
        <w:rPr>
          <w:b/>
        </w:rPr>
      </w:pPr>
    </w:p>
    <w:p w14:paraId="0F52797C" w14:textId="666D6840" w:rsidR="00F055EF" w:rsidRDefault="00313815" w:rsidP="00313815">
      <w:pPr>
        <w:pStyle w:val="box468029"/>
        <w:shd w:val="clear" w:color="auto" w:fill="FFFFFF"/>
        <w:spacing w:before="120" w:beforeAutospacing="0" w:after="48" w:afterAutospacing="0"/>
        <w:ind w:firstLine="567"/>
        <w:jc w:val="both"/>
        <w:textAlignment w:val="baseline"/>
        <w:rPr>
          <w:color w:val="231F20"/>
        </w:rPr>
      </w:pPr>
      <w:r>
        <w:rPr>
          <w:color w:val="231F20"/>
        </w:rPr>
        <w:t>1.</w:t>
      </w:r>
      <w:r>
        <w:rPr>
          <w:color w:val="231F20"/>
        </w:rPr>
        <w:tab/>
      </w:r>
      <w:r w:rsidR="00F055EF">
        <w:rPr>
          <w:color w:val="231F20"/>
        </w:rPr>
        <w:t xml:space="preserve">Prihvaća se Akcijski plan </w:t>
      </w:r>
      <w:r w:rsidR="00F055EF" w:rsidRPr="00B65FB2">
        <w:rPr>
          <w:color w:val="231F20"/>
        </w:rPr>
        <w:t>za jačanje učinkovitosti hrvatskog sustava sprječavanja pranja novca i financiranja terorizma</w:t>
      </w:r>
      <w:r w:rsidR="00F055EF">
        <w:rPr>
          <w:color w:val="231F20"/>
        </w:rPr>
        <w:t xml:space="preserve"> (u daljnjem tekstu: Akcijski plan), u tekstu koji je sastavni dio ovoga Zaključka.</w:t>
      </w:r>
    </w:p>
    <w:p w14:paraId="6A0B3055" w14:textId="77777777" w:rsidR="00F055EF" w:rsidRDefault="00F055EF" w:rsidP="00F055EF">
      <w:pPr>
        <w:pStyle w:val="box468029"/>
        <w:shd w:val="clear" w:color="auto" w:fill="FFFFFF"/>
        <w:spacing w:before="12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2. Zadužuju se nositelji/sunositelji provedbe mjera i aktivnosti iz Akcijskog plana da u predviđenim rokovima provedu mjere i aktivnosti iz svoje nadležnosti.</w:t>
      </w:r>
    </w:p>
    <w:p w14:paraId="4A4A261D" w14:textId="77777777" w:rsidR="00F055EF" w:rsidRDefault="00F055EF" w:rsidP="00F055EF">
      <w:pPr>
        <w:pStyle w:val="box468029"/>
        <w:shd w:val="clear" w:color="auto" w:fill="FFFFFF"/>
        <w:spacing w:before="12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3. Zadužuje se Ministarstvo financija da</w:t>
      </w:r>
      <w:r w:rsidRPr="00B65FB2">
        <w:rPr>
          <w:color w:val="231F20"/>
        </w:rPr>
        <w:t xml:space="preserve"> zajedno s Uredom predsjednika Vlade Republike Hrvatske prati provedbu mjera i aktivnosti iz Akcijskog plana.</w:t>
      </w:r>
    </w:p>
    <w:p w14:paraId="19A4FC55" w14:textId="77777777" w:rsidR="00F055EF" w:rsidRDefault="00F055EF" w:rsidP="00F055EF">
      <w:pPr>
        <w:pStyle w:val="box468029"/>
        <w:shd w:val="clear" w:color="auto" w:fill="FFFFFF"/>
        <w:spacing w:before="12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4. Zadužuju se </w:t>
      </w:r>
      <w:r w:rsidRPr="00B65FB2">
        <w:rPr>
          <w:color w:val="231F20"/>
        </w:rPr>
        <w:t>tijela državne uprave i druga tijela određena nositeljima</w:t>
      </w:r>
      <w:r>
        <w:rPr>
          <w:color w:val="231F20"/>
        </w:rPr>
        <w:t>/sunositeljima</w:t>
      </w:r>
      <w:r w:rsidRPr="00B65FB2">
        <w:rPr>
          <w:color w:val="231F20"/>
        </w:rPr>
        <w:t xml:space="preserve"> za provedbu pojedinih mjera i aktivnosti iz Akcijskog plana </w:t>
      </w:r>
      <w:r>
        <w:rPr>
          <w:color w:val="231F20"/>
        </w:rPr>
        <w:t xml:space="preserve">da </w:t>
      </w:r>
      <w:r w:rsidRPr="00B65FB2">
        <w:rPr>
          <w:color w:val="231F20"/>
        </w:rPr>
        <w:t>jednom mjesečno izvještavaju Vladu Republike Hrvatske o provedenim mjerama i aktivnostima iz Akcijskog plana</w:t>
      </w:r>
      <w:r>
        <w:rPr>
          <w:color w:val="231F20"/>
        </w:rPr>
        <w:t>.</w:t>
      </w:r>
    </w:p>
    <w:p w14:paraId="6970FB87" w14:textId="77777777" w:rsidR="00F055EF" w:rsidRDefault="00F055EF" w:rsidP="00F055EF">
      <w:pPr>
        <w:pStyle w:val="box468029"/>
        <w:shd w:val="clear" w:color="auto" w:fill="FFFFFF"/>
        <w:spacing w:before="12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5. Z</w:t>
      </w:r>
      <w:r w:rsidRPr="00B65FB2">
        <w:rPr>
          <w:color w:val="231F20"/>
        </w:rPr>
        <w:t xml:space="preserve">adužuje se </w:t>
      </w:r>
      <w:r>
        <w:rPr>
          <w:color w:val="231F20"/>
        </w:rPr>
        <w:t xml:space="preserve">Ministarstvo financija, </w:t>
      </w:r>
      <w:r w:rsidRPr="00B65FB2">
        <w:rPr>
          <w:color w:val="231F20"/>
        </w:rPr>
        <w:t>Ured za sprječavanje pranja novca</w:t>
      </w:r>
      <w:r w:rsidRPr="00B65FB2">
        <w:t xml:space="preserve"> </w:t>
      </w:r>
      <w:r>
        <w:rPr>
          <w:color w:val="231F20"/>
        </w:rPr>
        <w:t>z</w:t>
      </w:r>
      <w:r w:rsidRPr="00B65FB2">
        <w:rPr>
          <w:color w:val="231F20"/>
        </w:rPr>
        <w:t xml:space="preserve">a operativnu koordinaciju provedbe </w:t>
      </w:r>
      <w:r w:rsidRPr="00085FA9">
        <w:rPr>
          <w:color w:val="231F20"/>
        </w:rPr>
        <w:t>mjera i aktivnosti iz Akcijskog plana</w:t>
      </w:r>
      <w:r w:rsidRPr="00B65FB2">
        <w:rPr>
          <w:color w:val="231F20"/>
        </w:rPr>
        <w:t>.</w:t>
      </w:r>
    </w:p>
    <w:p w14:paraId="2E6E6228" w14:textId="77777777" w:rsidR="00F055EF" w:rsidRDefault="00F055EF" w:rsidP="00F055EF">
      <w:pPr>
        <w:pStyle w:val="box468029"/>
        <w:shd w:val="clear" w:color="auto" w:fill="FFFFFF"/>
        <w:spacing w:before="12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5. Zadužuje se Ministarstvo financija da o ovom Zaključku izvijesti tijela državne uprave i druga tijela određena nositeljima/sunositeljima za provedbu pojedinih mjera i aktivnosti iz Akcijskog plana.</w:t>
      </w:r>
    </w:p>
    <w:p w14:paraId="5BB85286" w14:textId="77777777" w:rsidR="00F055EF" w:rsidRDefault="00F055EF" w:rsidP="00F055EF">
      <w:pPr>
        <w:pStyle w:val="box468029"/>
        <w:shd w:val="clear" w:color="auto" w:fill="FFFFFF"/>
        <w:spacing w:before="12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6. Ovaj Zaključak objavit će se u »Narodnim novinama«. </w:t>
      </w:r>
    </w:p>
    <w:p w14:paraId="60CC8E14" w14:textId="77777777" w:rsidR="00C26932" w:rsidRDefault="00C26932" w:rsidP="00C26932">
      <w:pPr>
        <w:ind w:left="360"/>
        <w:contextualSpacing/>
        <w:jc w:val="both"/>
      </w:pPr>
    </w:p>
    <w:p w14:paraId="22738F8D" w14:textId="77777777" w:rsidR="00C26932" w:rsidRDefault="00C26932" w:rsidP="00C26932">
      <w:pPr>
        <w:spacing w:line="276" w:lineRule="auto"/>
        <w:ind w:left="360"/>
        <w:contextualSpacing/>
        <w:jc w:val="both"/>
      </w:pPr>
    </w:p>
    <w:p w14:paraId="1C9026EE" w14:textId="2311B0EF" w:rsidR="00C26932" w:rsidRDefault="00C26932" w:rsidP="00C26932">
      <w:pPr>
        <w:spacing w:line="276" w:lineRule="auto"/>
        <w:jc w:val="both"/>
      </w:pPr>
    </w:p>
    <w:p w14:paraId="61322784" w14:textId="77777777" w:rsidR="00C26932" w:rsidRDefault="00C26932" w:rsidP="00C26932">
      <w:pPr>
        <w:spacing w:line="276" w:lineRule="auto"/>
        <w:jc w:val="both"/>
      </w:pPr>
      <w:r>
        <w:t>KLASA:</w:t>
      </w:r>
      <w:r>
        <w:tab/>
      </w:r>
    </w:p>
    <w:p w14:paraId="5C22CF7D" w14:textId="77777777" w:rsidR="00C26932" w:rsidRDefault="00C26932" w:rsidP="00C26932">
      <w:pPr>
        <w:spacing w:line="276" w:lineRule="auto"/>
      </w:pPr>
      <w:r>
        <w:t>URBROJ:</w:t>
      </w:r>
      <w:r>
        <w:tab/>
      </w:r>
    </w:p>
    <w:p w14:paraId="3E7ED4C3" w14:textId="77777777" w:rsidR="00C26932" w:rsidRDefault="00C26932" w:rsidP="00C26932">
      <w:pPr>
        <w:spacing w:line="276" w:lineRule="auto"/>
      </w:pPr>
    </w:p>
    <w:p w14:paraId="22B51B54" w14:textId="17769214" w:rsidR="00C26932" w:rsidRDefault="00C26932" w:rsidP="00C26932">
      <w:pPr>
        <w:spacing w:line="276" w:lineRule="auto"/>
      </w:pPr>
      <w:r>
        <w:t>Zagreb, ______ 202</w:t>
      </w:r>
      <w:r w:rsidR="00713741">
        <w:t>2</w:t>
      </w:r>
      <w:r w:rsidR="00E81904">
        <w:t xml:space="preserve">. </w:t>
      </w:r>
    </w:p>
    <w:p w14:paraId="18E61ADE" w14:textId="77777777" w:rsidR="00C26932" w:rsidRDefault="00C26932" w:rsidP="00C26932">
      <w:pPr>
        <w:spacing w:line="276" w:lineRule="auto"/>
      </w:pPr>
    </w:p>
    <w:p w14:paraId="4EA176B6" w14:textId="77777777" w:rsidR="00C26932" w:rsidRDefault="00C26932" w:rsidP="00C26932">
      <w:pPr>
        <w:spacing w:line="276" w:lineRule="auto"/>
      </w:pPr>
    </w:p>
    <w:p w14:paraId="23540992" w14:textId="77777777" w:rsidR="00C26932" w:rsidRDefault="00C26932" w:rsidP="00C26932">
      <w:pPr>
        <w:spacing w:line="276" w:lineRule="auto"/>
        <w:ind w:left="4248"/>
        <w:jc w:val="center"/>
      </w:pPr>
      <w:r>
        <w:t>PREDSJEDNIK</w:t>
      </w:r>
    </w:p>
    <w:p w14:paraId="69FFFDA1" w14:textId="77777777" w:rsidR="00C26932" w:rsidRDefault="00C26932" w:rsidP="00C26932">
      <w:pPr>
        <w:spacing w:line="276" w:lineRule="auto"/>
        <w:ind w:left="4248"/>
        <w:jc w:val="center"/>
      </w:pPr>
    </w:p>
    <w:p w14:paraId="1CB1F04B" w14:textId="77777777" w:rsidR="00C26932" w:rsidRDefault="00C26932" w:rsidP="00C26932">
      <w:pPr>
        <w:spacing w:line="276" w:lineRule="auto"/>
        <w:ind w:left="4248"/>
        <w:jc w:val="center"/>
      </w:pPr>
    </w:p>
    <w:p w14:paraId="715C28D0" w14:textId="77777777" w:rsidR="00C26932" w:rsidRDefault="00C26932" w:rsidP="00C26932">
      <w:pPr>
        <w:spacing w:line="276" w:lineRule="auto"/>
        <w:ind w:left="4248"/>
        <w:jc w:val="center"/>
      </w:pPr>
      <w:r>
        <w:lastRenderedPageBreak/>
        <w:t>mr. sc. Andrej Plenković</w:t>
      </w:r>
    </w:p>
    <w:p w14:paraId="77969CE9" w14:textId="77777777" w:rsidR="00C26932" w:rsidRDefault="00C26932" w:rsidP="00C26932">
      <w:pPr>
        <w:spacing w:line="276" w:lineRule="auto"/>
      </w:pPr>
    </w:p>
    <w:p w14:paraId="680E7F78" w14:textId="77777777" w:rsidR="00C26932" w:rsidRDefault="00C26932" w:rsidP="00C26932">
      <w:pPr>
        <w:spacing w:line="276" w:lineRule="auto"/>
        <w:ind w:left="4248" w:firstLine="708"/>
      </w:pPr>
    </w:p>
    <w:p w14:paraId="0F3CFCEF" w14:textId="77777777" w:rsidR="00C26932" w:rsidRDefault="00C26932" w:rsidP="00C26932">
      <w:pPr>
        <w:jc w:val="center"/>
        <w:rPr>
          <w:b/>
        </w:rPr>
      </w:pPr>
    </w:p>
    <w:p w14:paraId="2E6F6078" w14:textId="51BD3A15" w:rsidR="00C26932" w:rsidRDefault="00C26932" w:rsidP="00C26932">
      <w:pPr>
        <w:rPr>
          <w:b/>
        </w:rPr>
      </w:pPr>
    </w:p>
    <w:p w14:paraId="01D499F0" w14:textId="386301E4" w:rsidR="00C26932" w:rsidRDefault="00C26932" w:rsidP="00C26932">
      <w:pPr>
        <w:jc w:val="center"/>
        <w:rPr>
          <w:b/>
        </w:rPr>
      </w:pPr>
      <w:r>
        <w:rPr>
          <w:b/>
        </w:rPr>
        <w:t>OBRAZLOŽENJE</w:t>
      </w:r>
    </w:p>
    <w:p w14:paraId="54224475" w14:textId="77777777" w:rsidR="00C26932" w:rsidRDefault="00C26932" w:rsidP="00C26932"/>
    <w:p w14:paraId="44DE1B85" w14:textId="0D7B0A85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A</w:t>
      </w:r>
      <w:r w:rsidRPr="008845D9">
        <w:rPr>
          <w:color w:val="231F20"/>
        </w:rPr>
        <w:t>kcijski plan za jačanje učinkovitosti hrvatskog sustava sprječavanja pranja novca i financiranja terorizma</w:t>
      </w:r>
      <w:r>
        <w:rPr>
          <w:color w:val="231F20"/>
        </w:rPr>
        <w:t xml:space="preserve"> (dalje u tekstu: Akcijski plan) sadrži mjere i aktivnosti čiji je cilj daljnje jačanje</w:t>
      </w:r>
      <w:r w:rsidRPr="008845D9">
        <w:t xml:space="preserve"> </w:t>
      </w:r>
      <w:r w:rsidRPr="008845D9">
        <w:rPr>
          <w:color w:val="231F20"/>
        </w:rPr>
        <w:t>hrvatskog sustava sprječavanja pranja novca i financiranja terorizma</w:t>
      </w:r>
      <w:r>
        <w:rPr>
          <w:color w:val="231F20"/>
        </w:rPr>
        <w:t>, a kojima će se ujedno ispuniti i preporučene mjere Odbora stručnjaka Vijeća Europe MONEYVAL (dalje u tekstu: MONEYVAL) iz Izvješća o 5. krugu evaluacije Republike Hrvatske,</w:t>
      </w:r>
      <w:r w:rsidRPr="008845D9">
        <w:t xml:space="preserve"> </w:t>
      </w:r>
      <w:r>
        <w:t xml:space="preserve">usvojenom na </w:t>
      </w:r>
      <w:r w:rsidRPr="008845D9">
        <w:rPr>
          <w:color w:val="231F20"/>
        </w:rPr>
        <w:t>62. plenarnoj sjednici MONEYVAL-a održanoj u prosincu 2021. godine.</w:t>
      </w:r>
    </w:p>
    <w:p w14:paraId="17D285A0" w14:textId="77777777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025D0978" w14:textId="77777777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Aktivnosti koje Republika Hrvatska već poduzima su </w:t>
      </w:r>
      <w:r w:rsidRPr="004C6AE6">
        <w:rPr>
          <w:color w:val="231F20"/>
        </w:rPr>
        <w:t>vidljiv</w:t>
      </w:r>
      <w:r>
        <w:rPr>
          <w:color w:val="231F20"/>
        </w:rPr>
        <w:t>e</w:t>
      </w:r>
      <w:r w:rsidRPr="004C6AE6">
        <w:rPr>
          <w:color w:val="231F20"/>
        </w:rPr>
        <w:t xml:space="preserve"> i iz brojnih strateških dokumenata koji obvezuju provedu mjera </w:t>
      </w:r>
      <w:r>
        <w:rPr>
          <w:color w:val="231F20"/>
        </w:rPr>
        <w:t xml:space="preserve">iz područja </w:t>
      </w:r>
      <w:r w:rsidRPr="004C6AE6">
        <w:rPr>
          <w:color w:val="231F20"/>
        </w:rPr>
        <w:t>sprječavanja pranja novca i financiranja terorizma: Akcijski plan Republike Hrvatske za pridruživanje Europskom tečajnom mehanizmu II i bankovnoj uniji, Akcijski plan Republike Hrvatske za sudjelovanje u Europskom tečajnom mehanizmu II, Nacionalni plan zamjene hrvatske kune eurom, Nacionalni plan oporavka i otpornosti, Str</w:t>
      </w:r>
      <w:r>
        <w:rPr>
          <w:color w:val="231F20"/>
        </w:rPr>
        <w:t>ategija sprječavanja korupcije te</w:t>
      </w:r>
      <w:r w:rsidRPr="004C6AE6">
        <w:rPr>
          <w:color w:val="231F20"/>
        </w:rPr>
        <w:t xml:space="preserve"> Nacionaln</w:t>
      </w:r>
      <w:r>
        <w:rPr>
          <w:color w:val="231F20"/>
        </w:rPr>
        <w:t>a strategija</w:t>
      </w:r>
      <w:r w:rsidRPr="004C6AE6">
        <w:rPr>
          <w:color w:val="231F20"/>
        </w:rPr>
        <w:t xml:space="preserve"> za prevenciju i suzbijanje terorizma.</w:t>
      </w:r>
      <w:r>
        <w:rPr>
          <w:color w:val="231F20"/>
        </w:rPr>
        <w:t xml:space="preserve"> </w:t>
      </w:r>
      <w:r w:rsidRPr="004C6AE6">
        <w:rPr>
          <w:color w:val="231F20"/>
        </w:rPr>
        <w:t>Slijedom izvješća MONEYVAL-a</w:t>
      </w:r>
      <w:r>
        <w:rPr>
          <w:color w:val="231F20"/>
        </w:rPr>
        <w:t>,</w:t>
      </w:r>
      <w:r w:rsidRPr="004C6AE6">
        <w:rPr>
          <w:color w:val="231F20"/>
        </w:rPr>
        <w:t xml:space="preserve"> </w:t>
      </w:r>
      <w:r>
        <w:rPr>
          <w:color w:val="231F20"/>
        </w:rPr>
        <w:t xml:space="preserve">Republika </w:t>
      </w:r>
      <w:r w:rsidRPr="004C6AE6">
        <w:rPr>
          <w:color w:val="231F20"/>
        </w:rPr>
        <w:t xml:space="preserve">Hrvatska će nastaviti s </w:t>
      </w:r>
      <w:r>
        <w:rPr>
          <w:color w:val="231F20"/>
        </w:rPr>
        <w:t>jačanjem</w:t>
      </w:r>
      <w:r w:rsidRPr="004C6AE6">
        <w:rPr>
          <w:color w:val="231F20"/>
        </w:rPr>
        <w:t xml:space="preserve"> sustava sprječavanja pranja novca i financiranja terorizma kako na operativnoj tako i na političkoj razini</w:t>
      </w:r>
      <w:r w:rsidRPr="002722AE">
        <w:rPr>
          <w:color w:val="231F20"/>
        </w:rPr>
        <w:t xml:space="preserve"> </w:t>
      </w:r>
      <w:r>
        <w:rPr>
          <w:color w:val="231F20"/>
        </w:rPr>
        <w:t xml:space="preserve">imenovanjem državnih dužnosnika i visokorangiranih predstavnika nadležnih tijela u rad </w:t>
      </w:r>
      <w:r w:rsidRPr="00DF66CA">
        <w:rPr>
          <w:i/>
          <w:color w:val="231F20"/>
        </w:rPr>
        <w:t>Međuinstitucionalne radne skupine za sprječavanje pranja novca i financiranja terorizma</w:t>
      </w:r>
      <w:r w:rsidRPr="00472D97">
        <w:rPr>
          <w:color w:val="231F20"/>
        </w:rPr>
        <w:t xml:space="preserve"> </w:t>
      </w:r>
      <w:r>
        <w:rPr>
          <w:color w:val="231F20"/>
        </w:rPr>
        <w:t xml:space="preserve">(dalje u tekstu: MIRS). </w:t>
      </w:r>
    </w:p>
    <w:p w14:paraId="4640F8DD" w14:textId="77777777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5981FF0" w14:textId="77777777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Aktivnosti</w:t>
      </w:r>
      <w:r w:rsidRPr="008845D9">
        <w:rPr>
          <w:color w:val="231F20"/>
        </w:rPr>
        <w:t xml:space="preserve"> sprječavanja pranja novca i financiranja terorizma u Republici Hrvatskoj </w:t>
      </w:r>
      <w:r>
        <w:rPr>
          <w:color w:val="231F20"/>
        </w:rPr>
        <w:t>provode svi članovi MIRS-a:</w:t>
      </w:r>
      <w:r w:rsidRPr="008845D9">
        <w:rPr>
          <w:color w:val="231F20"/>
        </w:rPr>
        <w:t xml:space="preserve"> Ured za sprječavanje pranja novca, Financijski inspektorat, Porezna uprava, Carinska uprava, Državno odvjetništvo RH, Ministarstvo unutarnjih poslova, Hrvatska narodna banka, Hrvatska agencija za nadzor financijskih usluga, Sigurnosno-obavještajna agencija, </w:t>
      </w:r>
      <w:r>
        <w:rPr>
          <w:color w:val="231F20"/>
        </w:rPr>
        <w:t>Ministarstvo pravosuđa i uprave i</w:t>
      </w:r>
      <w:r w:rsidRPr="008845D9">
        <w:rPr>
          <w:color w:val="231F20"/>
        </w:rPr>
        <w:t xml:space="preserve"> Ministarst</w:t>
      </w:r>
      <w:r>
        <w:rPr>
          <w:color w:val="231F20"/>
        </w:rPr>
        <w:t>vo vanjskih i europskih poslova</w:t>
      </w:r>
      <w:r w:rsidRPr="008845D9">
        <w:rPr>
          <w:color w:val="231F20"/>
        </w:rPr>
        <w:t>.</w:t>
      </w:r>
    </w:p>
    <w:p w14:paraId="3F75A385" w14:textId="444F3794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D6F8871" w14:textId="2E140980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Ovim Akcijskim planom definiraju se mjere i aktivnosti svih dionika sustava, rok za provedbu mjera, pokazatelji uspješnosti te izvor financiranja. Akcijski plan osigurava provedbu politike sprječavanja pranja novca, financiranja terorizma i proliferacije, uključujući redovito ažuriranje procjene rizika od pranja novca i financiranja terorizma u Republici Hrvatskoj. </w:t>
      </w:r>
    </w:p>
    <w:p w14:paraId="7274F09A" w14:textId="636A1583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0B3F2834" w14:textId="0FC50BF0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Ministarstvo financija zajedno s Uredom predsjednika Vlade Republike Hrvatske </w:t>
      </w:r>
      <w:r w:rsidR="00E507E4">
        <w:rPr>
          <w:color w:val="231F20"/>
        </w:rPr>
        <w:t>pratit će</w:t>
      </w:r>
      <w:r>
        <w:rPr>
          <w:color w:val="231F20"/>
        </w:rPr>
        <w:t xml:space="preserve"> provedbu mjera i aktivnosti </w:t>
      </w:r>
      <w:r w:rsidRPr="0061173A">
        <w:rPr>
          <w:color w:val="231F20"/>
        </w:rPr>
        <w:t>iz Akcijskog plana</w:t>
      </w:r>
      <w:r>
        <w:rPr>
          <w:color w:val="231F20"/>
        </w:rPr>
        <w:t>.</w:t>
      </w:r>
    </w:p>
    <w:p w14:paraId="10F607DE" w14:textId="77777777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4998933C" w14:textId="2FEDE34B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T</w:t>
      </w:r>
      <w:r w:rsidRPr="00A3703D">
        <w:rPr>
          <w:color w:val="231F20"/>
        </w:rPr>
        <w:t xml:space="preserve">ijela državne uprave i druga tijela </w:t>
      </w:r>
      <w:r>
        <w:rPr>
          <w:color w:val="231F20"/>
        </w:rPr>
        <w:t>koja su nositelji/sunositelji</w:t>
      </w:r>
      <w:r w:rsidRPr="0061173A">
        <w:rPr>
          <w:color w:val="231F20"/>
        </w:rPr>
        <w:t xml:space="preserve"> </w:t>
      </w:r>
      <w:r w:rsidRPr="00FE1422">
        <w:rPr>
          <w:color w:val="231F20"/>
        </w:rPr>
        <w:t xml:space="preserve">provedbe mjera i aktivnosti </w:t>
      </w:r>
      <w:r>
        <w:rPr>
          <w:color w:val="231F20"/>
        </w:rPr>
        <w:t xml:space="preserve">jednom mjesečno </w:t>
      </w:r>
      <w:r w:rsidR="00E507E4">
        <w:rPr>
          <w:color w:val="231F20"/>
        </w:rPr>
        <w:t>će izvještavati</w:t>
      </w:r>
      <w:r>
        <w:rPr>
          <w:color w:val="231F20"/>
        </w:rPr>
        <w:t xml:space="preserve"> Vladu Republike Hrvatske o provedenim mjerama i aktivnostima iz Akcijskog plana.</w:t>
      </w:r>
    </w:p>
    <w:p w14:paraId="7D55387D" w14:textId="77777777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49650F7E" w14:textId="38C8F37E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Za operativnu koordinaciju provedbe Akcijskog plana </w:t>
      </w:r>
      <w:r w:rsidR="00E507E4">
        <w:rPr>
          <w:color w:val="231F20"/>
        </w:rPr>
        <w:t>bit će zaduženo</w:t>
      </w:r>
      <w:r>
        <w:rPr>
          <w:color w:val="231F20"/>
        </w:rPr>
        <w:t xml:space="preserve"> Ministarstvo financija, Ured</w:t>
      </w:r>
      <w:r w:rsidRPr="0061173A">
        <w:rPr>
          <w:color w:val="231F20"/>
        </w:rPr>
        <w:t xml:space="preserve"> za sprječavanje pranja novca</w:t>
      </w:r>
      <w:r>
        <w:rPr>
          <w:color w:val="231F20"/>
        </w:rPr>
        <w:t>.</w:t>
      </w:r>
    </w:p>
    <w:p w14:paraId="451026D2" w14:textId="77777777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17AE1C29" w14:textId="77777777" w:rsidR="00F055EF" w:rsidRDefault="00F055EF" w:rsidP="00F055EF">
      <w:pPr>
        <w:pStyle w:val="box468029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B73751">
        <w:rPr>
          <w:color w:val="231F20"/>
        </w:rPr>
        <w:t>Ispunjenjem</w:t>
      </w:r>
      <w:r>
        <w:rPr>
          <w:color w:val="231F20"/>
        </w:rPr>
        <w:t xml:space="preserve"> mjera i aktivnosti iz Akcijskog plana, Republika Hrvatska osigurat će daljnje usklađivanje zakonodavnog okvira s preporukama Grupe za financijsku akciju (eng. </w:t>
      </w:r>
      <w:r w:rsidRPr="00DF66CA">
        <w:rPr>
          <w:i/>
          <w:color w:val="231F20"/>
        </w:rPr>
        <w:t>Financial Action Task Force</w:t>
      </w:r>
      <w:r>
        <w:rPr>
          <w:color w:val="231F20"/>
        </w:rPr>
        <w:t xml:space="preserve"> – FATF) koje predstavljaju međunarodne standarde u borbi protiv pranja novca te financiranja terorizma i proliferacije. Također, Republika Hrvatska će pojačati </w:t>
      </w:r>
      <w:r w:rsidRPr="00934FC9">
        <w:rPr>
          <w:color w:val="231F20"/>
        </w:rPr>
        <w:t xml:space="preserve">svoje napore i kapacitete za </w:t>
      </w:r>
      <w:r>
        <w:rPr>
          <w:color w:val="231F20"/>
        </w:rPr>
        <w:t xml:space="preserve">što </w:t>
      </w:r>
      <w:r w:rsidRPr="00934FC9">
        <w:rPr>
          <w:color w:val="231F20"/>
        </w:rPr>
        <w:t>učinkovitij</w:t>
      </w:r>
      <w:r>
        <w:rPr>
          <w:color w:val="231F20"/>
        </w:rPr>
        <w:t>e suzbijanje pranja novca,</w:t>
      </w:r>
      <w:r w:rsidRPr="00934FC9">
        <w:rPr>
          <w:color w:val="231F20"/>
        </w:rPr>
        <w:t xml:space="preserve"> financiranja terorizma</w:t>
      </w:r>
      <w:r>
        <w:rPr>
          <w:color w:val="231F20"/>
        </w:rPr>
        <w:t xml:space="preserve"> i proliferacije.</w:t>
      </w:r>
    </w:p>
    <w:p w14:paraId="268220E5" w14:textId="77777777" w:rsidR="00A95C52" w:rsidRDefault="00A95C52"/>
    <w:sectPr w:rsidR="00A9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36C46"/>
    <w:multiLevelType w:val="hybridMultilevel"/>
    <w:tmpl w:val="D15429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FE224F"/>
    <w:multiLevelType w:val="hybridMultilevel"/>
    <w:tmpl w:val="ADF2BA1A"/>
    <w:lvl w:ilvl="0" w:tplc="CF14D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32"/>
    <w:rsid w:val="00041300"/>
    <w:rsid w:val="00062C3C"/>
    <w:rsid w:val="000B625D"/>
    <w:rsid w:val="000C5E72"/>
    <w:rsid w:val="00103E55"/>
    <w:rsid w:val="00104D41"/>
    <w:rsid w:val="002671EF"/>
    <w:rsid w:val="002B4EF2"/>
    <w:rsid w:val="00302765"/>
    <w:rsid w:val="00313815"/>
    <w:rsid w:val="00321788"/>
    <w:rsid w:val="00376758"/>
    <w:rsid w:val="00613A3E"/>
    <w:rsid w:val="006B60C7"/>
    <w:rsid w:val="00713741"/>
    <w:rsid w:val="0071728A"/>
    <w:rsid w:val="00744627"/>
    <w:rsid w:val="007618AA"/>
    <w:rsid w:val="007E17E7"/>
    <w:rsid w:val="007F1F75"/>
    <w:rsid w:val="0093515D"/>
    <w:rsid w:val="00953F33"/>
    <w:rsid w:val="009C6897"/>
    <w:rsid w:val="009D0637"/>
    <w:rsid w:val="009F2E1C"/>
    <w:rsid w:val="00A0485C"/>
    <w:rsid w:val="00A5601F"/>
    <w:rsid w:val="00A7729B"/>
    <w:rsid w:val="00A855EA"/>
    <w:rsid w:val="00A95C52"/>
    <w:rsid w:val="00AE75C3"/>
    <w:rsid w:val="00B37225"/>
    <w:rsid w:val="00B53841"/>
    <w:rsid w:val="00C26932"/>
    <w:rsid w:val="00C51785"/>
    <w:rsid w:val="00C86B01"/>
    <w:rsid w:val="00D0636E"/>
    <w:rsid w:val="00D763EA"/>
    <w:rsid w:val="00E23B2F"/>
    <w:rsid w:val="00E26C51"/>
    <w:rsid w:val="00E507E4"/>
    <w:rsid w:val="00E81904"/>
    <w:rsid w:val="00E909F2"/>
    <w:rsid w:val="00EA4710"/>
    <w:rsid w:val="00F055EF"/>
    <w:rsid w:val="00FE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AA77"/>
  <w15:chartTrackingRefBased/>
  <w15:docId w15:val="{95CD5699-8B36-4F11-8388-DB195E66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932"/>
    <w:pPr>
      <w:ind w:left="720"/>
      <w:contextualSpacing/>
    </w:pPr>
  </w:style>
  <w:style w:type="table" w:styleId="TableGrid">
    <w:name w:val="Table Grid"/>
    <w:basedOn w:val="TableNormal"/>
    <w:rsid w:val="00C2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8029">
    <w:name w:val="box_468029"/>
    <w:basedOn w:val="Normal"/>
    <w:rsid w:val="00F055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df3054-5d10-4492-8ff3-1c5d60fd0f9e">AZJMDCZ6QSYZ-1849078857-16225</_dlc_DocId>
    <_dlc_DocIdUrl xmlns="e1df3054-5d10-4492-8ff3-1c5d60fd0f9e">
      <Url>https://ekoordinacije.vlada.hr/koordinacija-gospodarstvo/_layouts/15/DocIdRedir.aspx?ID=AZJMDCZ6QSYZ-1849078857-16225</Url>
      <Description>AZJMDCZ6QSYZ-1849078857-16225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94E351-E9F8-48CA-8718-ED9FDA9579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B7728A-1D01-49C3-9552-7FD98F213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AF54E-7666-47CD-8A6E-B191F5155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8735D-1380-4632-BB46-8D47B87A822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Vatroslav Subotić</dc:creator>
  <cp:keywords/>
  <dc:description/>
  <cp:lastModifiedBy>Ines Uglešić</cp:lastModifiedBy>
  <cp:revision>6</cp:revision>
  <dcterms:created xsi:type="dcterms:W3CDTF">2022-05-09T11:32:00Z</dcterms:created>
  <dcterms:modified xsi:type="dcterms:W3CDTF">2022-05-11T10:53:00Z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  <property fmtid="{D5CDD505-2E9C-101B-9397-08002B2CF9AE}" pid="3" name="_dlc_DocIdItemGuid">
    <vt:lpwstr>b6e25088-cf59-4e0b-95aa-417be026ce62</vt:lpwstr>
  </property>
</Properties>
</file>