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57614" w14:textId="77777777" w:rsidR="00CD3EFA" w:rsidRPr="00C208B8" w:rsidRDefault="008F0DD4" w:rsidP="00196113">
      <w:pPr>
        <w:jc w:val="center"/>
      </w:pPr>
      <w:r>
        <w:rPr>
          <w:noProof/>
        </w:rPr>
        <w:drawing>
          <wp:inline distT="0" distB="0" distL="0" distR="0" wp14:anchorId="4A14E69D" wp14:editId="1EDFF21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66AF9815" w14:textId="77777777" w:rsidR="00CD3EFA" w:rsidRPr="0023763F" w:rsidRDefault="003A2F05" w:rsidP="00196113">
      <w:pPr>
        <w:jc w:val="center"/>
        <w:rPr>
          <w:sz w:val="28"/>
        </w:rPr>
      </w:pPr>
      <w:r w:rsidRPr="0023763F">
        <w:rPr>
          <w:sz w:val="28"/>
        </w:rPr>
        <w:t>VLADA REPUBLIKE HRVATSKE</w:t>
      </w:r>
    </w:p>
    <w:p w14:paraId="796A4E05" w14:textId="77777777" w:rsidR="00CD3EFA" w:rsidRDefault="00CD3EFA" w:rsidP="00196113"/>
    <w:p w14:paraId="7E400CCD" w14:textId="77777777" w:rsidR="00196113" w:rsidRDefault="00196113" w:rsidP="00196113"/>
    <w:p w14:paraId="7A37FF64" w14:textId="77777777" w:rsidR="00196113" w:rsidRDefault="00196113" w:rsidP="00196113"/>
    <w:p w14:paraId="514DA752" w14:textId="77777777" w:rsidR="00196113" w:rsidRDefault="00196113" w:rsidP="00196113"/>
    <w:p w14:paraId="2B18E8B4" w14:textId="77777777" w:rsidR="00196113" w:rsidRDefault="00196113" w:rsidP="00196113"/>
    <w:p w14:paraId="75A41B27" w14:textId="77777777" w:rsidR="00196113" w:rsidRDefault="00196113" w:rsidP="00196113"/>
    <w:p w14:paraId="33B2983C" w14:textId="77777777" w:rsidR="00196113" w:rsidRDefault="00196113" w:rsidP="00196113"/>
    <w:p w14:paraId="65871361" w14:textId="77777777" w:rsidR="00196113" w:rsidRDefault="00196113" w:rsidP="00196113"/>
    <w:p w14:paraId="09FF6B6D" w14:textId="0CA9C98C" w:rsidR="00C337A4" w:rsidRDefault="00C337A4" w:rsidP="00196113">
      <w:pPr>
        <w:jc w:val="right"/>
      </w:pPr>
      <w:r w:rsidRPr="003A2F05">
        <w:t>Zagreb</w:t>
      </w:r>
      <w:r w:rsidRPr="00AF5444">
        <w:t xml:space="preserve">, </w:t>
      </w:r>
      <w:r w:rsidR="00E73438">
        <w:t>1</w:t>
      </w:r>
      <w:r w:rsidR="00831E5C">
        <w:t>9</w:t>
      </w:r>
      <w:r w:rsidR="00A901F0" w:rsidRPr="00AF5444">
        <w:t xml:space="preserve">. </w:t>
      </w:r>
      <w:r w:rsidR="00831E5C">
        <w:t>svibnja</w:t>
      </w:r>
      <w:r w:rsidR="00B26FF5">
        <w:t xml:space="preserve"> </w:t>
      </w:r>
      <w:r w:rsidR="00A85A5E" w:rsidRPr="00AF5444">
        <w:t>202</w:t>
      </w:r>
      <w:r w:rsidR="00831E5C">
        <w:t>2</w:t>
      </w:r>
      <w:r w:rsidRPr="00AF5444">
        <w:t>.</w:t>
      </w:r>
    </w:p>
    <w:p w14:paraId="26C8D964" w14:textId="77777777" w:rsidR="00196113" w:rsidRDefault="00196113" w:rsidP="00196113">
      <w:pPr>
        <w:jc w:val="right"/>
      </w:pPr>
    </w:p>
    <w:p w14:paraId="02488BED" w14:textId="77777777" w:rsidR="00196113" w:rsidRDefault="00196113" w:rsidP="00196113">
      <w:pPr>
        <w:jc w:val="right"/>
      </w:pPr>
    </w:p>
    <w:p w14:paraId="342CB839" w14:textId="77777777" w:rsidR="00196113" w:rsidRDefault="00196113" w:rsidP="00196113">
      <w:pPr>
        <w:jc w:val="right"/>
      </w:pPr>
    </w:p>
    <w:p w14:paraId="32A4343C" w14:textId="77777777" w:rsidR="00196113" w:rsidRDefault="00196113" w:rsidP="00196113">
      <w:pPr>
        <w:jc w:val="right"/>
      </w:pPr>
    </w:p>
    <w:p w14:paraId="60749DE3" w14:textId="77777777" w:rsidR="00196113" w:rsidRDefault="00196113" w:rsidP="00196113">
      <w:pPr>
        <w:jc w:val="right"/>
      </w:pPr>
    </w:p>
    <w:p w14:paraId="74DA013A" w14:textId="77777777" w:rsidR="00196113" w:rsidRDefault="00196113" w:rsidP="00196113">
      <w:pPr>
        <w:jc w:val="right"/>
      </w:pPr>
    </w:p>
    <w:p w14:paraId="6A6E0042" w14:textId="77777777" w:rsidR="00196113" w:rsidRPr="003A2F05" w:rsidRDefault="00196113" w:rsidP="00196113">
      <w:pPr>
        <w:jc w:val="right"/>
      </w:pPr>
    </w:p>
    <w:p w14:paraId="190CDD4A" w14:textId="77777777" w:rsidR="000350D9" w:rsidRPr="002179F8" w:rsidRDefault="000350D9" w:rsidP="00196113">
      <w:r w:rsidRPr="002179F8">
        <w:t>__________________________________________________________________________</w:t>
      </w:r>
    </w:p>
    <w:p w14:paraId="1D921648" w14:textId="77777777" w:rsidR="000350D9" w:rsidRDefault="000350D9" w:rsidP="00196113">
      <w:pPr>
        <w:tabs>
          <w:tab w:val="right" w:pos="1701"/>
          <w:tab w:val="left" w:pos="1843"/>
        </w:tabs>
        <w:ind w:left="1843" w:hanging="1843"/>
        <w:rPr>
          <w:b/>
          <w:smallCaps/>
        </w:rPr>
        <w:sectPr w:rsidR="000350D9" w:rsidSect="000350D9">
          <w:footerReference w:type="default" r:id="rId12"/>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0FEE8267" w14:textId="77777777" w:rsidTr="000350D9">
        <w:tc>
          <w:tcPr>
            <w:tcW w:w="1951" w:type="dxa"/>
          </w:tcPr>
          <w:p w14:paraId="086D9D0E" w14:textId="77777777" w:rsidR="00986E0B" w:rsidRDefault="00986E0B" w:rsidP="00196113">
            <w:pPr>
              <w:jc w:val="right"/>
              <w:rPr>
                <w:b/>
                <w:smallCaps/>
              </w:rPr>
            </w:pPr>
          </w:p>
          <w:p w14:paraId="702ECDD7" w14:textId="77777777" w:rsidR="000350D9" w:rsidRDefault="000350D9" w:rsidP="00196113">
            <w:pPr>
              <w:jc w:val="right"/>
            </w:pPr>
            <w:r w:rsidRPr="003A2F05">
              <w:rPr>
                <w:b/>
                <w:smallCaps/>
              </w:rPr>
              <w:t>Predlagatelj</w:t>
            </w:r>
            <w:r w:rsidRPr="002179F8">
              <w:rPr>
                <w:b/>
              </w:rPr>
              <w:t>:</w:t>
            </w:r>
          </w:p>
        </w:tc>
        <w:tc>
          <w:tcPr>
            <w:tcW w:w="7229" w:type="dxa"/>
          </w:tcPr>
          <w:p w14:paraId="4E9BB44E" w14:textId="77777777" w:rsidR="00986E0B" w:rsidRDefault="00986E0B" w:rsidP="00462195">
            <w:pPr>
              <w:jc w:val="both"/>
            </w:pPr>
          </w:p>
          <w:p w14:paraId="4660F046" w14:textId="77777777" w:rsidR="000350D9" w:rsidRDefault="009C51F8" w:rsidP="00462195">
            <w:pPr>
              <w:jc w:val="both"/>
            </w:pPr>
            <w:r>
              <w:t xml:space="preserve">Ministarstvo </w:t>
            </w:r>
            <w:r w:rsidR="00A85A5E">
              <w:t xml:space="preserve">prostornoga uređenja, graditeljstva i </w:t>
            </w:r>
            <w:r>
              <w:t>državne imovine</w:t>
            </w:r>
          </w:p>
        </w:tc>
      </w:tr>
    </w:tbl>
    <w:p w14:paraId="4C0D5C25" w14:textId="77777777" w:rsidR="000350D9" w:rsidRPr="002179F8" w:rsidRDefault="000350D9" w:rsidP="00196113">
      <w:r w:rsidRPr="002179F8">
        <w:t>__________________________________________________________________________</w:t>
      </w:r>
    </w:p>
    <w:p w14:paraId="3794D028" w14:textId="77777777" w:rsidR="000350D9" w:rsidRDefault="000350D9" w:rsidP="00196113">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64C788EF" w14:textId="77777777" w:rsidTr="000350D9">
        <w:tc>
          <w:tcPr>
            <w:tcW w:w="1951" w:type="dxa"/>
          </w:tcPr>
          <w:p w14:paraId="63026AC4" w14:textId="77777777" w:rsidR="00986E0B" w:rsidRDefault="00986E0B" w:rsidP="00196113">
            <w:pPr>
              <w:jc w:val="right"/>
              <w:rPr>
                <w:b/>
                <w:smallCaps/>
              </w:rPr>
            </w:pPr>
          </w:p>
          <w:p w14:paraId="6EC6D20B" w14:textId="77777777" w:rsidR="000350D9" w:rsidRDefault="000350D9" w:rsidP="00196113">
            <w:pPr>
              <w:jc w:val="right"/>
            </w:pPr>
            <w:r>
              <w:rPr>
                <w:b/>
                <w:smallCaps/>
              </w:rPr>
              <w:t>Predmet</w:t>
            </w:r>
            <w:r w:rsidRPr="002179F8">
              <w:rPr>
                <w:b/>
              </w:rPr>
              <w:t>:</w:t>
            </w:r>
          </w:p>
        </w:tc>
        <w:tc>
          <w:tcPr>
            <w:tcW w:w="7229" w:type="dxa"/>
          </w:tcPr>
          <w:p w14:paraId="5C74DEF7" w14:textId="77777777" w:rsidR="000350D9" w:rsidRDefault="000350D9" w:rsidP="00462195">
            <w:pPr>
              <w:jc w:val="both"/>
            </w:pPr>
          </w:p>
          <w:p w14:paraId="0A9A8406" w14:textId="35DB3310" w:rsidR="009C51F8" w:rsidRDefault="009C51F8" w:rsidP="00831E5C">
            <w:pPr>
              <w:jc w:val="both"/>
            </w:pPr>
            <w:r>
              <w:t xml:space="preserve">Prijedlog </w:t>
            </w:r>
            <w:r w:rsidR="00831E5C">
              <w:t>o</w:t>
            </w:r>
            <w:r>
              <w:t>dluke o</w:t>
            </w:r>
            <w:r w:rsidRPr="009C51F8">
              <w:t xml:space="preserve"> darovanju nekretnina u k.o. </w:t>
            </w:r>
            <w:r w:rsidR="00B26FF5">
              <w:t>Vinkovci</w:t>
            </w:r>
            <w:r w:rsidRPr="009C51F8">
              <w:t xml:space="preserve"> </w:t>
            </w:r>
            <w:r w:rsidR="00B26FF5">
              <w:t>Gradu Vinkovcima,</w:t>
            </w:r>
            <w:r w:rsidRPr="009C51F8">
              <w:t xml:space="preserve"> u svrhu </w:t>
            </w:r>
            <w:r w:rsidR="00B26FF5">
              <w:t>proširenja</w:t>
            </w:r>
            <w:r w:rsidR="00A85A5E">
              <w:t xml:space="preserve"> </w:t>
            </w:r>
            <w:r w:rsidR="00B26FF5">
              <w:t>Industrijske zone „Zalužje“</w:t>
            </w:r>
            <w:r w:rsidR="00A85A5E">
              <w:t xml:space="preserve"> </w:t>
            </w:r>
          </w:p>
        </w:tc>
      </w:tr>
    </w:tbl>
    <w:p w14:paraId="55DD1FDA" w14:textId="77777777" w:rsidR="000350D9" w:rsidRPr="002179F8" w:rsidRDefault="000350D9" w:rsidP="00196113">
      <w:pPr>
        <w:tabs>
          <w:tab w:val="left" w:pos="1843"/>
        </w:tabs>
        <w:ind w:left="1843" w:hanging="1843"/>
      </w:pPr>
      <w:r w:rsidRPr="002179F8">
        <w:t>__________________________________________________________________________</w:t>
      </w:r>
    </w:p>
    <w:p w14:paraId="1F1BBEAC" w14:textId="77777777" w:rsidR="00CE78D1" w:rsidRDefault="00CE78D1" w:rsidP="00196113"/>
    <w:p w14:paraId="066E831C" w14:textId="77777777" w:rsidR="00CE78D1" w:rsidRPr="00CE78D1" w:rsidRDefault="00CE78D1" w:rsidP="00196113"/>
    <w:p w14:paraId="58A88C9B" w14:textId="77777777" w:rsidR="00CE78D1" w:rsidRPr="00CE78D1" w:rsidRDefault="00CE78D1" w:rsidP="00196113"/>
    <w:p w14:paraId="5527026E" w14:textId="77777777" w:rsidR="00CE78D1" w:rsidRPr="00CE78D1" w:rsidRDefault="00CE78D1" w:rsidP="00196113"/>
    <w:p w14:paraId="549513EC" w14:textId="77777777" w:rsidR="00E7686D" w:rsidRDefault="00E7686D" w:rsidP="00196113"/>
    <w:p w14:paraId="762A1607" w14:textId="77777777" w:rsidR="00F95A4A" w:rsidRDefault="00F95A4A" w:rsidP="00196113"/>
    <w:p w14:paraId="479C0DD1" w14:textId="77777777" w:rsidR="00F95A4A" w:rsidRDefault="00F95A4A" w:rsidP="00196113"/>
    <w:p w14:paraId="48CAEDC2" w14:textId="77777777" w:rsidR="00F95A4A" w:rsidRDefault="00F95A4A" w:rsidP="00196113"/>
    <w:p w14:paraId="2C0FF55B" w14:textId="77777777" w:rsidR="00F95A4A" w:rsidRDefault="00F95A4A" w:rsidP="00196113"/>
    <w:p w14:paraId="7B4481A4" w14:textId="77777777" w:rsidR="00F95A4A" w:rsidRDefault="00F95A4A" w:rsidP="00196113"/>
    <w:p w14:paraId="0E2E6BC3" w14:textId="77777777" w:rsidR="00F95A4A" w:rsidRDefault="00F95A4A" w:rsidP="00196113"/>
    <w:p w14:paraId="25E8E2FF" w14:textId="77777777" w:rsidR="00F95A4A" w:rsidRDefault="00F95A4A" w:rsidP="00196113"/>
    <w:p w14:paraId="72590B3A" w14:textId="77777777" w:rsidR="00F95A4A" w:rsidRDefault="00F95A4A" w:rsidP="00196113"/>
    <w:p w14:paraId="5D10B1EB" w14:textId="77777777" w:rsidR="00F95A4A" w:rsidRDefault="00F95A4A" w:rsidP="00196113"/>
    <w:p w14:paraId="64867C54" w14:textId="77777777" w:rsidR="00F95A4A" w:rsidRDefault="00F95A4A" w:rsidP="00196113"/>
    <w:p w14:paraId="165C9B4E" w14:textId="77777777" w:rsidR="00F95A4A" w:rsidRDefault="00F95A4A" w:rsidP="00196113"/>
    <w:p w14:paraId="79BEAB51" w14:textId="77777777" w:rsidR="00F95A4A" w:rsidRDefault="00F95A4A" w:rsidP="00196113"/>
    <w:p w14:paraId="22BF342B" w14:textId="77777777" w:rsidR="00F95A4A" w:rsidRDefault="00F95A4A" w:rsidP="00196113"/>
    <w:p w14:paraId="1C412546" w14:textId="77777777" w:rsidR="00F95A4A" w:rsidRDefault="00F95A4A" w:rsidP="00196113"/>
    <w:p w14:paraId="0A3FA522" w14:textId="77777777" w:rsidR="00F95A4A" w:rsidRDefault="00F95A4A" w:rsidP="00196113"/>
    <w:p w14:paraId="46AEAD64" w14:textId="77777777" w:rsidR="00F95A4A" w:rsidRDefault="00F95A4A" w:rsidP="00196113"/>
    <w:p w14:paraId="363EBD54" w14:textId="77777777" w:rsidR="00F95A4A" w:rsidRDefault="00F95A4A" w:rsidP="00196113">
      <w:pPr>
        <w:sectPr w:rsidR="00F95A4A" w:rsidSect="000350D9">
          <w:type w:val="continuous"/>
          <w:pgSz w:w="11906" w:h="16838"/>
          <w:pgMar w:top="993" w:right="1417" w:bottom="1417" w:left="1417" w:header="709" w:footer="658" w:gutter="0"/>
          <w:cols w:space="708"/>
          <w:docGrid w:linePitch="360"/>
        </w:sectPr>
      </w:pPr>
    </w:p>
    <w:p w14:paraId="1FF21DDA" w14:textId="77777777" w:rsidR="00067A6C" w:rsidRDefault="00067A6C" w:rsidP="00067A6C">
      <w:pPr>
        <w:jc w:val="both"/>
      </w:pPr>
    </w:p>
    <w:p w14:paraId="267001F9" w14:textId="77777777" w:rsidR="00993366" w:rsidRDefault="00993366" w:rsidP="00F95A4A">
      <w:pPr>
        <w:tabs>
          <w:tab w:val="left" w:pos="8023"/>
        </w:tabs>
        <w:jc w:val="right"/>
      </w:pPr>
      <w:r>
        <w:t>PRIJEDLOG</w:t>
      </w:r>
    </w:p>
    <w:p w14:paraId="320875C4" w14:textId="77777777" w:rsidR="00993366" w:rsidRDefault="00993366" w:rsidP="00067A6C">
      <w:pPr>
        <w:jc w:val="both"/>
      </w:pPr>
    </w:p>
    <w:p w14:paraId="099A9E8C" w14:textId="2211F265" w:rsidR="00067A6C" w:rsidRDefault="00067A6C" w:rsidP="00067A6C">
      <w:pPr>
        <w:jc w:val="both"/>
      </w:pPr>
      <w:r w:rsidRPr="003A1414">
        <w:t>Na temelju članka 37. stavka 5.</w:t>
      </w:r>
      <w:r>
        <w:t>, a u vezi s člankom</w:t>
      </w:r>
      <w:r w:rsidRPr="003A1414">
        <w:t xml:space="preserve"> 45. stavk</w:t>
      </w:r>
      <w:r>
        <w:t>om</w:t>
      </w:r>
      <w:r w:rsidRPr="003A1414">
        <w:t xml:space="preserve"> 1. i stavk</w:t>
      </w:r>
      <w:r>
        <w:t>om</w:t>
      </w:r>
      <w:r w:rsidRPr="003A1414">
        <w:t xml:space="preserve"> 3. podstavk</w:t>
      </w:r>
      <w:r>
        <w:t>om</w:t>
      </w:r>
      <w:r w:rsidRPr="003A1414">
        <w:t xml:space="preserve"> 1. Zakona o upravljanju državnom imovinom (Narodne novine, broj 52/18</w:t>
      </w:r>
      <w:r w:rsidRPr="00F10565">
        <w:t>)</w:t>
      </w:r>
      <w:r w:rsidR="003C1851" w:rsidRPr="00F10565">
        <w:t xml:space="preserve"> </w:t>
      </w:r>
      <w:r w:rsidR="005771EE" w:rsidRPr="00F10565">
        <w:t>i članka</w:t>
      </w:r>
      <w:r w:rsidR="003C1851" w:rsidRPr="00F10565">
        <w:t xml:space="preserve"> 24. stavka 2. Zakona o unapređenju poduzetničke infrastrukture (Narodne novine, broj 93/13, 114/13, 41/14 i 57/18),</w:t>
      </w:r>
      <w:r w:rsidRPr="00F10565">
        <w:t xml:space="preserve"> </w:t>
      </w:r>
      <w:r w:rsidR="00487391" w:rsidRPr="00487391">
        <w:t>a u vezi s člankom 18. stavkom 6. i člankom 35. stavkom 4. Zakona o ustrojstvu i djelokrugu tijela državne uprave („Narodne novine, br. 85/2020)</w:t>
      </w:r>
      <w:r w:rsidR="00487391">
        <w:t>,</w:t>
      </w:r>
      <w:r w:rsidR="00487391" w:rsidRPr="00487391">
        <w:t xml:space="preserve"> </w:t>
      </w:r>
      <w:r w:rsidRPr="003A1414">
        <w:t xml:space="preserve">Vlada Republike Hrvatske </w:t>
      </w:r>
      <w:r w:rsidR="00D2026C">
        <w:t>je na __. sjednici održanoj __</w:t>
      </w:r>
      <w:r w:rsidR="003462B4">
        <w:t xml:space="preserve"> 2022</w:t>
      </w:r>
      <w:r w:rsidRPr="00AF5444">
        <w:t>.</w:t>
      </w:r>
      <w:r w:rsidRPr="003A1414">
        <w:t xml:space="preserve"> godine donijela</w:t>
      </w:r>
    </w:p>
    <w:p w14:paraId="0BC11922" w14:textId="77777777" w:rsidR="00067A6C" w:rsidRDefault="00067A6C" w:rsidP="00067A6C">
      <w:pPr>
        <w:jc w:val="both"/>
      </w:pPr>
    </w:p>
    <w:p w14:paraId="09EDF0A4" w14:textId="77777777" w:rsidR="00067A6C" w:rsidRPr="0068468D" w:rsidRDefault="00067A6C" w:rsidP="00067A6C">
      <w:pPr>
        <w:tabs>
          <w:tab w:val="left" w:pos="900"/>
        </w:tabs>
        <w:jc w:val="center"/>
        <w:rPr>
          <w:b/>
        </w:rPr>
      </w:pPr>
    </w:p>
    <w:p w14:paraId="08357B67" w14:textId="77777777" w:rsidR="00067A6C" w:rsidRPr="00837046" w:rsidRDefault="00067A6C" w:rsidP="00067A6C">
      <w:pPr>
        <w:tabs>
          <w:tab w:val="left" w:pos="900"/>
        </w:tabs>
        <w:jc w:val="center"/>
        <w:rPr>
          <w:b/>
        </w:rPr>
      </w:pPr>
      <w:r w:rsidRPr="00837046">
        <w:rPr>
          <w:b/>
        </w:rPr>
        <w:t>O D L U K U</w:t>
      </w:r>
    </w:p>
    <w:p w14:paraId="06CBDE43" w14:textId="77777777" w:rsidR="00067A6C" w:rsidRPr="00837046" w:rsidRDefault="00067A6C" w:rsidP="00067A6C">
      <w:pPr>
        <w:tabs>
          <w:tab w:val="left" w:pos="900"/>
        </w:tabs>
        <w:jc w:val="center"/>
      </w:pPr>
    </w:p>
    <w:p w14:paraId="4C0FAAA2" w14:textId="5A31D44E" w:rsidR="00067A6C" w:rsidRDefault="00067A6C" w:rsidP="00067A6C">
      <w:pPr>
        <w:tabs>
          <w:tab w:val="left" w:pos="900"/>
        </w:tabs>
        <w:jc w:val="center"/>
        <w:rPr>
          <w:b/>
        </w:rPr>
      </w:pPr>
      <w:r w:rsidRPr="00837046">
        <w:rPr>
          <w:b/>
        </w:rPr>
        <w:t>o darovanju nekretnin</w:t>
      </w:r>
      <w:r>
        <w:rPr>
          <w:b/>
        </w:rPr>
        <w:t>a</w:t>
      </w:r>
      <w:r w:rsidRPr="00837046">
        <w:rPr>
          <w:b/>
        </w:rPr>
        <w:t xml:space="preserve"> u k.o. </w:t>
      </w:r>
      <w:r w:rsidR="00B26FF5" w:rsidRPr="00B26FF5">
        <w:rPr>
          <w:b/>
        </w:rPr>
        <w:t>Vinkovci Gradu Vinkovcima, u svrhu proširenja Industrijske zone „Zalužje</w:t>
      </w:r>
      <w:r w:rsidR="005D76B0">
        <w:rPr>
          <w:b/>
        </w:rPr>
        <w:t>“</w:t>
      </w:r>
    </w:p>
    <w:p w14:paraId="71594C11" w14:textId="2AFC00A7" w:rsidR="00B26FF5" w:rsidRDefault="00B26FF5" w:rsidP="00067A6C">
      <w:pPr>
        <w:tabs>
          <w:tab w:val="left" w:pos="900"/>
        </w:tabs>
        <w:jc w:val="center"/>
      </w:pPr>
    </w:p>
    <w:p w14:paraId="20B1CB74" w14:textId="77777777" w:rsidR="007F7501" w:rsidRDefault="007F7501" w:rsidP="00067A6C">
      <w:pPr>
        <w:tabs>
          <w:tab w:val="left" w:pos="900"/>
        </w:tabs>
        <w:jc w:val="center"/>
      </w:pPr>
    </w:p>
    <w:p w14:paraId="1011EE88" w14:textId="77777777" w:rsidR="00067A6C" w:rsidRPr="005B6480" w:rsidRDefault="00067A6C" w:rsidP="00067A6C">
      <w:pPr>
        <w:tabs>
          <w:tab w:val="left" w:pos="900"/>
        </w:tabs>
        <w:jc w:val="center"/>
        <w:rPr>
          <w:b/>
        </w:rPr>
      </w:pPr>
      <w:r w:rsidRPr="005B6480">
        <w:rPr>
          <w:b/>
        </w:rPr>
        <w:t>I.</w:t>
      </w:r>
    </w:p>
    <w:p w14:paraId="1AF89D8B" w14:textId="77777777" w:rsidR="00067A6C" w:rsidRPr="003D26FA" w:rsidRDefault="00067A6C" w:rsidP="00067A6C">
      <w:pPr>
        <w:tabs>
          <w:tab w:val="left" w:pos="900"/>
        </w:tabs>
        <w:jc w:val="center"/>
        <w:rPr>
          <w:sz w:val="16"/>
          <w:szCs w:val="16"/>
        </w:rPr>
      </w:pPr>
    </w:p>
    <w:p w14:paraId="4EC09192" w14:textId="72744DBD" w:rsidR="00067A6C" w:rsidRDefault="00067A6C" w:rsidP="00067A6C">
      <w:pPr>
        <w:tabs>
          <w:tab w:val="left" w:pos="900"/>
        </w:tabs>
        <w:jc w:val="both"/>
      </w:pPr>
      <w:r w:rsidRPr="00C31EC6">
        <w:t xml:space="preserve">Republika Hrvatska, kao vlasnik, daruje </w:t>
      </w:r>
      <w:r w:rsidR="00B26FF5">
        <w:t>Gradu Vinkovcim</w:t>
      </w:r>
      <w:r w:rsidR="00B0379A">
        <w:t>a</w:t>
      </w:r>
      <w:r w:rsidRPr="00C31EC6">
        <w:t xml:space="preserve"> nekretnin</w:t>
      </w:r>
      <w:r>
        <w:t>e</w:t>
      </w:r>
      <w:r w:rsidRPr="00C31EC6">
        <w:t xml:space="preserve"> označen</w:t>
      </w:r>
      <w:r>
        <w:t>e</w:t>
      </w:r>
      <w:r w:rsidRPr="00C31EC6">
        <w:t xml:space="preserve"> kao </w:t>
      </w:r>
      <w:bookmarkStart w:id="0" w:name="_Hlk76633462"/>
      <w:r w:rsidR="00A87063">
        <w:t xml:space="preserve">zk.č.br. </w:t>
      </w:r>
      <w:r w:rsidR="00B26FF5">
        <w:t>6024,</w:t>
      </w:r>
      <w:r w:rsidR="0084198B">
        <w:t xml:space="preserve"> ORANICA</w:t>
      </w:r>
      <w:r w:rsidR="00B26FF5">
        <w:t xml:space="preserve"> ZALUŽJE</w:t>
      </w:r>
      <w:r w:rsidR="0084198B">
        <w:t xml:space="preserve">, površine </w:t>
      </w:r>
      <w:r w:rsidR="00B26FF5">
        <w:t>111</w:t>
      </w:r>
      <w:r w:rsidR="005D76B0">
        <w:t>.</w:t>
      </w:r>
      <w:r w:rsidR="00B26FF5">
        <w:t>910</w:t>
      </w:r>
      <w:r w:rsidR="0084198B">
        <w:t xml:space="preserve"> m</w:t>
      </w:r>
      <w:r w:rsidR="0084198B" w:rsidRPr="0084198B">
        <w:rPr>
          <w:vertAlign w:val="superscript"/>
        </w:rPr>
        <w:t>2</w:t>
      </w:r>
      <w:r w:rsidR="00B26FF5">
        <w:t xml:space="preserve"> i </w:t>
      </w:r>
      <w:r w:rsidR="0084198B">
        <w:t xml:space="preserve">zk.č.br. </w:t>
      </w:r>
      <w:r w:rsidR="00B26FF5">
        <w:t>6068</w:t>
      </w:r>
      <w:r w:rsidR="0084198B">
        <w:t xml:space="preserve">, </w:t>
      </w:r>
      <w:r w:rsidR="00B26FF5" w:rsidRPr="00B26FF5">
        <w:t>ORANICA ZALUŽJE</w:t>
      </w:r>
      <w:r w:rsidR="0084198B">
        <w:t xml:space="preserve">, površine </w:t>
      </w:r>
      <w:r w:rsidR="00B26FF5">
        <w:t>169</w:t>
      </w:r>
      <w:r w:rsidR="005D76B0">
        <w:t>.</w:t>
      </w:r>
      <w:r w:rsidR="00B26FF5">
        <w:t>859</w:t>
      </w:r>
      <w:r w:rsidR="0084198B">
        <w:t xml:space="preserve"> m</w:t>
      </w:r>
      <w:r w:rsidR="0084198B" w:rsidRPr="0084198B">
        <w:rPr>
          <w:vertAlign w:val="superscript"/>
        </w:rPr>
        <w:t>2</w:t>
      </w:r>
      <w:r w:rsidR="0084198B">
        <w:t xml:space="preserve">, </w:t>
      </w:r>
      <w:r w:rsidR="00B26FF5">
        <w:t xml:space="preserve">obje upisane u zk.ul.br. 8841, </w:t>
      </w:r>
      <w:r w:rsidR="0084198B">
        <w:t xml:space="preserve">zk.č.br. </w:t>
      </w:r>
      <w:r w:rsidR="00B0379A">
        <w:t xml:space="preserve">6022/1 </w:t>
      </w:r>
      <w:r w:rsidR="00A87063">
        <w:t>,</w:t>
      </w:r>
      <w:r w:rsidR="0084198B">
        <w:t xml:space="preserve"> </w:t>
      </w:r>
      <w:r w:rsidR="005A19D3">
        <w:t>Zalužje</w:t>
      </w:r>
      <w:r w:rsidR="00B0379A">
        <w:t>,</w:t>
      </w:r>
      <w:r w:rsidR="00B0379A" w:rsidRPr="00B26FF5">
        <w:t xml:space="preserve"> </w:t>
      </w:r>
      <w:r w:rsidR="00B26FF5" w:rsidRPr="00B26FF5">
        <w:t>ORANICA</w:t>
      </w:r>
      <w:r w:rsidR="0084198B">
        <w:t>,</w:t>
      </w:r>
      <w:r w:rsidR="00A7421A">
        <w:t xml:space="preserve"> površine </w:t>
      </w:r>
      <w:r w:rsidR="00563018" w:rsidRPr="005A19D3">
        <w:t xml:space="preserve">63.787 </w:t>
      </w:r>
      <w:r w:rsidR="00A7421A" w:rsidRPr="005A19D3">
        <w:t>m</w:t>
      </w:r>
      <w:r w:rsidR="00A7421A" w:rsidRPr="005A19D3">
        <w:rPr>
          <w:vertAlign w:val="superscript"/>
        </w:rPr>
        <w:t>2</w:t>
      </w:r>
      <w:r w:rsidR="00B0379A" w:rsidRPr="005A19D3">
        <w:t>,</w:t>
      </w:r>
      <w:r w:rsidR="00B0379A">
        <w:t xml:space="preserve"> upisanu u zk.ul.br. 2364, </w:t>
      </w:r>
      <w:r w:rsidR="0084198B">
        <w:t>zk.</w:t>
      </w:r>
      <w:r w:rsidR="00A7421A">
        <w:t>č.br.</w:t>
      </w:r>
      <w:r w:rsidR="00A87063">
        <w:t xml:space="preserve"> </w:t>
      </w:r>
      <w:r w:rsidR="00B0379A">
        <w:t>6021/2,</w:t>
      </w:r>
      <w:r w:rsidR="00A7421A">
        <w:t xml:space="preserve"> </w:t>
      </w:r>
      <w:r w:rsidR="005A19D3">
        <w:t>Zalužje</w:t>
      </w:r>
      <w:r w:rsidR="00B0379A">
        <w:t>,</w:t>
      </w:r>
      <w:r w:rsidR="00B0379A" w:rsidRPr="00B26FF5">
        <w:t xml:space="preserve"> </w:t>
      </w:r>
      <w:r w:rsidR="00B26FF5" w:rsidRPr="00B26FF5">
        <w:t>ORANICA</w:t>
      </w:r>
      <w:r w:rsidR="00A7421A">
        <w:t xml:space="preserve">, </w:t>
      </w:r>
      <w:r w:rsidR="00B0379A">
        <w:t xml:space="preserve">POMOĆNA ZGRADA, </w:t>
      </w:r>
      <w:r w:rsidR="005A19D3">
        <w:t xml:space="preserve">Vinkovci, Zalužje, </w:t>
      </w:r>
      <w:r w:rsidR="00A7421A" w:rsidRPr="005A19D3">
        <w:t xml:space="preserve">površine </w:t>
      </w:r>
      <w:r w:rsidR="00D15CD4" w:rsidRPr="005A19D3">
        <w:t>265.603</w:t>
      </w:r>
      <w:r w:rsidR="00A7421A" w:rsidRPr="005A19D3">
        <w:t xml:space="preserve"> m</w:t>
      </w:r>
      <w:r w:rsidR="00A7421A" w:rsidRPr="005A19D3">
        <w:rPr>
          <w:vertAlign w:val="superscript"/>
        </w:rPr>
        <w:t>2</w:t>
      </w:r>
      <w:r w:rsidR="00A7421A" w:rsidRPr="005A19D3">
        <w:t>,</w:t>
      </w:r>
      <w:r w:rsidR="00A7421A">
        <w:t xml:space="preserve"> zk.č.br. </w:t>
      </w:r>
      <w:r w:rsidR="00B0379A">
        <w:t>6023</w:t>
      </w:r>
      <w:r w:rsidR="00A87063">
        <w:t>,</w:t>
      </w:r>
      <w:r w:rsidR="00A7421A" w:rsidRPr="00A7421A">
        <w:t xml:space="preserve"> </w:t>
      </w:r>
      <w:r w:rsidR="00B0379A" w:rsidRPr="00B0379A">
        <w:t>ORANICA ZALUŽJE</w:t>
      </w:r>
      <w:r w:rsidR="00A7421A">
        <w:t xml:space="preserve">, površine </w:t>
      </w:r>
      <w:r w:rsidR="00B0379A">
        <w:t>258</w:t>
      </w:r>
      <w:r w:rsidR="005D76B0">
        <w:t>.</w:t>
      </w:r>
      <w:r w:rsidR="00B0379A">
        <w:t>313</w:t>
      </w:r>
      <w:r w:rsidR="00A7421A">
        <w:t xml:space="preserve"> m</w:t>
      </w:r>
      <w:r w:rsidR="00A7421A" w:rsidRPr="00A7421A">
        <w:rPr>
          <w:vertAlign w:val="superscript"/>
        </w:rPr>
        <w:t>2</w:t>
      </w:r>
      <w:r w:rsidR="00A7421A">
        <w:t xml:space="preserve">, zk.č.br. </w:t>
      </w:r>
      <w:r w:rsidR="00B0379A">
        <w:t>6069/1</w:t>
      </w:r>
      <w:r w:rsidR="00A7421A">
        <w:t xml:space="preserve">, </w:t>
      </w:r>
      <w:r w:rsidR="00B0379A" w:rsidRPr="00B26FF5">
        <w:t>ORANICA ZALUŽJE</w:t>
      </w:r>
      <w:r w:rsidR="00A7421A">
        <w:t xml:space="preserve">, površine </w:t>
      </w:r>
      <w:r w:rsidR="00B0379A">
        <w:t>157</w:t>
      </w:r>
      <w:r w:rsidR="005D76B0">
        <w:t>.</w:t>
      </w:r>
      <w:r w:rsidR="00B0379A">
        <w:t>383</w:t>
      </w:r>
      <w:r w:rsidR="00A7421A">
        <w:t xml:space="preserve"> m</w:t>
      </w:r>
      <w:r w:rsidR="00A7421A" w:rsidRPr="00A7421A">
        <w:rPr>
          <w:vertAlign w:val="superscript"/>
        </w:rPr>
        <w:t>2</w:t>
      </w:r>
      <w:r w:rsidR="00B0379A">
        <w:t xml:space="preserve"> i</w:t>
      </w:r>
      <w:r w:rsidR="00A7421A">
        <w:t xml:space="preserve"> zk.č.br. </w:t>
      </w:r>
      <w:r w:rsidR="00B0379A">
        <w:t>6071/1</w:t>
      </w:r>
      <w:r w:rsidR="00A7421A">
        <w:t xml:space="preserve">, </w:t>
      </w:r>
      <w:r w:rsidR="00B0379A" w:rsidRPr="00B0379A">
        <w:t>ZALUŽJE, ORANICA</w:t>
      </w:r>
      <w:r w:rsidR="00A7421A">
        <w:t xml:space="preserve">, površine </w:t>
      </w:r>
      <w:r w:rsidR="00B0379A">
        <w:t>63</w:t>
      </w:r>
      <w:r w:rsidR="005D76B0">
        <w:t>.</w:t>
      </w:r>
      <w:r w:rsidR="00B0379A">
        <w:t>505</w:t>
      </w:r>
      <w:r w:rsidR="00A7421A">
        <w:t xml:space="preserve"> m</w:t>
      </w:r>
      <w:r w:rsidR="00A7421A" w:rsidRPr="00A7421A">
        <w:rPr>
          <w:vertAlign w:val="superscript"/>
        </w:rPr>
        <w:t>2</w:t>
      </w:r>
      <w:r w:rsidR="00A7421A">
        <w:t xml:space="preserve">, </w:t>
      </w:r>
      <w:r w:rsidR="007547FC" w:rsidRPr="007547FC">
        <w:t xml:space="preserve">sve upisane u zk.ul.br. </w:t>
      </w:r>
      <w:r w:rsidR="00B0379A">
        <w:t>7707</w:t>
      </w:r>
      <w:r w:rsidR="007547FC" w:rsidRPr="007547FC">
        <w:t>,</w:t>
      </w:r>
      <w:r w:rsidR="00773DFB">
        <w:t xml:space="preserve"> sve</w:t>
      </w:r>
      <w:r w:rsidR="00B0379A">
        <w:t xml:space="preserve"> u</w:t>
      </w:r>
      <w:r w:rsidR="007547FC" w:rsidRPr="007547FC">
        <w:t xml:space="preserve"> k.o. </w:t>
      </w:r>
      <w:r w:rsidR="00B0379A">
        <w:t>Vinkovci</w:t>
      </w:r>
      <w:r w:rsidR="007547FC" w:rsidRPr="007547FC">
        <w:t xml:space="preserve">, kod Zemljišnoknjižnog odjela </w:t>
      </w:r>
      <w:r w:rsidR="00B0379A">
        <w:t>Vinkovci</w:t>
      </w:r>
      <w:r w:rsidR="007547FC" w:rsidRPr="007547FC">
        <w:t>, Općinskog</w:t>
      </w:r>
      <w:r w:rsidR="007547FC">
        <w:t xml:space="preserve"> suda u </w:t>
      </w:r>
      <w:r w:rsidR="00B0379A">
        <w:t>Vinkovcima</w:t>
      </w:r>
      <w:r w:rsidR="007547FC">
        <w:t>,</w:t>
      </w:r>
      <w:r w:rsidR="00773DFB" w:rsidRPr="00773DFB">
        <w:t xml:space="preserve"> </w:t>
      </w:r>
      <w:r w:rsidR="00773DFB">
        <w:t xml:space="preserve">sveukupne površine </w:t>
      </w:r>
      <w:r w:rsidR="009D7922">
        <w:t>1.090.360,00</w:t>
      </w:r>
      <w:r w:rsidR="005A19D3">
        <w:t xml:space="preserve"> </w:t>
      </w:r>
      <w:r w:rsidR="00773DFB">
        <w:t>m</w:t>
      </w:r>
      <w:r w:rsidR="00773DFB" w:rsidRPr="00FE7F06">
        <w:rPr>
          <w:vertAlign w:val="superscript"/>
        </w:rPr>
        <w:t>2</w:t>
      </w:r>
      <w:r w:rsidR="00773DFB">
        <w:t xml:space="preserve">, </w:t>
      </w:r>
      <w:r w:rsidR="007547FC">
        <w:t xml:space="preserve"> u</w:t>
      </w:r>
      <w:r w:rsidR="00993366" w:rsidRPr="00993366">
        <w:t xml:space="preserve"> svrh</w:t>
      </w:r>
      <w:r w:rsidR="003A6AD6">
        <w:t xml:space="preserve">u </w:t>
      </w:r>
      <w:r w:rsidR="005D76B0">
        <w:t xml:space="preserve">proširenja </w:t>
      </w:r>
      <w:r w:rsidR="005D76B0" w:rsidRPr="005D76B0">
        <w:t>Industrijske zone „Zalužje</w:t>
      </w:r>
      <w:r w:rsidR="003A6AD6">
        <w:t>“</w:t>
      </w:r>
      <w:r w:rsidR="00993366">
        <w:t>.</w:t>
      </w:r>
    </w:p>
    <w:bookmarkEnd w:id="0"/>
    <w:p w14:paraId="4C9D7118" w14:textId="5FD6F13D" w:rsidR="00993366" w:rsidRDefault="00993366" w:rsidP="00067A6C">
      <w:pPr>
        <w:tabs>
          <w:tab w:val="left" w:pos="900"/>
        </w:tabs>
        <w:jc w:val="both"/>
      </w:pPr>
    </w:p>
    <w:p w14:paraId="53F191AB" w14:textId="77777777" w:rsidR="007F7501" w:rsidRDefault="007F7501" w:rsidP="00067A6C">
      <w:pPr>
        <w:tabs>
          <w:tab w:val="left" w:pos="900"/>
        </w:tabs>
        <w:jc w:val="both"/>
      </w:pPr>
    </w:p>
    <w:p w14:paraId="4F088481" w14:textId="77777777" w:rsidR="00067A6C" w:rsidRDefault="00067A6C" w:rsidP="00067A6C">
      <w:pPr>
        <w:tabs>
          <w:tab w:val="left" w:pos="900"/>
        </w:tabs>
        <w:jc w:val="center"/>
        <w:rPr>
          <w:b/>
        </w:rPr>
      </w:pPr>
      <w:r w:rsidRPr="005B6480">
        <w:rPr>
          <w:b/>
        </w:rPr>
        <w:t>II.</w:t>
      </w:r>
    </w:p>
    <w:p w14:paraId="14D01A17" w14:textId="77777777" w:rsidR="0043289B" w:rsidRPr="005B6480" w:rsidRDefault="0043289B" w:rsidP="00067A6C">
      <w:pPr>
        <w:tabs>
          <w:tab w:val="left" w:pos="900"/>
        </w:tabs>
        <w:jc w:val="center"/>
        <w:rPr>
          <w:b/>
        </w:rPr>
      </w:pPr>
    </w:p>
    <w:p w14:paraId="4DEFEAB5" w14:textId="662C3330" w:rsidR="00E33C32" w:rsidRDefault="00067A6C" w:rsidP="0043289B">
      <w:pPr>
        <w:jc w:val="both"/>
      </w:pPr>
      <w:bookmarkStart w:id="1" w:name="_Hlk76635718"/>
      <w:r w:rsidRPr="0043289B">
        <w:t xml:space="preserve">Tržišna vrijednost nekretnina iz točke I. ove Odluke iznosi </w:t>
      </w:r>
      <w:r w:rsidR="005D76B0" w:rsidRPr="005A19D3">
        <w:t>18</w:t>
      </w:r>
      <w:r w:rsidR="00E73438" w:rsidRPr="005A19D3">
        <w:t>4</w:t>
      </w:r>
      <w:r w:rsidR="0043289B" w:rsidRPr="005A19D3">
        <w:t>.</w:t>
      </w:r>
      <w:r w:rsidR="00E73438" w:rsidRPr="005A19D3">
        <w:t>480</w:t>
      </w:r>
      <w:r w:rsidR="0043289B" w:rsidRPr="005A19D3">
        <w:t xml:space="preserve">.000,00 kuna </w:t>
      </w:r>
      <w:bookmarkEnd w:id="1"/>
      <w:r w:rsidR="0043289B" w:rsidRPr="005A19D3">
        <w:t xml:space="preserve">(slovima: </w:t>
      </w:r>
      <w:r w:rsidR="00E73438" w:rsidRPr="005A19D3">
        <w:t>stoosamdesetčetiri</w:t>
      </w:r>
      <w:r w:rsidR="00C814A5">
        <w:t>milijun</w:t>
      </w:r>
      <w:r w:rsidR="00E73438" w:rsidRPr="005A19D3">
        <w:t>četristoosamdeset</w:t>
      </w:r>
      <w:r w:rsidR="00C814A5">
        <w:t>tisuća</w:t>
      </w:r>
      <w:r w:rsidR="00E73438" w:rsidRPr="005A19D3">
        <w:t>kuna</w:t>
      </w:r>
      <w:r w:rsidR="00877BD4" w:rsidRPr="005A19D3">
        <w:t>)</w:t>
      </w:r>
      <w:r w:rsidR="005A19D3">
        <w:t xml:space="preserve"> </w:t>
      </w:r>
      <w:r w:rsidR="00877BD4">
        <w:t xml:space="preserve">prema </w:t>
      </w:r>
      <w:r w:rsidR="0043289B">
        <w:t>p</w:t>
      </w:r>
      <w:r w:rsidR="00877BD4">
        <w:t>rocjembenom elaboratu</w:t>
      </w:r>
      <w:r w:rsidR="00940641">
        <w:t xml:space="preserve"> 80-2020_ISPRAVAK 1</w:t>
      </w:r>
      <w:r w:rsidR="0043289B">
        <w:t xml:space="preserve">, </w:t>
      </w:r>
      <w:r w:rsidR="00940641">
        <w:t xml:space="preserve">iz siječnja 2021. godine </w:t>
      </w:r>
      <w:r w:rsidR="0043289B" w:rsidRPr="006943D1">
        <w:t xml:space="preserve">izrađenom od strane </w:t>
      </w:r>
      <w:r w:rsidR="00940641">
        <w:t>Josipa Damjanovića, mag.ing.aedif., stalno</w:t>
      </w:r>
      <w:r w:rsidR="000D0A0C">
        <w:t>g</w:t>
      </w:r>
      <w:r w:rsidR="00940641">
        <w:t xml:space="preserve"> sudsk</w:t>
      </w:r>
      <w:r w:rsidR="000D0A0C">
        <w:t>og</w:t>
      </w:r>
      <w:r w:rsidR="00940641">
        <w:t xml:space="preserve"> vještak</w:t>
      </w:r>
      <w:r w:rsidR="000D0A0C">
        <w:t>a</w:t>
      </w:r>
      <w:r w:rsidR="00940641">
        <w:t xml:space="preserve"> </w:t>
      </w:r>
      <w:r w:rsidR="000D0A0C">
        <w:t>za graditeljstvo</w:t>
      </w:r>
      <w:r w:rsidR="00940641">
        <w:t xml:space="preserve"> i procjen</w:t>
      </w:r>
      <w:r w:rsidR="000D0A0C">
        <w:t>u</w:t>
      </w:r>
      <w:r w:rsidR="00940641">
        <w:t xml:space="preserve"> nekretnina iz </w:t>
      </w:r>
      <w:r w:rsidR="0043289B" w:rsidRPr="006943D1">
        <w:t xml:space="preserve">trgovačkog društva </w:t>
      </w:r>
      <w:r w:rsidR="00940641">
        <w:t>„DIG PROJEKT“</w:t>
      </w:r>
      <w:r w:rsidR="0043289B">
        <w:t xml:space="preserve"> d.o.o. iz </w:t>
      </w:r>
      <w:r w:rsidR="00AC562D">
        <w:t>Vinkovaca,</w:t>
      </w:r>
      <w:r w:rsidR="0043289B">
        <w:t xml:space="preserve"> </w:t>
      </w:r>
      <w:r w:rsidR="00AC562D">
        <w:t>Mate Topalovića 26a</w:t>
      </w:r>
      <w:r w:rsidR="0043289B">
        <w:t xml:space="preserve">, </w:t>
      </w:r>
      <w:r w:rsidR="00E73438">
        <w:t>revidiranim</w:t>
      </w:r>
      <w:r w:rsidR="0043289B" w:rsidRPr="006943D1">
        <w:t xml:space="preserve"> od strane Službe za tehničke poslove Ministarstva</w:t>
      </w:r>
      <w:r w:rsidR="0043289B">
        <w:t xml:space="preserve"> prostornoga uređenja, graditeljstva i državne imovine očitovanjem od dana </w:t>
      </w:r>
      <w:r w:rsidR="00E33C32">
        <w:t>13</w:t>
      </w:r>
      <w:r w:rsidR="0043289B">
        <w:t xml:space="preserve">. </w:t>
      </w:r>
      <w:r w:rsidR="00E33C32">
        <w:t>prosinca 2021. godine.</w:t>
      </w:r>
    </w:p>
    <w:p w14:paraId="2103D480" w14:textId="1CC9D638" w:rsidR="007F7501" w:rsidRDefault="007F7501" w:rsidP="0043289B">
      <w:pPr>
        <w:jc w:val="both"/>
      </w:pPr>
    </w:p>
    <w:p w14:paraId="686E81CC" w14:textId="16FC8B8B" w:rsidR="00F95A4A" w:rsidRDefault="00AC562D" w:rsidP="00AC562D">
      <w:pPr>
        <w:tabs>
          <w:tab w:val="left" w:pos="8023"/>
        </w:tabs>
        <w:jc w:val="both"/>
      </w:pPr>
      <w:r>
        <w:t>Grad Vinkovci</w:t>
      </w:r>
      <w:r w:rsidR="007F7501">
        <w:t xml:space="preserve"> je</w:t>
      </w:r>
      <w:r>
        <w:t xml:space="preserve"> izradio </w:t>
      </w:r>
      <w:r w:rsidR="007F7501">
        <w:t>p</w:t>
      </w:r>
      <w:r>
        <w:t xml:space="preserve">rocjembeni elaborat kojim je utvrđena </w:t>
      </w:r>
      <w:r w:rsidR="007F7501">
        <w:t xml:space="preserve">tržišna </w:t>
      </w:r>
      <w:r>
        <w:t>vrijednost</w:t>
      </w:r>
      <w:r w:rsidR="007F7501">
        <w:t xml:space="preserve"> </w:t>
      </w:r>
      <w:r>
        <w:t>nekretnina iz točke I. ove Odluke po ovlaštenom stalnom sudskom vještaku te je podmirio</w:t>
      </w:r>
      <w:r w:rsidR="007F7501">
        <w:t xml:space="preserve"> </w:t>
      </w:r>
      <w:r>
        <w:t>troškove izrade istog</w:t>
      </w:r>
      <w:r w:rsidR="007920A2" w:rsidRPr="0043289B">
        <w:t>.</w:t>
      </w:r>
    </w:p>
    <w:p w14:paraId="3FF03768" w14:textId="77777777" w:rsidR="00067A6C" w:rsidRDefault="00067A6C" w:rsidP="00067A6C">
      <w:pPr>
        <w:jc w:val="center"/>
        <w:rPr>
          <w:b/>
        </w:rPr>
      </w:pPr>
    </w:p>
    <w:p w14:paraId="7D8A5A22" w14:textId="77777777" w:rsidR="00067A6C" w:rsidRDefault="00067A6C" w:rsidP="00067A6C">
      <w:pPr>
        <w:jc w:val="center"/>
        <w:rPr>
          <w:b/>
        </w:rPr>
      </w:pPr>
      <w:r>
        <w:rPr>
          <w:b/>
        </w:rPr>
        <w:t>III.</w:t>
      </w:r>
    </w:p>
    <w:p w14:paraId="3FB0C3E3" w14:textId="77777777" w:rsidR="00067A6C" w:rsidRPr="003D26FA" w:rsidRDefault="00067A6C" w:rsidP="00067A6C">
      <w:pPr>
        <w:jc w:val="center"/>
        <w:rPr>
          <w:b/>
          <w:sz w:val="16"/>
          <w:szCs w:val="16"/>
        </w:rPr>
      </w:pPr>
    </w:p>
    <w:p w14:paraId="7B57A6EA" w14:textId="07125659" w:rsidR="00067A6C" w:rsidRDefault="00067A6C" w:rsidP="00067A6C">
      <w:pPr>
        <w:jc w:val="both"/>
      </w:pPr>
      <w:r w:rsidRPr="00175BD9">
        <w:t>Nekretnin</w:t>
      </w:r>
      <w:r>
        <w:t xml:space="preserve">e </w:t>
      </w:r>
      <w:r w:rsidRPr="00175BD9">
        <w:t xml:space="preserve">iz točke I. ove </w:t>
      </w:r>
      <w:r>
        <w:t>Odluke daruju</w:t>
      </w:r>
      <w:r w:rsidRPr="00175BD9">
        <w:t xml:space="preserve"> se </w:t>
      </w:r>
      <w:r w:rsidR="007F7501">
        <w:t>Gradu Vinkovcima</w:t>
      </w:r>
      <w:r w:rsidR="00993366">
        <w:t xml:space="preserve"> pod uvjetom da se ist</w:t>
      </w:r>
      <w:r w:rsidR="007F7501">
        <w:t>i</w:t>
      </w:r>
      <w:r w:rsidRPr="00175BD9">
        <w:t xml:space="preserve"> u svojstvu vjerov</w:t>
      </w:r>
      <w:r>
        <w:t>nika odrekne svih potraživanja</w:t>
      </w:r>
      <w:r w:rsidRPr="00175BD9">
        <w:t xml:space="preserve"> prema Republici Hrvatskoj kao dužniku, </w:t>
      </w:r>
      <w:r>
        <w:t>koja će se utvrditi na dan potpisivanja ugovora o darovanju prema ovoj Odluci</w:t>
      </w:r>
      <w:r w:rsidR="009404B4">
        <w:t xml:space="preserve">, </w:t>
      </w:r>
      <w:r w:rsidRPr="00175BD9">
        <w:t>kao i eventualno kasnije pronađenih potraživanja prema Republici Hrvatskoj koja s</w:t>
      </w:r>
      <w:r>
        <w:t>u nastala do dana potpisivanja U</w:t>
      </w:r>
      <w:r w:rsidRPr="00175BD9">
        <w:t>govora o darovanju</w:t>
      </w:r>
      <w:r w:rsidR="00A3718C">
        <w:t>, sve do visine vrijednosti darovanih nekretnina.</w:t>
      </w:r>
    </w:p>
    <w:p w14:paraId="6CAB5BD6" w14:textId="77777777" w:rsidR="00067A6C" w:rsidRDefault="00067A6C" w:rsidP="00067A6C">
      <w:pPr>
        <w:jc w:val="center"/>
        <w:rPr>
          <w:b/>
        </w:rPr>
      </w:pPr>
    </w:p>
    <w:p w14:paraId="1D948025" w14:textId="77777777" w:rsidR="007F7501" w:rsidRDefault="007F7501" w:rsidP="00067A6C">
      <w:pPr>
        <w:jc w:val="center"/>
        <w:rPr>
          <w:b/>
        </w:rPr>
      </w:pPr>
    </w:p>
    <w:p w14:paraId="04EF1243" w14:textId="756E2529" w:rsidR="00067A6C" w:rsidRDefault="00067A6C" w:rsidP="00067A6C">
      <w:pPr>
        <w:jc w:val="center"/>
        <w:rPr>
          <w:b/>
        </w:rPr>
      </w:pPr>
      <w:r w:rsidRPr="005B6480">
        <w:rPr>
          <w:b/>
        </w:rPr>
        <w:t>I</w:t>
      </w:r>
      <w:r>
        <w:rPr>
          <w:b/>
        </w:rPr>
        <w:t>V</w:t>
      </w:r>
      <w:r w:rsidRPr="005B6480">
        <w:rPr>
          <w:b/>
        </w:rPr>
        <w:t>.</w:t>
      </w:r>
    </w:p>
    <w:p w14:paraId="629C4F02" w14:textId="77777777" w:rsidR="00067A6C" w:rsidRPr="003D26FA" w:rsidRDefault="00067A6C" w:rsidP="00067A6C">
      <w:pPr>
        <w:jc w:val="center"/>
        <w:rPr>
          <w:b/>
          <w:sz w:val="16"/>
          <w:szCs w:val="16"/>
        </w:rPr>
      </w:pPr>
    </w:p>
    <w:p w14:paraId="218FE22F" w14:textId="6504D4CB" w:rsidR="00067A6C" w:rsidRDefault="007F7501" w:rsidP="00067A6C">
      <w:pPr>
        <w:tabs>
          <w:tab w:val="left" w:pos="900"/>
        </w:tabs>
        <w:jc w:val="both"/>
      </w:pPr>
      <w:r>
        <w:t>Grad Vinkovci</w:t>
      </w:r>
      <w:r w:rsidR="00067A6C" w:rsidRPr="00D44EA4">
        <w:t xml:space="preserve"> </w:t>
      </w:r>
      <w:r w:rsidR="00067A6C" w:rsidRPr="00837046">
        <w:t>se obvezuje preuzeti sve obveze koje bi eventualno proizašle iz potraživanja i prava trećih osoba na nekretnin</w:t>
      </w:r>
      <w:r w:rsidR="00067A6C">
        <w:t>ama</w:t>
      </w:r>
      <w:r w:rsidR="00067A6C" w:rsidRPr="00837046">
        <w:t xml:space="preserve"> iz točke I. ove Odluke.</w:t>
      </w:r>
    </w:p>
    <w:p w14:paraId="05646949" w14:textId="7827BA75" w:rsidR="007F7501" w:rsidRDefault="007F7501" w:rsidP="00067A6C">
      <w:pPr>
        <w:tabs>
          <w:tab w:val="left" w:pos="900"/>
        </w:tabs>
        <w:jc w:val="both"/>
      </w:pPr>
    </w:p>
    <w:p w14:paraId="27290966" w14:textId="77777777" w:rsidR="007F7501" w:rsidRDefault="007F7501" w:rsidP="00067A6C">
      <w:pPr>
        <w:tabs>
          <w:tab w:val="left" w:pos="900"/>
        </w:tabs>
        <w:jc w:val="both"/>
      </w:pPr>
    </w:p>
    <w:p w14:paraId="1536FE27" w14:textId="77777777" w:rsidR="00067A6C" w:rsidRPr="003831E1" w:rsidRDefault="00067A6C" w:rsidP="00067A6C">
      <w:pPr>
        <w:tabs>
          <w:tab w:val="left" w:pos="900"/>
        </w:tabs>
        <w:jc w:val="center"/>
        <w:rPr>
          <w:b/>
        </w:rPr>
      </w:pPr>
      <w:r w:rsidRPr="003831E1">
        <w:rPr>
          <w:b/>
        </w:rPr>
        <w:t xml:space="preserve">V. </w:t>
      </w:r>
    </w:p>
    <w:p w14:paraId="79C0CABF" w14:textId="77777777" w:rsidR="00067A6C" w:rsidRPr="003D26FA" w:rsidRDefault="00067A6C" w:rsidP="00067A6C">
      <w:pPr>
        <w:tabs>
          <w:tab w:val="left" w:pos="900"/>
        </w:tabs>
        <w:jc w:val="both"/>
        <w:rPr>
          <w:sz w:val="16"/>
          <w:szCs w:val="16"/>
        </w:rPr>
      </w:pPr>
    </w:p>
    <w:p w14:paraId="742F0482" w14:textId="0ECA2114" w:rsidR="007920A2" w:rsidRDefault="007F7501" w:rsidP="007920A2">
      <w:pPr>
        <w:tabs>
          <w:tab w:val="left" w:pos="8023"/>
        </w:tabs>
        <w:jc w:val="both"/>
      </w:pPr>
      <w:r>
        <w:t>Grad Vinkovci</w:t>
      </w:r>
      <w:r w:rsidR="00993366" w:rsidRPr="00D44EA4">
        <w:t xml:space="preserve"> </w:t>
      </w:r>
      <w:r w:rsidR="00067A6C" w:rsidRPr="00175BD9">
        <w:t>se obvezuje darovan</w:t>
      </w:r>
      <w:r w:rsidR="00067A6C">
        <w:t>e</w:t>
      </w:r>
      <w:r w:rsidR="00067A6C" w:rsidRPr="00175BD9">
        <w:t xml:space="preserve"> nekretnin</w:t>
      </w:r>
      <w:r w:rsidR="00067A6C">
        <w:t>e</w:t>
      </w:r>
      <w:r w:rsidR="00067A6C" w:rsidRPr="00175BD9">
        <w:t xml:space="preserve"> privesti namjeni utvrđenoj točkom I. ove Odluke u roku od 5 (pet) godina od dan</w:t>
      </w:r>
      <w:r w:rsidR="008D0926">
        <w:t>a sklapanja Ugovora o darovanju</w:t>
      </w:r>
      <w:r w:rsidR="007920A2">
        <w:t>, te u navedenom roku dostaviti Ministarstvu prostornoga uređenja, graditeljstva i državne imovine dokaz o privođenju namjeni.</w:t>
      </w:r>
    </w:p>
    <w:p w14:paraId="4ACCEAA2" w14:textId="77777777" w:rsidR="002D2545" w:rsidRDefault="002D2545" w:rsidP="007920A2">
      <w:pPr>
        <w:tabs>
          <w:tab w:val="left" w:pos="8023"/>
        </w:tabs>
        <w:jc w:val="both"/>
      </w:pPr>
    </w:p>
    <w:p w14:paraId="325228FC" w14:textId="77777777" w:rsidR="002D2545" w:rsidRPr="00F10565" w:rsidRDefault="002D2545" w:rsidP="00BC1E47">
      <w:pPr>
        <w:jc w:val="both"/>
      </w:pPr>
      <w:r w:rsidRPr="00F10565">
        <w:t>Privođenje namjeni iz stavka 1. ove točke podrazumijeva infrastrukturno opremanje poduzetničke zone:</w:t>
      </w:r>
    </w:p>
    <w:p w14:paraId="14FB271D" w14:textId="77777777" w:rsidR="002D2545" w:rsidRPr="00F10565" w:rsidRDefault="002D2545" w:rsidP="00BC1E47">
      <w:pPr>
        <w:jc w:val="both"/>
      </w:pPr>
      <w:r w:rsidRPr="00F10565">
        <w:t>– energetskom infrastrukturom (struja, javna rasvjeta, plin, plinska podstanica, priključci na javnu mrežu i/ili izgrađena trafostanica i drugi energetski priključci),</w:t>
      </w:r>
    </w:p>
    <w:p w14:paraId="021835AB" w14:textId="77777777" w:rsidR="002D2545" w:rsidRPr="00F10565" w:rsidRDefault="002D2545" w:rsidP="00BC1E47">
      <w:pPr>
        <w:autoSpaceDE w:val="0"/>
        <w:autoSpaceDN w:val="0"/>
        <w:adjustRightInd w:val="0"/>
        <w:jc w:val="both"/>
      </w:pPr>
      <w:r w:rsidRPr="00F10565">
        <w:t>– komunalnom infrastrukturom (opskrba vodom, vodovodne i oborinske instalacije, kanalizacija i odvodnja – fekalna, oborinska, tehnološka, priključci na javnu mrežu),</w:t>
      </w:r>
    </w:p>
    <w:p w14:paraId="75CF8216" w14:textId="77777777" w:rsidR="002D2545" w:rsidRPr="00F10565" w:rsidRDefault="002D2545" w:rsidP="00BC1E47">
      <w:pPr>
        <w:jc w:val="both"/>
      </w:pPr>
      <w:r w:rsidRPr="00F10565">
        <w:t>– prometnom infrastrukturom (pristupne ceste, ceste unutar poduzetničke zone, odnosno poduzetničke potporne institucije, parkirališta, utovarne rampe i dr.),</w:t>
      </w:r>
    </w:p>
    <w:p w14:paraId="34BE8333" w14:textId="6C5A614C" w:rsidR="002D2545" w:rsidRDefault="002D2545" w:rsidP="00BC1E47">
      <w:pPr>
        <w:jc w:val="both"/>
      </w:pPr>
      <w:r w:rsidRPr="00F10565">
        <w:t>– komunikacijskom infrastrukturom (telefonska i internetska, radio, TV mreža i dr.).</w:t>
      </w:r>
    </w:p>
    <w:p w14:paraId="6253993E" w14:textId="77777777" w:rsidR="007F7501" w:rsidRPr="00F10565" w:rsidRDefault="007F7501" w:rsidP="00BC1E47">
      <w:pPr>
        <w:jc w:val="both"/>
      </w:pPr>
    </w:p>
    <w:p w14:paraId="0BBC1A04" w14:textId="77777777" w:rsidR="00067A6C" w:rsidRPr="00837046" w:rsidRDefault="00067A6C" w:rsidP="00067A6C">
      <w:pPr>
        <w:tabs>
          <w:tab w:val="left" w:pos="900"/>
        </w:tabs>
        <w:jc w:val="center"/>
      </w:pPr>
    </w:p>
    <w:p w14:paraId="4A3EC0CD" w14:textId="77777777" w:rsidR="00067A6C" w:rsidRPr="003831E1" w:rsidRDefault="00067A6C" w:rsidP="00067A6C">
      <w:pPr>
        <w:tabs>
          <w:tab w:val="left" w:pos="900"/>
        </w:tabs>
        <w:jc w:val="center"/>
        <w:rPr>
          <w:b/>
        </w:rPr>
      </w:pPr>
      <w:r w:rsidRPr="003831E1">
        <w:rPr>
          <w:b/>
        </w:rPr>
        <w:t>VI.</w:t>
      </w:r>
    </w:p>
    <w:p w14:paraId="64775EE6" w14:textId="77777777" w:rsidR="00067A6C" w:rsidRPr="003D26FA" w:rsidRDefault="00067A6C" w:rsidP="00067A6C">
      <w:pPr>
        <w:tabs>
          <w:tab w:val="left" w:pos="900"/>
        </w:tabs>
        <w:jc w:val="both"/>
        <w:rPr>
          <w:sz w:val="16"/>
          <w:szCs w:val="16"/>
        </w:rPr>
      </w:pPr>
    </w:p>
    <w:p w14:paraId="52808302" w14:textId="3C2ACA72" w:rsidR="00F458E4" w:rsidRDefault="00067A6C" w:rsidP="002955DF">
      <w:pPr>
        <w:jc w:val="both"/>
      </w:pPr>
      <w:r w:rsidRPr="00C31EC6">
        <w:t>U slučaju daljnjeg raspolaganja darovan</w:t>
      </w:r>
      <w:r>
        <w:t>im</w:t>
      </w:r>
      <w:r w:rsidRPr="00C31EC6">
        <w:t xml:space="preserve"> nekretn</w:t>
      </w:r>
      <w:r>
        <w:t>inama</w:t>
      </w:r>
      <w:r w:rsidRPr="00C31EC6">
        <w:t xml:space="preserve"> iz točke I. ove Odluke, u smislu prodaje, sredstva ostvarena prodajom </w:t>
      </w:r>
      <w:r w:rsidR="007F7501">
        <w:t>Grad Vinkovci</w:t>
      </w:r>
      <w:r w:rsidRPr="00D44EA4">
        <w:t xml:space="preserve"> </w:t>
      </w:r>
      <w:r w:rsidRPr="00C31EC6">
        <w:t>duž</w:t>
      </w:r>
      <w:r w:rsidR="007F7501">
        <w:t>an</w:t>
      </w:r>
      <w:r w:rsidRPr="00C31EC6">
        <w:t xml:space="preserve"> je koristiti za infrastrukturno opremanje </w:t>
      </w:r>
      <w:r w:rsidR="007F7501">
        <w:t>industrijske zone</w:t>
      </w:r>
      <w:r w:rsidRPr="00C31EC6">
        <w:t xml:space="preserve"> za koju je darovano zemljište, sukladno članku 5. stavku 1. Zakona o unapređenju poduzetničke infrastrukture</w:t>
      </w:r>
      <w:r>
        <w:t xml:space="preserve"> (</w:t>
      </w:r>
      <w:r w:rsidR="001B24B7">
        <w:t>„</w:t>
      </w:r>
      <w:r>
        <w:t>Narodne novine</w:t>
      </w:r>
      <w:r w:rsidR="001B24B7">
        <w:t>“</w:t>
      </w:r>
      <w:r>
        <w:t>, broj 93/13, 114/13, 41/14 i</w:t>
      </w:r>
      <w:r w:rsidRPr="00C956DE">
        <w:t xml:space="preserve"> 57/18</w:t>
      </w:r>
      <w:r>
        <w:t>)</w:t>
      </w:r>
      <w:r w:rsidRPr="00C31EC6">
        <w:t xml:space="preserve">, ili za unapređenje poduzetničkog okruženja unutar </w:t>
      </w:r>
      <w:r w:rsidR="007F7501">
        <w:t>Grada Vinkovaca</w:t>
      </w:r>
      <w:r w:rsidR="00F458E4" w:rsidRPr="00F10565">
        <w:t xml:space="preserve"> i o tome dokumentirano izvijestiti Ministarstvo gospodarstva i održivog razvoja i Ministarstvo prostornoga uređenja, graditeljstva i državne imovine.</w:t>
      </w:r>
    </w:p>
    <w:p w14:paraId="50A558F8" w14:textId="77777777" w:rsidR="007F7501" w:rsidRPr="00F458E4" w:rsidRDefault="007F7501" w:rsidP="002955DF">
      <w:pPr>
        <w:jc w:val="both"/>
        <w:rPr>
          <w:color w:val="FF0000"/>
        </w:rPr>
      </w:pPr>
    </w:p>
    <w:p w14:paraId="272EBB52" w14:textId="77777777" w:rsidR="00067A6C" w:rsidRDefault="00067A6C" w:rsidP="00067A6C">
      <w:pPr>
        <w:tabs>
          <w:tab w:val="left" w:pos="900"/>
        </w:tabs>
        <w:jc w:val="center"/>
        <w:rPr>
          <w:b/>
        </w:rPr>
      </w:pPr>
    </w:p>
    <w:p w14:paraId="46D4F93A" w14:textId="77777777" w:rsidR="00067A6C" w:rsidRPr="003831E1" w:rsidRDefault="00067A6C" w:rsidP="00067A6C">
      <w:pPr>
        <w:tabs>
          <w:tab w:val="left" w:pos="900"/>
        </w:tabs>
        <w:jc w:val="center"/>
        <w:rPr>
          <w:b/>
        </w:rPr>
      </w:pPr>
      <w:r w:rsidRPr="003831E1">
        <w:rPr>
          <w:b/>
        </w:rPr>
        <w:lastRenderedPageBreak/>
        <w:t>VII.</w:t>
      </w:r>
    </w:p>
    <w:p w14:paraId="736A0800" w14:textId="77777777" w:rsidR="00067A6C" w:rsidRPr="003D26FA" w:rsidRDefault="00067A6C" w:rsidP="00067A6C">
      <w:pPr>
        <w:tabs>
          <w:tab w:val="left" w:pos="900"/>
        </w:tabs>
        <w:jc w:val="center"/>
        <w:rPr>
          <w:sz w:val="16"/>
          <w:szCs w:val="16"/>
        </w:rPr>
      </w:pPr>
    </w:p>
    <w:p w14:paraId="45C1D159" w14:textId="064C4920" w:rsidR="00067A6C" w:rsidRDefault="00067A6C" w:rsidP="00067A6C">
      <w:pPr>
        <w:tabs>
          <w:tab w:val="left" w:pos="900"/>
        </w:tabs>
        <w:jc w:val="both"/>
      </w:pPr>
      <w:r w:rsidRPr="00C31EC6">
        <w:t xml:space="preserve">S </w:t>
      </w:r>
      <w:r w:rsidR="007F7501">
        <w:t>Gradom Vinkovcima</w:t>
      </w:r>
      <w:r w:rsidRPr="00D44EA4">
        <w:t xml:space="preserve"> </w:t>
      </w:r>
      <w:r w:rsidRPr="00C31EC6">
        <w:t>sklopit će se Ugovor o darovanju ne</w:t>
      </w:r>
      <w:r>
        <w:t>kretnina iz točke I. ove Odluke.</w:t>
      </w:r>
    </w:p>
    <w:p w14:paraId="37892C28" w14:textId="77777777" w:rsidR="008A0F3F" w:rsidRDefault="008A0F3F" w:rsidP="00067A6C">
      <w:pPr>
        <w:tabs>
          <w:tab w:val="left" w:pos="900"/>
        </w:tabs>
        <w:jc w:val="both"/>
      </w:pPr>
    </w:p>
    <w:p w14:paraId="246FD8CB" w14:textId="1134FAA4" w:rsidR="00067A6C" w:rsidRDefault="00067A6C" w:rsidP="00067A6C">
      <w:pPr>
        <w:tabs>
          <w:tab w:val="left" w:pos="900"/>
        </w:tabs>
        <w:jc w:val="both"/>
        <w:rPr>
          <w:lang w:eastAsia="en-US"/>
        </w:rPr>
      </w:pPr>
      <w:r w:rsidRPr="00C31EC6">
        <w:t>U Ugovor o darovanju unijet će se raskidna klauzula ukoliko se darovan</w:t>
      </w:r>
      <w:r>
        <w:t>e</w:t>
      </w:r>
      <w:r w:rsidRPr="00C31EC6">
        <w:t xml:space="preserve"> nekretnin</w:t>
      </w:r>
      <w:r>
        <w:t>e ne privedu</w:t>
      </w:r>
      <w:r w:rsidRPr="00C31EC6">
        <w:t xml:space="preserve"> namjeni u roku utvrđenom u točki V. ove Odluke ili se promijeni nj</w:t>
      </w:r>
      <w:r>
        <w:t xml:space="preserve">ihova </w:t>
      </w:r>
      <w:r w:rsidRPr="00C31EC6">
        <w:t xml:space="preserve">namjena, </w:t>
      </w:r>
      <w:r w:rsidRPr="001B24B7">
        <w:t xml:space="preserve">ukoliko se sredstva od eventualne prodaje ne iskoristite za infrastrukturno opremanje </w:t>
      </w:r>
      <w:r w:rsidR="007F7501">
        <w:t>industrijske</w:t>
      </w:r>
      <w:r w:rsidR="001B24B7" w:rsidRPr="008D0926">
        <w:t xml:space="preserve"> </w:t>
      </w:r>
      <w:r w:rsidRPr="008D0926">
        <w:t>zone</w:t>
      </w:r>
      <w:r w:rsidRPr="001B24B7">
        <w:t xml:space="preserve"> za koju je darovano zemljište ili za unapređenje poduzetničkog okruženja unutar </w:t>
      </w:r>
      <w:r w:rsidR="007F7501">
        <w:t>Grada Vinkovaca</w:t>
      </w:r>
      <w:r w:rsidRPr="001B24B7">
        <w:t>,</w:t>
      </w:r>
      <w:r w:rsidRPr="00C31EC6">
        <w:t xml:space="preserve"> te </w:t>
      </w:r>
      <w:r w:rsidRPr="00C31EC6">
        <w:rPr>
          <w:lang w:eastAsia="en-US"/>
        </w:rPr>
        <w:t>ukoliko se darovan</w:t>
      </w:r>
      <w:r>
        <w:rPr>
          <w:lang w:eastAsia="en-US"/>
        </w:rPr>
        <w:t>e</w:t>
      </w:r>
      <w:r w:rsidRPr="00C31EC6">
        <w:rPr>
          <w:lang w:eastAsia="en-US"/>
        </w:rPr>
        <w:t xml:space="preserve"> nekretnin</w:t>
      </w:r>
      <w:r>
        <w:rPr>
          <w:lang w:eastAsia="en-US"/>
        </w:rPr>
        <w:t xml:space="preserve">e </w:t>
      </w:r>
      <w:r w:rsidRPr="00C31EC6">
        <w:rPr>
          <w:lang w:eastAsia="en-US"/>
        </w:rPr>
        <w:t>oštet</w:t>
      </w:r>
      <w:r>
        <w:rPr>
          <w:lang w:eastAsia="en-US"/>
        </w:rPr>
        <w:t>e</w:t>
      </w:r>
      <w:r w:rsidRPr="00C31EC6">
        <w:rPr>
          <w:lang w:eastAsia="en-US"/>
        </w:rPr>
        <w:t xml:space="preserve"> namjernim ponašanjem </w:t>
      </w:r>
      <w:r w:rsidR="007F7501">
        <w:rPr>
          <w:lang w:eastAsia="en-US"/>
        </w:rPr>
        <w:t>Grada Vinkovaca</w:t>
      </w:r>
      <w:r w:rsidRPr="00D44EA4">
        <w:rPr>
          <w:lang w:eastAsia="en-US"/>
        </w:rPr>
        <w:t xml:space="preserve"> </w:t>
      </w:r>
      <w:r w:rsidRPr="00C31EC6">
        <w:rPr>
          <w:lang w:eastAsia="en-US"/>
        </w:rPr>
        <w:t>ili postupanjem s krajnjom nepažnjom.</w:t>
      </w:r>
    </w:p>
    <w:p w14:paraId="71DCAA8D" w14:textId="77777777" w:rsidR="00EF1973" w:rsidRDefault="00EF1973" w:rsidP="00067A6C">
      <w:pPr>
        <w:tabs>
          <w:tab w:val="left" w:pos="900"/>
        </w:tabs>
        <w:jc w:val="both"/>
      </w:pPr>
    </w:p>
    <w:p w14:paraId="3987D603" w14:textId="032CCECD" w:rsidR="00067A6C" w:rsidRDefault="00067A6C" w:rsidP="00067A6C">
      <w:pPr>
        <w:tabs>
          <w:tab w:val="left" w:pos="900"/>
        </w:tabs>
        <w:jc w:val="both"/>
      </w:pPr>
      <w:r w:rsidRPr="00C31EC6">
        <w:t>U svim navedenim slučajevima i</w:t>
      </w:r>
      <w:r>
        <w:t>z stavka 2. ove točke</w:t>
      </w:r>
      <w:r w:rsidRPr="00C31EC6">
        <w:t xml:space="preserve"> darovan</w:t>
      </w:r>
      <w:r>
        <w:t>e</w:t>
      </w:r>
      <w:r w:rsidRPr="00C31EC6">
        <w:t xml:space="preserve"> nekretnin</w:t>
      </w:r>
      <w:r>
        <w:t>e</w:t>
      </w:r>
      <w:r w:rsidRPr="00C31EC6">
        <w:t xml:space="preserve"> postaj</w:t>
      </w:r>
      <w:r>
        <w:t>u</w:t>
      </w:r>
      <w:r w:rsidRPr="00C31EC6">
        <w:t xml:space="preserve"> vlasništvo Republike Hrvatske ili će </w:t>
      </w:r>
      <w:r w:rsidR="007F7501">
        <w:t>Grad Vinkovci</w:t>
      </w:r>
      <w:r w:rsidR="00993366" w:rsidRPr="00D44EA4">
        <w:t xml:space="preserve"> </w:t>
      </w:r>
      <w:r w:rsidRPr="00C31EC6">
        <w:t xml:space="preserve">isplatiti Republici Hrvatskoj naknadu za </w:t>
      </w:r>
      <w:r>
        <w:t>te</w:t>
      </w:r>
      <w:r w:rsidRPr="00C31EC6">
        <w:t xml:space="preserve"> nekretnin</w:t>
      </w:r>
      <w:r>
        <w:t>e</w:t>
      </w:r>
      <w:r w:rsidRPr="00C31EC6">
        <w:t xml:space="preserve"> u visini nj</w:t>
      </w:r>
      <w:r>
        <w:t>ihove</w:t>
      </w:r>
      <w:r w:rsidRPr="00C31EC6">
        <w:t xml:space="preserve"> tržišne vrijednosti u vrijeme raskida Ugovora o darovanju.</w:t>
      </w:r>
    </w:p>
    <w:p w14:paraId="08848C08" w14:textId="77777777" w:rsidR="000668CD" w:rsidRDefault="000668CD" w:rsidP="00067A6C">
      <w:pPr>
        <w:tabs>
          <w:tab w:val="left" w:pos="900"/>
        </w:tabs>
        <w:jc w:val="center"/>
        <w:rPr>
          <w:b/>
        </w:rPr>
      </w:pPr>
    </w:p>
    <w:p w14:paraId="7DF6AFB2" w14:textId="77777777" w:rsidR="007F7501" w:rsidRDefault="007F7501" w:rsidP="00067A6C">
      <w:pPr>
        <w:tabs>
          <w:tab w:val="left" w:pos="900"/>
        </w:tabs>
        <w:jc w:val="center"/>
        <w:rPr>
          <w:b/>
        </w:rPr>
      </w:pPr>
    </w:p>
    <w:p w14:paraId="7197C9B0" w14:textId="77777777" w:rsidR="007F7501" w:rsidRDefault="007F7501" w:rsidP="00067A6C">
      <w:pPr>
        <w:tabs>
          <w:tab w:val="left" w:pos="900"/>
        </w:tabs>
        <w:jc w:val="center"/>
        <w:rPr>
          <w:b/>
        </w:rPr>
      </w:pPr>
    </w:p>
    <w:p w14:paraId="0582BB3A" w14:textId="77777777" w:rsidR="007F7501" w:rsidRDefault="007F7501" w:rsidP="00067A6C">
      <w:pPr>
        <w:tabs>
          <w:tab w:val="left" w:pos="900"/>
        </w:tabs>
        <w:jc w:val="center"/>
        <w:rPr>
          <w:b/>
        </w:rPr>
      </w:pPr>
    </w:p>
    <w:p w14:paraId="5FFCC06F" w14:textId="672159E6" w:rsidR="00067A6C" w:rsidRPr="00D313BA" w:rsidRDefault="00067A6C" w:rsidP="00067A6C">
      <w:pPr>
        <w:tabs>
          <w:tab w:val="left" w:pos="900"/>
        </w:tabs>
        <w:jc w:val="center"/>
        <w:rPr>
          <w:b/>
        </w:rPr>
      </w:pPr>
      <w:r>
        <w:rPr>
          <w:b/>
        </w:rPr>
        <w:t>VIII</w:t>
      </w:r>
      <w:r w:rsidRPr="001622D3">
        <w:rPr>
          <w:b/>
        </w:rPr>
        <w:t>.</w:t>
      </w:r>
    </w:p>
    <w:p w14:paraId="7E6F3EA2" w14:textId="77777777" w:rsidR="00067A6C" w:rsidRPr="003D26FA" w:rsidRDefault="00067A6C" w:rsidP="00067A6C">
      <w:pPr>
        <w:tabs>
          <w:tab w:val="left" w:pos="900"/>
        </w:tabs>
        <w:jc w:val="center"/>
        <w:rPr>
          <w:b/>
          <w:sz w:val="16"/>
          <w:szCs w:val="16"/>
        </w:rPr>
      </w:pPr>
    </w:p>
    <w:p w14:paraId="0CC2C4AA" w14:textId="77777777" w:rsidR="00067A6C" w:rsidRDefault="00067A6C" w:rsidP="00067A6C">
      <w:pPr>
        <w:tabs>
          <w:tab w:val="left" w:pos="900"/>
        </w:tabs>
        <w:jc w:val="both"/>
      </w:pPr>
      <w:r w:rsidRPr="00F3356D">
        <w:t xml:space="preserve">Za provođenje ove Odluke zadužuje se Ministarstvo </w:t>
      </w:r>
      <w:r w:rsidR="00993366">
        <w:t xml:space="preserve">prostornoga uređenja, graditeljstva i </w:t>
      </w:r>
      <w:r w:rsidRPr="00F3356D">
        <w:t xml:space="preserve">državne imovine, a Ugovor o darovanju u ime </w:t>
      </w:r>
      <w:r>
        <w:t xml:space="preserve">Vlade </w:t>
      </w:r>
      <w:r w:rsidRPr="00F3356D">
        <w:t xml:space="preserve">Republike Hrvatske potpisat će ministar </w:t>
      </w:r>
      <w:r w:rsidR="00993366">
        <w:t xml:space="preserve">prostornoga uređenja, graditeljstva i </w:t>
      </w:r>
      <w:r w:rsidRPr="00F3356D">
        <w:t>državne imovine.</w:t>
      </w:r>
    </w:p>
    <w:p w14:paraId="26FF7252" w14:textId="77777777" w:rsidR="00993366" w:rsidRDefault="00993366" w:rsidP="00067A6C">
      <w:pPr>
        <w:tabs>
          <w:tab w:val="left" w:pos="900"/>
        </w:tabs>
        <w:jc w:val="both"/>
      </w:pPr>
    </w:p>
    <w:p w14:paraId="30D16EFC" w14:textId="77777777" w:rsidR="00067A6C" w:rsidRDefault="00067A6C" w:rsidP="00067A6C">
      <w:pPr>
        <w:tabs>
          <w:tab w:val="left" w:pos="900"/>
        </w:tabs>
        <w:jc w:val="center"/>
        <w:rPr>
          <w:b/>
        </w:rPr>
      </w:pPr>
      <w:r>
        <w:rPr>
          <w:b/>
        </w:rPr>
        <w:t>I</w:t>
      </w:r>
      <w:r w:rsidRPr="00175BD9">
        <w:rPr>
          <w:b/>
        </w:rPr>
        <w:t>X.</w:t>
      </w:r>
    </w:p>
    <w:p w14:paraId="6D9B800D" w14:textId="77777777" w:rsidR="00067A6C" w:rsidRPr="003D26FA" w:rsidRDefault="00067A6C" w:rsidP="00067A6C">
      <w:pPr>
        <w:tabs>
          <w:tab w:val="left" w:pos="900"/>
        </w:tabs>
        <w:jc w:val="center"/>
        <w:rPr>
          <w:b/>
          <w:sz w:val="16"/>
          <w:szCs w:val="16"/>
        </w:rPr>
      </w:pPr>
    </w:p>
    <w:p w14:paraId="018C7002" w14:textId="77777777" w:rsidR="00067A6C" w:rsidRDefault="00067A6C" w:rsidP="00067A6C">
      <w:pPr>
        <w:tabs>
          <w:tab w:val="left" w:pos="900"/>
        </w:tabs>
        <w:jc w:val="both"/>
      </w:pPr>
      <w:r w:rsidRPr="00837046">
        <w:t>Ova Odluka stupa na snagu danom donošenja.</w:t>
      </w:r>
    </w:p>
    <w:p w14:paraId="03B1A4D1" w14:textId="77777777" w:rsidR="00067A6C" w:rsidRPr="008B596A" w:rsidRDefault="00067A6C" w:rsidP="00067A6C">
      <w:pPr>
        <w:rPr>
          <w:rFonts w:ascii="Arial" w:hAnsi="Arial" w:cs="Arial"/>
          <w:sz w:val="20"/>
          <w:szCs w:val="20"/>
        </w:rPr>
      </w:pPr>
      <w:r>
        <w:rPr>
          <w:rFonts w:ascii="Arial" w:hAnsi="Arial" w:cs="Arial"/>
          <w:sz w:val="22"/>
          <w:szCs w:val="22"/>
        </w:rPr>
        <w:tab/>
      </w:r>
      <w:r w:rsidRPr="0080193E">
        <w:rPr>
          <w:rFonts w:ascii="Arial" w:hAnsi="Arial" w:cs="Arial"/>
          <w:sz w:val="20"/>
          <w:szCs w:val="20"/>
        </w:rPr>
        <w:t xml:space="preserve"> </w:t>
      </w:r>
    </w:p>
    <w:p w14:paraId="510CA038" w14:textId="77777777" w:rsidR="00067A6C" w:rsidRPr="008D3B89" w:rsidRDefault="00067A6C" w:rsidP="00067A6C">
      <w:pPr>
        <w:rPr>
          <w:rFonts w:eastAsia="Calibri"/>
          <w:lang w:eastAsia="en-US"/>
        </w:rPr>
      </w:pPr>
      <w:r w:rsidRPr="008D3B89">
        <w:rPr>
          <w:rFonts w:eastAsia="Calibri"/>
          <w:lang w:eastAsia="en-US"/>
        </w:rPr>
        <w:t>KLASA:</w:t>
      </w:r>
    </w:p>
    <w:p w14:paraId="6C6B75D1" w14:textId="77777777" w:rsidR="00067A6C" w:rsidRPr="008D3B89" w:rsidRDefault="00067A6C" w:rsidP="00067A6C">
      <w:pPr>
        <w:rPr>
          <w:rFonts w:eastAsia="Calibri"/>
          <w:lang w:eastAsia="en-US"/>
        </w:rPr>
      </w:pPr>
      <w:r w:rsidRPr="008D3B89">
        <w:rPr>
          <w:rFonts w:eastAsia="Calibri"/>
          <w:lang w:eastAsia="en-US"/>
        </w:rPr>
        <w:t>URBROJ:</w:t>
      </w:r>
    </w:p>
    <w:p w14:paraId="7193BBF9" w14:textId="77777777" w:rsidR="00067A6C" w:rsidRPr="008D3B89" w:rsidRDefault="00067A6C" w:rsidP="00067A6C">
      <w:pPr>
        <w:rPr>
          <w:rFonts w:eastAsia="Calibri"/>
          <w:lang w:eastAsia="en-US"/>
        </w:rPr>
      </w:pPr>
    </w:p>
    <w:p w14:paraId="4B9F32C5" w14:textId="236ADC3E" w:rsidR="00067A6C" w:rsidRDefault="00067A6C" w:rsidP="00067A6C">
      <w:pPr>
        <w:rPr>
          <w:rFonts w:eastAsia="Calibri"/>
          <w:lang w:eastAsia="en-US"/>
        </w:rPr>
      </w:pPr>
      <w:r>
        <w:rPr>
          <w:rFonts w:eastAsia="Calibri"/>
          <w:lang w:eastAsia="en-US"/>
        </w:rPr>
        <w:t>Zagreb</w:t>
      </w:r>
      <w:r w:rsidRPr="008D3B89">
        <w:rPr>
          <w:rFonts w:eastAsia="Calibri"/>
          <w:lang w:eastAsia="en-US"/>
        </w:rPr>
        <w:t xml:space="preserve">, </w:t>
      </w:r>
      <w:r w:rsidR="00FD0FE0">
        <w:rPr>
          <w:rFonts w:eastAsia="Calibri"/>
          <w:lang w:eastAsia="en-US"/>
        </w:rPr>
        <w:t>__________</w:t>
      </w:r>
      <w:r w:rsidR="00611D37">
        <w:rPr>
          <w:rFonts w:eastAsia="Calibri"/>
          <w:lang w:eastAsia="en-US"/>
        </w:rPr>
        <w:t xml:space="preserve"> 2022</w:t>
      </w:r>
      <w:r w:rsidRPr="008D3B89">
        <w:rPr>
          <w:rFonts w:eastAsia="Calibri"/>
          <w:lang w:eastAsia="en-US"/>
        </w:rPr>
        <w:t>.</w:t>
      </w:r>
    </w:p>
    <w:p w14:paraId="356B9E63" w14:textId="77777777" w:rsidR="00341466" w:rsidRPr="008D3B89" w:rsidRDefault="00341466" w:rsidP="00067A6C">
      <w:pPr>
        <w:rPr>
          <w:rFonts w:eastAsia="Calibri"/>
          <w:lang w:eastAsia="en-US"/>
        </w:rPr>
      </w:pPr>
    </w:p>
    <w:p w14:paraId="7CA8083D" w14:textId="77777777" w:rsidR="00067A6C" w:rsidRPr="008D3B89" w:rsidRDefault="00067A6C" w:rsidP="00067A6C">
      <w:pPr>
        <w:ind w:left="4956"/>
        <w:jc w:val="center"/>
        <w:rPr>
          <w:rFonts w:eastAsia="Calibri"/>
          <w:lang w:eastAsia="en-US"/>
        </w:rPr>
      </w:pPr>
      <w:r w:rsidRPr="008D3B89">
        <w:rPr>
          <w:rFonts w:eastAsia="Calibri"/>
          <w:lang w:eastAsia="en-US"/>
        </w:rPr>
        <w:t>PREDSJEDNIK</w:t>
      </w:r>
    </w:p>
    <w:p w14:paraId="555108EA" w14:textId="77777777" w:rsidR="00067A6C" w:rsidRPr="008D3B89" w:rsidRDefault="00067A6C" w:rsidP="00067A6C">
      <w:pPr>
        <w:ind w:left="4956"/>
        <w:jc w:val="center"/>
        <w:rPr>
          <w:rFonts w:eastAsia="Calibri"/>
          <w:lang w:eastAsia="en-US"/>
        </w:rPr>
      </w:pPr>
    </w:p>
    <w:p w14:paraId="20CFE37C" w14:textId="77777777" w:rsidR="00067A6C" w:rsidRPr="008D3B89" w:rsidRDefault="00067A6C" w:rsidP="00067A6C">
      <w:pPr>
        <w:ind w:left="4956"/>
        <w:jc w:val="center"/>
        <w:rPr>
          <w:rFonts w:eastAsia="Calibri"/>
          <w:lang w:eastAsia="en-US"/>
        </w:rPr>
      </w:pPr>
    </w:p>
    <w:p w14:paraId="6256C3CB" w14:textId="77777777" w:rsidR="00067A6C" w:rsidRPr="008D3B89" w:rsidRDefault="00067A6C" w:rsidP="00067A6C">
      <w:pPr>
        <w:ind w:left="4956"/>
        <w:jc w:val="center"/>
        <w:rPr>
          <w:rFonts w:eastAsia="Calibri"/>
          <w:lang w:eastAsia="en-US"/>
        </w:rPr>
      </w:pPr>
    </w:p>
    <w:p w14:paraId="35A221FB" w14:textId="77777777" w:rsidR="00067A6C" w:rsidRDefault="00067A6C" w:rsidP="00067A6C">
      <w:pPr>
        <w:ind w:left="4956"/>
        <w:jc w:val="center"/>
        <w:rPr>
          <w:rFonts w:eastAsia="Calibri"/>
          <w:lang w:eastAsia="en-US"/>
        </w:rPr>
      </w:pPr>
      <w:r w:rsidRPr="008D3B89">
        <w:rPr>
          <w:rFonts w:eastAsia="Calibri"/>
          <w:lang w:eastAsia="en-US"/>
        </w:rPr>
        <w:t>mr. sc. Andrej Plenković</w:t>
      </w:r>
    </w:p>
    <w:p w14:paraId="27FE6EDB" w14:textId="77777777" w:rsidR="00067A6C" w:rsidRDefault="00067A6C" w:rsidP="00067A6C">
      <w:pPr>
        <w:ind w:left="4956"/>
        <w:jc w:val="center"/>
        <w:rPr>
          <w:rFonts w:eastAsia="Calibri"/>
          <w:lang w:eastAsia="en-US"/>
        </w:rPr>
      </w:pPr>
    </w:p>
    <w:p w14:paraId="66EF84C6" w14:textId="77777777" w:rsidR="00067A6C" w:rsidRDefault="00067A6C" w:rsidP="00067A6C">
      <w:pPr>
        <w:jc w:val="center"/>
        <w:rPr>
          <w:rFonts w:eastAsia="Calibri"/>
          <w:lang w:eastAsia="en-US"/>
        </w:rPr>
      </w:pPr>
    </w:p>
    <w:p w14:paraId="0DC58922" w14:textId="77777777" w:rsidR="007D74E5" w:rsidRDefault="007D74E5" w:rsidP="00067A6C">
      <w:pPr>
        <w:jc w:val="center"/>
        <w:rPr>
          <w:rFonts w:eastAsia="Calibri"/>
          <w:lang w:eastAsia="en-US"/>
        </w:rPr>
      </w:pPr>
    </w:p>
    <w:p w14:paraId="6E2A91B9" w14:textId="77777777" w:rsidR="007D74E5" w:rsidRDefault="007D74E5" w:rsidP="00067A6C">
      <w:pPr>
        <w:jc w:val="center"/>
        <w:rPr>
          <w:rFonts w:eastAsia="Calibri"/>
          <w:lang w:eastAsia="en-US"/>
        </w:rPr>
      </w:pPr>
    </w:p>
    <w:p w14:paraId="72256522" w14:textId="77777777" w:rsidR="007D74E5" w:rsidRDefault="007D74E5" w:rsidP="00067A6C">
      <w:pPr>
        <w:jc w:val="center"/>
        <w:rPr>
          <w:rFonts w:eastAsia="Calibri"/>
          <w:lang w:eastAsia="en-US"/>
        </w:rPr>
      </w:pPr>
    </w:p>
    <w:p w14:paraId="1FA5BE2B" w14:textId="77777777" w:rsidR="007D74E5" w:rsidRDefault="007D74E5" w:rsidP="00067A6C">
      <w:pPr>
        <w:jc w:val="center"/>
        <w:rPr>
          <w:rFonts w:eastAsia="Calibri"/>
          <w:lang w:eastAsia="en-US"/>
        </w:rPr>
      </w:pPr>
    </w:p>
    <w:p w14:paraId="347D31FE" w14:textId="77777777" w:rsidR="007D74E5" w:rsidRDefault="007D74E5" w:rsidP="00067A6C">
      <w:pPr>
        <w:jc w:val="center"/>
        <w:rPr>
          <w:rFonts w:eastAsia="Calibri"/>
          <w:lang w:eastAsia="en-US"/>
        </w:rPr>
      </w:pPr>
    </w:p>
    <w:p w14:paraId="41F3A3DB" w14:textId="77777777" w:rsidR="007D74E5" w:rsidRDefault="007D74E5" w:rsidP="00067A6C">
      <w:pPr>
        <w:jc w:val="center"/>
        <w:rPr>
          <w:rFonts w:eastAsia="Calibri"/>
          <w:lang w:eastAsia="en-US"/>
        </w:rPr>
      </w:pPr>
    </w:p>
    <w:p w14:paraId="3AE1E672" w14:textId="77777777" w:rsidR="007D74E5" w:rsidRDefault="007D74E5" w:rsidP="00067A6C">
      <w:pPr>
        <w:jc w:val="center"/>
        <w:rPr>
          <w:rFonts w:eastAsia="Calibri"/>
          <w:lang w:eastAsia="en-US"/>
        </w:rPr>
      </w:pPr>
    </w:p>
    <w:p w14:paraId="07526DBF" w14:textId="77777777" w:rsidR="007D74E5" w:rsidRDefault="007D74E5" w:rsidP="00067A6C">
      <w:pPr>
        <w:jc w:val="center"/>
        <w:rPr>
          <w:rFonts w:eastAsia="Calibri"/>
          <w:lang w:eastAsia="en-US"/>
        </w:rPr>
      </w:pPr>
    </w:p>
    <w:p w14:paraId="0048F30F" w14:textId="77777777" w:rsidR="007D74E5" w:rsidRDefault="007D74E5" w:rsidP="00067A6C">
      <w:pPr>
        <w:jc w:val="center"/>
        <w:rPr>
          <w:rFonts w:eastAsia="Calibri"/>
          <w:lang w:eastAsia="en-US"/>
        </w:rPr>
      </w:pPr>
    </w:p>
    <w:p w14:paraId="09A1428C" w14:textId="77777777" w:rsidR="00234480" w:rsidRDefault="00234480" w:rsidP="00067A6C">
      <w:pPr>
        <w:jc w:val="center"/>
        <w:rPr>
          <w:rFonts w:eastAsia="Calibri"/>
          <w:lang w:eastAsia="en-US"/>
        </w:rPr>
      </w:pPr>
    </w:p>
    <w:p w14:paraId="0A829BE7" w14:textId="77777777" w:rsidR="002955DF" w:rsidRDefault="002955DF" w:rsidP="00067A6C">
      <w:pPr>
        <w:jc w:val="center"/>
        <w:rPr>
          <w:rFonts w:eastAsia="Calibri"/>
          <w:lang w:eastAsia="en-US"/>
        </w:rPr>
      </w:pPr>
    </w:p>
    <w:p w14:paraId="4FA3A0C2" w14:textId="77777777" w:rsidR="003C7F17" w:rsidRDefault="003C7F17" w:rsidP="00067A6C">
      <w:pPr>
        <w:jc w:val="center"/>
        <w:rPr>
          <w:rFonts w:eastAsia="Calibri"/>
          <w:lang w:eastAsia="en-US"/>
        </w:rPr>
      </w:pPr>
    </w:p>
    <w:p w14:paraId="535B17BB" w14:textId="77777777" w:rsidR="006D3831" w:rsidRDefault="006D3831" w:rsidP="00067A6C">
      <w:pPr>
        <w:jc w:val="center"/>
        <w:rPr>
          <w:rFonts w:eastAsia="Calibri"/>
          <w:lang w:eastAsia="en-US"/>
        </w:rPr>
      </w:pPr>
    </w:p>
    <w:p w14:paraId="7D13C0C7" w14:textId="77777777" w:rsidR="007F7501" w:rsidRDefault="007F7501" w:rsidP="00067A6C">
      <w:pPr>
        <w:jc w:val="center"/>
        <w:rPr>
          <w:rFonts w:eastAsia="Calibri"/>
          <w:lang w:eastAsia="en-US"/>
        </w:rPr>
      </w:pPr>
    </w:p>
    <w:p w14:paraId="5ABAC1D0" w14:textId="77777777" w:rsidR="007F7501" w:rsidRDefault="007F7501" w:rsidP="00067A6C">
      <w:pPr>
        <w:jc w:val="center"/>
        <w:rPr>
          <w:rFonts w:eastAsia="Calibri"/>
          <w:lang w:eastAsia="en-US"/>
        </w:rPr>
      </w:pPr>
    </w:p>
    <w:p w14:paraId="2083493F" w14:textId="77777777" w:rsidR="007F7501" w:rsidRDefault="007F7501" w:rsidP="00067A6C">
      <w:pPr>
        <w:jc w:val="center"/>
        <w:rPr>
          <w:rFonts w:eastAsia="Calibri"/>
          <w:lang w:eastAsia="en-US"/>
        </w:rPr>
      </w:pPr>
    </w:p>
    <w:p w14:paraId="27689B98" w14:textId="77777777" w:rsidR="007F7501" w:rsidRDefault="007F7501" w:rsidP="00067A6C">
      <w:pPr>
        <w:jc w:val="center"/>
        <w:rPr>
          <w:rFonts w:eastAsia="Calibri"/>
          <w:lang w:eastAsia="en-US"/>
        </w:rPr>
      </w:pPr>
    </w:p>
    <w:p w14:paraId="11438374" w14:textId="77777777" w:rsidR="007F7501" w:rsidRDefault="007F7501" w:rsidP="00067A6C">
      <w:pPr>
        <w:jc w:val="center"/>
        <w:rPr>
          <w:rFonts w:eastAsia="Calibri"/>
          <w:lang w:eastAsia="en-US"/>
        </w:rPr>
      </w:pPr>
    </w:p>
    <w:p w14:paraId="0E76003F" w14:textId="77777777" w:rsidR="007F7501" w:rsidRDefault="007F7501" w:rsidP="00067A6C">
      <w:pPr>
        <w:jc w:val="center"/>
        <w:rPr>
          <w:rFonts w:eastAsia="Calibri"/>
          <w:lang w:eastAsia="en-US"/>
        </w:rPr>
      </w:pPr>
    </w:p>
    <w:p w14:paraId="35C78294" w14:textId="77777777" w:rsidR="007F7501" w:rsidRDefault="007F7501" w:rsidP="00067A6C">
      <w:pPr>
        <w:jc w:val="center"/>
        <w:rPr>
          <w:rFonts w:eastAsia="Calibri"/>
          <w:lang w:eastAsia="en-US"/>
        </w:rPr>
      </w:pPr>
    </w:p>
    <w:p w14:paraId="28875706" w14:textId="77777777" w:rsidR="007F7501" w:rsidRDefault="007F7501" w:rsidP="00067A6C">
      <w:pPr>
        <w:jc w:val="center"/>
        <w:rPr>
          <w:rFonts w:eastAsia="Calibri"/>
          <w:lang w:eastAsia="en-US"/>
        </w:rPr>
      </w:pPr>
    </w:p>
    <w:p w14:paraId="1B9E1372" w14:textId="77777777" w:rsidR="007F7501" w:rsidRDefault="007F7501" w:rsidP="00067A6C">
      <w:pPr>
        <w:jc w:val="center"/>
        <w:rPr>
          <w:rFonts w:eastAsia="Calibri"/>
          <w:lang w:eastAsia="en-US"/>
        </w:rPr>
      </w:pPr>
    </w:p>
    <w:p w14:paraId="72A07ACE" w14:textId="77777777" w:rsidR="007F7501" w:rsidRDefault="007F7501" w:rsidP="00067A6C">
      <w:pPr>
        <w:jc w:val="center"/>
        <w:rPr>
          <w:rFonts w:eastAsia="Calibri"/>
          <w:lang w:eastAsia="en-US"/>
        </w:rPr>
      </w:pPr>
    </w:p>
    <w:p w14:paraId="7C04EB91" w14:textId="77777777" w:rsidR="007F7501" w:rsidRDefault="007F7501" w:rsidP="00067A6C">
      <w:pPr>
        <w:jc w:val="center"/>
        <w:rPr>
          <w:rFonts w:eastAsia="Calibri"/>
          <w:lang w:eastAsia="en-US"/>
        </w:rPr>
      </w:pPr>
    </w:p>
    <w:p w14:paraId="757E7600" w14:textId="77777777" w:rsidR="007F7501" w:rsidRDefault="007F7501" w:rsidP="00067A6C">
      <w:pPr>
        <w:jc w:val="center"/>
        <w:rPr>
          <w:rFonts w:eastAsia="Calibri"/>
          <w:lang w:eastAsia="en-US"/>
        </w:rPr>
      </w:pPr>
    </w:p>
    <w:p w14:paraId="043EE254" w14:textId="77777777" w:rsidR="007F7501" w:rsidRDefault="007F7501" w:rsidP="00067A6C">
      <w:pPr>
        <w:jc w:val="center"/>
        <w:rPr>
          <w:rFonts w:eastAsia="Calibri"/>
          <w:lang w:eastAsia="en-US"/>
        </w:rPr>
      </w:pPr>
    </w:p>
    <w:p w14:paraId="149CF702" w14:textId="77777777" w:rsidR="007F7501" w:rsidRDefault="007F7501" w:rsidP="00067A6C">
      <w:pPr>
        <w:jc w:val="center"/>
        <w:rPr>
          <w:rFonts w:eastAsia="Calibri"/>
          <w:lang w:eastAsia="en-US"/>
        </w:rPr>
      </w:pPr>
    </w:p>
    <w:p w14:paraId="39943279" w14:textId="77777777" w:rsidR="007F7501" w:rsidRDefault="007F7501" w:rsidP="00067A6C">
      <w:pPr>
        <w:jc w:val="center"/>
        <w:rPr>
          <w:rFonts w:eastAsia="Calibri"/>
          <w:lang w:eastAsia="en-US"/>
        </w:rPr>
      </w:pPr>
    </w:p>
    <w:p w14:paraId="7BCE4AF3" w14:textId="77777777" w:rsidR="007F7501" w:rsidRDefault="007F7501" w:rsidP="00067A6C">
      <w:pPr>
        <w:jc w:val="center"/>
        <w:rPr>
          <w:rFonts w:eastAsia="Calibri"/>
          <w:lang w:eastAsia="en-US"/>
        </w:rPr>
      </w:pPr>
    </w:p>
    <w:p w14:paraId="08662813" w14:textId="77777777" w:rsidR="007F7501" w:rsidRDefault="007F7501" w:rsidP="00067A6C">
      <w:pPr>
        <w:jc w:val="center"/>
        <w:rPr>
          <w:rFonts w:eastAsia="Calibri"/>
          <w:lang w:eastAsia="en-US"/>
        </w:rPr>
      </w:pPr>
    </w:p>
    <w:p w14:paraId="195809A6" w14:textId="77777777" w:rsidR="007F7501" w:rsidRDefault="007F7501" w:rsidP="00067A6C">
      <w:pPr>
        <w:jc w:val="center"/>
        <w:rPr>
          <w:rFonts w:eastAsia="Calibri"/>
          <w:lang w:eastAsia="en-US"/>
        </w:rPr>
      </w:pPr>
    </w:p>
    <w:p w14:paraId="68AA5166" w14:textId="521C0E29" w:rsidR="00067A6C" w:rsidRPr="00063201" w:rsidRDefault="00067A6C" w:rsidP="00067A6C">
      <w:pPr>
        <w:jc w:val="center"/>
        <w:rPr>
          <w:rFonts w:eastAsia="Calibri"/>
          <w:b/>
          <w:lang w:eastAsia="en-US"/>
        </w:rPr>
      </w:pPr>
      <w:r w:rsidRPr="00063201">
        <w:rPr>
          <w:rFonts w:eastAsia="Calibri"/>
          <w:b/>
          <w:lang w:eastAsia="en-US"/>
        </w:rPr>
        <w:t>Obrazloženje</w:t>
      </w:r>
    </w:p>
    <w:p w14:paraId="6901A88B" w14:textId="77777777" w:rsidR="00067A6C" w:rsidRPr="00063201" w:rsidRDefault="00067A6C" w:rsidP="00067A6C">
      <w:pPr>
        <w:jc w:val="center"/>
        <w:rPr>
          <w:rFonts w:eastAsia="Calibri"/>
          <w:b/>
          <w:lang w:eastAsia="en-US"/>
        </w:rPr>
      </w:pPr>
    </w:p>
    <w:p w14:paraId="7FABCB50" w14:textId="7A2E0A39" w:rsidR="007920A2" w:rsidRDefault="000B7C53" w:rsidP="009E335C">
      <w:pPr>
        <w:tabs>
          <w:tab w:val="left" w:pos="900"/>
        </w:tabs>
        <w:jc w:val="both"/>
      </w:pPr>
      <w:r>
        <w:rPr>
          <w:rFonts w:eastAsia="Calibri"/>
          <w:lang w:eastAsia="en-US"/>
        </w:rPr>
        <w:t>Grad Vinkovci</w:t>
      </w:r>
      <w:r w:rsidR="00067A6C" w:rsidRPr="001949E3">
        <w:rPr>
          <w:rFonts w:eastAsia="Calibri"/>
          <w:lang w:eastAsia="en-US"/>
        </w:rPr>
        <w:t xml:space="preserve"> </w:t>
      </w:r>
      <w:r w:rsidR="00067A6C" w:rsidRPr="00B34322">
        <w:rPr>
          <w:rFonts w:eastAsia="Calibri"/>
          <w:lang w:eastAsia="en-US"/>
        </w:rPr>
        <w:t>podni</w:t>
      </w:r>
      <w:r>
        <w:rPr>
          <w:rFonts w:eastAsia="Calibri"/>
          <w:lang w:eastAsia="en-US"/>
        </w:rPr>
        <w:t>o</w:t>
      </w:r>
      <w:r w:rsidR="00067A6C" w:rsidRPr="00B34322">
        <w:rPr>
          <w:rFonts w:eastAsia="Calibri"/>
          <w:lang w:eastAsia="en-US"/>
        </w:rPr>
        <w:t xml:space="preserve"> je </w:t>
      </w:r>
      <w:r>
        <w:rPr>
          <w:rFonts w:eastAsia="Calibri"/>
          <w:lang w:eastAsia="en-US"/>
        </w:rPr>
        <w:t xml:space="preserve">pravnom predniku </w:t>
      </w:r>
      <w:r w:rsidR="00067A6C" w:rsidRPr="00B34322">
        <w:rPr>
          <w:rFonts w:eastAsia="Calibri"/>
          <w:lang w:eastAsia="en-US"/>
        </w:rPr>
        <w:t>Ministarstv</w:t>
      </w:r>
      <w:r>
        <w:rPr>
          <w:rFonts w:eastAsia="Calibri"/>
          <w:lang w:eastAsia="en-US"/>
        </w:rPr>
        <w:t>a</w:t>
      </w:r>
      <w:r w:rsidR="00067A6C" w:rsidRPr="00B34322">
        <w:rPr>
          <w:rFonts w:eastAsia="Calibri"/>
          <w:lang w:eastAsia="en-US"/>
        </w:rPr>
        <w:t xml:space="preserve"> </w:t>
      </w:r>
      <w:r w:rsidR="007920A2">
        <w:rPr>
          <w:rFonts w:eastAsia="Calibri"/>
          <w:lang w:eastAsia="en-US"/>
        </w:rPr>
        <w:t xml:space="preserve">prostornoga uređenja, graditeljstva i </w:t>
      </w:r>
      <w:r w:rsidR="00067A6C" w:rsidRPr="00B34322">
        <w:rPr>
          <w:rFonts w:eastAsia="Calibri"/>
          <w:lang w:eastAsia="en-US"/>
        </w:rPr>
        <w:t xml:space="preserve">državne imovine </w:t>
      </w:r>
      <w:r>
        <w:rPr>
          <w:rFonts w:eastAsia="Calibri"/>
          <w:lang w:eastAsia="en-US"/>
        </w:rPr>
        <w:t xml:space="preserve">(izmijenjeni) </w:t>
      </w:r>
      <w:r w:rsidR="00067A6C" w:rsidRPr="00B34322">
        <w:rPr>
          <w:rFonts w:eastAsia="Calibri"/>
          <w:lang w:eastAsia="en-US"/>
        </w:rPr>
        <w:t>zahtjev za darovanje nekretnin</w:t>
      </w:r>
      <w:r w:rsidR="00067A6C">
        <w:rPr>
          <w:rFonts w:eastAsia="Calibri"/>
          <w:lang w:eastAsia="en-US"/>
        </w:rPr>
        <w:t>a</w:t>
      </w:r>
      <w:r w:rsidR="00067A6C" w:rsidRPr="00B34322">
        <w:rPr>
          <w:rFonts w:eastAsia="Calibri"/>
          <w:lang w:eastAsia="en-US"/>
        </w:rPr>
        <w:t xml:space="preserve"> u vlasništvu Republike Hrvatske</w:t>
      </w:r>
      <w:r w:rsidR="009D7922" w:rsidRPr="009D7922">
        <w:t xml:space="preserve"> sveuk</w:t>
      </w:r>
      <w:r w:rsidR="00207A38">
        <w:t xml:space="preserve">upne površine 1.090.360,00 m2, </w:t>
      </w:r>
      <w:r w:rsidR="009D7922" w:rsidRPr="009D7922">
        <w:t>u svrhu proširenja Industrijske zone „Zalužje“.</w:t>
      </w:r>
    </w:p>
    <w:p w14:paraId="7B393907" w14:textId="5D4DAA5E" w:rsidR="000B7C53" w:rsidRDefault="000B7C53" w:rsidP="009E335C">
      <w:pPr>
        <w:tabs>
          <w:tab w:val="left" w:pos="900"/>
        </w:tabs>
        <w:jc w:val="both"/>
      </w:pPr>
    </w:p>
    <w:p w14:paraId="078DB67D" w14:textId="71D92BDC" w:rsidR="000B7C53" w:rsidRDefault="000B7C53" w:rsidP="009E335C">
      <w:pPr>
        <w:tabs>
          <w:tab w:val="left" w:pos="900"/>
        </w:tabs>
        <w:jc w:val="both"/>
      </w:pPr>
      <w:r>
        <w:t xml:space="preserve">Osnovni zahtjev Grada Vinkovaca odnosio se na nekretnine na kojima je temeljem Ugovora o zakupu poljoprivrednog zemljišta u vlasništvu države iz 2010. godine uknjiženo pravo dugogodišnjeg zakupa državnog poljoprivrednog zemljišta na rok od </w:t>
      </w:r>
      <w:r>
        <w:lastRenderedPageBreak/>
        <w:t>50 godina u korist pravne osobe iz Vinkovaca</w:t>
      </w:r>
      <w:r w:rsidR="007F262E">
        <w:t>.</w:t>
      </w:r>
      <w:r>
        <w:t xml:space="preserve"> Stoga je </w:t>
      </w:r>
      <w:r w:rsidR="007F262E">
        <w:t xml:space="preserve">Grad </w:t>
      </w:r>
      <w:r>
        <w:t>odustao od zahtjeva</w:t>
      </w:r>
      <w:r w:rsidR="007F262E">
        <w:t xml:space="preserve"> </w:t>
      </w:r>
      <w:r>
        <w:t>za darovanje navedenih čestica i izmijenio svoj zahtjev</w:t>
      </w:r>
      <w:r w:rsidR="007F262E">
        <w:t xml:space="preserve">, međutim, </w:t>
      </w:r>
      <w:r w:rsidR="00127BD7">
        <w:t>dio</w:t>
      </w:r>
      <w:r>
        <w:t xml:space="preserve"> nekretnina koje su bile predmet izmijenjenog zahtjeva bile su </w:t>
      </w:r>
      <w:r w:rsidR="007F262E">
        <w:t xml:space="preserve">u trenutku podnošenja zahtjeva </w:t>
      </w:r>
      <w:r w:rsidR="00127BD7">
        <w:t xml:space="preserve">dijelom </w:t>
      </w:r>
      <w:r>
        <w:t>izvan granica građevinskog područja</w:t>
      </w:r>
      <w:r w:rsidR="007F262E">
        <w:t xml:space="preserve">. Stoga </w:t>
      </w:r>
      <w:r>
        <w:t>je 2020. godine proveden parcelacijski elaborat za provedbu Prostornog plana uređenja Grada</w:t>
      </w:r>
      <w:r w:rsidR="007F262E">
        <w:t xml:space="preserve"> </w:t>
      </w:r>
      <w:r>
        <w:t xml:space="preserve">Vinkovaca te je izvršena parcelacija zemljišta </w:t>
      </w:r>
      <w:r w:rsidR="007F262E">
        <w:t xml:space="preserve">u katastarskom operatu i zemljišnoj knjizi, i to </w:t>
      </w:r>
      <w:r>
        <w:t>u skladu s granicom građevinskog područja određenom važećim prostornim planom</w:t>
      </w:r>
      <w:r w:rsidR="007F262E">
        <w:t xml:space="preserve"> </w:t>
      </w:r>
      <w:r w:rsidR="00127BD7">
        <w:t>pa</w:t>
      </w:r>
      <w:r w:rsidR="007F262E">
        <w:t xml:space="preserve"> su formirane nekretnine koje se u cijelosti nalaze unutar granica građevinskog područja.</w:t>
      </w:r>
    </w:p>
    <w:p w14:paraId="6530F9E0" w14:textId="77777777" w:rsidR="0074006A" w:rsidRDefault="0074006A" w:rsidP="009E335C">
      <w:pPr>
        <w:tabs>
          <w:tab w:val="left" w:pos="900"/>
        </w:tabs>
        <w:jc w:val="both"/>
      </w:pPr>
    </w:p>
    <w:p w14:paraId="0E6C6366" w14:textId="0D4688D1" w:rsidR="007F262E" w:rsidRDefault="007F262E" w:rsidP="009E335C">
      <w:pPr>
        <w:tabs>
          <w:tab w:val="left" w:pos="900"/>
        </w:tabs>
        <w:jc w:val="both"/>
      </w:pPr>
      <w:r>
        <w:t>Industrijska zona Zalu</w:t>
      </w:r>
      <w:r w:rsidR="00FB332A">
        <w:t>žje</w:t>
      </w:r>
      <w:r>
        <w:t xml:space="preserve"> nalazi se u jugoistočnom dijelu grada, uz državnu cestu Vinkovci-Županja. U trenut</w:t>
      </w:r>
      <w:r w:rsidR="00FB332A">
        <w:t>k</w:t>
      </w:r>
      <w:r>
        <w:t xml:space="preserve">u podnošenja zahtjeva Industrijska zona Zalužje smatrala se potpuno aktivnom zonom sa stupnjem aktivacije 98% pa je nastala potreba za širenjem zone, s ciljem </w:t>
      </w:r>
      <w:r w:rsidR="00FB332A">
        <w:t>stvaranja privlačnih uvjeta za poduze</w:t>
      </w:r>
      <w:r w:rsidR="00906769">
        <w:t>tnike i stvaranja uvjeta za pov</w:t>
      </w:r>
      <w:r w:rsidR="00FB332A">
        <w:t>ećanje zaposlenosti na području grada. Gradsko vijeće Grada Vinkovaca donijelo je 2016. godine Odluku o prostornom obuhvatu Industrijske zone Zalužje, što je bio preduvjet da se zona registrira i verificira u Jedinstvenom registru poduzetničke infrastrukture koji vodi Ministarstvo nadležno za poslove poduzetništva</w:t>
      </w:r>
      <w:r w:rsidR="00127BD7">
        <w:t>. U ožujku 2021. godine Gradsko vijeće Grada donijelo je Odluku o izmjeni i dopuni Odluke o obuhvatu In</w:t>
      </w:r>
      <w:r w:rsidR="007F3AC2">
        <w:t>dustrijske zone Zalužje, koj</w:t>
      </w:r>
      <w:r w:rsidR="0074006A">
        <w:t>i</w:t>
      </w:r>
      <w:r w:rsidR="007F3AC2">
        <w:t>m s</w:t>
      </w:r>
      <w:r w:rsidR="00127BD7">
        <w:t>u obuhvaćene i nekretnine koje su predmet zahtjeva i ove Odluke.</w:t>
      </w:r>
    </w:p>
    <w:p w14:paraId="6995F722" w14:textId="77777777" w:rsidR="00540F12" w:rsidRDefault="00540F12" w:rsidP="009E335C">
      <w:pPr>
        <w:tabs>
          <w:tab w:val="left" w:pos="900"/>
        </w:tabs>
        <w:jc w:val="both"/>
      </w:pPr>
    </w:p>
    <w:p w14:paraId="66E76E68" w14:textId="684DBFC5" w:rsidR="00540F12" w:rsidRDefault="00540F12" w:rsidP="00540F12">
      <w:pPr>
        <w:tabs>
          <w:tab w:val="left" w:pos="900"/>
        </w:tabs>
        <w:jc w:val="both"/>
      </w:pPr>
      <w:r>
        <w:t>Sve nekretnine koje su predmet zahtjeva predstavljaju neizgrađeno zemljište, nalaze se unutar granica građevinskog područja naselja, u području Gospodarske zone Zalužje I i nisu obuhvaćene šumskogospodarskim područjem Republike Hrvatske. U odnosu na dio nekretnina vodio se postupak povrata, ali je pravomoćno okončan te je podnositeljima priznato pravo na zamjensko poljoprivredno zemljište.</w:t>
      </w:r>
    </w:p>
    <w:p w14:paraId="09C2E939" w14:textId="1579DE77" w:rsidR="00D167A2" w:rsidRDefault="00D167A2" w:rsidP="00540F12">
      <w:pPr>
        <w:tabs>
          <w:tab w:val="left" w:pos="900"/>
        </w:tabs>
        <w:jc w:val="both"/>
      </w:pPr>
    </w:p>
    <w:p w14:paraId="7F583BE4" w14:textId="185BB1FD" w:rsidR="00D167A2" w:rsidRDefault="00D167A2" w:rsidP="00540F12">
      <w:pPr>
        <w:tabs>
          <w:tab w:val="left" w:pos="900"/>
        </w:tabs>
        <w:jc w:val="both"/>
      </w:pPr>
      <w:r>
        <w:t>Proširena zona „Zalužje“ bit će, sukladno navodima Grada Vinkovaca, izgrađena bespovratnim sredstvima Europske unije kroz Urbano područje Vinkovci koji će se realizirati kroz Integrirani teritorijalni program. Naime, sukladno Zakonu o regionalnom razvoju Republike Hrvatske („Narodne novine, br. 147/2014</w:t>
      </w:r>
      <w:r w:rsidRPr="00D167A2">
        <w:t>),</w:t>
      </w:r>
      <w:r>
        <w:t xml:space="preserve"> kao temeljnom strate</w:t>
      </w:r>
      <w:r>
        <w:lastRenderedPageBreak/>
        <w:t>škom dokumentu definirana su urbana područja radi učinkovitijeg planiranja, usklađivanja i provedbe regionalnog razvoja. Grad Vinkovci je sukladno članku 14. stavku 2. spomenutog zakona definiran većim urbanim područjem i kao takav ima mogućnost financiranja projekata kroz Integrirani teritorijalni program. Naime, Grad Vinkovci je uvršten među gradove koji će u novoj financijskoj perspektivi 2021. – 2027. imati priliku integriranog korištenja sredstava iz više operativnih programa u svrhu urbanog razvoja šireg urbanog područja grada. Ministarstvo regionalnoga razvoja i fondova Europske unije u srpnju 2021. godine izdalo je „Smjernice za izradu strategije razvoja urbanih područja, praćenje njihove provedbe i vrednovanje“ po kojima Grad Vinkovci izrađuje Strategiju razvoja urbanog područja Vinkovci, multi – sektorski strateški okvir kojim se planira razvoj urbanog područja kao cjeline unutar jasno definiranog sedmogodišnjeg razdoblja u skladu s višegodišnjim financijskim okvirom kohezijske politike Europske unije.</w:t>
      </w:r>
    </w:p>
    <w:p w14:paraId="57DAEE3F" w14:textId="10C80031" w:rsidR="00D167A2" w:rsidRDefault="00D167A2" w:rsidP="00540F12">
      <w:pPr>
        <w:tabs>
          <w:tab w:val="left" w:pos="900"/>
        </w:tabs>
        <w:jc w:val="both"/>
      </w:pPr>
    </w:p>
    <w:p w14:paraId="63BC2400" w14:textId="67A6F00C" w:rsidR="00D167A2" w:rsidRDefault="00D167A2" w:rsidP="00540F12">
      <w:pPr>
        <w:tabs>
          <w:tab w:val="left" w:pos="900"/>
        </w:tabs>
        <w:jc w:val="both"/>
      </w:pPr>
      <w:r>
        <w:t xml:space="preserve">Uzevši u obzir da je gospodarstvo okosnica razvoja svakog područja i temelj za uspješno funkcioniranje lokalne zajednice, gospodarski rast i razvoj, jedan od strateških ciljeva razvoja Urbanog područja Vinkovci bit će izgradnja proširene Industrijske zone. Ulaganja Europske unije za naredno razdoblje bit će usmjerena na gospodarstvo te će Grad Vinkovci iskoristiti potencijal proširene Industrijske zone „Zalužje“ i istu izgraditi kao održivu, pametnu i digitalnu zonu. Projektom financiranim kroz ITU mehanizam izgradit će se i opremiti poduzetnički akcelerator ukupne površine 750 m2, te 20.000 m2 industrijskih hala s OIE i potrebnom komunalnom infrastrukturom na 35 ha. Na ovaj način investitorima će se osim zemljišta ponuditi potpuna infrastrukturna opremljenost Zone. Ostatak industrijske zone „Zalužje“ bit će parceliran sukladno potrebama investitora. Naime, Grad Vinkovci je dosad kontaktiran od strane nekoliko investitora s upitima o prodaji/zakupu zemljišta velikih površina do čak 60 ha. Upravo zato, Grad Vinkovci će u budućnosti formirati parcele sukladno potrebama investitora što će svakako biti jedan od dodatnih pogodnosti za privlačenje investitora na ovo područje. </w:t>
      </w:r>
    </w:p>
    <w:p w14:paraId="0A53DDEB" w14:textId="4E7546E1" w:rsidR="00D167A2" w:rsidRDefault="00D167A2" w:rsidP="00540F12">
      <w:pPr>
        <w:tabs>
          <w:tab w:val="left" w:pos="900"/>
        </w:tabs>
        <w:jc w:val="both"/>
      </w:pPr>
    </w:p>
    <w:p w14:paraId="042CFCA9" w14:textId="483FF415" w:rsidR="00D167A2" w:rsidRDefault="00D167A2" w:rsidP="00540F12">
      <w:pPr>
        <w:tabs>
          <w:tab w:val="left" w:pos="900"/>
        </w:tabs>
        <w:jc w:val="both"/>
      </w:pPr>
      <w:r>
        <w:t>Proširena Industrijska zona „Zalužje“ temelj je budućeg razvoja Grada Vinkovaca i cjelokupnog područja istočnog dijela Hrvatske koje zahtjeva maksimalan angažman svih dionika na lokalnoj i nacionalnoj razini u svrhu uspostave i realizacije navedenog projekta.</w:t>
      </w:r>
    </w:p>
    <w:p w14:paraId="7CA3AEB3" w14:textId="77777777" w:rsidR="009D7378" w:rsidRDefault="009D7378" w:rsidP="009E335C">
      <w:pPr>
        <w:tabs>
          <w:tab w:val="left" w:pos="900"/>
        </w:tabs>
        <w:jc w:val="both"/>
      </w:pPr>
    </w:p>
    <w:p w14:paraId="3736568C" w14:textId="534B1CE0" w:rsidR="009D7922" w:rsidRDefault="009D1B60" w:rsidP="00127BD7">
      <w:pPr>
        <w:jc w:val="both"/>
      </w:pPr>
      <w:r>
        <w:t>Procijenjena t</w:t>
      </w:r>
      <w:r w:rsidR="001B24B7" w:rsidRPr="0043289B">
        <w:t xml:space="preserve">ržišna vrijednost nekretnina iz točke I. Odluke iznosi </w:t>
      </w:r>
      <w:r w:rsidR="009D7922" w:rsidRPr="009D7922">
        <w:t xml:space="preserve">184.480.000,00 kuna prema procjembenom elaboratu 80-2020_ISPRAVAK 1, iz siječnja 2021. godine izrađenom od strane Josipa Damjanovića, mag.ing.aedif., stalnog sudskog vještaka za graditeljstvo i procjenu nekretnina iz trgovačkog društva „DIG PROJEKT“ d.o.o. iz Vinkovaca, Mate Topalovića 26a, revidiranim od strane Službe za tehničke poslove Ministarstva prostornoga uređenja, graditeljstva i državne imovine očitovanjem od dana </w:t>
      </w:r>
      <w:r w:rsidR="00E33C32" w:rsidRPr="00E33C32">
        <w:t>od dana 13. prosinca 2021. godine.</w:t>
      </w:r>
    </w:p>
    <w:p w14:paraId="2B5C3171" w14:textId="77777777" w:rsidR="00E33C32" w:rsidRDefault="00E33C32" w:rsidP="00127BD7">
      <w:pPr>
        <w:jc w:val="both"/>
      </w:pPr>
    </w:p>
    <w:p w14:paraId="5133734B" w14:textId="4F71F9DA" w:rsidR="001B24B7" w:rsidRDefault="009D7922" w:rsidP="00127BD7">
      <w:pPr>
        <w:jc w:val="both"/>
      </w:pPr>
      <w:bookmarkStart w:id="2" w:name="_GoBack"/>
      <w:bookmarkEnd w:id="2"/>
      <w:r w:rsidRPr="009D7922">
        <w:lastRenderedPageBreak/>
        <w:t>Grad Vinkovci je izradio procjembeni elaborat kojim je utvrđena tržišna vrijed</w:t>
      </w:r>
      <w:r>
        <w:t xml:space="preserve">nost nekretnina iz točke I. </w:t>
      </w:r>
      <w:r w:rsidRPr="009D7922">
        <w:t>Odluke po ovlaštenom stalnom sudskom vještaku te je podmirio troškove izrade istog.</w:t>
      </w:r>
    </w:p>
    <w:p w14:paraId="1404BB72" w14:textId="77777777" w:rsidR="001B24B7" w:rsidRDefault="001B24B7" w:rsidP="002A44B1">
      <w:pPr>
        <w:tabs>
          <w:tab w:val="left" w:pos="900"/>
        </w:tabs>
        <w:jc w:val="both"/>
      </w:pPr>
    </w:p>
    <w:p w14:paraId="1ECC3118" w14:textId="1D1D6637" w:rsidR="002A44B1" w:rsidRDefault="00127BD7" w:rsidP="002A44B1">
      <w:pPr>
        <w:tabs>
          <w:tab w:val="left" w:pos="900"/>
        </w:tabs>
        <w:jc w:val="both"/>
      </w:pPr>
      <w:r w:rsidRPr="00127BD7">
        <w:t>Nekretnine iz točke I. Odluke daruju se Gradu Vinkovcima pod uvjetom da se isti u svojstvu vjerovnika odrekne svih potraživanja prema Republici Hrvatskoj kao dužniku, koja će se utvrditi na dan potpisivanja ugovora o darovanju, kao i eventualno kasnije pronađenih potraživanja prema Republici Hrvatskoj koja su nastala do dana potpisivanja Ugovora o darovanju, sve do visine vrijednosti darovanih nekretnina.</w:t>
      </w:r>
    </w:p>
    <w:p w14:paraId="0BE71C75" w14:textId="77777777" w:rsidR="00A24891" w:rsidRDefault="00A24891" w:rsidP="002A44B1">
      <w:pPr>
        <w:tabs>
          <w:tab w:val="left" w:pos="900"/>
        </w:tabs>
        <w:jc w:val="both"/>
      </w:pPr>
    </w:p>
    <w:p w14:paraId="1A841C6B" w14:textId="10C628F1" w:rsidR="002A44B1" w:rsidRDefault="00A24891" w:rsidP="002A44B1">
      <w:pPr>
        <w:tabs>
          <w:tab w:val="left" w:pos="900"/>
        </w:tabs>
        <w:jc w:val="both"/>
      </w:pPr>
      <w:r>
        <w:t xml:space="preserve">Grad </w:t>
      </w:r>
      <w:r w:rsidR="002A44B1">
        <w:t>se obvezuje preuzeti sve obveze koje bi eventualno proizašle iz potraživanja i prava trećih osoba na nekretninama iz točke I. Odluke.</w:t>
      </w:r>
    </w:p>
    <w:p w14:paraId="5942FF46" w14:textId="77777777" w:rsidR="002A44B1" w:rsidRDefault="002A44B1" w:rsidP="002A44B1">
      <w:pPr>
        <w:tabs>
          <w:tab w:val="left" w:pos="900"/>
        </w:tabs>
        <w:jc w:val="both"/>
      </w:pPr>
    </w:p>
    <w:p w14:paraId="7A48086D" w14:textId="558F0F06" w:rsidR="002A44B1" w:rsidRDefault="00A24891" w:rsidP="002A44B1">
      <w:pPr>
        <w:tabs>
          <w:tab w:val="left" w:pos="900"/>
        </w:tabs>
        <w:jc w:val="both"/>
      </w:pPr>
      <w:r>
        <w:t>Grad se</w:t>
      </w:r>
      <w:r w:rsidR="002A44B1">
        <w:t xml:space="preserve"> obvezuje darovane nekretnine privesti namjeni utvrđenoj u točki I. Odluke u roku od 5 (pet) godina od dana sklapanja Ugovora o darovanju, te u navedenom roku dostaviti Ministarstvu prostornoga uređenja, graditeljstva i državne imovine dokaz o privođenju namjeni.</w:t>
      </w:r>
    </w:p>
    <w:p w14:paraId="3878424C" w14:textId="77777777" w:rsidR="00F458E4" w:rsidRPr="00F458E4" w:rsidRDefault="00F458E4" w:rsidP="002A44B1">
      <w:pPr>
        <w:tabs>
          <w:tab w:val="left" w:pos="900"/>
        </w:tabs>
        <w:jc w:val="both"/>
        <w:rPr>
          <w:color w:val="FF0000"/>
        </w:rPr>
      </w:pPr>
    </w:p>
    <w:p w14:paraId="42A83563" w14:textId="77777777" w:rsidR="001C2C8C" w:rsidRPr="00226DE6" w:rsidRDefault="001C2C8C" w:rsidP="001C2C8C">
      <w:pPr>
        <w:jc w:val="both"/>
        <w:rPr>
          <w:rFonts w:eastAsia="Calibri"/>
          <w:highlight w:val="yellow"/>
          <w:lang w:eastAsia="en-US"/>
        </w:rPr>
      </w:pPr>
    </w:p>
    <w:sectPr w:rsidR="001C2C8C" w:rsidRPr="00226DE6" w:rsidSect="00E7686D">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8A1C1" w14:textId="77777777" w:rsidR="00E206E9" w:rsidRDefault="00E206E9" w:rsidP="0011560A">
      <w:r>
        <w:separator/>
      </w:r>
    </w:p>
  </w:endnote>
  <w:endnote w:type="continuationSeparator" w:id="0">
    <w:p w14:paraId="36DFFE20" w14:textId="77777777" w:rsidR="00E206E9" w:rsidRDefault="00E206E9"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507F"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26FB3" w14:textId="77777777" w:rsidR="00E206E9" w:rsidRDefault="00E206E9" w:rsidP="0011560A">
      <w:r>
        <w:separator/>
      </w:r>
    </w:p>
  </w:footnote>
  <w:footnote w:type="continuationSeparator" w:id="0">
    <w:p w14:paraId="1DFD3F03" w14:textId="77777777" w:rsidR="00E206E9" w:rsidRDefault="00E206E9"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74E5"/>
    <w:rsid w:val="00030273"/>
    <w:rsid w:val="000350D9"/>
    <w:rsid w:val="00057310"/>
    <w:rsid w:val="00063201"/>
    <w:rsid w:val="00063520"/>
    <w:rsid w:val="000668CD"/>
    <w:rsid w:val="00067A6C"/>
    <w:rsid w:val="00071B08"/>
    <w:rsid w:val="00086A6C"/>
    <w:rsid w:val="00096B47"/>
    <w:rsid w:val="000A1D60"/>
    <w:rsid w:val="000A3A3B"/>
    <w:rsid w:val="000B284C"/>
    <w:rsid w:val="000B7C53"/>
    <w:rsid w:val="000B7E0F"/>
    <w:rsid w:val="000C04E2"/>
    <w:rsid w:val="000D0A0C"/>
    <w:rsid w:val="000D1A50"/>
    <w:rsid w:val="000E6493"/>
    <w:rsid w:val="000E6AE2"/>
    <w:rsid w:val="00100158"/>
    <w:rsid w:val="001015C6"/>
    <w:rsid w:val="00110E6C"/>
    <w:rsid w:val="00111B70"/>
    <w:rsid w:val="0011560A"/>
    <w:rsid w:val="00125079"/>
    <w:rsid w:val="00127BD7"/>
    <w:rsid w:val="00135F1A"/>
    <w:rsid w:val="00145011"/>
    <w:rsid w:val="00146B79"/>
    <w:rsid w:val="00147DE9"/>
    <w:rsid w:val="00170226"/>
    <w:rsid w:val="001741AA"/>
    <w:rsid w:val="0018543F"/>
    <w:rsid w:val="001917B2"/>
    <w:rsid w:val="00196113"/>
    <w:rsid w:val="001A13E7"/>
    <w:rsid w:val="001B24B7"/>
    <w:rsid w:val="001B7A97"/>
    <w:rsid w:val="001C2C8C"/>
    <w:rsid w:val="001D0C53"/>
    <w:rsid w:val="001E7218"/>
    <w:rsid w:val="001F6637"/>
    <w:rsid w:val="002036C9"/>
    <w:rsid w:val="0020566C"/>
    <w:rsid w:val="00207A38"/>
    <w:rsid w:val="00212103"/>
    <w:rsid w:val="002179F8"/>
    <w:rsid w:val="00220956"/>
    <w:rsid w:val="00226DE6"/>
    <w:rsid w:val="00234480"/>
    <w:rsid w:val="0023763F"/>
    <w:rsid w:val="00245F70"/>
    <w:rsid w:val="0028608D"/>
    <w:rsid w:val="0029163B"/>
    <w:rsid w:val="002955DF"/>
    <w:rsid w:val="002A1D77"/>
    <w:rsid w:val="002A44B1"/>
    <w:rsid w:val="002B107A"/>
    <w:rsid w:val="002D1256"/>
    <w:rsid w:val="002D2332"/>
    <w:rsid w:val="002D23DB"/>
    <w:rsid w:val="002D2545"/>
    <w:rsid w:val="002D6C51"/>
    <w:rsid w:val="002D7C91"/>
    <w:rsid w:val="002E1F77"/>
    <w:rsid w:val="003033E4"/>
    <w:rsid w:val="00304232"/>
    <w:rsid w:val="00323C77"/>
    <w:rsid w:val="00336EE7"/>
    <w:rsid w:val="00341466"/>
    <w:rsid w:val="0034351C"/>
    <w:rsid w:val="003462B4"/>
    <w:rsid w:val="003476D4"/>
    <w:rsid w:val="003639A5"/>
    <w:rsid w:val="00381F04"/>
    <w:rsid w:val="0038426B"/>
    <w:rsid w:val="003929F5"/>
    <w:rsid w:val="003A234B"/>
    <w:rsid w:val="003A2F05"/>
    <w:rsid w:val="003A6AD6"/>
    <w:rsid w:val="003C09D8"/>
    <w:rsid w:val="003C1851"/>
    <w:rsid w:val="003C7F17"/>
    <w:rsid w:val="003D47D1"/>
    <w:rsid w:val="003E2C04"/>
    <w:rsid w:val="003F1202"/>
    <w:rsid w:val="003F5623"/>
    <w:rsid w:val="004039BD"/>
    <w:rsid w:val="004277A4"/>
    <w:rsid w:val="0043289B"/>
    <w:rsid w:val="00440D6D"/>
    <w:rsid w:val="00442367"/>
    <w:rsid w:val="00461188"/>
    <w:rsid w:val="00462195"/>
    <w:rsid w:val="00487391"/>
    <w:rsid w:val="004873FA"/>
    <w:rsid w:val="004A0C08"/>
    <w:rsid w:val="004A776B"/>
    <w:rsid w:val="004C1375"/>
    <w:rsid w:val="004C5354"/>
    <w:rsid w:val="004E1300"/>
    <w:rsid w:val="004E4E34"/>
    <w:rsid w:val="004F7E4E"/>
    <w:rsid w:val="00504248"/>
    <w:rsid w:val="005146D6"/>
    <w:rsid w:val="00535E09"/>
    <w:rsid w:val="00540F12"/>
    <w:rsid w:val="00562C8C"/>
    <w:rsid w:val="00563018"/>
    <w:rsid w:val="0056365A"/>
    <w:rsid w:val="00571F6C"/>
    <w:rsid w:val="005771EE"/>
    <w:rsid w:val="005861F2"/>
    <w:rsid w:val="005906BB"/>
    <w:rsid w:val="00597713"/>
    <w:rsid w:val="005A19D3"/>
    <w:rsid w:val="005C3A4C"/>
    <w:rsid w:val="005D6667"/>
    <w:rsid w:val="005D76B0"/>
    <w:rsid w:val="005E7CAB"/>
    <w:rsid w:val="005F4727"/>
    <w:rsid w:val="005F6BA2"/>
    <w:rsid w:val="00611D37"/>
    <w:rsid w:val="006265CB"/>
    <w:rsid w:val="006268D4"/>
    <w:rsid w:val="00633454"/>
    <w:rsid w:val="00652604"/>
    <w:rsid w:val="0066110E"/>
    <w:rsid w:val="00675B44"/>
    <w:rsid w:val="0068013E"/>
    <w:rsid w:val="0068772B"/>
    <w:rsid w:val="00693A4D"/>
    <w:rsid w:val="00694D87"/>
    <w:rsid w:val="006A0CAF"/>
    <w:rsid w:val="006B27A0"/>
    <w:rsid w:val="006B7800"/>
    <w:rsid w:val="006C0CC3"/>
    <w:rsid w:val="006D3831"/>
    <w:rsid w:val="006D39FD"/>
    <w:rsid w:val="006E14A9"/>
    <w:rsid w:val="006E611E"/>
    <w:rsid w:val="007010C7"/>
    <w:rsid w:val="007032A6"/>
    <w:rsid w:val="00726165"/>
    <w:rsid w:val="00731AC4"/>
    <w:rsid w:val="0074006A"/>
    <w:rsid w:val="00744F20"/>
    <w:rsid w:val="007454D9"/>
    <w:rsid w:val="00752E71"/>
    <w:rsid w:val="007547FC"/>
    <w:rsid w:val="007638D8"/>
    <w:rsid w:val="00773DFB"/>
    <w:rsid w:val="00777CAA"/>
    <w:rsid w:val="0078648A"/>
    <w:rsid w:val="007920A2"/>
    <w:rsid w:val="007A1768"/>
    <w:rsid w:val="007A1881"/>
    <w:rsid w:val="007C1BE1"/>
    <w:rsid w:val="007D74E5"/>
    <w:rsid w:val="007E3965"/>
    <w:rsid w:val="007F262E"/>
    <w:rsid w:val="007F3AC2"/>
    <w:rsid w:val="007F7501"/>
    <w:rsid w:val="008137B5"/>
    <w:rsid w:val="00821007"/>
    <w:rsid w:val="00830A83"/>
    <w:rsid w:val="00831E5C"/>
    <w:rsid w:val="00833808"/>
    <w:rsid w:val="008353A1"/>
    <w:rsid w:val="008365FD"/>
    <w:rsid w:val="0084198B"/>
    <w:rsid w:val="0086019D"/>
    <w:rsid w:val="00873B1D"/>
    <w:rsid w:val="00877BD4"/>
    <w:rsid w:val="00881BBB"/>
    <w:rsid w:val="0089283D"/>
    <w:rsid w:val="008A0F3F"/>
    <w:rsid w:val="008C0768"/>
    <w:rsid w:val="008C1D0A"/>
    <w:rsid w:val="008C2F61"/>
    <w:rsid w:val="008D0926"/>
    <w:rsid w:val="008D1E25"/>
    <w:rsid w:val="008D250B"/>
    <w:rsid w:val="008F0DD4"/>
    <w:rsid w:val="0090200F"/>
    <w:rsid w:val="009047E4"/>
    <w:rsid w:val="00906769"/>
    <w:rsid w:val="009126B3"/>
    <w:rsid w:val="009152C4"/>
    <w:rsid w:val="00921B74"/>
    <w:rsid w:val="009404B4"/>
    <w:rsid w:val="00940641"/>
    <w:rsid w:val="0095079B"/>
    <w:rsid w:val="00950F47"/>
    <w:rsid w:val="00953BA1"/>
    <w:rsid w:val="00954D08"/>
    <w:rsid w:val="009562CF"/>
    <w:rsid w:val="00956427"/>
    <w:rsid w:val="00981D4C"/>
    <w:rsid w:val="00986E0B"/>
    <w:rsid w:val="009930CA"/>
    <w:rsid w:val="00993366"/>
    <w:rsid w:val="009A519E"/>
    <w:rsid w:val="009A6C61"/>
    <w:rsid w:val="009C33E1"/>
    <w:rsid w:val="009C51F8"/>
    <w:rsid w:val="009C7815"/>
    <w:rsid w:val="009D1B60"/>
    <w:rsid w:val="009D7378"/>
    <w:rsid w:val="009D7922"/>
    <w:rsid w:val="009E335C"/>
    <w:rsid w:val="009E6C82"/>
    <w:rsid w:val="009F522C"/>
    <w:rsid w:val="009F5AE0"/>
    <w:rsid w:val="00A15F08"/>
    <w:rsid w:val="00A175E9"/>
    <w:rsid w:val="00A21447"/>
    <w:rsid w:val="00A21819"/>
    <w:rsid w:val="00A24891"/>
    <w:rsid w:val="00A27C47"/>
    <w:rsid w:val="00A31513"/>
    <w:rsid w:val="00A3718C"/>
    <w:rsid w:val="00A45CF4"/>
    <w:rsid w:val="00A52A71"/>
    <w:rsid w:val="00A573DC"/>
    <w:rsid w:val="00A6339A"/>
    <w:rsid w:val="00A65306"/>
    <w:rsid w:val="00A71433"/>
    <w:rsid w:val="00A725A4"/>
    <w:rsid w:val="00A7421A"/>
    <w:rsid w:val="00A761F2"/>
    <w:rsid w:val="00A83290"/>
    <w:rsid w:val="00A85033"/>
    <w:rsid w:val="00A85A5E"/>
    <w:rsid w:val="00A87063"/>
    <w:rsid w:val="00A901F0"/>
    <w:rsid w:val="00A94A2B"/>
    <w:rsid w:val="00AB5BFA"/>
    <w:rsid w:val="00AC562D"/>
    <w:rsid w:val="00AD2F06"/>
    <w:rsid w:val="00AD4D7C"/>
    <w:rsid w:val="00AE3AEF"/>
    <w:rsid w:val="00AE59DF"/>
    <w:rsid w:val="00AF5444"/>
    <w:rsid w:val="00B02BDF"/>
    <w:rsid w:val="00B0379A"/>
    <w:rsid w:val="00B26FF5"/>
    <w:rsid w:val="00B42E00"/>
    <w:rsid w:val="00B462AB"/>
    <w:rsid w:val="00B57187"/>
    <w:rsid w:val="00B63FA3"/>
    <w:rsid w:val="00B706F8"/>
    <w:rsid w:val="00B908C2"/>
    <w:rsid w:val="00BA28CD"/>
    <w:rsid w:val="00BA3AF1"/>
    <w:rsid w:val="00BA70A4"/>
    <w:rsid w:val="00BA72BF"/>
    <w:rsid w:val="00BC1E47"/>
    <w:rsid w:val="00BD3ACA"/>
    <w:rsid w:val="00BF700D"/>
    <w:rsid w:val="00C337A4"/>
    <w:rsid w:val="00C44327"/>
    <w:rsid w:val="00C61329"/>
    <w:rsid w:val="00C814A5"/>
    <w:rsid w:val="00C8622A"/>
    <w:rsid w:val="00C969CC"/>
    <w:rsid w:val="00CA4F84"/>
    <w:rsid w:val="00CB03D4"/>
    <w:rsid w:val="00CD1639"/>
    <w:rsid w:val="00CD3EFA"/>
    <w:rsid w:val="00CE3D00"/>
    <w:rsid w:val="00CE78D1"/>
    <w:rsid w:val="00CF7BB4"/>
    <w:rsid w:val="00CF7EEC"/>
    <w:rsid w:val="00D0075B"/>
    <w:rsid w:val="00D012DA"/>
    <w:rsid w:val="00D07290"/>
    <w:rsid w:val="00D1127C"/>
    <w:rsid w:val="00D14240"/>
    <w:rsid w:val="00D15CD4"/>
    <w:rsid w:val="00D1614C"/>
    <w:rsid w:val="00D167A2"/>
    <w:rsid w:val="00D2026C"/>
    <w:rsid w:val="00D267EB"/>
    <w:rsid w:val="00D41ADC"/>
    <w:rsid w:val="00D62C4D"/>
    <w:rsid w:val="00D8016C"/>
    <w:rsid w:val="00D81847"/>
    <w:rsid w:val="00D82EC3"/>
    <w:rsid w:val="00D92A3D"/>
    <w:rsid w:val="00DB0A6B"/>
    <w:rsid w:val="00DB28EB"/>
    <w:rsid w:val="00DB6366"/>
    <w:rsid w:val="00DE5A06"/>
    <w:rsid w:val="00E04AE1"/>
    <w:rsid w:val="00E206E9"/>
    <w:rsid w:val="00E25569"/>
    <w:rsid w:val="00E332AC"/>
    <w:rsid w:val="00E33C32"/>
    <w:rsid w:val="00E4753B"/>
    <w:rsid w:val="00E601A2"/>
    <w:rsid w:val="00E704A6"/>
    <w:rsid w:val="00E73438"/>
    <w:rsid w:val="00E7686D"/>
    <w:rsid w:val="00E77198"/>
    <w:rsid w:val="00E81864"/>
    <w:rsid w:val="00E83E23"/>
    <w:rsid w:val="00EA3AD1"/>
    <w:rsid w:val="00EB0C3A"/>
    <w:rsid w:val="00EB1248"/>
    <w:rsid w:val="00EC08EF"/>
    <w:rsid w:val="00ED236E"/>
    <w:rsid w:val="00EE03CA"/>
    <w:rsid w:val="00EE5FDC"/>
    <w:rsid w:val="00EE7199"/>
    <w:rsid w:val="00EF1973"/>
    <w:rsid w:val="00F10565"/>
    <w:rsid w:val="00F3220D"/>
    <w:rsid w:val="00F458E4"/>
    <w:rsid w:val="00F60D71"/>
    <w:rsid w:val="00F764AD"/>
    <w:rsid w:val="00F86FBD"/>
    <w:rsid w:val="00F87322"/>
    <w:rsid w:val="00F95A2D"/>
    <w:rsid w:val="00F95A4A"/>
    <w:rsid w:val="00F978E2"/>
    <w:rsid w:val="00F9796F"/>
    <w:rsid w:val="00F97BA9"/>
    <w:rsid w:val="00FA24F0"/>
    <w:rsid w:val="00FA4E25"/>
    <w:rsid w:val="00FB332A"/>
    <w:rsid w:val="00FD0FE0"/>
    <w:rsid w:val="00FE2B63"/>
    <w:rsid w:val="00FE6965"/>
    <w:rsid w:val="00FE7F06"/>
    <w:rsid w:val="00FF64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1C8F20"/>
  <w15:docId w15:val="{08F81207-DEDD-4E8D-BD5D-3690A58F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033595">
      <w:bodyDiv w:val="1"/>
      <w:marLeft w:val="0"/>
      <w:marRight w:val="0"/>
      <w:marTop w:val="0"/>
      <w:marBottom w:val="0"/>
      <w:divBdr>
        <w:top w:val="none" w:sz="0" w:space="0" w:color="auto"/>
        <w:left w:val="none" w:sz="0" w:space="0" w:color="auto"/>
        <w:bottom w:val="none" w:sz="0" w:space="0" w:color="auto"/>
        <w:right w:val="none" w:sz="0" w:space="0" w:color="auto"/>
      </w:divBdr>
    </w:div>
    <w:div w:id="17362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AZJMDCZ6QSYZ-1849078857-16341</_dlc_DocId>
    <_dlc_DocIdUrl xmlns="a494813a-d0d8-4dad-94cb-0d196f36ba15">
      <Url>https://ekoordinacije.vlada.hr/koordinacija-gospodarstvo/_layouts/15/DocIdRedir.aspx?ID=AZJMDCZ6QSYZ-1849078857-16341</Url>
      <Description>AZJMDCZ6QSYZ-1849078857-16341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94BF-C5EE-4EB0-915C-655FCD777B1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494813a-d0d8-4dad-94cb-0d196f36ba15"/>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73CE3B5-338C-4AB1-8403-16ED3A7E515E}">
  <ds:schemaRefs>
    <ds:schemaRef ds:uri="http://schemas.microsoft.com/sharepoint/v3/contenttype/forms"/>
  </ds:schemaRefs>
</ds:datastoreItem>
</file>

<file path=customXml/itemProps3.xml><?xml version="1.0" encoding="utf-8"?>
<ds:datastoreItem xmlns:ds="http://schemas.openxmlformats.org/officeDocument/2006/customXml" ds:itemID="{D6F6ED8F-2309-428E-9257-584E39DC9DEE}">
  <ds:schemaRefs>
    <ds:schemaRef ds:uri="http://schemas.microsoft.com/sharepoint/events"/>
  </ds:schemaRefs>
</ds:datastoreItem>
</file>

<file path=customXml/itemProps4.xml><?xml version="1.0" encoding="utf-8"?>
<ds:datastoreItem xmlns:ds="http://schemas.openxmlformats.org/officeDocument/2006/customXml" ds:itemID="{667E2C73-73FE-40E2-A47F-BC59C500A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381E0D-D35E-42D1-ADD0-76CF88D9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1941</Words>
  <Characters>11064</Characters>
  <Application>Microsoft Office Word</Application>
  <DocSecurity>0</DocSecurity>
  <Lines>92</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Domagoj Dodig</cp:lastModifiedBy>
  <cp:revision>4</cp:revision>
  <cp:lastPrinted>2022-05-11T11:44:00Z</cp:lastPrinted>
  <dcterms:created xsi:type="dcterms:W3CDTF">2022-05-11T11:46:00Z</dcterms:created>
  <dcterms:modified xsi:type="dcterms:W3CDTF">2022-05-17T09:26:00Z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c79b431f-a832-4fdd-bb94-dec4a2a2fbfd</vt:lpwstr>
  </property>
</Properties>
</file>