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A164E0" w14:textId="77777777" w:rsidR="00F87712" w:rsidRDefault="00F87712" w:rsidP="00F87712">
      <w:pPr>
        <w:jc w:val="center"/>
        <w:rPr>
          <w:sz w:val="22"/>
          <w:szCs w:val="22"/>
        </w:rPr>
      </w:pPr>
      <w:r>
        <w:rPr>
          <w:noProof/>
        </w:rPr>
        <w:drawing>
          <wp:inline distT="0" distB="0" distL="0" distR="0">
            <wp:extent cx="4953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5300" cy="685800"/>
                    </a:xfrm>
                    <a:prstGeom prst="rect">
                      <a:avLst/>
                    </a:prstGeom>
                    <a:noFill/>
                    <a:ln>
                      <a:noFill/>
                    </a:ln>
                  </pic:spPr>
                </pic:pic>
              </a:graphicData>
            </a:graphic>
          </wp:inline>
        </w:drawing>
      </w:r>
    </w:p>
    <w:p w14:paraId="5AA7B5C6" w14:textId="77777777" w:rsidR="00F87712" w:rsidRDefault="00F87712" w:rsidP="00F87712">
      <w:pPr>
        <w:jc w:val="center"/>
      </w:pPr>
      <w:r>
        <w:t>VLADA REPUBLIKE HRVATSKE</w:t>
      </w:r>
    </w:p>
    <w:p w14:paraId="6EF542F2" w14:textId="77777777" w:rsidR="00F87712" w:rsidRPr="006741FC" w:rsidRDefault="00F87712" w:rsidP="00F87712">
      <w:pPr>
        <w:jc w:val="center"/>
        <w:rPr>
          <w:rFonts w:ascii="Calibri" w:hAnsi="Calibri"/>
          <w:sz w:val="22"/>
          <w:szCs w:val="22"/>
        </w:rPr>
      </w:pPr>
    </w:p>
    <w:p w14:paraId="52162BD5" w14:textId="77777777" w:rsidR="00F87712" w:rsidRDefault="00F87712" w:rsidP="00F87712">
      <w:pPr>
        <w:jc w:val="center"/>
      </w:pPr>
    </w:p>
    <w:p w14:paraId="379C7634" w14:textId="77777777" w:rsidR="00F87712" w:rsidRDefault="00F87712" w:rsidP="00F87712">
      <w:pPr>
        <w:jc w:val="center"/>
      </w:pPr>
    </w:p>
    <w:p w14:paraId="086F6AFB" w14:textId="77777777" w:rsidR="00F87712" w:rsidRDefault="00F87712" w:rsidP="00F87712"/>
    <w:p w14:paraId="3567DA9A" w14:textId="77777777" w:rsidR="00F87712" w:rsidRDefault="00F87712" w:rsidP="00F87712"/>
    <w:p w14:paraId="6C3A215B" w14:textId="77777777" w:rsidR="00F87712" w:rsidRDefault="00F87712" w:rsidP="00F87712"/>
    <w:p w14:paraId="0D1E90FB" w14:textId="77777777" w:rsidR="00F87712" w:rsidRDefault="00F87712" w:rsidP="00F87712"/>
    <w:p w14:paraId="68AC9678" w14:textId="77777777" w:rsidR="00F87712" w:rsidRDefault="00F87712" w:rsidP="00F87712">
      <w:pPr>
        <w:jc w:val="right"/>
      </w:pPr>
      <w:r>
        <w:t xml:space="preserve">Zagreb, </w:t>
      </w:r>
      <w:r w:rsidR="00FE6E4A">
        <w:t xml:space="preserve">19. </w:t>
      </w:r>
      <w:r>
        <w:t>svib</w:t>
      </w:r>
      <w:r w:rsidR="00FE6E4A">
        <w:t>nja</w:t>
      </w:r>
      <w:r>
        <w:t xml:space="preserve"> 2022.</w:t>
      </w:r>
    </w:p>
    <w:p w14:paraId="401556A8" w14:textId="77777777" w:rsidR="00F87712" w:rsidRDefault="00F87712" w:rsidP="00F87712"/>
    <w:p w14:paraId="0DAA3570" w14:textId="77777777" w:rsidR="00F87712" w:rsidRDefault="00F87712" w:rsidP="00F87712"/>
    <w:p w14:paraId="55D0CB53" w14:textId="77777777" w:rsidR="00F87712" w:rsidRDefault="00F87712" w:rsidP="00F87712"/>
    <w:p w14:paraId="46150D7D" w14:textId="77777777" w:rsidR="00F87712" w:rsidRDefault="00F87712" w:rsidP="00F87712"/>
    <w:p w14:paraId="30B34230" w14:textId="77777777" w:rsidR="00F87712" w:rsidRDefault="00F87712" w:rsidP="00F87712"/>
    <w:p w14:paraId="67FEF3BE" w14:textId="77777777" w:rsidR="00F87712" w:rsidRPr="006741FC" w:rsidRDefault="00F87712" w:rsidP="00F87712"/>
    <w:p w14:paraId="3AD9A4BA" w14:textId="77777777" w:rsidR="00F87712" w:rsidRDefault="00F87712" w:rsidP="00F87712">
      <w:r>
        <w:t>___________________________________________________________________________</w:t>
      </w:r>
    </w:p>
    <w:p w14:paraId="4A915234" w14:textId="77777777" w:rsidR="00F87712" w:rsidRDefault="00F87712" w:rsidP="00F87712"/>
    <w:tbl>
      <w:tblPr>
        <w:tblW w:w="0" w:type="auto"/>
        <w:tblLook w:val="04A0" w:firstRow="1" w:lastRow="0" w:firstColumn="1" w:lastColumn="0" w:noHBand="0" w:noVBand="1"/>
      </w:tblPr>
      <w:tblGrid>
        <w:gridCol w:w="1944"/>
        <w:gridCol w:w="7126"/>
      </w:tblGrid>
      <w:tr w:rsidR="00F87712" w:rsidRPr="00F165E5" w14:paraId="5C1CD3A0" w14:textId="77777777" w:rsidTr="00D171FA">
        <w:tc>
          <w:tcPr>
            <w:tcW w:w="1951" w:type="dxa"/>
            <w:shd w:val="clear" w:color="auto" w:fill="auto"/>
            <w:hideMark/>
          </w:tcPr>
          <w:p w14:paraId="440B7E8A" w14:textId="77777777" w:rsidR="00F87712" w:rsidRDefault="00F87712" w:rsidP="00D171FA">
            <w:r w:rsidRPr="00F165E5">
              <w:rPr>
                <w:b/>
              </w:rPr>
              <w:t>Predlagatelj:</w:t>
            </w:r>
          </w:p>
        </w:tc>
        <w:tc>
          <w:tcPr>
            <w:tcW w:w="7229" w:type="dxa"/>
            <w:shd w:val="clear" w:color="auto" w:fill="auto"/>
            <w:hideMark/>
          </w:tcPr>
          <w:p w14:paraId="08025252" w14:textId="77777777" w:rsidR="00F87712" w:rsidRDefault="00F87712" w:rsidP="00D171FA">
            <w:r>
              <w:t>Ministarstvo prostornoga uređenja, graditeljstva i državne imovine</w:t>
            </w:r>
          </w:p>
        </w:tc>
      </w:tr>
    </w:tbl>
    <w:p w14:paraId="58EF9809" w14:textId="77777777" w:rsidR="00F87712" w:rsidRDefault="00F87712" w:rsidP="00F87712">
      <w:pPr>
        <w:pBdr>
          <w:bottom w:val="single" w:sz="12" w:space="1" w:color="auto"/>
        </w:pBdr>
      </w:pPr>
    </w:p>
    <w:p w14:paraId="7AA87538" w14:textId="77777777" w:rsidR="00F87712" w:rsidRDefault="00F87712" w:rsidP="00F87712">
      <w:pPr>
        <w:pBdr>
          <w:bottom w:val="single" w:sz="12" w:space="1" w:color="auto"/>
        </w:pBdr>
      </w:pPr>
    </w:p>
    <w:p w14:paraId="2BA5F163" w14:textId="77777777" w:rsidR="00F87712" w:rsidRPr="006741FC" w:rsidRDefault="00F87712" w:rsidP="00F87712">
      <w:pPr>
        <w:rPr>
          <w:lang w:eastAsia="en-US"/>
        </w:rPr>
      </w:pPr>
    </w:p>
    <w:tbl>
      <w:tblPr>
        <w:tblW w:w="0" w:type="auto"/>
        <w:tblLook w:val="04A0" w:firstRow="1" w:lastRow="0" w:firstColumn="1" w:lastColumn="0" w:noHBand="0" w:noVBand="1"/>
      </w:tblPr>
      <w:tblGrid>
        <w:gridCol w:w="1938"/>
        <w:gridCol w:w="7132"/>
      </w:tblGrid>
      <w:tr w:rsidR="00F87712" w:rsidRPr="00F165E5" w14:paraId="34314680" w14:textId="77777777" w:rsidTr="00D171FA">
        <w:tc>
          <w:tcPr>
            <w:tcW w:w="1951" w:type="dxa"/>
            <w:shd w:val="clear" w:color="auto" w:fill="auto"/>
            <w:hideMark/>
          </w:tcPr>
          <w:p w14:paraId="182A292D" w14:textId="77777777" w:rsidR="00F87712" w:rsidRDefault="00F87712" w:rsidP="00D171FA">
            <w:r w:rsidRPr="00F165E5">
              <w:rPr>
                <w:b/>
              </w:rPr>
              <w:t>Predmet:</w:t>
            </w:r>
          </w:p>
        </w:tc>
        <w:tc>
          <w:tcPr>
            <w:tcW w:w="7229" w:type="dxa"/>
            <w:shd w:val="clear" w:color="auto" w:fill="auto"/>
            <w:hideMark/>
          </w:tcPr>
          <w:p w14:paraId="247A5E65" w14:textId="77777777" w:rsidR="00F87712" w:rsidRDefault="00F87712" w:rsidP="00D171FA">
            <w:pPr>
              <w:jc w:val="both"/>
            </w:pPr>
            <w:r>
              <w:t>Prijedlog odluke o razvrgnuću suvlasničke zajednice u k.o. Split isplatom</w:t>
            </w:r>
          </w:p>
          <w:p w14:paraId="05840144" w14:textId="77777777" w:rsidR="00F87712" w:rsidRDefault="00F87712" w:rsidP="00D171FA">
            <w:pPr>
              <w:jc w:val="both"/>
            </w:pPr>
          </w:p>
        </w:tc>
      </w:tr>
    </w:tbl>
    <w:p w14:paraId="616A6A33" w14:textId="77777777" w:rsidR="00F87712" w:rsidRPr="006741FC" w:rsidRDefault="00F87712" w:rsidP="00F87712">
      <w:pPr>
        <w:rPr>
          <w:lang w:eastAsia="en-US"/>
        </w:rPr>
      </w:pPr>
      <w:r>
        <w:t>___________________________________________________________________________</w:t>
      </w:r>
    </w:p>
    <w:p w14:paraId="4A790E3A" w14:textId="77777777" w:rsidR="00F87712" w:rsidRDefault="00F87712" w:rsidP="00F87712"/>
    <w:p w14:paraId="2123AFE6" w14:textId="77777777" w:rsidR="00F87712" w:rsidRDefault="00F87712" w:rsidP="00F87712"/>
    <w:p w14:paraId="711FC273" w14:textId="77777777" w:rsidR="00F87712" w:rsidRDefault="00F87712" w:rsidP="00F87712"/>
    <w:p w14:paraId="6A73A2F2" w14:textId="77777777" w:rsidR="00F87712" w:rsidRDefault="00F87712" w:rsidP="00F87712"/>
    <w:p w14:paraId="713F10C7" w14:textId="77777777" w:rsidR="00F87712" w:rsidRDefault="00F87712" w:rsidP="00F87712"/>
    <w:p w14:paraId="1B738D98" w14:textId="77777777" w:rsidR="00F87712" w:rsidRDefault="00F87712" w:rsidP="00F87712"/>
    <w:p w14:paraId="3B0BB7E4" w14:textId="77777777" w:rsidR="00F87712" w:rsidRDefault="00F87712" w:rsidP="00F87712"/>
    <w:p w14:paraId="4B9A7E18" w14:textId="77777777" w:rsidR="00F87712" w:rsidRDefault="00F87712" w:rsidP="00F87712"/>
    <w:p w14:paraId="00E43783" w14:textId="77777777" w:rsidR="00F87712" w:rsidRDefault="00F87712" w:rsidP="00F87712"/>
    <w:p w14:paraId="4E32596E" w14:textId="77777777" w:rsidR="00F87712" w:rsidRDefault="00F87712" w:rsidP="00F87712"/>
    <w:p w14:paraId="7C9DBDAE" w14:textId="77777777" w:rsidR="00F87712" w:rsidRDefault="00F87712" w:rsidP="00F87712"/>
    <w:p w14:paraId="4A82B705" w14:textId="77777777" w:rsidR="00F87712" w:rsidRDefault="00F87712" w:rsidP="00F87712"/>
    <w:p w14:paraId="13B40992" w14:textId="77777777" w:rsidR="00F87712" w:rsidRDefault="00F87712" w:rsidP="00F87712"/>
    <w:p w14:paraId="7CDFD5D7" w14:textId="77777777" w:rsidR="00F87712" w:rsidRDefault="00F87712" w:rsidP="00F87712"/>
    <w:p w14:paraId="321B94F7" w14:textId="77777777" w:rsidR="00F87712" w:rsidRDefault="00F87712" w:rsidP="00F87712"/>
    <w:p w14:paraId="672E84F2" w14:textId="77777777" w:rsidR="00F87712" w:rsidRDefault="00F87712" w:rsidP="00F87712"/>
    <w:p w14:paraId="7EAF211C" w14:textId="77777777" w:rsidR="00F87712" w:rsidRDefault="00F87712" w:rsidP="00F87712"/>
    <w:p w14:paraId="1F963047" w14:textId="77777777" w:rsidR="00F87712" w:rsidRDefault="00F87712" w:rsidP="00F87712"/>
    <w:p w14:paraId="5FC6C611" w14:textId="77777777" w:rsidR="00F87712" w:rsidRDefault="00F87712" w:rsidP="00F87712"/>
    <w:p w14:paraId="67A975CE" w14:textId="77777777" w:rsidR="00F87712" w:rsidRPr="00F165E5" w:rsidRDefault="00F87712" w:rsidP="00F87712">
      <w:pPr>
        <w:pBdr>
          <w:top w:val="single" w:sz="4" w:space="1" w:color="404040"/>
        </w:pBdr>
        <w:tabs>
          <w:tab w:val="center" w:pos="4536"/>
          <w:tab w:val="right" w:pos="9072"/>
        </w:tabs>
        <w:jc w:val="center"/>
        <w:rPr>
          <w:rFonts w:ascii="Calibri" w:hAnsi="Calibri" w:cs="Calibri"/>
          <w:color w:val="404040"/>
          <w:spacing w:val="20"/>
          <w:sz w:val="22"/>
          <w:szCs w:val="22"/>
        </w:rPr>
      </w:pPr>
      <w:r w:rsidRPr="00F165E5">
        <w:rPr>
          <w:rFonts w:ascii="Calibri" w:hAnsi="Calibri" w:cs="Calibri"/>
          <w:color w:val="404040"/>
          <w:spacing w:val="20"/>
          <w:sz w:val="22"/>
          <w:szCs w:val="22"/>
        </w:rPr>
        <w:t>Banski dvori | Trg Sv. Marka 2 | 10000 Zagreb | tel. 01 4569 222 | vlada.gov.hr</w:t>
      </w:r>
    </w:p>
    <w:p w14:paraId="6B1954CC" w14:textId="77777777" w:rsidR="00F87712" w:rsidRDefault="00F87712" w:rsidP="00F87712"/>
    <w:p w14:paraId="45D704B4" w14:textId="77777777" w:rsidR="00257E19" w:rsidRDefault="00257E19" w:rsidP="00F87712">
      <w:pPr>
        <w:tabs>
          <w:tab w:val="left" w:pos="1304"/>
        </w:tabs>
        <w:rPr>
          <w:b/>
          <w:color w:val="000000"/>
        </w:rPr>
      </w:pPr>
    </w:p>
    <w:p w14:paraId="64DC4B20" w14:textId="77777777" w:rsidR="00F87712" w:rsidRDefault="00F87712" w:rsidP="00BE68CE">
      <w:pPr>
        <w:tabs>
          <w:tab w:val="left" w:pos="1304"/>
        </w:tabs>
        <w:jc w:val="right"/>
        <w:rPr>
          <w:b/>
          <w:color w:val="000000"/>
        </w:rPr>
      </w:pPr>
    </w:p>
    <w:p w14:paraId="723AED61" w14:textId="77777777" w:rsidR="00CA3C5C" w:rsidRPr="00F87747" w:rsidRDefault="00CA3C5C" w:rsidP="00BE68CE">
      <w:pPr>
        <w:tabs>
          <w:tab w:val="left" w:pos="1304"/>
        </w:tabs>
        <w:jc w:val="right"/>
        <w:rPr>
          <w:b/>
          <w:color w:val="000000"/>
        </w:rPr>
      </w:pPr>
      <w:r w:rsidRPr="00F87747">
        <w:rPr>
          <w:b/>
          <w:color w:val="000000"/>
        </w:rPr>
        <w:t>PRIJEDLOG</w:t>
      </w:r>
    </w:p>
    <w:p w14:paraId="59B18B83" w14:textId="77777777" w:rsidR="00CA3C5C" w:rsidRDefault="00CA3C5C" w:rsidP="00BE68CE">
      <w:pPr>
        <w:tabs>
          <w:tab w:val="left" w:pos="1304"/>
        </w:tabs>
        <w:jc w:val="both"/>
        <w:rPr>
          <w:color w:val="000000"/>
        </w:rPr>
      </w:pPr>
    </w:p>
    <w:p w14:paraId="0B420260" w14:textId="77777777" w:rsidR="00257E19" w:rsidRDefault="00257E19" w:rsidP="00BE68CE">
      <w:pPr>
        <w:tabs>
          <w:tab w:val="left" w:pos="1304"/>
        </w:tabs>
        <w:jc w:val="both"/>
        <w:rPr>
          <w:color w:val="000000"/>
        </w:rPr>
      </w:pPr>
    </w:p>
    <w:p w14:paraId="7E61D1EC" w14:textId="77777777" w:rsidR="00257E19" w:rsidRPr="00F87747" w:rsidRDefault="00257E19" w:rsidP="00BE68CE">
      <w:pPr>
        <w:tabs>
          <w:tab w:val="left" w:pos="1304"/>
        </w:tabs>
        <w:jc w:val="both"/>
        <w:rPr>
          <w:color w:val="000000"/>
        </w:rPr>
      </w:pPr>
    </w:p>
    <w:p w14:paraId="09BF3BA8" w14:textId="77777777" w:rsidR="009C04E7" w:rsidRPr="00F87747" w:rsidRDefault="00257E19" w:rsidP="00257E19">
      <w:pPr>
        <w:jc w:val="both"/>
        <w:rPr>
          <w:color w:val="000000"/>
        </w:rPr>
      </w:pPr>
      <w:r>
        <w:rPr>
          <w:color w:val="000000"/>
        </w:rPr>
        <w:tab/>
      </w:r>
      <w:r>
        <w:rPr>
          <w:color w:val="000000"/>
        </w:rPr>
        <w:tab/>
      </w:r>
      <w:r w:rsidR="00CA3C5C" w:rsidRPr="00F87747">
        <w:rPr>
          <w:color w:val="000000"/>
        </w:rPr>
        <w:t xml:space="preserve">Na temelju članka 37. stavka 5., a u vezi s člankom 41. stavkom 1. podstavkom </w:t>
      </w:r>
      <w:r w:rsidR="00D16E2F" w:rsidRPr="00F87747">
        <w:rPr>
          <w:color w:val="000000"/>
        </w:rPr>
        <w:t>7</w:t>
      </w:r>
      <w:r w:rsidR="00CA3C5C" w:rsidRPr="00F87747">
        <w:rPr>
          <w:color w:val="000000"/>
        </w:rPr>
        <w:t>. Zakona o upravljanju državnom imovinom</w:t>
      </w:r>
      <w:r w:rsidR="008B06E0">
        <w:rPr>
          <w:color w:val="000000"/>
        </w:rPr>
        <w:t xml:space="preserve"> („Narodne novine“, br</w:t>
      </w:r>
      <w:r>
        <w:rPr>
          <w:color w:val="000000"/>
        </w:rPr>
        <w:t>oj</w:t>
      </w:r>
      <w:r w:rsidR="008B06E0">
        <w:rPr>
          <w:color w:val="000000"/>
        </w:rPr>
        <w:t xml:space="preserve"> 52/18.)</w:t>
      </w:r>
      <w:r w:rsidR="00CA3C5C" w:rsidRPr="00F87747">
        <w:rPr>
          <w:color w:val="000000"/>
        </w:rPr>
        <w:t xml:space="preserve"> </w:t>
      </w:r>
      <w:r w:rsidR="008B06E0">
        <w:rPr>
          <w:color w:val="000000"/>
        </w:rPr>
        <w:t>i člankom 19. stavcima 3. i 4.</w:t>
      </w:r>
      <w:r w:rsidR="00CA3C5C" w:rsidRPr="00F87747">
        <w:rPr>
          <w:color w:val="000000"/>
        </w:rPr>
        <w:t xml:space="preserve"> </w:t>
      </w:r>
      <w:r w:rsidR="00D16E2F" w:rsidRPr="00F87747">
        <w:rPr>
          <w:color w:val="000000"/>
        </w:rPr>
        <w:t xml:space="preserve">Uredbe o postupcima koji prethode sklapanju pravnih poslova raspolaganja nekretninama u vlasništvu </w:t>
      </w:r>
      <w:r w:rsidR="00C72BDB">
        <w:rPr>
          <w:color w:val="000000"/>
        </w:rPr>
        <w:t>R</w:t>
      </w:r>
      <w:r w:rsidR="00D16E2F" w:rsidRPr="00F87747">
        <w:rPr>
          <w:color w:val="000000"/>
        </w:rPr>
        <w:t>epublike Hrvatske u svrhu prodaje, razvrgnuća suvlasničke zajednice, zamjene, davanja u zakup ili najam te o post</w:t>
      </w:r>
      <w:r w:rsidR="00BA7F80" w:rsidRPr="00F87747">
        <w:rPr>
          <w:color w:val="000000"/>
        </w:rPr>
        <w:t>u</w:t>
      </w:r>
      <w:r w:rsidR="00D16E2F" w:rsidRPr="00F87747">
        <w:rPr>
          <w:color w:val="000000"/>
        </w:rPr>
        <w:t xml:space="preserve">pcima u vezi sa stjecanjem nekretnina i drugih </w:t>
      </w:r>
      <w:r w:rsidR="00BA7F80" w:rsidRPr="00F87747">
        <w:rPr>
          <w:color w:val="000000"/>
        </w:rPr>
        <w:t>stvarnih prava u korist Republike Hrvatske („Narodne novine“, br</w:t>
      </w:r>
      <w:r w:rsidR="00BA696C">
        <w:rPr>
          <w:color w:val="000000"/>
        </w:rPr>
        <w:t>oj</w:t>
      </w:r>
      <w:r w:rsidR="00BA7F80" w:rsidRPr="00F87747">
        <w:rPr>
          <w:color w:val="000000"/>
        </w:rPr>
        <w:t xml:space="preserve"> 95/18.),</w:t>
      </w:r>
      <w:r w:rsidR="00CA3C5C" w:rsidRPr="00F87747">
        <w:rPr>
          <w:color w:val="000000"/>
        </w:rPr>
        <w:t xml:space="preserve"> Vlada Republike Hrvatske je na sjednici održanoj </w:t>
      </w:r>
      <w:r w:rsidR="00BA696C">
        <w:rPr>
          <w:color w:val="000000"/>
        </w:rPr>
        <w:t>__________</w:t>
      </w:r>
      <w:r w:rsidR="00CA3C5C" w:rsidRPr="00F87747">
        <w:rPr>
          <w:color w:val="000000"/>
        </w:rPr>
        <w:t xml:space="preserve"> </w:t>
      </w:r>
      <w:r w:rsidR="00BA696C" w:rsidRPr="00F87747">
        <w:rPr>
          <w:color w:val="000000"/>
        </w:rPr>
        <w:t>202</w:t>
      </w:r>
      <w:r w:rsidR="00BA696C">
        <w:rPr>
          <w:color w:val="000000"/>
        </w:rPr>
        <w:t>2</w:t>
      </w:r>
      <w:r w:rsidR="00CA3C5C" w:rsidRPr="00F87747">
        <w:rPr>
          <w:color w:val="000000"/>
        </w:rPr>
        <w:t>. donijela</w:t>
      </w:r>
    </w:p>
    <w:p w14:paraId="08604552" w14:textId="77777777" w:rsidR="00F87747" w:rsidRDefault="00F87747" w:rsidP="00BE68CE">
      <w:pPr>
        <w:tabs>
          <w:tab w:val="left" w:pos="1304"/>
        </w:tabs>
        <w:jc w:val="both"/>
        <w:rPr>
          <w:b/>
        </w:rPr>
      </w:pPr>
    </w:p>
    <w:p w14:paraId="7050117C" w14:textId="77777777" w:rsidR="00064928" w:rsidRPr="00F87747" w:rsidRDefault="00064928" w:rsidP="00BE68CE">
      <w:pPr>
        <w:tabs>
          <w:tab w:val="left" w:pos="1304"/>
        </w:tabs>
        <w:jc w:val="both"/>
        <w:rPr>
          <w:b/>
        </w:rPr>
      </w:pPr>
    </w:p>
    <w:p w14:paraId="4ABBB2D0" w14:textId="77777777" w:rsidR="00570399" w:rsidRPr="00F87747" w:rsidRDefault="00570399" w:rsidP="00BE68CE">
      <w:pPr>
        <w:jc w:val="center"/>
        <w:rPr>
          <w:b/>
        </w:rPr>
      </w:pPr>
      <w:r w:rsidRPr="00F87747">
        <w:rPr>
          <w:b/>
        </w:rPr>
        <w:t>O</w:t>
      </w:r>
      <w:r w:rsidR="00064928">
        <w:rPr>
          <w:b/>
        </w:rPr>
        <w:t xml:space="preserve"> </w:t>
      </w:r>
      <w:r w:rsidRPr="00F87747">
        <w:rPr>
          <w:b/>
        </w:rPr>
        <w:t>D</w:t>
      </w:r>
      <w:r w:rsidR="00064928">
        <w:rPr>
          <w:b/>
        </w:rPr>
        <w:t xml:space="preserve"> </w:t>
      </w:r>
      <w:r w:rsidRPr="00F87747">
        <w:rPr>
          <w:b/>
        </w:rPr>
        <w:t>L</w:t>
      </w:r>
      <w:r w:rsidR="00064928">
        <w:rPr>
          <w:b/>
        </w:rPr>
        <w:t xml:space="preserve"> </w:t>
      </w:r>
      <w:r w:rsidRPr="00F87747">
        <w:rPr>
          <w:b/>
        </w:rPr>
        <w:t>U</w:t>
      </w:r>
      <w:r w:rsidR="00064928">
        <w:rPr>
          <w:b/>
        </w:rPr>
        <w:t xml:space="preserve"> </w:t>
      </w:r>
      <w:r w:rsidRPr="00F87747">
        <w:rPr>
          <w:b/>
        </w:rPr>
        <w:t>K</w:t>
      </w:r>
      <w:r w:rsidR="00064928">
        <w:rPr>
          <w:b/>
        </w:rPr>
        <w:t xml:space="preserve"> </w:t>
      </w:r>
      <w:r w:rsidRPr="00F87747">
        <w:rPr>
          <w:b/>
        </w:rPr>
        <w:t>U</w:t>
      </w:r>
    </w:p>
    <w:p w14:paraId="1DC7BDA4" w14:textId="77777777" w:rsidR="00064928" w:rsidRDefault="00064928" w:rsidP="00BE68CE">
      <w:pPr>
        <w:jc w:val="center"/>
      </w:pPr>
    </w:p>
    <w:p w14:paraId="12C2FB85" w14:textId="77777777" w:rsidR="00AF3895" w:rsidRPr="00064928" w:rsidRDefault="00AF3895" w:rsidP="00BE68CE">
      <w:pPr>
        <w:jc w:val="center"/>
        <w:rPr>
          <w:b/>
        </w:rPr>
      </w:pPr>
      <w:r w:rsidRPr="00064928">
        <w:rPr>
          <w:b/>
        </w:rPr>
        <w:t xml:space="preserve">o razvrgnuću suvlasničke zajednice </w:t>
      </w:r>
      <w:r w:rsidR="008B06E0" w:rsidRPr="00064928">
        <w:rPr>
          <w:b/>
        </w:rPr>
        <w:t xml:space="preserve">na </w:t>
      </w:r>
      <w:r w:rsidRPr="00064928">
        <w:rPr>
          <w:b/>
        </w:rPr>
        <w:t>nekretnin</w:t>
      </w:r>
      <w:r w:rsidR="008B06E0" w:rsidRPr="00064928">
        <w:rPr>
          <w:b/>
        </w:rPr>
        <w:t>i</w:t>
      </w:r>
      <w:r w:rsidRPr="00064928">
        <w:rPr>
          <w:b/>
        </w:rPr>
        <w:t xml:space="preserve"> u </w:t>
      </w:r>
      <w:r w:rsidR="00872C20" w:rsidRPr="00064928">
        <w:rPr>
          <w:b/>
        </w:rPr>
        <w:t xml:space="preserve">k.o. </w:t>
      </w:r>
      <w:r w:rsidR="00BA7F80" w:rsidRPr="00064928">
        <w:rPr>
          <w:b/>
        </w:rPr>
        <w:t>Split</w:t>
      </w:r>
      <w:r w:rsidR="00DF5557" w:rsidRPr="00064928">
        <w:rPr>
          <w:b/>
        </w:rPr>
        <w:t xml:space="preserve"> isplatom</w:t>
      </w:r>
      <w:r w:rsidRPr="00064928">
        <w:rPr>
          <w:b/>
        </w:rPr>
        <w:t xml:space="preserve"> </w:t>
      </w:r>
    </w:p>
    <w:p w14:paraId="5D37E6F8" w14:textId="77777777" w:rsidR="00193CD1" w:rsidRPr="00F87747" w:rsidRDefault="00193CD1" w:rsidP="00BE68CE">
      <w:pPr>
        <w:jc w:val="center"/>
      </w:pPr>
    </w:p>
    <w:p w14:paraId="44A4A723" w14:textId="77777777" w:rsidR="009C04E7" w:rsidRDefault="00570399" w:rsidP="00BE68CE">
      <w:pPr>
        <w:jc w:val="center"/>
        <w:rPr>
          <w:b/>
        </w:rPr>
      </w:pPr>
      <w:r w:rsidRPr="00F87747">
        <w:rPr>
          <w:b/>
        </w:rPr>
        <w:t>I.</w:t>
      </w:r>
    </w:p>
    <w:p w14:paraId="7BACCAE5" w14:textId="77777777" w:rsidR="006010FA" w:rsidRDefault="006010FA" w:rsidP="00BE68CE">
      <w:pPr>
        <w:jc w:val="center"/>
        <w:rPr>
          <w:b/>
        </w:rPr>
      </w:pPr>
    </w:p>
    <w:p w14:paraId="2EF0A396" w14:textId="33D7FFFD" w:rsidR="00AD49FF" w:rsidRPr="00F87747" w:rsidRDefault="00D911CA" w:rsidP="00064928">
      <w:pPr>
        <w:ind w:firstLine="1418"/>
        <w:jc w:val="both"/>
      </w:pPr>
      <w:r w:rsidRPr="00F87747">
        <w:t>S</w:t>
      </w:r>
      <w:r w:rsidR="00570399" w:rsidRPr="00F87747">
        <w:t xml:space="preserve">uvlasnička zajednica na nekretnini označenoj kao </w:t>
      </w:r>
      <w:r w:rsidR="00CC75BB" w:rsidRPr="00F87747">
        <w:t>z</w:t>
      </w:r>
      <w:r w:rsidR="00570399" w:rsidRPr="00F87747">
        <w:t>k</w:t>
      </w:r>
      <w:r w:rsidR="00523B03" w:rsidRPr="00F87747">
        <w:t>.</w:t>
      </w:r>
      <w:r w:rsidR="00570399" w:rsidRPr="00F87747">
        <w:t>č.br.</w:t>
      </w:r>
      <w:r w:rsidR="002D5021" w:rsidRPr="00F87747">
        <w:t xml:space="preserve"> </w:t>
      </w:r>
      <w:r w:rsidR="00BA7F80" w:rsidRPr="00F87747">
        <w:t>ZEM 1723/37,</w:t>
      </w:r>
      <w:r w:rsidR="002D5021" w:rsidRPr="00F87747">
        <w:t xml:space="preserve"> </w:t>
      </w:r>
      <w:r w:rsidR="00BA7F80" w:rsidRPr="00F87747">
        <w:t xml:space="preserve">NEPOLODNO ZEMLJIŠTE, ZGRADA, ZGRADA, IZGRAĐENO ZEMLJIŠTE, IZGRAĐENO ZEMLJIŠTE, </w:t>
      </w:r>
      <w:r w:rsidR="00BA7F80" w:rsidRPr="00AC77A7">
        <w:t>površine</w:t>
      </w:r>
      <w:r w:rsidR="000776D9" w:rsidRPr="00AC77A7">
        <w:t xml:space="preserve"> </w:t>
      </w:r>
      <w:r w:rsidR="00BA7F80" w:rsidRPr="00AC77A7">
        <w:t>4000</w:t>
      </w:r>
      <w:r w:rsidR="00AD49FF" w:rsidRPr="00AC77A7">
        <w:t xml:space="preserve"> m</w:t>
      </w:r>
      <w:r w:rsidR="00AD49FF" w:rsidRPr="00AC77A7">
        <w:rPr>
          <w:vertAlign w:val="superscript"/>
        </w:rPr>
        <w:t>2</w:t>
      </w:r>
      <w:r w:rsidR="000776D9" w:rsidRPr="00AC77A7">
        <w:t>,</w:t>
      </w:r>
      <w:r w:rsidR="00570399" w:rsidRPr="00AC77A7">
        <w:t xml:space="preserve"> </w:t>
      </w:r>
      <w:r w:rsidR="001241C9" w:rsidRPr="00AC77A7">
        <w:t>upisan</w:t>
      </w:r>
      <w:r w:rsidR="000776D9" w:rsidRPr="00AC77A7">
        <w:t>oj</w:t>
      </w:r>
      <w:r w:rsidR="001241C9" w:rsidRPr="00F87747">
        <w:t xml:space="preserve"> u zk.ul.br. </w:t>
      </w:r>
      <w:r w:rsidR="00BA7F80" w:rsidRPr="00F87747">
        <w:t>19012</w:t>
      </w:r>
      <w:r w:rsidR="002D5021" w:rsidRPr="00F87747">
        <w:t xml:space="preserve">, k.o. </w:t>
      </w:r>
      <w:r w:rsidR="00BA7F80" w:rsidRPr="00F87747">
        <w:t>Split</w:t>
      </w:r>
      <w:r w:rsidR="00DF728B">
        <w:t>,</w:t>
      </w:r>
      <w:r w:rsidR="001241C9" w:rsidRPr="00F87747">
        <w:t xml:space="preserve"> </w:t>
      </w:r>
      <w:r w:rsidR="00BA7F80" w:rsidRPr="00F87747">
        <w:t>u zemljišn</w:t>
      </w:r>
      <w:r w:rsidR="00D0101D">
        <w:t>im</w:t>
      </w:r>
      <w:r w:rsidR="00BA7F80" w:rsidRPr="00F87747">
        <w:t xml:space="preserve"> knjig</w:t>
      </w:r>
      <w:r w:rsidR="00D0101D">
        <w:t>ama</w:t>
      </w:r>
      <w:r w:rsidR="00707DE5" w:rsidRPr="00F87747">
        <w:t xml:space="preserve"> Općin</w:t>
      </w:r>
      <w:r w:rsidR="002D5021" w:rsidRPr="00F87747">
        <w:t xml:space="preserve">skog suda u </w:t>
      </w:r>
      <w:r w:rsidR="00BA7F80" w:rsidRPr="00F87747">
        <w:t>Splitu</w:t>
      </w:r>
      <w:r w:rsidR="00707DE5" w:rsidRPr="00F87747">
        <w:t>,</w:t>
      </w:r>
      <w:r w:rsidR="00DF5557" w:rsidRPr="00F87747">
        <w:t xml:space="preserve"> Zeml</w:t>
      </w:r>
      <w:r w:rsidR="002D5021" w:rsidRPr="00F87747">
        <w:t xml:space="preserve">jišnoknjižni odjel </w:t>
      </w:r>
      <w:r w:rsidR="00BA7F80" w:rsidRPr="00F87747">
        <w:t>Split</w:t>
      </w:r>
      <w:r w:rsidR="00CC75BB" w:rsidRPr="00F87747">
        <w:t xml:space="preserve">, </w:t>
      </w:r>
      <w:r w:rsidR="00AB2A36">
        <w:t>koja odgovara k</w:t>
      </w:r>
      <w:r w:rsidR="00DF728B">
        <w:t>.</w:t>
      </w:r>
      <w:r w:rsidR="00AB2A36">
        <w:t>č.br. 10260/37, DUILOVO, površine 4000 m</w:t>
      </w:r>
      <w:r w:rsidR="00AB2A36" w:rsidRPr="00AB2A36">
        <w:rPr>
          <w:vertAlign w:val="superscript"/>
        </w:rPr>
        <w:t>2</w:t>
      </w:r>
      <w:r w:rsidR="00AB2A36">
        <w:t xml:space="preserve">, </w:t>
      </w:r>
      <w:r w:rsidR="00DF728B">
        <w:t xml:space="preserve">upisanoj </w:t>
      </w:r>
      <w:r w:rsidR="00AB2A36">
        <w:t>u Posjedovni list</w:t>
      </w:r>
      <w:r w:rsidR="00DF728B">
        <w:t>,</w:t>
      </w:r>
      <w:r w:rsidR="00AB2A36">
        <w:t xml:space="preserve"> </w:t>
      </w:r>
      <w:r w:rsidR="00DF728B">
        <w:t>broj</w:t>
      </w:r>
      <w:r w:rsidR="00AB2A36">
        <w:t xml:space="preserve">: 15177, k.o. Split, </w:t>
      </w:r>
      <w:r w:rsidR="00CA5D63" w:rsidRPr="00F87747">
        <w:t>kao</w:t>
      </w:r>
      <w:r w:rsidR="00570399" w:rsidRPr="00F87747">
        <w:t xml:space="preserve"> suvlasništvo Republike Hrvatske </w:t>
      </w:r>
      <w:r w:rsidR="00CA5D63" w:rsidRPr="00F87747">
        <w:t xml:space="preserve">s </w:t>
      </w:r>
      <w:r w:rsidR="00BA7F80" w:rsidRPr="00F87747">
        <w:t>1379/4000</w:t>
      </w:r>
      <w:r w:rsidR="000D31A5" w:rsidRPr="00F87747">
        <w:t xml:space="preserve"> idealnih </w:t>
      </w:r>
      <w:r w:rsidR="00126070" w:rsidRPr="00F87747">
        <w:t>dijelova</w:t>
      </w:r>
      <w:r w:rsidR="00CA5D63" w:rsidRPr="00F87747">
        <w:t xml:space="preserve"> </w:t>
      </w:r>
      <w:r w:rsidR="000008D2" w:rsidRPr="00F87747">
        <w:t xml:space="preserve">i </w:t>
      </w:r>
      <w:r w:rsidR="00BA7F80" w:rsidRPr="00F87747">
        <w:t>društva QUATRO COMPANY d.o.o.</w:t>
      </w:r>
      <w:r w:rsidR="00DF728B">
        <w:t xml:space="preserve"> iz Splita,</w:t>
      </w:r>
      <w:r w:rsidR="002D5021" w:rsidRPr="00F87747">
        <w:t xml:space="preserve"> </w:t>
      </w:r>
      <w:r w:rsidR="00BA7F80" w:rsidRPr="00F87747">
        <w:t>Makarska 20</w:t>
      </w:r>
      <w:r w:rsidR="002D5021" w:rsidRPr="00F87747">
        <w:t xml:space="preserve">, </w:t>
      </w:r>
      <w:r w:rsidR="00DF728B" w:rsidRPr="00F87747">
        <w:t>OIB: 98693222826</w:t>
      </w:r>
      <w:r w:rsidR="00DF728B">
        <w:t xml:space="preserve"> (u daljnjem tekstu: QUATRO COMPANY d.o.o.),</w:t>
      </w:r>
      <w:r w:rsidR="002D5021" w:rsidRPr="00F87747">
        <w:t xml:space="preserve"> </w:t>
      </w:r>
      <w:r w:rsidR="00463C26" w:rsidRPr="00F87747">
        <w:t xml:space="preserve">s </w:t>
      </w:r>
      <w:r w:rsidR="00BA7F80" w:rsidRPr="00F87747">
        <w:t>2621/4000</w:t>
      </w:r>
      <w:r w:rsidR="000008D2" w:rsidRPr="00F87747">
        <w:t xml:space="preserve"> idealnih dijelova</w:t>
      </w:r>
      <w:r w:rsidR="00126070" w:rsidRPr="00F87747">
        <w:t>,</w:t>
      </w:r>
      <w:r w:rsidR="00DF0BDB" w:rsidRPr="00F87747">
        <w:t xml:space="preserve"> </w:t>
      </w:r>
      <w:r w:rsidR="00F9177A" w:rsidRPr="00F87747">
        <w:t>ra</w:t>
      </w:r>
      <w:r w:rsidR="00CA5D63" w:rsidRPr="00F87747">
        <w:t>zvrgava se isplatom suvlasničk</w:t>
      </w:r>
      <w:r w:rsidR="0097611D" w:rsidRPr="00F87747">
        <w:t>ih</w:t>
      </w:r>
      <w:r w:rsidR="00CA5D63" w:rsidRPr="00F87747">
        <w:t xml:space="preserve"> dijel</w:t>
      </w:r>
      <w:r w:rsidR="0097611D" w:rsidRPr="00F87747">
        <w:t>ova</w:t>
      </w:r>
      <w:r w:rsidR="00CA5D63" w:rsidRPr="00F87747">
        <w:t xml:space="preserve"> Republike Hrvatske.</w:t>
      </w:r>
    </w:p>
    <w:p w14:paraId="60C076A6" w14:textId="77777777" w:rsidR="00D0101D" w:rsidRPr="00F87747" w:rsidRDefault="00D0101D" w:rsidP="00BE68CE">
      <w:pPr>
        <w:jc w:val="both"/>
      </w:pPr>
    </w:p>
    <w:p w14:paraId="5294B13E" w14:textId="77777777" w:rsidR="009C04E7" w:rsidRPr="00F87747" w:rsidRDefault="00985A89" w:rsidP="00BE68CE">
      <w:pPr>
        <w:jc w:val="center"/>
        <w:rPr>
          <w:b/>
        </w:rPr>
      </w:pPr>
      <w:r w:rsidRPr="00F87747">
        <w:rPr>
          <w:b/>
        </w:rPr>
        <w:t>II.</w:t>
      </w:r>
    </w:p>
    <w:p w14:paraId="2D6089CA" w14:textId="77777777" w:rsidR="00DF728B" w:rsidRDefault="00DF728B" w:rsidP="00BE68CE">
      <w:pPr>
        <w:jc w:val="both"/>
      </w:pPr>
    </w:p>
    <w:p w14:paraId="6B92E44B" w14:textId="38F4DFCF" w:rsidR="005E026B" w:rsidRPr="00F87747" w:rsidRDefault="00F26D2E" w:rsidP="00C33FB0">
      <w:pPr>
        <w:ind w:firstLine="1418"/>
        <w:jc w:val="both"/>
      </w:pPr>
      <w:r>
        <w:t>Društvo QUATRO COMPANY d.o.o.</w:t>
      </w:r>
      <w:bookmarkStart w:id="0" w:name="_GoBack"/>
      <w:bookmarkEnd w:id="0"/>
      <w:r w:rsidR="00BA7F80" w:rsidRPr="00F87747">
        <w:t xml:space="preserve"> </w:t>
      </w:r>
      <w:r w:rsidR="00DF728B">
        <w:t xml:space="preserve">će </w:t>
      </w:r>
      <w:r w:rsidR="00570399" w:rsidRPr="00F87747">
        <w:t>Republici Hrvatskoj</w:t>
      </w:r>
      <w:r w:rsidR="00580BEF" w:rsidRPr="00F87747">
        <w:t xml:space="preserve"> </w:t>
      </w:r>
      <w:r w:rsidR="00985A89" w:rsidRPr="00F87747">
        <w:t>za nje</w:t>
      </w:r>
      <w:r w:rsidR="00A33038" w:rsidRPr="00F87747">
        <w:t>zi</w:t>
      </w:r>
      <w:r w:rsidR="00985A89" w:rsidRPr="00F87747">
        <w:t>n</w:t>
      </w:r>
      <w:r w:rsidR="00495E48" w:rsidRPr="00F87747">
        <w:t>e</w:t>
      </w:r>
      <w:r w:rsidR="00985A89" w:rsidRPr="00F87747">
        <w:t xml:space="preserve"> suvlasničk</w:t>
      </w:r>
      <w:r w:rsidR="00AD49FF" w:rsidRPr="00F87747">
        <w:t>e</w:t>
      </w:r>
      <w:r w:rsidR="00985A89" w:rsidRPr="00F87747">
        <w:t xml:space="preserve"> </w:t>
      </w:r>
      <w:r w:rsidR="00135479" w:rsidRPr="00F87747">
        <w:t>u</w:t>
      </w:r>
      <w:r w:rsidR="00985A89" w:rsidRPr="00F87747">
        <w:t>d</w:t>
      </w:r>
      <w:r w:rsidR="00AD49FF" w:rsidRPr="00F87747">
        <w:t>jele</w:t>
      </w:r>
      <w:r w:rsidR="000008D2" w:rsidRPr="00F87747">
        <w:t xml:space="preserve"> </w:t>
      </w:r>
      <w:r w:rsidR="00AC77A7">
        <w:t xml:space="preserve">na </w:t>
      </w:r>
      <w:r w:rsidR="000008D2" w:rsidRPr="00F87747">
        <w:t>nekretnin</w:t>
      </w:r>
      <w:r w:rsidR="00AC77A7">
        <w:t>i</w:t>
      </w:r>
      <w:r w:rsidR="00985A89" w:rsidRPr="00F87747">
        <w:t xml:space="preserve"> </w:t>
      </w:r>
      <w:r w:rsidR="00DF728B">
        <w:t>iz</w:t>
      </w:r>
      <w:r w:rsidR="00985A89" w:rsidRPr="00F87747">
        <w:t xml:space="preserve"> </w:t>
      </w:r>
      <w:r w:rsidR="00DF728B" w:rsidRPr="00F87747">
        <w:t>točk</w:t>
      </w:r>
      <w:r w:rsidR="00DF728B">
        <w:t>e</w:t>
      </w:r>
      <w:r w:rsidR="00DF728B" w:rsidRPr="00F87747">
        <w:t xml:space="preserve"> </w:t>
      </w:r>
      <w:r w:rsidR="00523B03" w:rsidRPr="00F87747">
        <w:t>I. ove Odluke</w:t>
      </w:r>
      <w:r w:rsidR="00985A89" w:rsidRPr="00F87747">
        <w:t xml:space="preserve"> isplatiti naknadu u visini tržišne vrijednosti </w:t>
      </w:r>
      <w:r w:rsidR="00E87152" w:rsidRPr="00F87747">
        <w:t xml:space="preserve">u </w:t>
      </w:r>
      <w:r w:rsidR="00570399" w:rsidRPr="00F87747">
        <w:t>iznos</w:t>
      </w:r>
      <w:r w:rsidR="00E87152" w:rsidRPr="00F87747">
        <w:t xml:space="preserve">u od </w:t>
      </w:r>
      <w:r w:rsidR="00341BF9">
        <w:t>7.940.000,00</w:t>
      </w:r>
      <w:r w:rsidR="00E87152" w:rsidRPr="00F87747">
        <w:t xml:space="preserve"> kuna.</w:t>
      </w:r>
    </w:p>
    <w:p w14:paraId="7D4D103F" w14:textId="77777777" w:rsidR="00D0101D" w:rsidRPr="00F87747" w:rsidRDefault="00D0101D" w:rsidP="00BE68CE">
      <w:pPr>
        <w:jc w:val="both"/>
      </w:pPr>
    </w:p>
    <w:p w14:paraId="10753C99" w14:textId="77777777" w:rsidR="009C04E7" w:rsidRPr="00F87747" w:rsidRDefault="00570399" w:rsidP="00BE68CE">
      <w:pPr>
        <w:jc w:val="center"/>
        <w:rPr>
          <w:b/>
        </w:rPr>
      </w:pPr>
      <w:r w:rsidRPr="00F87747">
        <w:rPr>
          <w:b/>
        </w:rPr>
        <w:lastRenderedPageBreak/>
        <w:t>II</w:t>
      </w:r>
      <w:r w:rsidR="00985A89" w:rsidRPr="00F87747">
        <w:rPr>
          <w:b/>
        </w:rPr>
        <w:t>I</w:t>
      </w:r>
      <w:r w:rsidRPr="00F87747">
        <w:rPr>
          <w:b/>
        </w:rPr>
        <w:t>.</w:t>
      </w:r>
    </w:p>
    <w:p w14:paraId="7CA268DC" w14:textId="77777777" w:rsidR="00F46B45" w:rsidRDefault="00F46B45" w:rsidP="00BE68CE">
      <w:pPr>
        <w:jc w:val="both"/>
      </w:pPr>
    </w:p>
    <w:p w14:paraId="7D9DB15C" w14:textId="77777777" w:rsidR="002D5021" w:rsidRPr="00F87747" w:rsidRDefault="00BA7F80" w:rsidP="00F46B45">
      <w:pPr>
        <w:ind w:firstLine="1418"/>
        <w:jc w:val="both"/>
      </w:pPr>
      <w:r w:rsidRPr="00F87747">
        <w:t xml:space="preserve">Društvo QUATRO COMPANY d.o.o. </w:t>
      </w:r>
      <w:r w:rsidR="002D5021" w:rsidRPr="00F87747">
        <w:t>obvezn</w:t>
      </w:r>
      <w:r w:rsidRPr="00F87747">
        <w:t>o</w:t>
      </w:r>
      <w:r w:rsidR="00CB5EE7" w:rsidRPr="00F87747">
        <w:t xml:space="preserve"> je</w:t>
      </w:r>
      <w:r w:rsidR="00291FEF" w:rsidRPr="00F87747">
        <w:t xml:space="preserve"> platiti i iznos od </w:t>
      </w:r>
      <w:r w:rsidR="00E17D9B" w:rsidRPr="00E17D9B">
        <w:t xml:space="preserve">2.875,00 </w:t>
      </w:r>
      <w:r w:rsidR="001241C9" w:rsidRPr="00F87747">
        <w:t>kuna</w:t>
      </w:r>
      <w:r w:rsidR="00291FEF" w:rsidRPr="00F87747">
        <w:t xml:space="preserve">, na ime naknade </w:t>
      </w:r>
      <w:r w:rsidR="0097611D" w:rsidRPr="00F87747">
        <w:t>za procjenu tržišne vrijednosti nekretnine</w:t>
      </w:r>
      <w:r w:rsidR="00291FEF" w:rsidRPr="00F87747">
        <w:t>.</w:t>
      </w:r>
    </w:p>
    <w:p w14:paraId="25AA16ED" w14:textId="77777777" w:rsidR="00EC28FF" w:rsidRDefault="00EC28FF" w:rsidP="00BE68CE">
      <w:pPr>
        <w:jc w:val="both"/>
      </w:pPr>
    </w:p>
    <w:p w14:paraId="093E495C" w14:textId="77777777" w:rsidR="00AD49FF" w:rsidRPr="00F87747" w:rsidRDefault="00AD49FF" w:rsidP="00BE68CE">
      <w:pPr>
        <w:jc w:val="center"/>
        <w:rPr>
          <w:b/>
        </w:rPr>
      </w:pPr>
      <w:r w:rsidRPr="00F87747">
        <w:rPr>
          <w:b/>
        </w:rPr>
        <w:t>IV.</w:t>
      </w:r>
    </w:p>
    <w:p w14:paraId="3590F7EF" w14:textId="77777777" w:rsidR="00F46B45" w:rsidRDefault="00F46B45" w:rsidP="00BE68CE">
      <w:pPr>
        <w:jc w:val="both"/>
      </w:pPr>
    </w:p>
    <w:p w14:paraId="1584576E" w14:textId="77777777" w:rsidR="00AD49FF" w:rsidRPr="00F87747" w:rsidRDefault="00BA7F80" w:rsidP="00F46B45">
      <w:pPr>
        <w:ind w:firstLine="1418"/>
        <w:jc w:val="both"/>
      </w:pPr>
      <w:r w:rsidRPr="00F87747">
        <w:t xml:space="preserve">S društvom QUATRO COMPANY d.o.o. </w:t>
      </w:r>
      <w:r w:rsidR="00AD49FF" w:rsidRPr="00F87747">
        <w:t xml:space="preserve">sklopit će se ugovor o razvrgnuću suvlasničke zajednice </w:t>
      </w:r>
      <w:r w:rsidR="008B06E0">
        <w:t xml:space="preserve">na </w:t>
      </w:r>
      <w:r w:rsidR="00AD49FF" w:rsidRPr="00F87747">
        <w:t>nekretnin</w:t>
      </w:r>
      <w:r w:rsidR="008B06E0">
        <w:t>i</w:t>
      </w:r>
      <w:r w:rsidR="00AD49FF" w:rsidRPr="00F87747">
        <w:t xml:space="preserve"> iz točke I. ove Odluke, </w:t>
      </w:r>
      <w:r w:rsidR="00AD49FF" w:rsidRPr="00F87747">
        <w:rPr>
          <w:bCs/>
        </w:rPr>
        <w:t>a tabularna isprava kojom će se dozvoliti uknjižba prava vlasništva na suvlasničkim udjelima Republike Hrvatske</w:t>
      </w:r>
      <w:r w:rsidR="00F46B45">
        <w:rPr>
          <w:bCs/>
        </w:rPr>
        <w:t>,</w:t>
      </w:r>
      <w:r w:rsidR="00AD49FF" w:rsidRPr="00F87747">
        <w:rPr>
          <w:bCs/>
        </w:rPr>
        <w:t xml:space="preserve"> na nekretnini iz točke I. ove Odluke izdat će se nakon što </w:t>
      </w:r>
      <w:r w:rsidR="008B06E0">
        <w:rPr>
          <w:bCs/>
        </w:rPr>
        <w:t xml:space="preserve">društvo QUATRO COMPANY d.o.o. izvrši uplatu </w:t>
      </w:r>
      <w:r w:rsidR="00AD49FF" w:rsidRPr="00F87747">
        <w:rPr>
          <w:bCs/>
        </w:rPr>
        <w:t>naknad</w:t>
      </w:r>
      <w:r w:rsidR="008B06E0">
        <w:rPr>
          <w:bCs/>
        </w:rPr>
        <w:t>a</w:t>
      </w:r>
      <w:r w:rsidR="00AD49FF" w:rsidRPr="00F87747">
        <w:rPr>
          <w:bCs/>
        </w:rPr>
        <w:t xml:space="preserve"> iz toč</w:t>
      </w:r>
      <w:r w:rsidR="00F46B45">
        <w:rPr>
          <w:bCs/>
        </w:rPr>
        <w:t>a</w:t>
      </w:r>
      <w:r w:rsidR="00AD49FF" w:rsidRPr="00F87747">
        <w:rPr>
          <w:bCs/>
        </w:rPr>
        <w:t>k</w:t>
      </w:r>
      <w:r w:rsidR="00F46B45">
        <w:rPr>
          <w:bCs/>
        </w:rPr>
        <w:t>a</w:t>
      </w:r>
      <w:r w:rsidR="00AD49FF" w:rsidRPr="00F87747">
        <w:rPr>
          <w:bCs/>
        </w:rPr>
        <w:t xml:space="preserve"> II. i III. ove Odluke.</w:t>
      </w:r>
    </w:p>
    <w:p w14:paraId="111AD501" w14:textId="77777777" w:rsidR="00F46B45" w:rsidRDefault="00F46B45" w:rsidP="00BE68CE">
      <w:pPr>
        <w:jc w:val="center"/>
      </w:pPr>
    </w:p>
    <w:p w14:paraId="4D6A4A20" w14:textId="77777777" w:rsidR="00BA7F80" w:rsidRDefault="00BA7F80" w:rsidP="00BE68CE">
      <w:pPr>
        <w:jc w:val="center"/>
        <w:rPr>
          <w:b/>
        </w:rPr>
      </w:pPr>
      <w:r w:rsidRPr="00F87747">
        <w:rPr>
          <w:b/>
        </w:rPr>
        <w:t>V.</w:t>
      </w:r>
    </w:p>
    <w:p w14:paraId="01AA8166" w14:textId="77777777" w:rsidR="00F46B45" w:rsidRDefault="00F46B45" w:rsidP="00BE68CE">
      <w:pPr>
        <w:jc w:val="center"/>
        <w:rPr>
          <w:b/>
        </w:rPr>
      </w:pPr>
    </w:p>
    <w:p w14:paraId="0532DC62" w14:textId="77777777" w:rsidR="00BA7F80" w:rsidRPr="00BA7F80" w:rsidRDefault="00F46B45" w:rsidP="00F46B45">
      <w:pPr>
        <w:jc w:val="both"/>
        <w:rPr>
          <w:b/>
        </w:rPr>
      </w:pPr>
      <w:r>
        <w:tab/>
      </w:r>
      <w:r>
        <w:tab/>
      </w:r>
      <w:r w:rsidR="00BA7F80" w:rsidRPr="00BA7F80">
        <w:t xml:space="preserve">Za provođenje ove Odluke zadužuje se Ministarstvo prostornoga uređenja, graditeljstva i državne imovine, a </w:t>
      </w:r>
      <w:r>
        <w:t>u</w:t>
      </w:r>
      <w:r w:rsidRPr="00BA7F80">
        <w:t xml:space="preserve">govor </w:t>
      </w:r>
      <w:r w:rsidR="00BA7F80" w:rsidRPr="00BA7F80">
        <w:t xml:space="preserve">o </w:t>
      </w:r>
      <w:r w:rsidR="00CD6377">
        <w:t>razvrgnuću suvlasničke zajednice</w:t>
      </w:r>
      <w:r w:rsidR="00BA7F80" w:rsidRPr="00BA7F80">
        <w:t xml:space="preserve"> u ime Republike Hrvatske potpisat će ministar prostornoga uređenja, graditeljstva i državne imovine.</w:t>
      </w:r>
    </w:p>
    <w:p w14:paraId="0B3D432B" w14:textId="77777777" w:rsidR="00D0101D" w:rsidRDefault="00D0101D" w:rsidP="00BE68CE">
      <w:pPr>
        <w:tabs>
          <w:tab w:val="left" w:pos="1888"/>
        </w:tabs>
        <w:jc w:val="center"/>
        <w:rPr>
          <w:b/>
        </w:rPr>
      </w:pPr>
    </w:p>
    <w:p w14:paraId="48468F7E" w14:textId="77777777" w:rsidR="00BA7F80" w:rsidRPr="00BA7F80" w:rsidRDefault="00F87747" w:rsidP="00BE68CE">
      <w:pPr>
        <w:tabs>
          <w:tab w:val="left" w:pos="1888"/>
        </w:tabs>
        <w:jc w:val="center"/>
        <w:rPr>
          <w:b/>
        </w:rPr>
      </w:pPr>
      <w:r w:rsidRPr="00F87747">
        <w:rPr>
          <w:b/>
        </w:rPr>
        <w:t>VI.</w:t>
      </w:r>
    </w:p>
    <w:p w14:paraId="55FBBF46" w14:textId="77777777" w:rsidR="00F87747" w:rsidRDefault="00F87747" w:rsidP="00BE68CE">
      <w:pPr>
        <w:tabs>
          <w:tab w:val="left" w:pos="1888"/>
        </w:tabs>
      </w:pPr>
    </w:p>
    <w:p w14:paraId="35E5C5F5" w14:textId="3BA75E7B" w:rsidR="00BA7F80" w:rsidRPr="00BA7F80" w:rsidRDefault="00F46B45" w:rsidP="00BE68CE">
      <w:pPr>
        <w:tabs>
          <w:tab w:val="left" w:pos="1888"/>
        </w:tabs>
      </w:pPr>
      <w:r>
        <w:tab/>
      </w:r>
      <w:r w:rsidR="009D4520">
        <w:t>Ova O</w:t>
      </w:r>
      <w:r w:rsidR="00BA7F80" w:rsidRPr="00BA7F80">
        <w:t>dluka stupa na snagu danom donošenja.</w:t>
      </w:r>
    </w:p>
    <w:p w14:paraId="4AE82690" w14:textId="77777777" w:rsidR="00BA7F80" w:rsidRPr="00BA7F80" w:rsidRDefault="00BA7F80" w:rsidP="00BE68CE">
      <w:pPr>
        <w:tabs>
          <w:tab w:val="left" w:pos="1888"/>
        </w:tabs>
      </w:pPr>
    </w:p>
    <w:p w14:paraId="471C44FE" w14:textId="77777777" w:rsidR="00BA7F80" w:rsidRPr="00BA7F80" w:rsidRDefault="00BA7F80" w:rsidP="00BE68CE">
      <w:pPr>
        <w:tabs>
          <w:tab w:val="left" w:pos="1888"/>
        </w:tabs>
      </w:pPr>
    </w:p>
    <w:p w14:paraId="228FA695" w14:textId="77777777" w:rsidR="00BA7F80" w:rsidRPr="00BA7F80" w:rsidRDefault="00BA7F80" w:rsidP="00BE68CE">
      <w:pPr>
        <w:tabs>
          <w:tab w:val="left" w:pos="1888"/>
        </w:tabs>
      </w:pPr>
      <w:r w:rsidRPr="00BA7F80">
        <w:t>KLASA:</w:t>
      </w:r>
    </w:p>
    <w:p w14:paraId="7BF66197" w14:textId="77777777" w:rsidR="00BA7F80" w:rsidRPr="00BA7F80" w:rsidRDefault="00BA7F80" w:rsidP="00BE68CE">
      <w:pPr>
        <w:tabs>
          <w:tab w:val="left" w:pos="1888"/>
        </w:tabs>
      </w:pPr>
      <w:r w:rsidRPr="00BA7F80">
        <w:t>URBROJ:</w:t>
      </w:r>
    </w:p>
    <w:p w14:paraId="360AD84A" w14:textId="77777777" w:rsidR="00BA7F80" w:rsidRPr="00BA7F80" w:rsidRDefault="00BA7F80" w:rsidP="00BE68CE">
      <w:pPr>
        <w:tabs>
          <w:tab w:val="left" w:pos="1888"/>
        </w:tabs>
      </w:pPr>
    </w:p>
    <w:p w14:paraId="5918613A" w14:textId="77777777" w:rsidR="00BA7F80" w:rsidRDefault="00BA7F80" w:rsidP="00BE68CE">
      <w:pPr>
        <w:tabs>
          <w:tab w:val="left" w:pos="1888"/>
        </w:tabs>
      </w:pPr>
      <w:r w:rsidRPr="00BA7F80">
        <w:t xml:space="preserve">Zagreb, </w:t>
      </w:r>
      <w:r w:rsidR="00F46B45">
        <w:t>__________</w:t>
      </w:r>
      <w:r w:rsidRPr="00BA7F80">
        <w:t xml:space="preserve"> </w:t>
      </w:r>
      <w:r w:rsidR="0098097C">
        <w:t>2022</w:t>
      </w:r>
      <w:r w:rsidRPr="00BA7F80">
        <w:t>.</w:t>
      </w:r>
    </w:p>
    <w:p w14:paraId="1756DFD0" w14:textId="77777777" w:rsidR="00CD6377" w:rsidRPr="00BA7F80" w:rsidRDefault="00CD6377" w:rsidP="00BE68CE">
      <w:pPr>
        <w:tabs>
          <w:tab w:val="left" w:pos="1888"/>
        </w:tabs>
      </w:pPr>
    </w:p>
    <w:p w14:paraId="7AD4FE0F" w14:textId="77777777" w:rsidR="00BA7F80" w:rsidRPr="00BA7F80" w:rsidRDefault="00BA7F80" w:rsidP="00BE68CE">
      <w:pPr>
        <w:tabs>
          <w:tab w:val="left" w:pos="1888"/>
        </w:tabs>
        <w:jc w:val="center"/>
      </w:pPr>
    </w:p>
    <w:tbl>
      <w:tblPr>
        <w:tblW w:w="0" w:type="auto"/>
        <w:tblLook w:val="04A0" w:firstRow="1" w:lastRow="0" w:firstColumn="1" w:lastColumn="0" w:noHBand="0" w:noVBand="1"/>
      </w:tblPr>
      <w:tblGrid>
        <w:gridCol w:w="4510"/>
        <w:gridCol w:w="4560"/>
      </w:tblGrid>
      <w:tr w:rsidR="00BA7F80" w:rsidRPr="00BA7F80" w14:paraId="24A8A1A2" w14:textId="77777777" w:rsidTr="00F46B45">
        <w:tc>
          <w:tcPr>
            <w:tcW w:w="4510" w:type="dxa"/>
            <w:shd w:val="clear" w:color="auto" w:fill="auto"/>
          </w:tcPr>
          <w:p w14:paraId="58237AF0" w14:textId="77777777" w:rsidR="00BA7F80" w:rsidRPr="00BA7F80" w:rsidRDefault="00BA7F80" w:rsidP="00BA7F80">
            <w:pPr>
              <w:tabs>
                <w:tab w:val="left" w:pos="1888"/>
              </w:tabs>
            </w:pPr>
          </w:p>
        </w:tc>
        <w:tc>
          <w:tcPr>
            <w:tcW w:w="4560" w:type="dxa"/>
            <w:shd w:val="clear" w:color="auto" w:fill="auto"/>
          </w:tcPr>
          <w:p w14:paraId="64301BD5" w14:textId="77777777" w:rsidR="00BA7F80" w:rsidRPr="00BA7F80" w:rsidRDefault="00BA7F80" w:rsidP="00BA7F80">
            <w:pPr>
              <w:tabs>
                <w:tab w:val="left" w:pos="1888"/>
              </w:tabs>
              <w:jc w:val="center"/>
              <w:rPr>
                <w:b/>
              </w:rPr>
            </w:pPr>
            <w:r w:rsidRPr="00BA7F80">
              <w:rPr>
                <w:b/>
              </w:rPr>
              <w:t>PREDSJEDNIK</w:t>
            </w:r>
          </w:p>
        </w:tc>
      </w:tr>
      <w:tr w:rsidR="00BA7F80" w:rsidRPr="00BA7F80" w14:paraId="59C7F4FD" w14:textId="77777777" w:rsidTr="00F46B45">
        <w:tc>
          <w:tcPr>
            <w:tcW w:w="4510" w:type="dxa"/>
            <w:shd w:val="clear" w:color="auto" w:fill="auto"/>
          </w:tcPr>
          <w:p w14:paraId="744D82DD" w14:textId="77777777" w:rsidR="00BA7F80" w:rsidRPr="00BA7F80" w:rsidRDefault="00BA7F80" w:rsidP="00BA7F80">
            <w:pPr>
              <w:tabs>
                <w:tab w:val="left" w:pos="1888"/>
              </w:tabs>
            </w:pPr>
          </w:p>
        </w:tc>
        <w:tc>
          <w:tcPr>
            <w:tcW w:w="4560" w:type="dxa"/>
            <w:shd w:val="clear" w:color="auto" w:fill="auto"/>
          </w:tcPr>
          <w:p w14:paraId="5CA24F45" w14:textId="77777777" w:rsidR="00BA7F80" w:rsidRPr="00BA7F80" w:rsidRDefault="00BA7F80" w:rsidP="00BA7F80">
            <w:pPr>
              <w:tabs>
                <w:tab w:val="left" w:pos="1888"/>
              </w:tabs>
              <w:jc w:val="center"/>
            </w:pPr>
          </w:p>
        </w:tc>
      </w:tr>
      <w:tr w:rsidR="00F46B45" w:rsidRPr="00BA7F80" w14:paraId="2FD7151A" w14:textId="77777777" w:rsidTr="00F46B45">
        <w:trPr>
          <w:gridAfter w:val="1"/>
          <w:wAfter w:w="4560" w:type="dxa"/>
        </w:trPr>
        <w:tc>
          <w:tcPr>
            <w:tcW w:w="4510" w:type="dxa"/>
            <w:shd w:val="clear" w:color="auto" w:fill="auto"/>
          </w:tcPr>
          <w:p w14:paraId="670E6F77" w14:textId="77777777" w:rsidR="00F46B45" w:rsidRPr="00BA7F80" w:rsidRDefault="00F46B45" w:rsidP="00BA7F80">
            <w:pPr>
              <w:tabs>
                <w:tab w:val="left" w:pos="1888"/>
              </w:tabs>
            </w:pPr>
          </w:p>
        </w:tc>
      </w:tr>
      <w:tr w:rsidR="00BA7F80" w:rsidRPr="00BA7F80" w14:paraId="118BE975" w14:textId="77777777" w:rsidTr="00F46B45">
        <w:tc>
          <w:tcPr>
            <w:tcW w:w="4510" w:type="dxa"/>
            <w:shd w:val="clear" w:color="auto" w:fill="auto"/>
          </w:tcPr>
          <w:p w14:paraId="69515D5C" w14:textId="77777777" w:rsidR="00BA7F80" w:rsidRPr="00BA7F80" w:rsidRDefault="00BA7F80" w:rsidP="00BA7F80">
            <w:pPr>
              <w:tabs>
                <w:tab w:val="left" w:pos="1888"/>
              </w:tabs>
            </w:pPr>
          </w:p>
        </w:tc>
        <w:tc>
          <w:tcPr>
            <w:tcW w:w="4560" w:type="dxa"/>
            <w:shd w:val="clear" w:color="auto" w:fill="auto"/>
          </w:tcPr>
          <w:p w14:paraId="7177873B" w14:textId="77777777" w:rsidR="00BA7F80" w:rsidRPr="00BA7F80" w:rsidRDefault="00BA7F80" w:rsidP="00BA7F80">
            <w:pPr>
              <w:tabs>
                <w:tab w:val="left" w:pos="1888"/>
              </w:tabs>
              <w:jc w:val="center"/>
            </w:pPr>
            <w:r w:rsidRPr="00BA7F80">
              <w:t>mr.sc. Andrej Plenković</w:t>
            </w:r>
          </w:p>
        </w:tc>
      </w:tr>
    </w:tbl>
    <w:p w14:paraId="3F87ED45" w14:textId="77777777" w:rsidR="00CD6377" w:rsidRDefault="00CD6377" w:rsidP="00AB2A36">
      <w:pPr>
        <w:tabs>
          <w:tab w:val="center" w:pos="6840"/>
        </w:tabs>
        <w:jc w:val="center"/>
      </w:pPr>
    </w:p>
    <w:p w14:paraId="5CA639A5" w14:textId="77777777" w:rsidR="00CD6377" w:rsidRDefault="00CD6377" w:rsidP="00AB2A36">
      <w:pPr>
        <w:tabs>
          <w:tab w:val="center" w:pos="6840"/>
        </w:tabs>
        <w:jc w:val="center"/>
      </w:pPr>
    </w:p>
    <w:p w14:paraId="6FFE5704" w14:textId="77777777" w:rsidR="00CD6377" w:rsidRDefault="00CD6377" w:rsidP="00AB2A36">
      <w:pPr>
        <w:tabs>
          <w:tab w:val="center" w:pos="6840"/>
        </w:tabs>
        <w:jc w:val="center"/>
      </w:pPr>
    </w:p>
    <w:p w14:paraId="0B5D19C2" w14:textId="77777777" w:rsidR="00CD6377" w:rsidRDefault="00CD6377" w:rsidP="00AB2A36">
      <w:pPr>
        <w:tabs>
          <w:tab w:val="center" w:pos="6840"/>
        </w:tabs>
        <w:jc w:val="center"/>
      </w:pPr>
    </w:p>
    <w:p w14:paraId="0DB1F122" w14:textId="77777777" w:rsidR="00CD6377" w:rsidRDefault="00CD6377" w:rsidP="00AB2A36">
      <w:pPr>
        <w:tabs>
          <w:tab w:val="center" w:pos="6840"/>
        </w:tabs>
        <w:jc w:val="center"/>
      </w:pPr>
    </w:p>
    <w:p w14:paraId="7E7C6E07" w14:textId="77777777" w:rsidR="00CD6377" w:rsidRDefault="00CD6377" w:rsidP="00AB2A36">
      <w:pPr>
        <w:tabs>
          <w:tab w:val="center" w:pos="6840"/>
        </w:tabs>
        <w:jc w:val="center"/>
      </w:pPr>
    </w:p>
    <w:p w14:paraId="06960A18" w14:textId="77777777" w:rsidR="00CD6377" w:rsidRDefault="00CD6377" w:rsidP="00AB2A36">
      <w:pPr>
        <w:tabs>
          <w:tab w:val="center" w:pos="6840"/>
        </w:tabs>
        <w:jc w:val="center"/>
      </w:pPr>
    </w:p>
    <w:p w14:paraId="450DDE76" w14:textId="77777777" w:rsidR="00CD6377" w:rsidRDefault="00CD6377" w:rsidP="00AB2A36">
      <w:pPr>
        <w:tabs>
          <w:tab w:val="center" w:pos="6840"/>
        </w:tabs>
        <w:jc w:val="center"/>
      </w:pPr>
    </w:p>
    <w:p w14:paraId="401C20FF" w14:textId="77777777" w:rsidR="00CD6377" w:rsidRDefault="00CD6377" w:rsidP="00AB2A36">
      <w:pPr>
        <w:tabs>
          <w:tab w:val="center" w:pos="6840"/>
        </w:tabs>
        <w:jc w:val="center"/>
      </w:pPr>
    </w:p>
    <w:p w14:paraId="122A9F18" w14:textId="77777777" w:rsidR="00CD6377" w:rsidRDefault="00CD6377" w:rsidP="00AB2A36">
      <w:pPr>
        <w:tabs>
          <w:tab w:val="center" w:pos="6840"/>
        </w:tabs>
        <w:jc w:val="center"/>
      </w:pPr>
    </w:p>
    <w:p w14:paraId="08262800" w14:textId="77777777" w:rsidR="00CD6377" w:rsidRDefault="00CD6377" w:rsidP="00AB2A36">
      <w:pPr>
        <w:tabs>
          <w:tab w:val="center" w:pos="6840"/>
        </w:tabs>
        <w:jc w:val="center"/>
      </w:pPr>
    </w:p>
    <w:p w14:paraId="3AD93808" w14:textId="77777777" w:rsidR="00CD6377" w:rsidRDefault="00CD6377" w:rsidP="00AB2A36">
      <w:pPr>
        <w:tabs>
          <w:tab w:val="center" w:pos="6840"/>
        </w:tabs>
        <w:jc w:val="center"/>
      </w:pPr>
    </w:p>
    <w:p w14:paraId="3A474EF1" w14:textId="77777777" w:rsidR="00CD6377" w:rsidRDefault="00CD6377" w:rsidP="00AB2A36">
      <w:pPr>
        <w:tabs>
          <w:tab w:val="center" w:pos="6840"/>
        </w:tabs>
        <w:jc w:val="center"/>
      </w:pPr>
    </w:p>
    <w:p w14:paraId="5CAC4AB1" w14:textId="77777777" w:rsidR="00CD6377" w:rsidRDefault="00CD6377" w:rsidP="00AB2A36">
      <w:pPr>
        <w:tabs>
          <w:tab w:val="center" w:pos="6840"/>
        </w:tabs>
        <w:jc w:val="center"/>
      </w:pPr>
    </w:p>
    <w:p w14:paraId="58BA4BA8" w14:textId="77777777" w:rsidR="00CD6377" w:rsidRDefault="00CD6377" w:rsidP="00AB2A36">
      <w:pPr>
        <w:tabs>
          <w:tab w:val="center" w:pos="6840"/>
        </w:tabs>
        <w:jc w:val="center"/>
      </w:pPr>
    </w:p>
    <w:p w14:paraId="7DF54052" w14:textId="77777777" w:rsidR="00CD6377" w:rsidRDefault="00CD6377" w:rsidP="00AB2A36">
      <w:pPr>
        <w:tabs>
          <w:tab w:val="center" w:pos="6840"/>
        </w:tabs>
        <w:jc w:val="center"/>
      </w:pPr>
    </w:p>
    <w:p w14:paraId="44B19741" w14:textId="77777777" w:rsidR="00CD6377" w:rsidRDefault="00CD6377" w:rsidP="00AB2A36">
      <w:pPr>
        <w:tabs>
          <w:tab w:val="center" w:pos="6840"/>
        </w:tabs>
        <w:jc w:val="center"/>
      </w:pPr>
    </w:p>
    <w:p w14:paraId="6C04700D" w14:textId="77777777" w:rsidR="00CD6377" w:rsidRDefault="00CD6377" w:rsidP="00AB2A36">
      <w:pPr>
        <w:tabs>
          <w:tab w:val="center" w:pos="6840"/>
        </w:tabs>
        <w:jc w:val="center"/>
      </w:pPr>
    </w:p>
    <w:p w14:paraId="014BA1F4" w14:textId="77777777" w:rsidR="00CD6377" w:rsidRDefault="00CD6377" w:rsidP="00AB2A36">
      <w:pPr>
        <w:tabs>
          <w:tab w:val="center" w:pos="6840"/>
        </w:tabs>
        <w:jc w:val="center"/>
      </w:pPr>
    </w:p>
    <w:p w14:paraId="4D90D19A" w14:textId="77777777" w:rsidR="00CD6377" w:rsidRDefault="00CD6377" w:rsidP="00AB2A36">
      <w:pPr>
        <w:tabs>
          <w:tab w:val="center" w:pos="6840"/>
        </w:tabs>
        <w:jc w:val="center"/>
      </w:pPr>
    </w:p>
    <w:p w14:paraId="47C5D11F" w14:textId="77777777" w:rsidR="00CD6377" w:rsidRDefault="00CD6377" w:rsidP="00AB2A36">
      <w:pPr>
        <w:tabs>
          <w:tab w:val="center" w:pos="6840"/>
        </w:tabs>
        <w:jc w:val="center"/>
      </w:pPr>
    </w:p>
    <w:p w14:paraId="0AF45ED8" w14:textId="77777777" w:rsidR="00CD6377" w:rsidRDefault="00CD6377" w:rsidP="00AB2A36">
      <w:pPr>
        <w:tabs>
          <w:tab w:val="center" w:pos="6840"/>
        </w:tabs>
        <w:jc w:val="center"/>
      </w:pPr>
    </w:p>
    <w:p w14:paraId="5BE72A02" w14:textId="77777777" w:rsidR="00CD6377" w:rsidRDefault="00CD6377" w:rsidP="00AB2A36">
      <w:pPr>
        <w:tabs>
          <w:tab w:val="center" w:pos="6840"/>
        </w:tabs>
        <w:jc w:val="center"/>
      </w:pPr>
    </w:p>
    <w:p w14:paraId="4E4368A4" w14:textId="77777777" w:rsidR="00CD6377" w:rsidRDefault="00CD6377" w:rsidP="00AB2A36">
      <w:pPr>
        <w:tabs>
          <w:tab w:val="center" w:pos="6840"/>
        </w:tabs>
        <w:jc w:val="center"/>
      </w:pPr>
    </w:p>
    <w:p w14:paraId="0B123439" w14:textId="77777777" w:rsidR="00CD6377" w:rsidRDefault="00CD6377" w:rsidP="00AB2A36">
      <w:pPr>
        <w:tabs>
          <w:tab w:val="center" w:pos="6840"/>
        </w:tabs>
        <w:jc w:val="center"/>
      </w:pPr>
    </w:p>
    <w:p w14:paraId="546A1D9C" w14:textId="77777777" w:rsidR="00CD6377" w:rsidRDefault="00CD6377" w:rsidP="00AB2A36">
      <w:pPr>
        <w:tabs>
          <w:tab w:val="center" w:pos="6840"/>
        </w:tabs>
        <w:jc w:val="center"/>
      </w:pPr>
    </w:p>
    <w:p w14:paraId="05FEDEA4" w14:textId="77777777" w:rsidR="00CD6377" w:rsidRDefault="00CD6377" w:rsidP="00AB2A36">
      <w:pPr>
        <w:tabs>
          <w:tab w:val="center" w:pos="6840"/>
        </w:tabs>
        <w:jc w:val="center"/>
      </w:pPr>
    </w:p>
    <w:p w14:paraId="1DAFDB73" w14:textId="77777777" w:rsidR="00CD6377" w:rsidRDefault="00CD6377" w:rsidP="00AB2A36">
      <w:pPr>
        <w:tabs>
          <w:tab w:val="center" w:pos="6840"/>
        </w:tabs>
        <w:jc w:val="center"/>
      </w:pPr>
    </w:p>
    <w:p w14:paraId="7E828225" w14:textId="77777777" w:rsidR="00CD6377" w:rsidRDefault="00CD6377" w:rsidP="00AB2A36">
      <w:pPr>
        <w:tabs>
          <w:tab w:val="center" w:pos="6840"/>
        </w:tabs>
        <w:jc w:val="center"/>
      </w:pPr>
    </w:p>
    <w:p w14:paraId="6FC7CE8F" w14:textId="77777777" w:rsidR="00AB2A36" w:rsidRDefault="00AB2A36" w:rsidP="00AB2A36">
      <w:pPr>
        <w:tabs>
          <w:tab w:val="center" w:pos="6840"/>
        </w:tabs>
        <w:jc w:val="center"/>
      </w:pPr>
      <w:r>
        <w:t>Obrazloženje</w:t>
      </w:r>
    </w:p>
    <w:p w14:paraId="5F4C2D5F" w14:textId="77777777" w:rsidR="00AB2A36" w:rsidRDefault="00AB2A36" w:rsidP="00AB2A36">
      <w:pPr>
        <w:tabs>
          <w:tab w:val="center" w:pos="6840"/>
        </w:tabs>
      </w:pPr>
    </w:p>
    <w:p w14:paraId="0875853C" w14:textId="77777777" w:rsidR="00AB2A36" w:rsidRDefault="00AB2A36" w:rsidP="00AB2A36">
      <w:pPr>
        <w:tabs>
          <w:tab w:val="center" w:pos="6840"/>
        </w:tabs>
        <w:jc w:val="both"/>
      </w:pPr>
      <w:r>
        <w:t xml:space="preserve">Društvo QUATRO COMPANY d.o.o., podnijelo je dana 17. siječnja 2020. godine zahtjev za </w:t>
      </w:r>
      <w:r w:rsidR="00D12182">
        <w:t xml:space="preserve">kupnju idealnog dijela nekretnine, nakon čega je dana </w:t>
      </w:r>
      <w:r w:rsidR="00633E89">
        <w:t>10. lipnja 2021. godine</w:t>
      </w:r>
      <w:r w:rsidR="00D12182">
        <w:t xml:space="preserve"> isto društvo podnijelo izmijenjeni zahtjev za </w:t>
      </w:r>
      <w:r>
        <w:t xml:space="preserve">razvrgnuće suvlasničke zajednice nekretnine upisane kao suvlasništvo Republike Hrvatske i imenovanog društva označene kao </w:t>
      </w:r>
      <w:r w:rsidRPr="00AB2A36">
        <w:t>zk.č.br. ZEM 1723/37, NEPOLODNO ZEMLJIŠTE, ZGRADA, ZGRADA, IZGRAĐENO ZEMLJIŠTE, IZGRAĐENO ZEMLJIŠTE, površine 4000 m</w:t>
      </w:r>
      <w:r w:rsidRPr="00AB2A36">
        <w:rPr>
          <w:vertAlign w:val="superscript"/>
        </w:rPr>
        <w:t>2</w:t>
      </w:r>
      <w:r w:rsidRPr="00AB2A36">
        <w:t>, upisan</w:t>
      </w:r>
      <w:r w:rsidR="00CD6377">
        <w:t>e</w:t>
      </w:r>
      <w:r w:rsidRPr="00AB2A36">
        <w:t xml:space="preserve"> u zk.ul.br. 19012, k.o. Split u zemljišnim knjigama Općinskog suda u Splitu, Zemljišnoknjižni odjel Split, koja odgovara kč.br. 10260/37, DUILOVO, površine 4000 m</w:t>
      </w:r>
      <w:r w:rsidRPr="00AB2A36">
        <w:rPr>
          <w:vertAlign w:val="superscript"/>
        </w:rPr>
        <w:t>2</w:t>
      </w:r>
      <w:r w:rsidRPr="00AB2A36">
        <w:t>, upisana u Posjedovni list Broj: 15177, k.o. Split</w:t>
      </w:r>
      <w:r>
        <w:t>.</w:t>
      </w:r>
    </w:p>
    <w:p w14:paraId="1F84FB9B" w14:textId="77777777" w:rsidR="00AB2A36" w:rsidRDefault="00AB2A36" w:rsidP="00AB2A36">
      <w:pPr>
        <w:tabs>
          <w:tab w:val="center" w:pos="6840"/>
        </w:tabs>
      </w:pPr>
    </w:p>
    <w:p w14:paraId="4BB5349C" w14:textId="77777777" w:rsidR="00CF4E6D" w:rsidRDefault="00CF4E6D" w:rsidP="00CF4E6D">
      <w:pPr>
        <w:tabs>
          <w:tab w:val="center" w:pos="6840"/>
        </w:tabs>
        <w:jc w:val="both"/>
      </w:pPr>
      <w:r>
        <w:t>Nekretnina na kojoj se razvrgava suvlasništvo u naravi predstavlja česticu relativno pravilnog oblika, lagano nepravilne konfiguracije terena, većim dijelom zaraslo visokom samoniklom vegetacijom na kojoj se nalaze ostaci jedne srušene građevine, dvije postojeće spojene građevine dijelom narušene mehaničke otpornosti i stabilnosti koje su dotrajale i nemaju uporabne vrijednosti te jedna građevina u potpunosti zarasla u visoko raslinje.</w:t>
      </w:r>
    </w:p>
    <w:p w14:paraId="01B03392" w14:textId="77777777" w:rsidR="00CF4E6D" w:rsidRDefault="00CF4E6D" w:rsidP="00AB2A36">
      <w:pPr>
        <w:tabs>
          <w:tab w:val="center" w:pos="6840"/>
        </w:tabs>
      </w:pPr>
    </w:p>
    <w:p w14:paraId="5FB714EB" w14:textId="77777777" w:rsidR="00AB2A36" w:rsidRDefault="00AB2A36" w:rsidP="00BB3EFF">
      <w:pPr>
        <w:tabs>
          <w:tab w:val="center" w:pos="6840"/>
        </w:tabs>
        <w:jc w:val="both"/>
      </w:pPr>
      <w:r>
        <w:t xml:space="preserve">Odredba članka 37. Zakona o upravljanju državnom imovinom („Narodne novine“, br. 52/18.), propisuje da će se prije svakog raspolaganja nekretninama u vlasništvu Republike Hrvatske izvršit procjena tržišne vrijednosti tih nekretnina sukladno posebnom propisu kojim se uređuje procjena vrijednosti nekretnina, a u slučaju raspolaganja nekretninama sklapanjem drugog naplatnog pravnog posla koji podrazumijeva korištenje i/ili plodouživanje nekretnine, odnosno ograničenje prava vlasništva Republike Hrvatske, kao što je osnivanje prava građenja, osnivanje prava služnosti, zakup, najam i drugo, izvršit će se i procjena vrijednosti naknade sukladno posebnom propisu kojim se uređuje procjena vrijednosti nekretnina osim ako se nekretnina daje </w:t>
      </w:r>
      <w:r>
        <w:lastRenderedPageBreak/>
        <w:t>na uporabu te da će u slučaju da procijenjena vrijednost iznosi više od 7.500.000,00 kuna odluku o raspolaganju imovinom u vlasništvu Republike Hrvatske donijeti Vlada Republike Hrvatske na prijedlog Ministarstva.</w:t>
      </w:r>
    </w:p>
    <w:p w14:paraId="0DAA7403" w14:textId="77777777" w:rsidR="00AB2A36" w:rsidRDefault="00AB2A36" w:rsidP="00AB2A36">
      <w:pPr>
        <w:tabs>
          <w:tab w:val="center" w:pos="6840"/>
        </w:tabs>
      </w:pPr>
    </w:p>
    <w:p w14:paraId="5F314C23" w14:textId="77777777" w:rsidR="00CF4E6D" w:rsidRDefault="00AB2A36" w:rsidP="00BB3EFF">
      <w:pPr>
        <w:tabs>
          <w:tab w:val="center" w:pos="6840"/>
        </w:tabs>
        <w:jc w:val="both"/>
      </w:pPr>
      <w:r>
        <w:t xml:space="preserve">Procijenjena tržišna vrijednost </w:t>
      </w:r>
      <w:r w:rsidR="00B95DDE">
        <w:t xml:space="preserve">suvlasničkog dijela </w:t>
      </w:r>
      <w:r>
        <w:t>nekretnin</w:t>
      </w:r>
      <w:r w:rsidR="00BB3EFF">
        <w:t>e</w:t>
      </w:r>
      <w:r w:rsidR="00B95DDE">
        <w:t xml:space="preserve"> Republike Hrvatske (1493/4000)</w:t>
      </w:r>
      <w:r>
        <w:t xml:space="preserve"> na koj</w:t>
      </w:r>
      <w:r w:rsidR="00BB3EFF">
        <w:t>oj</w:t>
      </w:r>
      <w:r>
        <w:t xml:space="preserve"> se </w:t>
      </w:r>
      <w:r w:rsidR="00BB3EFF">
        <w:t>razvrgava suvlasništvo</w:t>
      </w:r>
      <w:r>
        <w:t xml:space="preserve"> i koj</w:t>
      </w:r>
      <w:r w:rsidR="00BB3EFF">
        <w:t>a</w:t>
      </w:r>
      <w:r>
        <w:t xml:space="preserve"> </w:t>
      </w:r>
      <w:r w:rsidR="00BB3EFF">
        <w:t>je</w:t>
      </w:r>
      <w:r>
        <w:t xml:space="preserve"> opisan</w:t>
      </w:r>
      <w:r w:rsidR="00BB3EFF">
        <w:t>a</w:t>
      </w:r>
      <w:r>
        <w:t xml:space="preserve"> u točki I. ove Odluke utvrđena je u iznosu od </w:t>
      </w:r>
      <w:r w:rsidR="00B95DDE">
        <w:t>6.320.000,00</w:t>
      </w:r>
      <w:r>
        <w:t xml:space="preserve"> kuna prema Procjembenom elaboratu, oznake TD: </w:t>
      </w:r>
      <w:r w:rsidR="00BB3EFF">
        <w:t>27</w:t>
      </w:r>
      <w:r>
        <w:t xml:space="preserve">-PD-2021 iz </w:t>
      </w:r>
      <w:r w:rsidR="00BB3EFF">
        <w:t>veljače</w:t>
      </w:r>
      <w:r>
        <w:t xml:space="preserve"> 2021. godine koji je izradilo društvo BRLIĆ d.o.o., Zagreb, po Stalnoj sudskoj vještakinji za graditeljstvo i procjenu nekretnina Marini Brlić, ing. arh. </w:t>
      </w:r>
    </w:p>
    <w:p w14:paraId="0142CBA3" w14:textId="77777777" w:rsidR="00CF4E6D" w:rsidRDefault="00CF4E6D" w:rsidP="00BB3EFF">
      <w:pPr>
        <w:tabs>
          <w:tab w:val="center" w:pos="6840"/>
        </w:tabs>
        <w:jc w:val="both"/>
      </w:pPr>
    </w:p>
    <w:p w14:paraId="7A8AD56C" w14:textId="77777777" w:rsidR="00B95DDE" w:rsidRDefault="00AB2A36" w:rsidP="00BB3EFF">
      <w:pPr>
        <w:tabs>
          <w:tab w:val="center" w:pos="6840"/>
        </w:tabs>
        <w:jc w:val="both"/>
      </w:pPr>
      <w:r>
        <w:t>Služba za tehničke poslove Ministarstva prostornoga uređenja, graditeljstva i državne imovine</w:t>
      </w:r>
      <w:r w:rsidR="00850EB5">
        <w:t>, svojim očitovanjem Klasa: 940-06/20-10/63, Urbroj: 531-09-02-04/02-21-17 od 23. veljače 2021. godine prilikom revidiranja citiranog procjembenog elaborata navodi da je procjena tržišne vrijednosti nekretnine učinjena metodološki ispravno primjenom usporedne metode, no s obzirom na odstupanje usporednih nekretnina u mjeri korištenja u odnosu na procjenjivanu nekretninu dodatno je učinjeno interkvalitativno izjednačenje koje nije učinjeno u procjembenom elaboratu, što je bilo potrebno primjenom Priloga 11. Pravilnika o metodama procjene vrijednosti nekretnina („Narodne novine“, br. 105/15.) – K</w:t>
      </w:r>
      <w:r w:rsidR="00850EB5" w:rsidRPr="00850EB5">
        <w:rPr>
          <w:vertAlign w:val="subscript"/>
        </w:rPr>
        <w:t>is</w:t>
      </w:r>
      <w:r w:rsidR="00850EB5">
        <w:t xml:space="preserve"> procjenjivane nekretnine uzet je kao 2,5 dok citirani </w:t>
      </w:r>
      <w:r w:rsidR="00B95DDE">
        <w:t>P</w:t>
      </w:r>
      <w:r w:rsidR="00850EB5">
        <w:t>ravilnik</w:t>
      </w:r>
      <w:r w:rsidR="00B95DDE">
        <w:t xml:space="preserve"> 11.</w:t>
      </w:r>
      <w:r w:rsidR="00850EB5">
        <w:t xml:space="preserve"> </w:t>
      </w:r>
      <w:r w:rsidR="00B95DDE">
        <w:t>predviđa</w:t>
      </w:r>
      <w:r w:rsidR="00850EB5">
        <w:t xml:space="preserve"> K</w:t>
      </w:r>
      <w:r w:rsidR="00850EB5" w:rsidRPr="00B95DDE">
        <w:rPr>
          <w:vertAlign w:val="subscript"/>
        </w:rPr>
        <w:t>is</w:t>
      </w:r>
      <w:r w:rsidR="00850EB5">
        <w:t xml:space="preserve"> 2,4</w:t>
      </w:r>
      <w:r w:rsidR="00B95DDE">
        <w:t>.</w:t>
      </w:r>
      <w:r w:rsidR="00850EB5">
        <w:t xml:space="preserve"> </w:t>
      </w:r>
    </w:p>
    <w:p w14:paraId="3B2A8CB1" w14:textId="77777777" w:rsidR="00B95DDE" w:rsidRDefault="00B95DDE" w:rsidP="00BB3EFF">
      <w:pPr>
        <w:tabs>
          <w:tab w:val="center" w:pos="6840"/>
        </w:tabs>
        <w:jc w:val="both"/>
      </w:pPr>
    </w:p>
    <w:p w14:paraId="6A643C70" w14:textId="77777777" w:rsidR="00AB2A36" w:rsidRDefault="00B95DDE" w:rsidP="00BB3EFF">
      <w:pPr>
        <w:tabs>
          <w:tab w:val="center" w:pos="6840"/>
        </w:tabs>
        <w:jc w:val="both"/>
      </w:pPr>
      <w:r>
        <w:t xml:space="preserve">Stoga </w:t>
      </w:r>
      <w:r w:rsidR="00B715D0">
        <w:t>Služba za tehničke poslove koristi</w:t>
      </w:r>
      <w:r w:rsidR="00850EB5">
        <w:t xml:space="preserve"> faktor za očitanje </w:t>
      </w:r>
      <w:r>
        <w:t>Pravilnikom 11. predviđenog</w:t>
      </w:r>
      <w:r w:rsidR="00850EB5">
        <w:t xml:space="preserve"> Kis-a 2,4 za procjenjivanu nekretninu te za usporedne nekretnine </w:t>
      </w:r>
      <w:r w:rsidR="00B715D0">
        <w:t xml:space="preserve">koristi </w:t>
      </w:r>
      <w:r w:rsidR="00850EB5">
        <w:t>faktor očitanja za Kis 1,5 (odnosno 1,30),</w:t>
      </w:r>
      <w:r>
        <w:t xml:space="preserve"> tako da procijenjena tržišna vrijednost suvlasničkog dijela Republike Hrvatske (1493/4000) iznosi 8.220.000,00 kuna. </w:t>
      </w:r>
    </w:p>
    <w:p w14:paraId="226F823C" w14:textId="77777777" w:rsidR="00AB2A36" w:rsidRDefault="00B95DDE" w:rsidP="00B95DDE">
      <w:pPr>
        <w:tabs>
          <w:tab w:val="center" w:pos="6840"/>
        </w:tabs>
        <w:jc w:val="both"/>
      </w:pPr>
      <w:r>
        <w:t>Obzirom na pravomoćno okončan postupak po zahtjevu za povrat oduzete imovine u kojem je 114,00 m</w:t>
      </w:r>
      <w:r w:rsidRPr="00B95DDE">
        <w:rPr>
          <w:vertAlign w:val="superscript"/>
        </w:rPr>
        <w:t>2</w:t>
      </w:r>
      <w:r>
        <w:t xml:space="preserve"> (114/4000 dijela) nekretnine na kojoj se razvrgava suvlasništvo vraćeno bivšem vlasniku te da je predmetni dio nekretnine od bivšeg vlasnika kupilo društvo QUATRO COMPANY d.o.o., Split koje se i uknjižilo na predmetni dio 114/4000 dijela nekretnine, došlo je do odgovarajuće izmjene omjera suvlasničkih udjela prema kojem je Republika Hrvatska suvlasnik u 1379/4000 dijela.</w:t>
      </w:r>
    </w:p>
    <w:p w14:paraId="2AE400B4" w14:textId="77777777" w:rsidR="00B95DDE" w:rsidRDefault="00B95DDE" w:rsidP="00B95DDE">
      <w:pPr>
        <w:tabs>
          <w:tab w:val="center" w:pos="6840"/>
        </w:tabs>
        <w:jc w:val="both"/>
      </w:pPr>
    </w:p>
    <w:p w14:paraId="07FBC91E" w14:textId="77777777" w:rsidR="00B95DDE" w:rsidRDefault="00B715D0" w:rsidP="00B95DDE">
      <w:pPr>
        <w:tabs>
          <w:tab w:val="center" w:pos="6840"/>
        </w:tabs>
        <w:jc w:val="both"/>
      </w:pPr>
      <w:r>
        <w:t>Slijedom iznesenog Služba za tehničke poslove Ministarstva prostornoga uređenja, graditeljstva i državne imovine, svojim očitovanjem Klasa: 940-06/20-10/63, Urbroj: 531-09-02-04/02-21-17 od 23. veljače 2021. godine utvrđuje procijenjenu tržišnu vrijednost suvlasničkog dijela nekretnine Republike Hrvatske (1379/4000 dijela)</w:t>
      </w:r>
      <w:r w:rsidR="00341BF9">
        <w:t xml:space="preserve"> </w:t>
      </w:r>
      <w:r w:rsidR="007003AF">
        <w:t xml:space="preserve">i </w:t>
      </w:r>
      <w:r w:rsidR="00341BF9">
        <w:t>aktualiziranu zbog proteka vremena očitovanjem Klasa: 940-06/20-10/63, Urbroj: 531-09-02-04/03-21-47 od 18. listopada 2021. godine</w:t>
      </w:r>
      <w:r>
        <w:t xml:space="preserve"> u iznosu od 7.</w:t>
      </w:r>
      <w:r w:rsidR="00341BF9">
        <w:t>940</w:t>
      </w:r>
      <w:r>
        <w:t>.000,00 kuna.</w:t>
      </w:r>
    </w:p>
    <w:p w14:paraId="615F4190" w14:textId="77777777" w:rsidR="00B715D0" w:rsidRDefault="00B715D0" w:rsidP="00B95DDE">
      <w:pPr>
        <w:tabs>
          <w:tab w:val="center" w:pos="6840"/>
        </w:tabs>
        <w:jc w:val="both"/>
      </w:pPr>
    </w:p>
    <w:p w14:paraId="1E631DF6" w14:textId="77777777" w:rsidR="00AB2A36" w:rsidRDefault="00BB3EFF" w:rsidP="00D12182">
      <w:pPr>
        <w:tabs>
          <w:tab w:val="center" w:pos="6840"/>
        </w:tabs>
        <w:jc w:val="both"/>
      </w:pPr>
      <w:r>
        <w:t>Društvo</w:t>
      </w:r>
      <w:r w:rsidR="00AB2A36">
        <w:t xml:space="preserve"> </w:t>
      </w:r>
      <w:r w:rsidRPr="00BB3EFF">
        <w:t xml:space="preserve">QUATRO COMPANY d.o.o., </w:t>
      </w:r>
      <w:r>
        <w:t xml:space="preserve">osim naknade za razvrgnuće, </w:t>
      </w:r>
      <w:r w:rsidR="00AB2A36">
        <w:t xml:space="preserve">obvezno je platiti i troškove izrade procjembenog elaborata u iznosu od </w:t>
      </w:r>
      <w:r w:rsidR="00E17D9B" w:rsidRPr="00E17D9B">
        <w:t xml:space="preserve">2.875,00 </w:t>
      </w:r>
      <w:r w:rsidR="00AB2A36">
        <w:t>kuna.</w:t>
      </w:r>
    </w:p>
    <w:p w14:paraId="5B812861" w14:textId="77777777" w:rsidR="00AB2A36" w:rsidRDefault="00AB2A36" w:rsidP="00AB2A36">
      <w:pPr>
        <w:tabs>
          <w:tab w:val="center" w:pos="6840"/>
        </w:tabs>
      </w:pPr>
    </w:p>
    <w:p w14:paraId="04F6EC0E" w14:textId="77777777" w:rsidR="00C72BDB" w:rsidRDefault="00C72BDB" w:rsidP="00C72BDB">
      <w:pPr>
        <w:tabs>
          <w:tab w:val="center" w:pos="6840"/>
        </w:tabs>
        <w:jc w:val="both"/>
      </w:pPr>
      <w:r>
        <w:t xml:space="preserve">Republika Hrvatska nema gospodarskog interesa imati suvlasnički dio nekretnine opisane pod točkom I. Odluke, koja je predmetom razvrgnuća te su stoga ispunjeni </w:t>
      </w:r>
      <w:r>
        <w:lastRenderedPageBreak/>
        <w:t>uvjeti za primjenu odredbe članka 41. stavak 1. podstavak 7. („Narodne novine“, br. 52/18.) i odredbe članka 19.</w:t>
      </w:r>
      <w:r w:rsidR="00CD6377">
        <w:t>, stavka 3. i 4.</w:t>
      </w:r>
      <w:r>
        <w:t xml:space="preserve"> </w:t>
      </w:r>
      <w:r w:rsidRPr="00C72BDB">
        <w:t xml:space="preserve">Uredbe o postupcima koji prethode sklapanju pravnih poslova raspolaganja nekretninama u vlasništvu </w:t>
      </w:r>
      <w:r>
        <w:t>R</w:t>
      </w:r>
      <w:r w:rsidRPr="00C72BDB">
        <w:t>epublike Hrvatske u svrhu prodaje, razvrgnuća suvlasničke zajednice, zamjene, davanja u zakup ili najam te o postupcima u vezi sa stjecanjem nekretnina i drugih stvarnih prava u korist Republike Hrvatske („Narodne novine“, br. 95/18.)</w:t>
      </w:r>
      <w:r>
        <w:t>.</w:t>
      </w:r>
    </w:p>
    <w:p w14:paraId="0FCA8E42" w14:textId="77777777" w:rsidR="00C72BDB" w:rsidRDefault="00C72BDB" w:rsidP="00AB2A36">
      <w:pPr>
        <w:tabs>
          <w:tab w:val="center" w:pos="6840"/>
        </w:tabs>
      </w:pPr>
    </w:p>
    <w:p w14:paraId="68C04427" w14:textId="77777777" w:rsidR="00AB2A36" w:rsidRDefault="00AB2A36" w:rsidP="00D76524">
      <w:pPr>
        <w:tabs>
          <w:tab w:val="center" w:pos="6840"/>
        </w:tabs>
        <w:jc w:val="both"/>
      </w:pPr>
      <w:r>
        <w:t>Nekretnin</w:t>
      </w:r>
      <w:r w:rsidR="00BB3EFF">
        <w:t>a</w:t>
      </w:r>
      <w:r>
        <w:t xml:space="preserve"> na koj</w:t>
      </w:r>
      <w:r w:rsidR="00BB3EFF">
        <w:t>oj</w:t>
      </w:r>
      <w:r>
        <w:t xml:space="preserve"> se </w:t>
      </w:r>
      <w:r w:rsidR="00BB3EFF">
        <w:t>razvrgava suvlasništvo i koja je opisana u točki I. Odluke nalazi</w:t>
      </w:r>
      <w:r>
        <w:t xml:space="preserve"> se unutar obuhvata</w:t>
      </w:r>
      <w:r w:rsidR="00BB3EFF">
        <w:t>: Detaljnog plana uređenja istočnog dijela područja Duilovo u Splitu (Službeni glasnik Grada Splita, br. 5/98., 22/00. i 52/13.)</w:t>
      </w:r>
      <w:r>
        <w:t xml:space="preserve"> te je </w:t>
      </w:r>
      <w:r w:rsidR="00BB3EFF">
        <w:t>uvidom u isti</w:t>
      </w:r>
      <w:r>
        <w:t xml:space="preserve"> utvrđeno da se </w:t>
      </w:r>
      <w:r w:rsidR="00BB3EFF">
        <w:t xml:space="preserve">predmetna </w:t>
      </w:r>
      <w:r>
        <w:t>nekretnin</w:t>
      </w:r>
      <w:r w:rsidR="00BB3EFF">
        <w:t>a</w:t>
      </w:r>
      <w:r>
        <w:t xml:space="preserve"> nalaz</w:t>
      </w:r>
      <w:r w:rsidR="00BB3EFF">
        <w:t>i</w:t>
      </w:r>
      <w:r>
        <w:t xml:space="preserve"> </w:t>
      </w:r>
      <w:r w:rsidR="00BB3EFF">
        <w:t>unutar građevinskog područja, u zoni: M1 – mješovite namjene</w:t>
      </w:r>
      <w:r>
        <w:t xml:space="preserve">, što se potvrđuje </w:t>
      </w:r>
      <w:r w:rsidR="00BB3EFF">
        <w:t xml:space="preserve">Uvjerenjem o statusu – namjeni zemljišta, Klasa: 350-07/19-01/144, </w:t>
      </w:r>
      <w:r w:rsidR="00D76524">
        <w:t>Urbroj: 2181/01-03-02/11-19-2 od 3. prosinca 2019. godine koju je izdao Upravni odjel za prostorno planiranje, uređenje i zaštitu okoliša, Odjek za provedbu dokumenata prostornog uređenja u Splitsko – dalmatinskoj županiji.</w:t>
      </w:r>
    </w:p>
    <w:p w14:paraId="330385A1" w14:textId="77777777" w:rsidR="0098097C" w:rsidRDefault="0098097C" w:rsidP="0098097C">
      <w:pPr>
        <w:jc w:val="both"/>
      </w:pPr>
    </w:p>
    <w:p w14:paraId="292A35D3" w14:textId="77777777" w:rsidR="0098097C" w:rsidRDefault="0098097C" w:rsidP="0098097C">
      <w:pPr>
        <w:jc w:val="both"/>
        <w:rPr>
          <w:sz w:val="22"/>
          <w:szCs w:val="22"/>
        </w:rPr>
      </w:pPr>
      <w:r>
        <w:t>N</w:t>
      </w:r>
      <w:r w:rsidRPr="008C314F">
        <w:t xml:space="preserve">ije moguće </w:t>
      </w:r>
      <w:r>
        <w:t xml:space="preserve">provesti geometrijsku diobu predmetne nekretnine označene kao k.č.br. 10260/37 k.o. Split jer se cijela nekretnina označena kao katastarska čestica k.č.br. 10260/37 k.o. Split (odgovara zk.č.br. 1723/37 k.o. Split) nalazi unutar obuhvata važećeg Detaljnog plana uređenja istočnog dijela područja Duilovo u Splitu („Službeni glasnik Grada Splita“, br. 5/98, 22/00 i 52/13) i to unutar građevinskog područja u zoni označenoj kao M1 – mješovite namjene. Predmetna katastarska čestica je sukladno navedenoj prostorno planskoj dokumentaciji </w:t>
      </w:r>
      <w:r w:rsidRPr="008C314F">
        <w:t>označena kao građevna čestica 6.b.,</w:t>
      </w:r>
      <w:r>
        <w:t xml:space="preserve"> površine građevne čestice cca 4000 m</w:t>
      </w:r>
      <w:r w:rsidRPr="008C314F">
        <w:rPr>
          <w:vertAlign w:val="superscript"/>
        </w:rPr>
        <w:t>2</w:t>
      </w:r>
      <w:r>
        <w:t xml:space="preserve">, na kojoj su definirani pokazatelji gradnje građevnih čestica kako slijedi: maksimalni kig/P izgrađenosti čestice podzemno jest 0,6, maksimalni kig/N izgrađenosti čestice nadzemni jest 0,35, a maksimalni kis/N iskorištenosti čestice jest 2,5 (tablica 1. Odredbi za provođenje), te je za istu građevnu česticu oznake 6.b. propisana i maksimalna katnost građevine i vrsta krova: Po+S+P+8, ravnog krova (tablica 2. Odredbi za provođenje). </w:t>
      </w:r>
    </w:p>
    <w:p w14:paraId="535FAC4E" w14:textId="77777777" w:rsidR="0098097C" w:rsidRDefault="0098097C" w:rsidP="0098097C"/>
    <w:p w14:paraId="1861FF36" w14:textId="77777777" w:rsidR="0098097C" w:rsidRDefault="0098097C" w:rsidP="0098097C">
      <w:pPr>
        <w:jc w:val="both"/>
      </w:pPr>
      <w:r>
        <w:t xml:space="preserve">Cijepanje nekretnine označene kao k.č.br. 10260/37 k.o. Split na dvije nekretnine od kojih bi jedna bila u samovlasništvu Republike Hrvatske, a druga u samovlasništvu drugog suvlasnika (društva QUATRO COMPANY d.o.o.) nije moguće dakle iz razloga što tako dobivene čestice ne bi više bile građevne čestice, ne bi bile u skladu s odredbama postojeće prostorno planske dokumentacije te bi na taj način svaka gradnja na nekretnini bila onemogućena, a i procijenjena vrijednost nekretnine bi bila znatno manja od one procijenjene. </w:t>
      </w:r>
    </w:p>
    <w:p w14:paraId="02886A0D" w14:textId="77777777" w:rsidR="0098097C" w:rsidRDefault="0098097C" w:rsidP="00D76524">
      <w:pPr>
        <w:tabs>
          <w:tab w:val="center" w:pos="6840"/>
        </w:tabs>
        <w:jc w:val="both"/>
      </w:pPr>
    </w:p>
    <w:p w14:paraId="46592760" w14:textId="77777777" w:rsidR="00AB2A36" w:rsidRDefault="00AB2A36" w:rsidP="00D76524">
      <w:pPr>
        <w:tabs>
          <w:tab w:val="center" w:pos="6840"/>
        </w:tabs>
        <w:jc w:val="both"/>
      </w:pPr>
      <w:r>
        <w:t>Nekretnin</w:t>
      </w:r>
      <w:r w:rsidR="00D76524">
        <w:t>a</w:t>
      </w:r>
      <w:r>
        <w:t xml:space="preserve"> koj</w:t>
      </w:r>
      <w:r w:rsidR="00D76524">
        <w:t>a</w:t>
      </w:r>
      <w:r>
        <w:t xml:space="preserve"> </w:t>
      </w:r>
      <w:r w:rsidR="00D76524">
        <w:t>je</w:t>
      </w:r>
      <w:r>
        <w:t xml:space="preserve"> </w:t>
      </w:r>
      <w:r w:rsidR="00D76524">
        <w:t>predmetom razvrgnuća</w:t>
      </w:r>
      <w:r>
        <w:t xml:space="preserve">, </w:t>
      </w:r>
      <w:r w:rsidR="00D76524">
        <w:t xml:space="preserve">nije obuhvaćena važećim Programima gospodarenja šumama i šumskim zemljištem </w:t>
      </w:r>
      <w:r>
        <w:t xml:space="preserve">što se potvrđuje </w:t>
      </w:r>
      <w:r w:rsidR="00D76524">
        <w:t xml:space="preserve">Potvrdom </w:t>
      </w:r>
      <w:r>
        <w:t xml:space="preserve">društva Hrvatske šume d.o.o., Odjela za uređivanje šuma Uprava šuma Podružnica </w:t>
      </w:r>
      <w:r w:rsidR="00D76524">
        <w:t>Split</w:t>
      </w:r>
      <w:r>
        <w:t xml:space="preserve">, Klasa: </w:t>
      </w:r>
      <w:r w:rsidR="00D76524">
        <w:t>ST/19-01/2629</w:t>
      </w:r>
      <w:r>
        <w:t xml:space="preserve">, Urbroj: </w:t>
      </w:r>
      <w:r w:rsidR="00D76524">
        <w:t>15</w:t>
      </w:r>
      <w:r>
        <w:t>-00-05/02-</w:t>
      </w:r>
      <w:r w:rsidR="00D76524">
        <w:t>19</w:t>
      </w:r>
      <w:r>
        <w:t xml:space="preserve">-02 od </w:t>
      </w:r>
      <w:r w:rsidR="00D76524">
        <w:t>20</w:t>
      </w:r>
      <w:r>
        <w:t xml:space="preserve">. </w:t>
      </w:r>
      <w:r w:rsidR="00D76524">
        <w:t>studenoga</w:t>
      </w:r>
      <w:r>
        <w:t xml:space="preserve"> 20</w:t>
      </w:r>
      <w:r w:rsidR="00D76524">
        <w:t>19</w:t>
      </w:r>
      <w:r>
        <w:t>. godine.</w:t>
      </w:r>
    </w:p>
    <w:p w14:paraId="4286E2AA" w14:textId="44ED2374" w:rsidR="0098097C" w:rsidRDefault="0098097C" w:rsidP="00D76524">
      <w:pPr>
        <w:tabs>
          <w:tab w:val="center" w:pos="6840"/>
        </w:tabs>
        <w:jc w:val="both"/>
      </w:pPr>
    </w:p>
    <w:p w14:paraId="4BB260B5" w14:textId="77777777" w:rsidR="00AB2A36" w:rsidRDefault="00AB2A36" w:rsidP="00AB2A36">
      <w:pPr>
        <w:tabs>
          <w:tab w:val="center" w:pos="6840"/>
        </w:tabs>
      </w:pPr>
      <w:r>
        <w:lastRenderedPageBreak/>
        <w:t xml:space="preserve">Za provođenje Odluke zadužuje se Ministarstvo prostornoga uređenja, graditeljstva i državne imovine, a </w:t>
      </w:r>
      <w:r w:rsidR="00CD6377" w:rsidRPr="00CD6377">
        <w:t xml:space="preserve">Ugovor o razvrgnuću suvlasničke zajednice u ime Republike Hrvatske </w:t>
      </w:r>
      <w:r>
        <w:t>potpisat će ministar prostornoga uređenja, graditeljstva i državne imovine.</w:t>
      </w:r>
    </w:p>
    <w:p w14:paraId="1534EE80" w14:textId="77777777" w:rsidR="002950D2" w:rsidRPr="00D30C1C" w:rsidRDefault="002950D2" w:rsidP="00A33038">
      <w:pPr>
        <w:tabs>
          <w:tab w:val="center" w:pos="6840"/>
        </w:tabs>
      </w:pPr>
    </w:p>
    <w:sectPr w:rsidR="002950D2" w:rsidRPr="00D30C1C" w:rsidSect="00CD6377">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399"/>
    <w:rsid w:val="000008D2"/>
    <w:rsid w:val="00024F0B"/>
    <w:rsid w:val="000349EA"/>
    <w:rsid w:val="00035F7D"/>
    <w:rsid w:val="00054B36"/>
    <w:rsid w:val="00064928"/>
    <w:rsid w:val="000711B5"/>
    <w:rsid w:val="0007129F"/>
    <w:rsid w:val="000776D9"/>
    <w:rsid w:val="0008142A"/>
    <w:rsid w:val="000932F9"/>
    <w:rsid w:val="000A6356"/>
    <w:rsid w:val="000D31A5"/>
    <w:rsid w:val="000D7FC8"/>
    <w:rsid w:val="00121FE7"/>
    <w:rsid w:val="001241C9"/>
    <w:rsid w:val="00126070"/>
    <w:rsid w:val="00135479"/>
    <w:rsid w:val="0019324A"/>
    <w:rsid w:val="00193CD1"/>
    <w:rsid w:val="001B5E9B"/>
    <w:rsid w:val="001C181B"/>
    <w:rsid w:val="001C5AA4"/>
    <w:rsid w:val="001F190A"/>
    <w:rsid w:val="00216350"/>
    <w:rsid w:val="0022587F"/>
    <w:rsid w:val="00257E19"/>
    <w:rsid w:val="00282657"/>
    <w:rsid w:val="0029018B"/>
    <w:rsid w:val="00291FEF"/>
    <w:rsid w:val="002950D2"/>
    <w:rsid w:val="00295162"/>
    <w:rsid w:val="002C10FE"/>
    <w:rsid w:val="002D204E"/>
    <w:rsid w:val="002D2138"/>
    <w:rsid w:val="002D5021"/>
    <w:rsid w:val="002D6DEB"/>
    <w:rsid w:val="002E391E"/>
    <w:rsid w:val="002F4117"/>
    <w:rsid w:val="003001EC"/>
    <w:rsid w:val="003277A4"/>
    <w:rsid w:val="00341BF9"/>
    <w:rsid w:val="00341D67"/>
    <w:rsid w:val="0035108C"/>
    <w:rsid w:val="003616B1"/>
    <w:rsid w:val="003639C3"/>
    <w:rsid w:val="003818F1"/>
    <w:rsid w:val="003B01E3"/>
    <w:rsid w:val="003E05FA"/>
    <w:rsid w:val="0043752D"/>
    <w:rsid w:val="00451B33"/>
    <w:rsid w:val="00463C26"/>
    <w:rsid w:val="00476E5C"/>
    <w:rsid w:val="0048549E"/>
    <w:rsid w:val="00495E48"/>
    <w:rsid w:val="004B6D22"/>
    <w:rsid w:val="004D1C84"/>
    <w:rsid w:val="004D2206"/>
    <w:rsid w:val="004D4ECE"/>
    <w:rsid w:val="004E4490"/>
    <w:rsid w:val="004E7647"/>
    <w:rsid w:val="00523B03"/>
    <w:rsid w:val="00570399"/>
    <w:rsid w:val="0057732D"/>
    <w:rsid w:val="00580BEF"/>
    <w:rsid w:val="0059145F"/>
    <w:rsid w:val="00596060"/>
    <w:rsid w:val="005B3DA4"/>
    <w:rsid w:val="005C519B"/>
    <w:rsid w:val="005E026B"/>
    <w:rsid w:val="005E55E5"/>
    <w:rsid w:val="005E7E7B"/>
    <w:rsid w:val="006010FA"/>
    <w:rsid w:val="00631E6D"/>
    <w:rsid w:val="00633E89"/>
    <w:rsid w:val="00652A78"/>
    <w:rsid w:val="00687083"/>
    <w:rsid w:val="006B1962"/>
    <w:rsid w:val="007003AF"/>
    <w:rsid w:val="00707DE5"/>
    <w:rsid w:val="00710780"/>
    <w:rsid w:val="0076307A"/>
    <w:rsid w:val="007C2DC7"/>
    <w:rsid w:val="007E0027"/>
    <w:rsid w:val="007F6551"/>
    <w:rsid w:val="008101BF"/>
    <w:rsid w:val="00850EB5"/>
    <w:rsid w:val="00872C20"/>
    <w:rsid w:val="0089617B"/>
    <w:rsid w:val="008B06E0"/>
    <w:rsid w:val="008B1E6D"/>
    <w:rsid w:val="008B2694"/>
    <w:rsid w:val="008D33D5"/>
    <w:rsid w:val="008E3327"/>
    <w:rsid w:val="008F4C53"/>
    <w:rsid w:val="00910B4D"/>
    <w:rsid w:val="0097611D"/>
    <w:rsid w:val="0098097C"/>
    <w:rsid w:val="00985A89"/>
    <w:rsid w:val="00991279"/>
    <w:rsid w:val="00994639"/>
    <w:rsid w:val="009C04E7"/>
    <w:rsid w:val="009D1CD8"/>
    <w:rsid w:val="009D4520"/>
    <w:rsid w:val="009E5C3B"/>
    <w:rsid w:val="00A33038"/>
    <w:rsid w:val="00A953A2"/>
    <w:rsid w:val="00AB27B9"/>
    <w:rsid w:val="00AB2A36"/>
    <w:rsid w:val="00AC44FA"/>
    <w:rsid w:val="00AC77A7"/>
    <w:rsid w:val="00AD49FF"/>
    <w:rsid w:val="00AE001E"/>
    <w:rsid w:val="00AF3895"/>
    <w:rsid w:val="00B11935"/>
    <w:rsid w:val="00B62014"/>
    <w:rsid w:val="00B715D0"/>
    <w:rsid w:val="00B93B6F"/>
    <w:rsid w:val="00B95DDE"/>
    <w:rsid w:val="00BA696C"/>
    <w:rsid w:val="00BA7F80"/>
    <w:rsid w:val="00BB3EFF"/>
    <w:rsid w:val="00BC77EC"/>
    <w:rsid w:val="00BD6166"/>
    <w:rsid w:val="00BE68CE"/>
    <w:rsid w:val="00BF3799"/>
    <w:rsid w:val="00BF745C"/>
    <w:rsid w:val="00C33FB0"/>
    <w:rsid w:val="00C60DD5"/>
    <w:rsid w:val="00C72BDB"/>
    <w:rsid w:val="00C8687E"/>
    <w:rsid w:val="00C95C29"/>
    <w:rsid w:val="00CA3C5C"/>
    <w:rsid w:val="00CA5D63"/>
    <w:rsid w:val="00CB5EE7"/>
    <w:rsid w:val="00CB74CA"/>
    <w:rsid w:val="00CC07CB"/>
    <w:rsid w:val="00CC5F4C"/>
    <w:rsid w:val="00CC75BB"/>
    <w:rsid w:val="00CD6377"/>
    <w:rsid w:val="00CF4E6D"/>
    <w:rsid w:val="00D0101D"/>
    <w:rsid w:val="00D12182"/>
    <w:rsid w:val="00D16E2F"/>
    <w:rsid w:val="00D27F83"/>
    <w:rsid w:val="00D30C1C"/>
    <w:rsid w:val="00D54029"/>
    <w:rsid w:val="00D76524"/>
    <w:rsid w:val="00D802E6"/>
    <w:rsid w:val="00D844DD"/>
    <w:rsid w:val="00D911CA"/>
    <w:rsid w:val="00DA4D42"/>
    <w:rsid w:val="00DC495F"/>
    <w:rsid w:val="00DF0BDB"/>
    <w:rsid w:val="00DF2CEA"/>
    <w:rsid w:val="00DF5557"/>
    <w:rsid w:val="00DF728B"/>
    <w:rsid w:val="00E041BC"/>
    <w:rsid w:val="00E10601"/>
    <w:rsid w:val="00E14780"/>
    <w:rsid w:val="00E17D9B"/>
    <w:rsid w:val="00E31213"/>
    <w:rsid w:val="00E66998"/>
    <w:rsid w:val="00E67813"/>
    <w:rsid w:val="00E86971"/>
    <w:rsid w:val="00E87152"/>
    <w:rsid w:val="00E908F5"/>
    <w:rsid w:val="00EA3864"/>
    <w:rsid w:val="00EB1DE1"/>
    <w:rsid w:val="00EC28FF"/>
    <w:rsid w:val="00F01C07"/>
    <w:rsid w:val="00F26D2E"/>
    <w:rsid w:val="00F40993"/>
    <w:rsid w:val="00F46B45"/>
    <w:rsid w:val="00F609B5"/>
    <w:rsid w:val="00F87712"/>
    <w:rsid w:val="00F87747"/>
    <w:rsid w:val="00F9177A"/>
    <w:rsid w:val="00FD3C23"/>
    <w:rsid w:val="00FE6E4A"/>
    <w:rsid w:val="00FF1E40"/>
    <w:rsid w:val="00FF497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29297A"/>
  <w15:chartTrackingRefBased/>
  <w15:docId w15:val="{FDFD4C5D-6F96-425D-B576-C6ECFDD3A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3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Char">
    <w:name w:val="Char1 Char Char Char"/>
    <w:basedOn w:val="Normal"/>
    <w:rsid w:val="00BF3799"/>
    <w:pPr>
      <w:tabs>
        <w:tab w:val="num" w:pos="2126"/>
      </w:tabs>
      <w:spacing w:after="160" w:line="240" w:lineRule="exact"/>
      <w:ind w:left="2126" w:hanging="567"/>
    </w:pPr>
    <w:rPr>
      <w:szCs w:val="20"/>
      <w:lang w:val="en-US"/>
    </w:rPr>
  </w:style>
  <w:style w:type="paragraph" w:styleId="NormalWeb">
    <w:name w:val="Normal (Web)"/>
    <w:basedOn w:val="Normal"/>
    <w:rsid w:val="002950D2"/>
    <w:pPr>
      <w:spacing w:before="100" w:beforeAutospacing="1" w:after="100" w:afterAutospacing="1"/>
    </w:pPr>
  </w:style>
  <w:style w:type="paragraph" w:styleId="BalloonText">
    <w:name w:val="Balloon Text"/>
    <w:basedOn w:val="Normal"/>
    <w:link w:val="BalloonTextChar"/>
    <w:rsid w:val="000711B5"/>
    <w:rPr>
      <w:rFonts w:ascii="Tahoma" w:hAnsi="Tahoma" w:cs="Tahoma"/>
      <w:sz w:val="16"/>
      <w:szCs w:val="16"/>
    </w:rPr>
  </w:style>
  <w:style w:type="character" w:customStyle="1" w:styleId="BalloonTextChar">
    <w:name w:val="Balloon Text Char"/>
    <w:link w:val="BalloonText"/>
    <w:rsid w:val="000711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023079">
      <w:bodyDiv w:val="1"/>
      <w:marLeft w:val="0"/>
      <w:marRight w:val="0"/>
      <w:marTop w:val="0"/>
      <w:marBottom w:val="0"/>
      <w:divBdr>
        <w:top w:val="none" w:sz="0" w:space="0" w:color="auto"/>
        <w:left w:val="none" w:sz="0" w:space="0" w:color="auto"/>
        <w:bottom w:val="none" w:sz="0" w:space="0" w:color="auto"/>
        <w:right w:val="none" w:sz="0" w:space="0" w:color="auto"/>
      </w:divBdr>
    </w:div>
    <w:div w:id="180173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7C1B7-A238-4164-BDF5-D1028A748DF0}">
  <ds:schemaRefs>
    <ds:schemaRef ds:uri="http://schemas.microsoft.com/sharepoint/v3/contenttype/forms"/>
  </ds:schemaRefs>
</ds:datastoreItem>
</file>

<file path=customXml/itemProps2.xml><?xml version="1.0" encoding="utf-8"?>
<ds:datastoreItem xmlns:ds="http://schemas.openxmlformats.org/officeDocument/2006/customXml" ds:itemID="{A0E7FE74-3A6E-4E1A-B7D9-26790A3A6A87}">
  <ds:schemaRefs>
    <ds:schemaRef ds:uri="http://purl.org/dc/elements/1.1/"/>
    <ds:schemaRef ds:uri="http://schemas.microsoft.com/office/2006/metadata/properties"/>
    <ds:schemaRef ds:uri="http://purl.org/dc/terms/"/>
    <ds:schemaRef ds:uri="http://schemas.openxmlformats.org/package/2006/metadata/core-properties"/>
    <ds:schemaRef ds:uri="a494813a-d0d8-4dad-94cb-0d196f36ba15"/>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3B37D7B-357C-46C5-9C22-F7F046461044}">
  <ds:schemaRefs>
    <ds:schemaRef ds:uri="http://schemas.microsoft.com/office/2006/metadata/longProperties"/>
  </ds:schemaRefs>
</ds:datastoreItem>
</file>

<file path=customXml/itemProps4.xml><?xml version="1.0" encoding="utf-8"?>
<ds:datastoreItem xmlns:ds="http://schemas.openxmlformats.org/officeDocument/2006/customXml" ds:itemID="{4BA9804F-3257-467D-98DB-DB35331D5F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0D2645A-B6C4-4761-8CFB-0F9836F0019D}">
  <ds:schemaRefs>
    <ds:schemaRef ds:uri="http://schemas.microsoft.com/sharepoint/events"/>
  </ds:schemaRefs>
</ds:datastoreItem>
</file>

<file path=customXml/itemProps6.xml><?xml version="1.0" encoding="utf-8"?>
<ds:datastoreItem xmlns:ds="http://schemas.openxmlformats.org/officeDocument/2006/customXml" ds:itemID="{99D68B08-FCC8-409B-B696-5419F1AB3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1672</Words>
  <Characters>9532</Characters>
  <Application>Microsoft Office Word</Application>
  <DocSecurity>0</DocSecurity>
  <Lines>79</Lines>
  <Paragraphs>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RAVNATELJ</vt:lpstr>
      <vt:lpstr>RAVNATELJ</vt:lpstr>
    </vt:vector>
  </TitlesOfParts>
  <Company>AUDIO</Company>
  <LinksUpToDate>false</LinksUpToDate>
  <CharactersWithSpaces>11182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RAVNATELJ</dc:title>
  <dc:subject/>
  <dc:creator>Danijela Brestovac</dc:creator>
  <cp:keywords/>
  <cp:lastModifiedBy>Sunčica Marini</cp:lastModifiedBy>
  <cp:revision>16</cp:revision>
  <cp:lastPrinted>2022-05-16T10:55:00Z</cp:lastPrinted>
  <dcterms:created xsi:type="dcterms:W3CDTF">2022-05-16T09:15:00Z</dcterms:created>
  <dcterms:modified xsi:type="dcterms:W3CDTF">2022-05-17T08:19:00Z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AZJMDCZ6QSYZ-1849078857-16623</vt:lpwstr>
  </property>
  <property fmtid="{D5CDD505-2E9C-101B-9397-08002B2CF9AE}" pid="3" name="_dlc_DocIdItemGuid">
    <vt:lpwstr>1fdc7549-e8cc-4487-9910-4484410ddce6</vt:lpwstr>
  </property>
  <property fmtid="{D5CDD505-2E9C-101B-9397-08002B2CF9AE}" pid="4" name="_dlc_DocIdUrl">
    <vt:lpwstr>https://ekoordinacije.vlada.hr/koordinacija-gospodarstvo/_layouts/15/DocIdRedir.aspx?ID=AZJMDCZ6QSYZ-1849078857-16623, AZJMDCZ6QSYZ-1849078857-16623</vt:lpwstr>
  </property>
</Properties>
</file>