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71211" w14:textId="77777777" w:rsidR="00F845D8" w:rsidRPr="006D10D5" w:rsidRDefault="00BE61EE" w:rsidP="00F32B03">
      <w:pPr>
        <w:tabs>
          <w:tab w:val="left" w:pos="2977"/>
        </w:tabs>
        <w:jc w:val="center"/>
      </w:pPr>
      <w:r>
        <w:rPr>
          <w:noProof/>
        </w:rPr>
        <w:drawing>
          <wp:inline distT="0" distB="0" distL="0" distR="0" wp14:anchorId="33E3AC89" wp14:editId="405EE3C1">
            <wp:extent cx="495300" cy="67627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676275"/>
                    </a:xfrm>
                    <a:prstGeom prst="rect">
                      <a:avLst/>
                    </a:prstGeom>
                    <a:noFill/>
                    <a:ln>
                      <a:noFill/>
                    </a:ln>
                  </pic:spPr>
                </pic:pic>
              </a:graphicData>
            </a:graphic>
          </wp:inline>
        </w:drawing>
      </w:r>
      <w:r w:rsidR="00F845D8" w:rsidRPr="006D10D5">
        <w:fldChar w:fldCharType="begin"/>
      </w:r>
      <w:r w:rsidR="00F845D8" w:rsidRPr="006D10D5">
        <w:instrText xml:space="preserve"> INCLUDEPICTURE "http://www.inet.hr/~box/images/grb-rh.gif" \* MERGEFORMATINET </w:instrText>
      </w:r>
      <w:r w:rsidR="00F845D8" w:rsidRPr="006D10D5">
        <w:fldChar w:fldCharType="end"/>
      </w:r>
    </w:p>
    <w:p w14:paraId="656CDA82" w14:textId="77777777" w:rsidR="00F845D8" w:rsidRPr="006D10D5" w:rsidRDefault="00F845D8" w:rsidP="00F845D8">
      <w:pPr>
        <w:spacing w:before="60" w:after="1680"/>
        <w:jc w:val="center"/>
        <w:rPr>
          <w:sz w:val="28"/>
        </w:rPr>
      </w:pPr>
      <w:r w:rsidRPr="006D10D5">
        <w:rPr>
          <w:sz w:val="28"/>
        </w:rPr>
        <w:t>VLADA REPUBLIKE HRVATSKE</w:t>
      </w:r>
    </w:p>
    <w:p w14:paraId="1C07A03E" w14:textId="77777777" w:rsidR="00F845D8" w:rsidRPr="006D10D5" w:rsidRDefault="00F845D8" w:rsidP="00F845D8"/>
    <w:p w14:paraId="6B9B3D64" w14:textId="57049399" w:rsidR="00F845D8" w:rsidRPr="006D10D5" w:rsidRDefault="00F845D8" w:rsidP="00F845D8">
      <w:pPr>
        <w:spacing w:after="2400"/>
        <w:jc w:val="right"/>
      </w:pPr>
      <w:r w:rsidRPr="006D10D5">
        <w:t xml:space="preserve">Zagreb, </w:t>
      </w:r>
      <w:r w:rsidR="0084296F">
        <w:t>21</w:t>
      </w:r>
      <w:r w:rsidR="00F32B03" w:rsidRPr="00C93053">
        <w:t>.</w:t>
      </w:r>
      <w:r w:rsidR="00F32B03">
        <w:t xml:space="preserve"> travnja</w:t>
      </w:r>
      <w:r>
        <w:t xml:space="preserve"> 2022</w:t>
      </w:r>
      <w:r w:rsidRPr="006D10D5">
        <w:t>.</w:t>
      </w:r>
    </w:p>
    <w:p w14:paraId="3D8F217C" w14:textId="77777777" w:rsidR="00F845D8" w:rsidRPr="006D10D5" w:rsidRDefault="00F845D8" w:rsidP="00F845D8">
      <w:pPr>
        <w:spacing w:line="360" w:lineRule="auto"/>
      </w:pPr>
      <w:r w:rsidRPr="006D10D5">
        <w:t>__________________________________________________________________________</w:t>
      </w:r>
    </w:p>
    <w:p w14:paraId="37046B23" w14:textId="77777777" w:rsidR="00F845D8" w:rsidRPr="006D10D5" w:rsidRDefault="00F845D8" w:rsidP="00F845D8">
      <w:pPr>
        <w:tabs>
          <w:tab w:val="right" w:pos="1701"/>
          <w:tab w:val="left" w:pos="1843"/>
        </w:tabs>
        <w:spacing w:line="360" w:lineRule="auto"/>
        <w:ind w:left="1843" w:hanging="1843"/>
        <w:rPr>
          <w:b/>
          <w:smallCaps/>
        </w:rPr>
        <w:sectPr w:rsidR="00F845D8" w:rsidRPr="006D10D5" w:rsidSect="00F70616">
          <w:footerReference w:type="default" r:id="rId13"/>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9"/>
        <w:gridCol w:w="7123"/>
      </w:tblGrid>
      <w:tr w:rsidR="00F845D8" w:rsidRPr="006D10D5" w14:paraId="4CAA8D01" w14:textId="77777777" w:rsidTr="00F70616">
        <w:tc>
          <w:tcPr>
            <w:tcW w:w="1951" w:type="dxa"/>
            <w:shd w:val="clear" w:color="auto" w:fill="auto"/>
          </w:tcPr>
          <w:p w14:paraId="3F8EF66E" w14:textId="77777777" w:rsidR="00F845D8" w:rsidRPr="006D10D5" w:rsidRDefault="00F845D8" w:rsidP="00F70616">
            <w:pPr>
              <w:spacing w:line="360" w:lineRule="auto"/>
              <w:jc w:val="right"/>
            </w:pPr>
            <w:r w:rsidRPr="006D10D5">
              <w:rPr>
                <w:b/>
                <w:smallCaps/>
              </w:rPr>
              <w:t>Predlagatelj</w:t>
            </w:r>
            <w:r w:rsidRPr="006D10D5">
              <w:rPr>
                <w:b/>
              </w:rPr>
              <w:t>:</w:t>
            </w:r>
          </w:p>
        </w:tc>
        <w:tc>
          <w:tcPr>
            <w:tcW w:w="7229" w:type="dxa"/>
            <w:shd w:val="clear" w:color="auto" w:fill="auto"/>
          </w:tcPr>
          <w:p w14:paraId="6A90B632" w14:textId="77777777" w:rsidR="00F845D8" w:rsidRPr="006D10D5" w:rsidRDefault="00F845D8" w:rsidP="00F70616">
            <w:pPr>
              <w:spacing w:line="360" w:lineRule="auto"/>
            </w:pPr>
            <w:r w:rsidRPr="001C74BE">
              <w:t>Ministarstvo mora, prometa i infr</w:t>
            </w:r>
            <w:r>
              <w:t>astrukture</w:t>
            </w:r>
          </w:p>
        </w:tc>
      </w:tr>
    </w:tbl>
    <w:tbl>
      <w:tblPr>
        <w:tblpPr w:leftFromText="180" w:rightFromText="180" w:vertAnchor="text" w:horzAnchor="margin" w:tblpY="473"/>
        <w:tblW w:w="0" w:type="auto"/>
        <w:tblLook w:val="04A0" w:firstRow="1" w:lastRow="0" w:firstColumn="1" w:lastColumn="0" w:noHBand="0" w:noVBand="1"/>
      </w:tblPr>
      <w:tblGrid>
        <w:gridCol w:w="1940"/>
        <w:gridCol w:w="7132"/>
      </w:tblGrid>
      <w:tr w:rsidR="00F845D8" w:rsidRPr="006D10D5" w14:paraId="45097FDE" w14:textId="77777777" w:rsidTr="00F25858">
        <w:tc>
          <w:tcPr>
            <w:tcW w:w="1940" w:type="dxa"/>
            <w:shd w:val="clear" w:color="auto" w:fill="auto"/>
          </w:tcPr>
          <w:p w14:paraId="45F04E55" w14:textId="77777777" w:rsidR="00F845D8" w:rsidRPr="006D10D5" w:rsidRDefault="00F845D8" w:rsidP="00F70616">
            <w:pPr>
              <w:spacing w:line="360" w:lineRule="auto"/>
              <w:jc w:val="right"/>
            </w:pPr>
            <w:r w:rsidRPr="006D10D5">
              <w:rPr>
                <w:b/>
                <w:smallCaps/>
              </w:rPr>
              <w:t>Predmet</w:t>
            </w:r>
            <w:r w:rsidRPr="006D10D5">
              <w:rPr>
                <w:b/>
              </w:rPr>
              <w:t>:</w:t>
            </w:r>
          </w:p>
        </w:tc>
        <w:tc>
          <w:tcPr>
            <w:tcW w:w="7132" w:type="dxa"/>
            <w:shd w:val="clear" w:color="auto" w:fill="auto"/>
          </w:tcPr>
          <w:p w14:paraId="2EF9ED18" w14:textId="2ADD6097" w:rsidR="00F845D8" w:rsidRPr="006D10D5" w:rsidRDefault="007A1A9B" w:rsidP="007A1A9B">
            <w:pPr>
              <w:spacing w:line="360" w:lineRule="auto"/>
            </w:pPr>
            <w:r>
              <w:rPr>
                <w:color w:val="000000"/>
              </w:rPr>
              <w:t xml:space="preserve">Nacrt konačnog </w:t>
            </w:r>
            <w:r w:rsidR="00F845D8">
              <w:rPr>
                <w:color w:val="000000"/>
              </w:rPr>
              <w:t>prijedlog</w:t>
            </w:r>
            <w:r>
              <w:rPr>
                <w:color w:val="000000"/>
              </w:rPr>
              <w:t>a</w:t>
            </w:r>
            <w:r w:rsidR="00F845D8">
              <w:rPr>
                <w:color w:val="000000"/>
              </w:rPr>
              <w:t xml:space="preserve"> </w:t>
            </w:r>
            <w:r>
              <w:rPr>
                <w:color w:val="000000"/>
              </w:rPr>
              <w:t>z</w:t>
            </w:r>
            <w:r w:rsidRPr="00E01168">
              <w:rPr>
                <w:color w:val="000000"/>
              </w:rPr>
              <w:t xml:space="preserve">akona </w:t>
            </w:r>
            <w:r w:rsidR="00F845D8" w:rsidRPr="00E01168">
              <w:rPr>
                <w:color w:val="000000"/>
              </w:rPr>
              <w:t>o izmjenama i dopunama Zakona o uspostavi infrastrukture za alternativna goriva</w:t>
            </w:r>
          </w:p>
        </w:tc>
      </w:tr>
    </w:tbl>
    <w:p w14:paraId="187B52CC" w14:textId="77777777" w:rsidR="00F845D8" w:rsidRPr="006D10D5" w:rsidRDefault="00F845D8" w:rsidP="00F845D8">
      <w:pPr>
        <w:tabs>
          <w:tab w:val="left" w:pos="1843"/>
        </w:tabs>
        <w:spacing w:line="360" w:lineRule="auto"/>
        <w:ind w:left="1843" w:hanging="1843"/>
      </w:pPr>
      <w:r w:rsidRPr="006D10D5">
        <w:t>___________________________________________________________________________</w:t>
      </w:r>
    </w:p>
    <w:p w14:paraId="4E242C35" w14:textId="77777777" w:rsidR="00F845D8" w:rsidRPr="006D10D5" w:rsidRDefault="00F845D8" w:rsidP="00F845D8">
      <w:pPr>
        <w:spacing w:line="360" w:lineRule="auto"/>
        <w:sectPr w:rsidR="00F845D8" w:rsidRPr="006D10D5" w:rsidSect="00F70616">
          <w:type w:val="continuous"/>
          <w:pgSz w:w="11906" w:h="16838"/>
          <w:pgMar w:top="993" w:right="1417" w:bottom="1417" w:left="1417" w:header="709" w:footer="658" w:gutter="0"/>
          <w:cols w:space="708"/>
          <w:docGrid w:linePitch="360"/>
        </w:sectPr>
      </w:pPr>
      <w:r w:rsidRPr="006D10D5">
        <w:t>_______________________________________________________________________</w:t>
      </w:r>
      <w:r w:rsidR="00F25858">
        <w:t>___</w:t>
      </w:r>
    </w:p>
    <w:p w14:paraId="5CC0CDC3" w14:textId="77777777" w:rsidR="00F845D8" w:rsidRPr="002109C8" w:rsidRDefault="00F845D8" w:rsidP="00F25858">
      <w:pPr>
        <w:pBdr>
          <w:bottom w:val="single" w:sz="12" w:space="1" w:color="auto"/>
        </w:pBdr>
        <w:suppressAutoHyphens/>
        <w:jc w:val="center"/>
        <w:rPr>
          <w:rFonts w:eastAsia="Calibri"/>
          <w:b/>
          <w:spacing w:val="-3"/>
        </w:rPr>
      </w:pPr>
      <w:r>
        <w:rPr>
          <w:rFonts w:eastAsia="Calibri"/>
          <w:b/>
          <w:spacing w:val="-3"/>
        </w:rPr>
        <w:lastRenderedPageBreak/>
        <w:t>MINISTARSTVO MORA, PROMETA I INFRASTRUKTURE</w:t>
      </w:r>
    </w:p>
    <w:p w14:paraId="6BA289E1" w14:textId="77777777" w:rsidR="00F845D8" w:rsidRPr="002109C8" w:rsidRDefault="00F845D8" w:rsidP="00F845D8">
      <w:pPr>
        <w:pBdr>
          <w:bottom w:val="single" w:sz="12" w:space="1" w:color="auto"/>
        </w:pBdr>
        <w:suppressAutoHyphens/>
        <w:jc w:val="center"/>
        <w:rPr>
          <w:rFonts w:eastAsia="Calibri"/>
          <w:b/>
          <w:spacing w:val="-3"/>
        </w:rPr>
      </w:pPr>
    </w:p>
    <w:p w14:paraId="559066FC" w14:textId="77777777" w:rsidR="00F845D8" w:rsidRPr="002109C8" w:rsidRDefault="00F845D8" w:rsidP="00F845D8">
      <w:pPr>
        <w:suppressAutoHyphens/>
        <w:jc w:val="center"/>
        <w:rPr>
          <w:rFonts w:eastAsia="Calibri"/>
          <w:b/>
          <w:spacing w:val="-3"/>
        </w:rPr>
      </w:pPr>
    </w:p>
    <w:p w14:paraId="1FCBC144" w14:textId="77777777" w:rsidR="00F845D8" w:rsidRPr="002109C8" w:rsidRDefault="00F845D8" w:rsidP="00F845D8">
      <w:pPr>
        <w:jc w:val="center"/>
        <w:rPr>
          <w:b/>
          <w:snapToGrid w:val="0"/>
          <w:spacing w:val="-3"/>
          <w:lang w:eastAsia="en-US"/>
        </w:rPr>
      </w:pPr>
    </w:p>
    <w:p w14:paraId="66C220DF" w14:textId="77777777" w:rsidR="00F845D8" w:rsidRPr="002109C8" w:rsidRDefault="00F845D8" w:rsidP="00F845D8">
      <w:pPr>
        <w:autoSpaceDE w:val="0"/>
        <w:autoSpaceDN w:val="0"/>
        <w:adjustRightInd w:val="0"/>
        <w:jc w:val="center"/>
        <w:rPr>
          <w:b/>
          <w:bCs/>
        </w:rPr>
      </w:pPr>
    </w:p>
    <w:p w14:paraId="4073FCAE" w14:textId="77777777" w:rsidR="00F845D8" w:rsidRPr="002109C8" w:rsidRDefault="00F845D8" w:rsidP="00F845D8">
      <w:pPr>
        <w:autoSpaceDE w:val="0"/>
        <w:autoSpaceDN w:val="0"/>
        <w:adjustRightInd w:val="0"/>
        <w:jc w:val="center"/>
        <w:rPr>
          <w:b/>
          <w:bCs/>
        </w:rPr>
      </w:pPr>
    </w:p>
    <w:p w14:paraId="3CB167BE" w14:textId="77777777" w:rsidR="00F845D8" w:rsidRPr="002109C8" w:rsidRDefault="00F845D8" w:rsidP="00F845D8">
      <w:pPr>
        <w:autoSpaceDE w:val="0"/>
        <w:autoSpaceDN w:val="0"/>
        <w:adjustRightInd w:val="0"/>
        <w:jc w:val="center"/>
        <w:rPr>
          <w:b/>
          <w:bCs/>
        </w:rPr>
      </w:pPr>
    </w:p>
    <w:p w14:paraId="7CE5B744" w14:textId="77777777" w:rsidR="00F845D8" w:rsidRPr="002109C8" w:rsidRDefault="00F845D8" w:rsidP="00F845D8">
      <w:pPr>
        <w:autoSpaceDE w:val="0"/>
        <w:autoSpaceDN w:val="0"/>
        <w:adjustRightInd w:val="0"/>
        <w:jc w:val="center"/>
        <w:rPr>
          <w:b/>
          <w:bCs/>
        </w:rPr>
      </w:pPr>
    </w:p>
    <w:p w14:paraId="13B4A457" w14:textId="77777777" w:rsidR="00F845D8" w:rsidRPr="002109C8" w:rsidRDefault="00F845D8" w:rsidP="00F845D8">
      <w:pPr>
        <w:autoSpaceDE w:val="0"/>
        <w:autoSpaceDN w:val="0"/>
        <w:adjustRightInd w:val="0"/>
        <w:jc w:val="center"/>
        <w:rPr>
          <w:b/>
          <w:bCs/>
        </w:rPr>
      </w:pPr>
    </w:p>
    <w:p w14:paraId="1411622B" w14:textId="77777777" w:rsidR="00F845D8" w:rsidRPr="002109C8" w:rsidRDefault="00F845D8" w:rsidP="00F845D8">
      <w:pPr>
        <w:autoSpaceDE w:val="0"/>
        <w:autoSpaceDN w:val="0"/>
        <w:adjustRightInd w:val="0"/>
        <w:jc w:val="center"/>
        <w:rPr>
          <w:b/>
          <w:bCs/>
        </w:rPr>
      </w:pPr>
    </w:p>
    <w:p w14:paraId="79EFC6D0" w14:textId="77777777" w:rsidR="00F845D8" w:rsidRPr="002109C8" w:rsidRDefault="00F845D8" w:rsidP="00F845D8">
      <w:pPr>
        <w:autoSpaceDE w:val="0"/>
        <w:autoSpaceDN w:val="0"/>
        <w:adjustRightInd w:val="0"/>
        <w:jc w:val="center"/>
        <w:rPr>
          <w:b/>
          <w:bCs/>
        </w:rPr>
      </w:pPr>
    </w:p>
    <w:p w14:paraId="7EAB066E" w14:textId="77777777" w:rsidR="00F845D8" w:rsidRPr="002109C8" w:rsidRDefault="00F845D8" w:rsidP="00F845D8">
      <w:pPr>
        <w:autoSpaceDE w:val="0"/>
        <w:autoSpaceDN w:val="0"/>
        <w:adjustRightInd w:val="0"/>
        <w:jc w:val="center"/>
        <w:rPr>
          <w:b/>
          <w:bCs/>
        </w:rPr>
      </w:pPr>
    </w:p>
    <w:p w14:paraId="0222A752" w14:textId="77777777" w:rsidR="00F845D8" w:rsidRPr="002109C8" w:rsidRDefault="00F845D8" w:rsidP="00F845D8">
      <w:pPr>
        <w:autoSpaceDE w:val="0"/>
        <w:autoSpaceDN w:val="0"/>
        <w:adjustRightInd w:val="0"/>
        <w:jc w:val="center"/>
        <w:rPr>
          <w:b/>
          <w:bCs/>
        </w:rPr>
      </w:pPr>
    </w:p>
    <w:p w14:paraId="0679A3EC" w14:textId="77777777" w:rsidR="00F845D8" w:rsidRPr="002109C8" w:rsidRDefault="00F845D8" w:rsidP="00F845D8">
      <w:pPr>
        <w:autoSpaceDE w:val="0"/>
        <w:autoSpaceDN w:val="0"/>
        <w:adjustRightInd w:val="0"/>
        <w:jc w:val="center"/>
        <w:rPr>
          <w:b/>
          <w:bCs/>
        </w:rPr>
      </w:pPr>
    </w:p>
    <w:p w14:paraId="039251E2" w14:textId="77777777" w:rsidR="00F845D8" w:rsidRPr="002109C8" w:rsidRDefault="00F845D8" w:rsidP="00F845D8">
      <w:pPr>
        <w:autoSpaceDE w:val="0"/>
        <w:autoSpaceDN w:val="0"/>
        <w:adjustRightInd w:val="0"/>
        <w:jc w:val="center"/>
        <w:rPr>
          <w:b/>
          <w:bCs/>
        </w:rPr>
      </w:pPr>
    </w:p>
    <w:p w14:paraId="1F5BF79A" w14:textId="77777777" w:rsidR="00F845D8" w:rsidRPr="002109C8" w:rsidRDefault="00F845D8" w:rsidP="00F845D8">
      <w:pPr>
        <w:autoSpaceDE w:val="0"/>
        <w:autoSpaceDN w:val="0"/>
        <w:adjustRightInd w:val="0"/>
        <w:jc w:val="center"/>
        <w:rPr>
          <w:b/>
          <w:bCs/>
        </w:rPr>
      </w:pPr>
    </w:p>
    <w:p w14:paraId="2636957C" w14:textId="77777777" w:rsidR="00F845D8" w:rsidRPr="002109C8" w:rsidRDefault="00F845D8" w:rsidP="00F845D8">
      <w:pPr>
        <w:autoSpaceDE w:val="0"/>
        <w:autoSpaceDN w:val="0"/>
        <w:adjustRightInd w:val="0"/>
        <w:jc w:val="center"/>
        <w:rPr>
          <w:b/>
          <w:bCs/>
        </w:rPr>
      </w:pPr>
    </w:p>
    <w:p w14:paraId="17116E05" w14:textId="77777777" w:rsidR="00F845D8" w:rsidRPr="002109C8" w:rsidRDefault="00F845D8" w:rsidP="00F845D8">
      <w:pPr>
        <w:autoSpaceDE w:val="0"/>
        <w:autoSpaceDN w:val="0"/>
        <w:adjustRightInd w:val="0"/>
        <w:jc w:val="center"/>
        <w:rPr>
          <w:b/>
          <w:bCs/>
        </w:rPr>
      </w:pPr>
    </w:p>
    <w:p w14:paraId="12B68398" w14:textId="77777777" w:rsidR="00F845D8" w:rsidRPr="002109C8" w:rsidRDefault="00F845D8" w:rsidP="00F845D8">
      <w:pPr>
        <w:autoSpaceDE w:val="0"/>
        <w:autoSpaceDN w:val="0"/>
        <w:adjustRightInd w:val="0"/>
        <w:jc w:val="center"/>
        <w:rPr>
          <w:b/>
          <w:bCs/>
        </w:rPr>
      </w:pPr>
    </w:p>
    <w:p w14:paraId="7EE32685" w14:textId="77777777" w:rsidR="00F845D8" w:rsidRDefault="00F845D8" w:rsidP="00F845D8">
      <w:pPr>
        <w:autoSpaceDE w:val="0"/>
        <w:autoSpaceDN w:val="0"/>
        <w:adjustRightInd w:val="0"/>
        <w:jc w:val="center"/>
        <w:rPr>
          <w:b/>
          <w:bCs/>
        </w:rPr>
      </w:pPr>
    </w:p>
    <w:p w14:paraId="6B49C762" w14:textId="77777777" w:rsidR="00F25858" w:rsidRDefault="00F25858" w:rsidP="00F845D8">
      <w:pPr>
        <w:autoSpaceDE w:val="0"/>
        <w:autoSpaceDN w:val="0"/>
        <w:adjustRightInd w:val="0"/>
        <w:jc w:val="center"/>
        <w:rPr>
          <w:b/>
          <w:bCs/>
        </w:rPr>
      </w:pPr>
    </w:p>
    <w:p w14:paraId="0872D93D" w14:textId="77777777" w:rsidR="00F25858" w:rsidRDefault="00F25858" w:rsidP="00F845D8">
      <w:pPr>
        <w:autoSpaceDE w:val="0"/>
        <w:autoSpaceDN w:val="0"/>
        <w:adjustRightInd w:val="0"/>
        <w:jc w:val="center"/>
        <w:rPr>
          <w:b/>
          <w:bCs/>
        </w:rPr>
      </w:pPr>
    </w:p>
    <w:p w14:paraId="3904BC85" w14:textId="77777777" w:rsidR="00F25858" w:rsidRDefault="00F25858" w:rsidP="00F845D8">
      <w:pPr>
        <w:autoSpaceDE w:val="0"/>
        <w:autoSpaceDN w:val="0"/>
        <w:adjustRightInd w:val="0"/>
        <w:jc w:val="center"/>
        <w:rPr>
          <w:b/>
          <w:bCs/>
        </w:rPr>
      </w:pPr>
    </w:p>
    <w:p w14:paraId="05C11F79" w14:textId="77777777" w:rsidR="00F25858" w:rsidRDefault="00F25858" w:rsidP="00F845D8">
      <w:pPr>
        <w:autoSpaceDE w:val="0"/>
        <w:autoSpaceDN w:val="0"/>
        <w:adjustRightInd w:val="0"/>
        <w:jc w:val="center"/>
        <w:rPr>
          <w:b/>
          <w:bCs/>
        </w:rPr>
      </w:pPr>
    </w:p>
    <w:p w14:paraId="5CE120AC" w14:textId="77777777" w:rsidR="00F25858" w:rsidRPr="002109C8" w:rsidRDefault="00F25858" w:rsidP="00F845D8">
      <w:pPr>
        <w:autoSpaceDE w:val="0"/>
        <w:autoSpaceDN w:val="0"/>
        <w:adjustRightInd w:val="0"/>
        <w:jc w:val="center"/>
        <w:rPr>
          <w:b/>
          <w:bCs/>
        </w:rPr>
      </w:pPr>
    </w:p>
    <w:p w14:paraId="43AF5DC5" w14:textId="77777777" w:rsidR="00F845D8" w:rsidRPr="002109C8" w:rsidRDefault="00F845D8" w:rsidP="00F845D8">
      <w:pPr>
        <w:autoSpaceDE w:val="0"/>
        <w:autoSpaceDN w:val="0"/>
        <w:adjustRightInd w:val="0"/>
        <w:jc w:val="center"/>
        <w:rPr>
          <w:b/>
          <w:bCs/>
        </w:rPr>
      </w:pPr>
      <w:r>
        <w:rPr>
          <w:b/>
          <w:bCs/>
        </w:rPr>
        <w:t>KONAČNI</w:t>
      </w:r>
      <w:r w:rsidRPr="002109C8">
        <w:rPr>
          <w:b/>
          <w:bCs/>
        </w:rPr>
        <w:t xml:space="preserve"> PRIJEDLOG ZAKONA O IZMJENAMA I DOPUNAMA</w:t>
      </w:r>
    </w:p>
    <w:p w14:paraId="39AD2F00" w14:textId="77777777" w:rsidR="00F845D8" w:rsidRPr="002109C8" w:rsidRDefault="00F845D8" w:rsidP="00F845D8">
      <w:pPr>
        <w:autoSpaceDE w:val="0"/>
        <w:autoSpaceDN w:val="0"/>
        <w:adjustRightInd w:val="0"/>
        <w:jc w:val="center"/>
        <w:rPr>
          <w:b/>
          <w:bCs/>
        </w:rPr>
      </w:pPr>
      <w:r w:rsidRPr="002109C8">
        <w:rPr>
          <w:b/>
          <w:bCs/>
        </w:rPr>
        <w:t xml:space="preserve">ZAKONA O </w:t>
      </w:r>
      <w:r w:rsidRPr="002109C8">
        <w:rPr>
          <w:b/>
          <w:color w:val="000000"/>
        </w:rPr>
        <w:t xml:space="preserve">USPOSTAVI INFRASTRUKTURE ZA ALTERNATIVNA GORIVA </w:t>
      </w:r>
    </w:p>
    <w:p w14:paraId="43F0E413" w14:textId="77777777" w:rsidR="00F845D8" w:rsidRPr="002109C8" w:rsidRDefault="00F845D8" w:rsidP="00F845D8">
      <w:pPr>
        <w:autoSpaceDE w:val="0"/>
        <w:autoSpaceDN w:val="0"/>
        <w:adjustRightInd w:val="0"/>
        <w:jc w:val="center"/>
        <w:rPr>
          <w:b/>
          <w:bCs/>
        </w:rPr>
      </w:pPr>
    </w:p>
    <w:p w14:paraId="0B6A74E9" w14:textId="77777777" w:rsidR="00F845D8" w:rsidRPr="002109C8" w:rsidRDefault="00F845D8" w:rsidP="00F845D8">
      <w:pPr>
        <w:autoSpaceDE w:val="0"/>
        <w:autoSpaceDN w:val="0"/>
        <w:adjustRightInd w:val="0"/>
        <w:jc w:val="center"/>
        <w:rPr>
          <w:b/>
          <w:bCs/>
        </w:rPr>
      </w:pPr>
    </w:p>
    <w:p w14:paraId="0E13D77A" w14:textId="77777777" w:rsidR="00F845D8" w:rsidRPr="002109C8" w:rsidRDefault="00F845D8" w:rsidP="00F845D8">
      <w:pPr>
        <w:autoSpaceDE w:val="0"/>
        <w:autoSpaceDN w:val="0"/>
        <w:adjustRightInd w:val="0"/>
        <w:jc w:val="center"/>
        <w:rPr>
          <w:b/>
          <w:bCs/>
        </w:rPr>
      </w:pPr>
    </w:p>
    <w:p w14:paraId="2A3E2C14" w14:textId="77777777" w:rsidR="00F845D8" w:rsidRPr="002109C8" w:rsidRDefault="00F845D8" w:rsidP="00F845D8">
      <w:pPr>
        <w:autoSpaceDE w:val="0"/>
        <w:autoSpaceDN w:val="0"/>
        <w:adjustRightInd w:val="0"/>
        <w:jc w:val="center"/>
        <w:rPr>
          <w:b/>
          <w:bCs/>
        </w:rPr>
      </w:pPr>
    </w:p>
    <w:p w14:paraId="2E2DBD0E" w14:textId="77777777" w:rsidR="00F845D8" w:rsidRPr="002109C8" w:rsidRDefault="00F845D8" w:rsidP="00F845D8">
      <w:pPr>
        <w:autoSpaceDE w:val="0"/>
        <w:autoSpaceDN w:val="0"/>
        <w:adjustRightInd w:val="0"/>
        <w:jc w:val="center"/>
        <w:rPr>
          <w:b/>
          <w:bCs/>
        </w:rPr>
      </w:pPr>
    </w:p>
    <w:p w14:paraId="2BBA87FF" w14:textId="77777777" w:rsidR="00F845D8" w:rsidRPr="002109C8" w:rsidRDefault="00F845D8" w:rsidP="00F845D8">
      <w:pPr>
        <w:autoSpaceDE w:val="0"/>
        <w:autoSpaceDN w:val="0"/>
        <w:adjustRightInd w:val="0"/>
        <w:jc w:val="center"/>
        <w:rPr>
          <w:b/>
          <w:bCs/>
        </w:rPr>
      </w:pPr>
    </w:p>
    <w:p w14:paraId="2E00072C" w14:textId="77777777" w:rsidR="00F845D8" w:rsidRPr="002109C8" w:rsidRDefault="00F845D8" w:rsidP="00F845D8">
      <w:pPr>
        <w:autoSpaceDE w:val="0"/>
        <w:autoSpaceDN w:val="0"/>
        <w:adjustRightInd w:val="0"/>
        <w:jc w:val="center"/>
        <w:rPr>
          <w:b/>
          <w:bCs/>
        </w:rPr>
      </w:pPr>
    </w:p>
    <w:p w14:paraId="521FEC0A" w14:textId="77777777" w:rsidR="00F845D8" w:rsidRPr="002109C8" w:rsidRDefault="00F845D8" w:rsidP="00F845D8">
      <w:pPr>
        <w:autoSpaceDE w:val="0"/>
        <w:autoSpaceDN w:val="0"/>
        <w:adjustRightInd w:val="0"/>
        <w:jc w:val="center"/>
        <w:rPr>
          <w:b/>
          <w:bCs/>
        </w:rPr>
      </w:pPr>
    </w:p>
    <w:p w14:paraId="2DAF194B" w14:textId="77777777" w:rsidR="00F845D8" w:rsidRPr="002109C8" w:rsidRDefault="00F845D8" w:rsidP="00F845D8">
      <w:pPr>
        <w:autoSpaceDE w:val="0"/>
        <w:autoSpaceDN w:val="0"/>
        <w:adjustRightInd w:val="0"/>
        <w:jc w:val="center"/>
        <w:rPr>
          <w:b/>
          <w:bCs/>
        </w:rPr>
      </w:pPr>
    </w:p>
    <w:p w14:paraId="316A2E09" w14:textId="77777777" w:rsidR="00F845D8" w:rsidRPr="002109C8" w:rsidRDefault="00F845D8" w:rsidP="00F845D8">
      <w:pPr>
        <w:autoSpaceDE w:val="0"/>
        <w:autoSpaceDN w:val="0"/>
        <w:adjustRightInd w:val="0"/>
        <w:jc w:val="center"/>
        <w:rPr>
          <w:b/>
          <w:bCs/>
        </w:rPr>
      </w:pPr>
    </w:p>
    <w:p w14:paraId="5174D64D" w14:textId="77777777" w:rsidR="00F845D8" w:rsidRPr="002109C8" w:rsidRDefault="00F845D8" w:rsidP="00F845D8">
      <w:pPr>
        <w:autoSpaceDE w:val="0"/>
        <w:autoSpaceDN w:val="0"/>
        <w:adjustRightInd w:val="0"/>
        <w:jc w:val="center"/>
        <w:rPr>
          <w:b/>
          <w:bCs/>
        </w:rPr>
      </w:pPr>
    </w:p>
    <w:p w14:paraId="0A4E294F" w14:textId="77777777" w:rsidR="00F845D8" w:rsidRPr="002109C8" w:rsidRDefault="00F845D8" w:rsidP="00F845D8">
      <w:pPr>
        <w:autoSpaceDE w:val="0"/>
        <w:autoSpaceDN w:val="0"/>
        <w:adjustRightInd w:val="0"/>
        <w:jc w:val="center"/>
        <w:rPr>
          <w:b/>
          <w:bCs/>
        </w:rPr>
      </w:pPr>
    </w:p>
    <w:p w14:paraId="73936D4D" w14:textId="77777777" w:rsidR="00F845D8" w:rsidRPr="002109C8" w:rsidRDefault="00F845D8" w:rsidP="00F845D8">
      <w:pPr>
        <w:autoSpaceDE w:val="0"/>
        <w:autoSpaceDN w:val="0"/>
        <w:adjustRightInd w:val="0"/>
        <w:jc w:val="center"/>
        <w:rPr>
          <w:b/>
          <w:bCs/>
        </w:rPr>
      </w:pPr>
    </w:p>
    <w:p w14:paraId="79D50640" w14:textId="77777777" w:rsidR="00F845D8" w:rsidRPr="002109C8" w:rsidRDefault="00F845D8" w:rsidP="00F845D8">
      <w:pPr>
        <w:autoSpaceDE w:val="0"/>
        <w:autoSpaceDN w:val="0"/>
        <w:adjustRightInd w:val="0"/>
        <w:jc w:val="center"/>
        <w:rPr>
          <w:b/>
          <w:bCs/>
        </w:rPr>
      </w:pPr>
    </w:p>
    <w:p w14:paraId="7C5DB903" w14:textId="77777777" w:rsidR="00F845D8" w:rsidRPr="002109C8" w:rsidRDefault="00F845D8" w:rsidP="00F845D8">
      <w:pPr>
        <w:autoSpaceDE w:val="0"/>
        <w:autoSpaceDN w:val="0"/>
        <w:adjustRightInd w:val="0"/>
        <w:jc w:val="center"/>
        <w:rPr>
          <w:b/>
          <w:bCs/>
        </w:rPr>
      </w:pPr>
    </w:p>
    <w:p w14:paraId="328F9A5B" w14:textId="77777777" w:rsidR="00F845D8" w:rsidRPr="002109C8" w:rsidRDefault="00F845D8" w:rsidP="00F845D8">
      <w:pPr>
        <w:autoSpaceDE w:val="0"/>
        <w:autoSpaceDN w:val="0"/>
        <w:adjustRightInd w:val="0"/>
        <w:jc w:val="center"/>
        <w:rPr>
          <w:b/>
          <w:bCs/>
        </w:rPr>
      </w:pPr>
    </w:p>
    <w:p w14:paraId="4A216F0C" w14:textId="77777777" w:rsidR="00F845D8" w:rsidRPr="002109C8" w:rsidRDefault="00F845D8" w:rsidP="00F845D8">
      <w:pPr>
        <w:autoSpaceDE w:val="0"/>
        <w:autoSpaceDN w:val="0"/>
        <w:adjustRightInd w:val="0"/>
        <w:jc w:val="center"/>
        <w:rPr>
          <w:b/>
          <w:bCs/>
        </w:rPr>
      </w:pPr>
    </w:p>
    <w:p w14:paraId="7FADFEF7" w14:textId="77777777" w:rsidR="00F845D8" w:rsidRPr="002109C8" w:rsidRDefault="00F845D8" w:rsidP="00F845D8">
      <w:pPr>
        <w:autoSpaceDE w:val="0"/>
        <w:autoSpaceDN w:val="0"/>
        <w:adjustRightInd w:val="0"/>
        <w:jc w:val="center"/>
        <w:rPr>
          <w:b/>
          <w:bCs/>
        </w:rPr>
      </w:pPr>
    </w:p>
    <w:p w14:paraId="511B413E" w14:textId="77777777" w:rsidR="00F845D8" w:rsidRPr="002109C8" w:rsidRDefault="00F845D8" w:rsidP="00F845D8">
      <w:pPr>
        <w:autoSpaceDE w:val="0"/>
        <w:autoSpaceDN w:val="0"/>
        <w:adjustRightInd w:val="0"/>
        <w:jc w:val="center"/>
        <w:rPr>
          <w:b/>
          <w:bCs/>
        </w:rPr>
      </w:pPr>
    </w:p>
    <w:p w14:paraId="1DA2B693" w14:textId="77777777" w:rsidR="00F845D8" w:rsidRPr="002109C8" w:rsidRDefault="00F845D8" w:rsidP="00F845D8">
      <w:pPr>
        <w:autoSpaceDE w:val="0"/>
        <w:autoSpaceDN w:val="0"/>
        <w:adjustRightInd w:val="0"/>
        <w:jc w:val="center"/>
        <w:rPr>
          <w:b/>
          <w:bCs/>
        </w:rPr>
      </w:pPr>
    </w:p>
    <w:p w14:paraId="0642F115" w14:textId="77777777" w:rsidR="00F845D8" w:rsidRPr="002109C8" w:rsidRDefault="00F845D8" w:rsidP="00F845D8">
      <w:pPr>
        <w:autoSpaceDE w:val="0"/>
        <w:autoSpaceDN w:val="0"/>
        <w:adjustRightInd w:val="0"/>
        <w:jc w:val="center"/>
        <w:rPr>
          <w:b/>
          <w:bCs/>
        </w:rPr>
      </w:pPr>
    </w:p>
    <w:p w14:paraId="512777A3" w14:textId="77777777" w:rsidR="00F845D8" w:rsidRPr="002109C8" w:rsidRDefault="00F845D8" w:rsidP="00F845D8">
      <w:pPr>
        <w:pBdr>
          <w:bottom w:val="single" w:sz="12" w:space="1" w:color="auto"/>
        </w:pBdr>
        <w:suppressAutoHyphens/>
        <w:jc w:val="center"/>
        <w:rPr>
          <w:rFonts w:eastAsia="Calibri"/>
          <w:b/>
        </w:rPr>
      </w:pPr>
    </w:p>
    <w:p w14:paraId="72258D37" w14:textId="77777777" w:rsidR="00C44438" w:rsidRPr="002109C8" w:rsidRDefault="00C44438" w:rsidP="00F845D8">
      <w:pPr>
        <w:pBdr>
          <w:bottom w:val="single" w:sz="12" w:space="1" w:color="auto"/>
        </w:pBdr>
        <w:suppressAutoHyphens/>
        <w:jc w:val="center"/>
        <w:rPr>
          <w:rFonts w:eastAsia="Calibri"/>
          <w:b/>
        </w:rPr>
      </w:pPr>
    </w:p>
    <w:p w14:paraId="25A7717D" w14:textId="77777777" w:rsidR="00F845D8" w:rsidRPr="002109C8" w:rsidRDefault="00F845D8" w:rsidP="00F845D8">
      <w:pPr>
        <w:suppressAutoHyphens/>
        <w:jc w:val="center"/>
        <w:rPr>
          <w:rFonts w:eastAsia="Calibri"/>
          <w:b/>
        </w:rPr>
      </w:pPr>
    </w:p>
    <w:p w14:paraId="23B9A1A7" w14:textId="09CF4FAF" w:rsidR="00F845D8" w:rsidRDefault="00F845D8" w:rsidP="00F845D8">
      <w:pPr>
        <w:suppressAutoHyphens/>
        <w:jc w:val="center"/>
        <w:rPr>
          <w:rFonts w:eastAsia="Calibri"/>
          <w:b/>
        </w:rPr>
        <w:sectPr w:rsidR="00F845D8" w:rsidSect="00F70616">
          <w:pgSz w:w="11906" w:h="16838" w:code="9"/>
          <w:pgMar w:top="1134" w:right="1418" w:bottom="1247" w:left="1418" w:header="709" w:footer="709" w:gutter="0"/>
          <w:paperSrc w:first="14"/>
          <w:cols w:space="708"/>
          <w:titlePg/>
          <w:docGrid w:linePitch="360"/>
        </w:sectPr>
      </w:pPr>
      <w:r w:rsidRPr="002109C8">
        <w:rPr>
          <w:rFonts w:eastAsia="Calibri"/>
          <w:b/>
        </w:rPr>
        <w:t xml:space="preserve">Zagreb, </w:t>
      </w:r>
      <w:r w:rsidR="00B4560E">
        <w:rPr>
          <w:rFonts w:eastAsia="Calibri"/>
          <w:b/>
        </w:rPr>
        <w:t>travanj</w:t>
      </w:r>
      <w:r>
        <w:rPr>
          <w:rFonts w:eastAsia="Calibri"/>
          <w:b/>
        </w:rPr>
        <w:t xml:space="preserve"> 2022</w:t>
      </w:r>
      <w:r w:rsidRPr="002109C8">
        <w:rPr>
          <w:rFonts w:eastAsia="Calibri"/>
          <w:b/>
        </w:rPr>
        <w:t xml:space="preserve">. </w:t>
      </w:r>
    </w:p>
    <w:p w14:paraId="237B43F5" w14:textId="77777777" w:rsidR="007A1A9B" w:rsidRDefault="00F845D8" w:rsidP="007A1A9B">
      <w:pPr>
        <w:suppressAutoHyphens/>
        <w:jc w:val="center"/>
        <w:rPr>
          <w:b/>
          <w:bCs/>
        </w:rPr>
      </w:pPr>
      <w:r>
        <w:rPr>
          <w:b/>
        </w:rPr>
        <w:lastRenderedPageBreak/>
        <w:t>KONAČNI</w:t>
      </w:r>
      <w:r w:rsidRPr="002109C8">
        <w:rPr>
          <w:b/>
        </w:rPr>
        <w:t xml:space="preserve"> </w:t>
      </w:r>
      <w:r w:rsidRPr="002109C8">
        <w:rPr>
          <w:b/>
          <w:bCs/>
        </w:rPr>
        <w:t>PRIJEDLOG ZAKONA O IZMJENAMA I</w:t>
      </w:r>
      <w:r w:rsidR="007A1A9B">
        <w:rPr>
          <w:b/>
          <w:bCs/>
        </w:rPr>
        <w:t xml:space="preserve"> </w:t>
      </w:r>
      <w:r w:rsidRPr="002109C8">
        <w:rPr>
          <w:b/>
          <w:bCs/>
        </w:rPr>
        <w:t xml:space="preserve">DOPUNAMA </w:t>
      </w:r>
    </w:p>
    <w:p w14:paraId="4AEAE200" w14:textId="77777777" w:rsidR="00F845D8" w:rsidRPr="002109C8" w:rsidRDefault="00F845D8" w:rsidP="007A1A9B">
      <w:pPr>
        <w:suppressAutoHyphens/>
        <w:jc w:val="center"/>
        <w:rPr>
          <w:b/>
          <w:bCs/>
        </w:rPr>
      </w:pPr>
      <w:r w:rsidRPr="002109C8">
        <w:rPr>
          <w:b/>
          <w:bCs/>
        </w:rPr>
        <w:t xml:space="preserve">ZAKONA O </w:t>
      </w:r>
      <w:r w:rsidRPr="002109C8">
        <w:rPr>
          <w:b/>
          <w:color w:val="000000"/>
        </w:rPr>
        <w:t>USPOSTAVI INFRASTRUKTURE ZA ALTERNATIVNA GORIVA</w:t>
      </w:r>
    </w:p>
    <w:p w14:paraId="2FECE53B" w14:textId="77777777" w:rsidR="00F70616" w:rsidRDefault="00F70616" w:rsidP="007A1A9B">
      <w:pPr>
        <w:keepNext/>
        <w:widowControl w:val="0"/>
        <w:rPr>
          <w:b/>
          <w:color w:val="666666"/>
        </w:rPr>
      </w:pPr>
    </w:p>
    <w:p w14:paraId="2E22C9FF" w14:textId="77777777" w:rsidR="007A1A9B" w:rsidRPr="00F70616" w:rsidRDefault="007A1A9B" w:rsidP="007A1A9B">
      <w:pPr>
        <w:keepNext/>
        <w:widowControl w:val="0"/>
        <w:rPr>
          <w:b/>
        </w:rPr>
      </w:pPr>
    </w:p>
    <w:p w14:paraId="07AC1302" w14:textId="77777777" w:rsidR="00F70616" w:rsidRPr="00F70616" w:rsidRDefault="00F70616" w:rsidP="00F70616">
      <w:pPr>
        <w:keepNext/>
        <w:widowControl w:val="0"/>
        <w:jc w:val="center"/>
        <w:rPr>
          <w:b/>
        </w:rPr>
      </w:pPr>
      <w:r w:rsidRPr="00F70616">
        <w:rPr>
          <w:b/>
        </w:rPr>
        <w:t>Članak 1.</w:t>
      </w:r>
    </w:p>
    <w:p w14:paraId="6F61DF42" w14:textId="77777777" w:rsidR="00F70616" w:rsidRPr="00F70616" w:rsidRDefault="00F70616" w:rsidP="00F70616">
      <w:pPr>
        <w:keepNext/>
        <w:widowControl w:val="0"/>
        <w:rPr>
          <w:b/>
        </w:rPr>
      </w:pPr>
    </w:p>
    <w:p w14:paraId="18BED546" w14:textId="0FFBF3A7" w:rsidR="00F70616" w:rsidRPr="00F70616" w:rsidRDefault="00F70616" w:rsidP="00F70616">
      <w:pPr>
        <w:keepNext/>
        <w:widowControl w:val="0"/>
        <w:ind w:firstLine="708"/>
        <w:jc w:val="both"/>
      </w:pPr>
      <w:r w:rsidRPr="00F70616">
        <w:t>U Zakonu o uspostavi infrastrukture za alternativna goriva („Narodne novine“, br</w:t>
      </w:r>
      <w:r w:rsidR="007A1A9B">
        <w:t>oj</w:t>
      </w:r>
      <w:r w:rsidRPr="00F70616">
        <w:t xml:space="preserve"> 120/16.), u članku 1. stavak 3. mijenja se i glasi:</w:t>
      </w:r>
    </w:p>
    <w:p w14:paraId="6C08A04A" w14:textId="77777777" w:rsidR="00F70616" w:rsidRPr="00F70616" w:rsidRDefault="00F70616" w:rsidP="00F70616">
      <w:pPr>
        <w:keepNext/>
        <w:widowControl w:val="0"/>
        <w:jc w:val="both"/>
      </w:pPr>
    </w:p>
    <w:p w14:paraId="21FA2A20" w14:textId="77777777" w:rsidR="00F70616" w:rsidRPr="00F70616" w:rsidRDefault="00F70616" w:rsidP="00F70616">
      <w:pPr>
        <w:keepNext/>
        <w:widowControl w:val="0"/>
        <w:jc w:val="both"/>
      </w:pPr>
      <w:r w:rsidRPr="00F70616">
        <w:t xml:space="preserve">„(3) Na sva ostala pitanja uspostave infrastrukture za alternativna goriva koja nisu uređena ovim Zakonom primjenjuju se propisi kojima se uređuje područje prometne infrastrukture, područje prostornog uređenja, područje infrastrukture prostornih podataka, područje gradnje, područje energetike, područje energetske učinkovitosti, područje zaštite okoliša, </w:t>
      </w:r>
      <w:r w:rsidR="002C0916">
        <w:t xml:space="preserve">područje zaštite na radu, područje zaštite od požara </w:t>
      </w:r>
      <w:r w:rsidR="00A5692E">
        <w:t xml:space="preserve">i tehnoloških eksplozija, područje zapaljivih tekućina i plinova </w:t>
      </w:r>
      <w:r w:rsidRPr="00F70616">
        <w:t>te zakoni kojima je osnovan i koji određuju djelokrug Fonda za zaštitu okoliša i energetsku učinkovitost.“.</w:t>
      </w:r>
    </w:p>
    <w:p w14:paraId="152ECF31" w14:textId="77777777" w:rsidR="00F70616" w:rsidRPr="00F70616" w:rsidRDefault="00F70616" w:rsidP="00F70616">
      <w:pPr>
        <w:keepNext/>
        <w:widowControl w:val="0"/>
      </w:pPr>
    </w:p>
    <w:p w14:paraId="3FCF3BCE" w14:textId="77777777" w:rsidR="00F70616" w:rsidRPr="00F70616" w:rsidRDefault="00F70616" w:rsidP="00F70616">
      <w:pPr>
        <w:autoSpaceDE w:val="0"/>
        <w:autoSpaceDN w:val="0"/>
        <w:adjustRightInd w:val="0"/>
        <w:jc w:val="center"/>
        <w:rPr>
          <w:rFonts w:eastAsia="Calibri"/>
          <w:b/>
          <w:bCs/>
        </w:rPr>
      </w:pPr>
      <w:r w:rsidRPr="00F70616">
        <w:rPr>
          <w:rFonts w:eastAsia="Calibri"/>
          <w:b/>
          <w:bCs/>
        </w:rPr>
        <w:t>Članak 2.</w:t>
      </w:r>
    </w:p>
    <w:p w14:paraId="0C361FBC" w14:textId="77777777" w:rsidR="00F70616" w:rsidRPr="00F70616" w:rsidRDefault="00F70616" w:rsidP="00F70616">
      <w:pPr>
        <w:autoSpaceDE w:val="0"/>
        <w:autoSpaceDN w:val="0"/>
        <w:adjustRightInd w:val="0"/>
        <w:rPr>
          <w:rFonts w:eastAsia="Calibri"/>
          <w:b/>
          <w:bCs/>
        </w:rPr>
      </w:pPr>
    </w:p>
    <w:p w14:paraId="136C373B" w14:textId="77777777" w:rsidR="00F70616" w:rsidRPr="00F70616" w:rsidRDefault="00F70616" w:rsidP="00F70616">
      <w:pPr>
        <w:autoSpaceDE w:val="0"/>
        <w:autoSpaceDN w:val="0"/>
        <w:adjustRightInd w:val="0"/>
        <w:ind w:firstLine="708"/>
        <w:jc w:val="both"/>
      </w:pPr>
      <w:r w:rsidRPr="00F70616">
        <w:rPr>
          <w:rFonts w:eastAsia="Calibri"/>
        </w:rPr>
        <w:t>Članak 2. mijenja se i glasi:</w:t>
      </w:r>
      <w:r w:rsidRPr="00F70616">
        <w:t xml:space="preserve"> </w:t>
      </w:r>
    </w:p>
    <w:p w14:paraId="398F944C" w14:textId="77777777" w:rsidR="00F70616" w:rsidRPr="00F70616" w:rsidRDefault="00F70616" w:rsidP="00F70616">
      <w:pPr>
        <w:autoSpaceDE w:val="0"/>
        <w:autoSpaceDN w:val="0"/>
        <w:adjustRightInd w:val="0"/>
        <w:jc w:val="both"/>
      </w:pPr>
    </w:p>
    <w:p w14:paraId="5438F47C" w14:textId="77777777" w:rsidR="00F70616" w:rsidRPr="00F70616" w:rsidRDefault="00F70616" w:rsidP="00F70616">
      <w:pPr>
        <w:autoSpaceDE w:val="0"/>
        <w:autoSpaceDN w:val="0"/>
        <w:adjustRightInd w:val="0"/>
        <w:jc w:val="both"/>
      </w:pPr>
      <w:r w:rsidRPr="00F70616">
        <w:rPr>
          <w:color w:val="000000"/>
        </w:rPr>
        <w:t>„</w:t>
      </w:r>
      <w:r w:rsidRPr="00F70616">
        <w:t>Ovim Zakonom u hrvatsko zakonodavstvo preuzima se Direktiva 2014/94/EU Europskog parlamenta i Vijeća od 22. listopada 2014. o uspostavi infrastrukture za alternativna goriva (SL L 307, 28.10.2014.), kako je posljednji put izmijenjena Delegiranom uredbom Komisije (EU) 2019/1745 оd 13. kolovoza 2019. o dopuni i izmjeni Direktive 2014/94/EU Europskog parlamenta i Vijeća u pogledu mjesta za punjenje motornih vozila kategorije L, opskrbe električnom energijom s kopna za plovila na unutarnjim vodnim putovima, opskrbe vodikom za cestovni promet, opskrbe prirodnim plinom za cestovni i vodni promet te o stavljanju izvan snage Delegirane uredbe Komisije (EU) 2018/674 (Tekst značajan za EGP) (SL L 268, 22.10.2019.).“.</w:t>
      </w:r>
    </w:p>
    <w:p w14:paraId="280820D3" w14:textId="77777777" w:rsidR="00F70616" w:rsidRPr="00F70616" w:rsidRDefault="00F70616" w:rsidP="00F70616">
      <w:pPr>
        <w:keepNext/>
        <w:widowControl w:val="0"/>
        <w:rPr>
          <w:b/>
        </w:rPr>
      </w:pPr>
    </w:p>
    <w:p w14:paraId="5AE00815" w14:textId="77777777" w:rsidR="00F70616" w:rsidRPr="00F70616" w:rsidRDefault="00F70616" w:rsidP="00F70616">
      <w:pPr>
        <w:keepNext/>
        <w:widowControl w:val="0"/>
        <w:jc w:val="center"/>
        <w:rPr>
          <w:b/>
        </w:rPr>
      </w:pPr>
      <w:r w:rsidRPr="00F70616">
        <w:rPr>
          <w:b/>
        </w:rPr>
        <w:t>Članak 3.</w:t>
      </w:r>
    </w:p>
    <w:p w14:paraId="5FA2E7C4" w14:textId="77777777" w:rsidR="00F70616" w:rsidRPr="00F70616" w:rsidRDefault="00F70616" w:rsidP="00F70616">
      <w:pPr>
        <w:keepNext/>
        <w:widowControl w:val="0"/>
        <w:rPr>
          <w:b/>
        </w:rPr>
      </w:pPr>
    </w:p>
    <w:p w14:paraId="07A237C1" w14:textId="77777777" w:rsidR="00F70616" w:rsidRPr="00F70616" w:rsidRDefault="00F70616" w:rsidP="00F70616">
      <w:pPr>
        <w:keepNext/>
        <w:widowControl w:val="0"/>
        <w:ind w:firstLine="708"/>
        <w:jc w:val="both"/>
      </w:pPr>
      <w:r w:rsidRPr="00F70616">
        <w:t>U članku 3. stavak 2. mijenja se i glasi:</w:t>
      </w:r>
    </w:p>
    <w:p w14:paraId="754189A7" w14:textId="77777777" w:rsidR="00F70616" w:rsidRPr="00F70616" w:rsidRDefault="00F70616" w:rsidP="00F70616">
      <w:pPr>
        <w:keepNext/>
        <w:widowControl w:val="0"/>
        <w:jc w:val="both"/>
      </w:pPr>
    </w:p>
    <w:p w14:paraId="6E4AC1C1" w14:textId="77777777" w:rsidR="00F70616" w:rsidRDefault="00F70616" w:rsidP="00F70616">
      <w:pPr>
        <w:keepNext/>
        <w:widowControl w:val="0"/>
        <w:jc w:val="both"/>
      </w:pPr>
      <w:r w:rsidRPr="00F70616">
        <w:t>„(2) U smislu ovoga Zakona pojedini pojmovi, koji nisu utvrđeni ovim Zakonom, imaju značenje propisano zakonima kojima je uređeno područje prostornog uređenja, područje energetike, područje prometne infrastrukture, područje gradnje, područje zaštite okoliša, područje poreza, područje državnih potpora, te zakonima kojima je osnovan i koji određuju djelokrug Fonda za zaštitu okoliša i energetsku učinkovitost.“.</w:t>
      </w:r>
    </w:p>
    <w:p w14:paraId="44F7ED25" w14:textId="77777777" w:rsidR="0089338F" w:rsidRDefault="0089338F" w:rsidP="00F70616">
      <w:pPr>
        <w:keepNext/>
        <w:widowControl w:val="0"/>
        <w:jc w:val="both"/>
      </w:pPr>
    </w:p>
    <w:p w14:paraId="76516ACC" w14:textId="39F9036C" w:rsidR="0089338F" w:rsidRPr="00F70616" w:rsidRDefault="0089338F" w:rsidP="0089338F">
      <w:pPr>
        <w:keepNext/>
        <w:widowControl w:val="0"/>
        <w:jc w:val="center"/>
        <w:rPr>
          <w:b/>
        </w:rPr>
      </w:pPr>
      <w:r w:rsidRPr="00F70616">
        <w:rPr>
          <w:b/>
        </w:rPr>
        <w:t xml:space="preserve">Članak </w:t>
      </w:r>
      <w:r w:rsidR="007A1A9B">
        <w:rPr>
          <w:b/>
        </w:rPr>
        <w:t>4</w:t>
      </w:r>
      <w:r w:rsidRPr="00F70616">
        <w:rPr>
          <w:b/>
        </w:rPr>
        <w:t>.</w:t>
      </w:r>
    </w:p>
    <w:p w14:paraId="2C7B0374" w14:textId="77777777" w:rsidR="0089338F" w:rsidRPr="00F70616" w:rsidRDefault="0089338F" w:rsidP="0089338F">
      <w:pPr>
        <w:keepNext/>
        <w:widowControl w:val="0"/>
        <w:rPr>
          <w:b/>
        </w:rPr>
      </w:pPr>
    </w:p>
    <w:p w14:paraId="06404FFD" w14:textId="77777777" w:rsidR="0089338F" w:rsidRPr="00F70616" w:rsidRDefault="0089338F" w:rsidP="0089338F">
      <w:pPr>
        <w:keepNext/>
        <w:widowControl w:val="0"/>
        <w:ind w:firstLine="708"/>
        <w:jc w:val="both"/>
      </w:pPr>
      <w:r>
        <w:t>U članku 4. stavak 10</w:t>
      </w:r>
      <w:r w:rsidRPr="00F70616">
        <w:t>. mijenja se i glasi:</w:t>
      </w:r>
    </w:p>
    <w:p w14:paraId="6C493E07" w14:textId="77777777" w:rsidR="0089338F" w:rsidRPr="00F70616" w:rsidRDefault="0089338F" w:rsidP="0089338F">
      <w:pPr>
        <w:keepNext/>
        <w:widowControl w:val="0"/>
        <w:jc w:val="both"/>
      </w:pPr>
    </w:p>
    <w:p w14:paraId="50DD7752" w14:textId="77777777" w:rsidR="0089338F" w:rsidRDefault="0089338F" w:rsidP="0089338F">
      <w:pPr>
        <w:keepNext/>
        <w:widowControl w:val="0"/>
        <w:jc w:val="both"/>
      </w:pPr>
      <w:r>
        <w:t>„</w:t>
      </w:r>
      <w:r>
        <w:rPr>
          <w:color w:val="231F20"/>
          <w:shd w:val="clear" w:color="auto" w:fill="FFFFFF"/>
        </w:rPr>
        <w:t>(10) Izvješće o provedbi NOP-a sadržava opis mjera poduzetih kao potpora izgradnji infrastrukture za alternativna goriva u skladu s člankom 5. ovoga Zakona, a izrađuje ga nacionalno koordinacijsko tijelo u skladu s člankom 10. stavkom 2. ovoga Zakona</w:t>
      </w:r>
      <w:r w:rsidRPr="00F70616">
        <w:t>.“.</w:t>
      </w:r>
    </w:p>
    <w:p w14:paraId="5B376A77" w14:textId="77777777" w:rsidR="00F70616" w:rsidRPr="00F70616" w:rsidRDefault="00F70616" w:rsidP="00F70616">
      <w:pPr>
        <w:autoSpaceDE w:val="0"/>
        <w:autoSpaceDN w:val="0"/>
        <w:adjustRightInd w:val="0"/>
        <w:rPr>
          <w:rFonts w:eastAsia="Calibri"/>
          <w:b/>
          <w:bCs/>
        </w:rPr>
      </w:pPr>
    </w:p>
    <w:p w14:paraId="77FC43B9" w14:textId="59C0EC33" w:rsidR="00F70616" w:rsidRPr="00F70616" w:rsidRDefault="00F70616" w:rsidP="00F70616">
      <w:pPr>
        <w:autoSpaceDE w:val="0"/>
        <w:autoSpaceDN w:val="0"/>
        <w:adjustRightInd w:val="0"/>
        <w:jc w:val="center"/>
        <w:rPr>
          <w:rFonts w:eastAsia="Calibri"/>
          <w:b/>
          <w:bCs/>
        </w:rPr>
      </w:pPr>
      <w:r w:rsidRPr="00F70616">
        <w:rPr>
          <w:rFonts w:eastAsia="Calibri"/>
          <w:b/>
          <w:bCs/>
        </w:rPr>
        <w:lastRenderedPageBreak/>
        <w:t xml:space="preserve">Članak </w:t>
      </w:r>
      <w:r w:rsidR="00665E54">
        <w:rPr>
          <w:rFonts w:eastAsia="Calibri"/>
          <w:b/>
          <w:bCs/>
        </w:rPr>
        <w:t>5</w:t>
      </w:r>
      <w:r w:rsidRPr="00F70616">
        <w:rPr>
          <w:rFonts w:eastAsia="Calibri"/>
          <w:b/>
          <w:bCs/>
        </w:rPr>
        <w:t>.</w:t>
      </w:r>
    </w:p>
    <w:p w14:paraId="23BF1103" w14:textId="77777777" w:rsidR="00987E3E" w:rsidRDefault="00987E3E" w:rsidP="0089338F">
      <w:pPr>
        <w:autoSpaceDE w:val="0"/>
        <w:autoSpaceDN w:val="0"/>
        <w:adjustRightInd w:val="0"/>
        <w:jc w:val="both"/>
        <w:rPr>
          <w:rFonts w:eastAsia="Calibri"/>
        </w:rPr>
      </w:pPr>
    </w:p>
    <w:p w14:paraId="73FC5CDB" w14:textId="77777777" w:rsidR="00987E3E" w:rsidRDefault="00706DDA" w:rsidP="00F70616">
      <w:pPr>
        <w:autoSpaceDE w:val="0"/>
        <w:autoSpaceDN w:val="0"/>
        <w:adjustRightInd w:val="0"/>
        <w:ind w:firstLine="708"/>
        <w:jc w:val="both"/>
        <w:rPr>
          <w:rFonts w:eastAsia="Calibri"/>
        </w:rPr>
      </w:pPr>
      <w:r w:rsidRPr="00F70616">
        <w:rPr>
          <w:rFonts w:eastAsia="Calibri"/>
        </w:rPr>
        <w:t>U članku 6.</w:t>
      </w:r>
      <w:r>
        <w:rPr>
          <w:rFonts w:eastAsia="Calibri"/>
        </w:rPr>
        <w:t xml:space="preserve"> </w:t>
      </w:r>
      <w:r w:rsidR="004E056D">
        <w:rPr>
          <w:rFonts w:eastAsia="Calibri"/>
        </w:rPr>
        <w:t>stavak 1</w:t>
      </w:r>
      <w:r w:rsidRPr="00706DDA">
        <w:rPr>
          <w:rFonts w:eastAsia="Calibri"/>
        </w:rPr>
        <w:t>. mijenja se i glasi:</w:t>
      </w:r>
    </w:p>
    <w:p w14:paraId="33832350" w14:textId="77777777" w:rsidR="00987E3E" w:rsidRDefault="00987E3E" w:rsidP="00F70616">
      <w:pPr>
        <w:autoSpaceDE w:val="0"/>
        <w:autoSpaceDN w:val="0"/>
        <w:adjustRightInd w:val="0"/>
        <w:ind w:firstLine="708"/>
        <w:jc w:val="both"/>
        <w:rPr>
          <w:rFonts w:eastAsia="Calibri"/>
        </w:rPr>
      </w:pPr>
    </w:p>
    <w:p w14:paraId="48EE8150" w14:textId="10CC3681" w:rsidR="004E056D" w:rsidRDefault="004E056D" w:rsidP="004E056D">
      <w:pPr>
        <w:keepNext/>
        <w:widowControl w:val="0"/>
        <w:jc w:val="both"/>
      </w:pPr>
      <w:r>
        <w:t>„</w:t>
      </w:r>
      <w:r>
        <w:rPr>
          <w:color w:val="231F20"/>
          <w:shd w:val="clear" w:color="auto" w:fill="FFFFFF"/>
        </w:rPr>
        <w:t xml:space="preserve">(1) </w:t>
      </w:r>
      <w:r w:rsidRPr="004E056D">
        <w:rPr>
          <w:color w:val="231F20"/>
          <w:shd w:val="clear" w:color="auto" w:fill="FFFFFF"/>
        </w:rPr>
        <w:t xml:space="preserve">U skladu s </w:t>
      </w:r>
      <w:r>
        <w:rPr>
          <w:color w:val="231F20"/>
          <w:shd w:val="clear" w:color="auto" w:fill="FFFFFF"/>
        </w:rPr>
        <w:t>NOP-om i važećim</w:t>
      </w:r>
      <w:r w:rsidRPr="004E056D">
        <w:rPr>
          <w:color w:val="231F20"/>
          <w:shd w:val="clear" w:color="auto" w:fill="FFFFFF"/>
        </w:rPr>
        <w:t xml:space="preserve"> tehničkim specifikacijama, uspostavit će se primjereni broj javno dostupnih mjesta za punjenje električnom energijom, kako bi se osiguralo da električ</w:t>
      </w:r>
      <w:r>
        <w:rPr>
          <w:color w:val="231F20"/>
          <w:shd w:val="clear" w:color="auto" w:fill="FFFFFF"/>
        </w:rPr>
        <w:t xml:space="preserve">na vozila mogu prometovati </w:t>
      </w:r>
      <w:r w:rsidRPr="004E056D">
        <w:rPr>
          <w:color w:val="231F20"/>
          <w:shd w:val="clear" w:color="auto" w:fill="FFFFFF"/>
        </w:rPr>
        <w:t>okviru osnovne TEN-T mreže</w:t>
      </w:r>
      <w:r>
        <w:rPr>
          <w:color w:val="231F20"/>
          <w:shd w:val="clear" w:color="auto" w:fill="FFFFFF"/>
        </w:rPr>
        <w:t xml:space="preserve"> te</w:t>
      </w:r>
      <w:r w:rsidRPr="004E056D">
        <w:rPr>
          <w:color w:val="231F20"/>
          <w:shd w:val="clear" w:color="auto" w:fill="FFFFFF"/>
        </w:rPr>
        <w:t xml:space="preserve"> u gradskim/prigradskim aglomeracijama i drugim gusto naseljenim područjima.</w:t>
      </w:r>
      <w:r>
        <w:rPr>
          <w:color w:val="231F20"/>
          <w:shd w:val="clear" w:color="auto" w:fill="FFFFFF"/>
        </w:rPr>
        <w:t xml:space="preserve"> </w:t>
      </w:r>
      <w:r w:rsidRPr="004E056D">
        <w:rPr>
          <w:color w:val="231F20"/>
          <w:shd w:val="clear" w:color="auto" w:fill="FFFFFF"/>
        </w:rPr>
        <w:t>Broj takvih mjesta za punjenje utvrđuje se</w:t>
      </w:r>
      <w:r>
        <w:rPr>
          <w:color w:val="231F20"/>
          <w:shd w:val="clear" w:color="auto" w:fill="FFFFFF"/>
        </w:rPr>
        <w:t xml:space="preserve"> </w:t>
      </w:r>
      <w:r w:rsidRPr="004E056D">
        <w:rPr>
          <w:color w:val="231F20"/>
          <w:shd w:val="clear" w:color="auto" w:fill="FFFFFF"/>
        </w:rPr>
        <w:t>kako je naznačeno NOP-om te najboljom praksom i preporukama koje izdaje Europska komisija.</w:t>
      </w:r>
      <w:r>
        <w:rPr>
          <w:color w:val="231F20"/>
          <w:shd w:val="clear" w:color="auto" w:fill="FFFFFF"/>
        </w:rPr>
        <w:t xml:space="preserve"> U obzir se</w:t>
      </w:r>
      <w:r w:rsidRPr="004E056D">
        <w:rPr>
          <w:color w:val="231F20"/>
          <w:shd w:val="clear" w:color="auto" w:fill="FFFFFF"/>
        </w:rPr>
        <w:t xml:space="preserve"> uzimaju </w:t>
      </w:r>
      <w:r>
        <w:rPr>
          <w:color w:val="231F20"/>
          <w:shd w:val="clear" w:color="auto" w:fill="FFFFFF"/>
        </w:rPr>
        <w:t xml:space="preserve">i </w:t>
      </w:r>
      <w:r w:rsidRPr="004E056D">
        <w:rPr>
          <w:color w:val="231F20"/>
          <w:shd w:val="clear" w:color="auto" w:fill="FFFFFF"/>
        </w:rPr>
        <w:t>posebne potrebe u vezi s instaliranjem javno dostupnih mjesta za punjenje na postajama javnog prijevoza.</w:t>
      </w:r>
      <w:r w:rsidRPr="00F70616">
        <w:t>“.</w:t>
      </w:r>
    </w:p>
    <w:p w14:paraId="00E3BE52" w14:textId="77777777" w:rsidR="004E056D" w:rsidRDefault="004E056D" w:rsidP="00836B7B">
      <w:pPr>
        <w:autoSpaceDE w:val="0"/>
        <w:autoSpaceDN w:val="0"/>
        <w:adjustRightInd w:val="0"/>
        <w:jc w:val="both"/>
        <w:rPr>
          <w:rFonts w:eastAsia="Calibri"/>
        </w:rPr>
      </w:pPr>
    </w:p>
    <w:p w14:paraId="3C09049D" w14:textId="77777777" w:rsidR="00F70616" w:rsidRPr="00F70616" w:rsidRDefault="00F70616" w:rsidP="00F70616">
      <w:pPr>
        <w:autoSpaceDE w:val="0"/>
        <w:autoSpaceDN w:val="0"/>
        <w:adjustRightInd w:val="0"/>
        <w:ind w:firstLine="708"/>
        <w:jc w:val="both"/>
        <w:rPr>
          <w:rFonts w:eastAsia="Calibri"/>
        </w:rPr>
      </w:pPr>
      <w:r w:rsidRPr="00F70616">
        <w:rPr>
          <w:rFonts w:eastAsia="Calibri"/>
        </w:rPr>
        <w:t>U članku 6. iza stavka 13. dodaju se stavci 14., 15. i 16. koji glase:</w:t>
      </w:r>
    </w:p>
    <w:p w14:paraId="4102D70C" w14:textId="77777777" w:rsidR="00F70616" w:rsidRPr="00F70616" w:rsidRDefault="00F70616" w:rsidP="00F70616">
      <w:pPr>
        <w:autoSpaceDE w:val="0"/>
        <w:autoSpaceDN w:val="0"/>
        <w:adjustRightInd w:val="0"/>
        <w:jc w:val="both"/>
        <w:rPr>
          <w:rFonts w:eastAsia="Calibri"/>
        </w:rPr>
      </w:pPr>
    </w:p>
    <w:p w14:paraId="2500CEC3" w14:textId="77777777" w:rsidR="00F70616" w:rsidRDefault="00F70616" w:rsidP="00F70616">
      <w:pPr>
        <w:autoSpaceDE w:val="0"/>
        <w:autoSpaceDN w:val="0"/>
        <w:adjustRightInd w:val="0"/>
        <w:jc w:val="both"/>
        <w:rPr>
          <w:rFonts w:eastAsia="Calibri"/>
        </w:rPr>
      </w:pPr>
      <w:r w:rsidRPr="00F70616">
        <w:rPr>
          <w:color w:val="000000"/>
        </w:rPr>
        <w:t>„</w:t>
      </w:r>
      <w:r w:rsidRPr="00F70616">
        <w:rPr>
          <w:rFonts w:eastAsia="Calibri"/>
        </w:rPr>
        <w:t>(14) Na mjestima za punjenje motornih vozila kategorije L primjenjuju se sljedeće tehničke specifikacije:</w:t>
      </w:r>
    </w:p>
    <w:p w14:paraId="2B08DBCB" w14:textId="77777777" w:rsidR="00836B7B" w:rsidRPr="00F70616" w:rsidRDefault="00836B7B" w:rsidP="00F70616">
      <w:pPr>
        <w:autoSpaceDE w:val="0"/>
        <w:autoSpaceDN w:val="0"/>
        <w:adjustRightInd w:val="0"/>
        <w:jc w:val="both"/>
        <w:rPr>
          <w:rFonts w:eastAsia="Calibri"/>
        </w:rPr>
      </w:pPr>
    </w:p>
    <w:p w14:paraId="0DE4C321" w14:textId="77777777" w:rsidR="00F70616" w:rsidRPr="00836B7B" w:rsidRDefault="00F70616" w:rsidP="00F70616">
      <w:pPr>
        <w:pStyle w:val="ListParagraph"/>
        <w:numPr>
          <w:ilvl w:val="0"/>
          <w:numId w:val="17"/>
        </w:numPr>
        <w:autoSpaceDE w:val="0"/>
        <w:autoSpaceDN w:val="0"/>
        <w:adjustRightInd w:val="0"/>
        <w:jc w:val="both"/>
        <w:rPr>
          <w:rFonts w:eastAsia="Calibri"/>
        </w:rPr>
      </w:pPr>
      <w:r w:rsidRPr="00836B7B">
        <w:rPr>
          <w:rFonts w:eastAsia="Calibri"/>
        </w:rPr>
        <w:t>javno dostupna mjesta za punjenje izmjeničnom strujom snage do 3,7 kVA rezervirana za električna vozila kategorije L moraju biti opremljena barem jednim od sljedećih elemenata:</w:t>
      </w:r>
    </w:p>
    <w:p w14:paraId="1C1E8E4D" w14:textId="77777777" w:rsidR="00F70616" w:rsidRPr="00F70616" w:rsidRDefault="00F70616" w:rsidP="00F32B03">
      <w:pPr>
        <w:autoSpaceDE w:val="0"/>
        <w:autoSpaceDN w:val="0"/>
        <w:adjustRightInd w:val="0"/>
        <w:ind w:left="1134" w:hanging="429"/>
        <w:jc w:val="both"/>
        <w:rPr>
          <w:rFonts w:eastAsia="Calibri"/>
        </w:rPr>
      </w:pPr>
      <w:r w:rsidRPr="00F70616">
        <w:rPr>
          <w:rFonts w:eastAsia="Calibri"/>
        </w:rPr>
        <w:t>1.</w:t>
      </w:r>
      <w:r w:rsidRPr="00F70616">
        <w:rPr>
          <w:rFonts w:eastAsia="Calibri"/>
        </w:rPr>
        <w:tab/>
        <w:t>utičnicama ili priključcima za vozila tipa 3 A kako su opisani u normi HRN EN 62196-2 (za mehanizam punjenja 3) i</w:t>
      </w:r>
    </w:p>
    <w:p w14:paraId="5B45D41F" w14:textId="77777777" w:rsidR="00F70616" w:rsidRDefault="00F70616" w:rsidP="00F32B03">
      <w:pPr>
        <w:autoSpaceDE w:val="0"/>
        <w:autoSpaceDN w:val="0"/>
        <w:adjustRightInd w:val="0"/>
        <w:ind w:left="1134" w:hanging="429"/>
        <w:jc w:val="both"/>
        <w:rPr>
          <w:rFonts w:eastAsia="Calibri"/>
        </w:rPr>
      </w:pPr>
      <w:r w:rsidRPr="00F70616">
        <w:rPr>
          <w:rFonts w:eastAsia="Calibri"/>
        </w:rPr>
        <w:t>2.</w:t>
      </w:r>
      <w:r w:rsidRPr="00F70616">
        <w:rPr>
          <w:rFonts w:eastAsia="Calibri"/>
        </w:rPr>
        <w:tab/>
        <w:t>utičnicama u skladu s normom HRN IEC 60884-1 (za mehanizme punjenja 1 i 2)</w:t>
      </w:r>
    </w:p>
    <w:p w14:paraId="20E7934A" w14:textId="77777777" w:rsidR="00836B7B" w:rsidRPr="00F70616" w:rsidRDefault="00836B7B" w:rsidP="00F32B03">
      <w:pPr>
        <w:autoSpaceDE w:val="0"/>
        <w:autoSpaceDN w:val="0"/>
        <w:adjustRightInd w:val="0"/>
        <w:ind w:left="1134" w:hanging="429"/>
        <w:jc w:val="both"/>
        <w:rPr>
          <w:rFonts w:eastAsia="Calibri"/>
        </w:rPr>
      </w:pPr>
    </w:p>
    <w:p w14:paraId="6F0A322E" w14:textId="77777777" w:rsidR="00F70616" w:rsidRPr="00F70616" w:rsidRDefault="00F70616" w:rsidP="00F32B03">
      <w:pPr>
        <w:autoSpaceDE w:val="0"/>
        <w:autoSpaceDN w:val="0"/>
        <w:adjustRightInd w:val="0"/>
        <w:ind w:left="1134" w:hanging="429"/>
        <w:jc w:val="both"/>
        <w:rPr>
          <w:rFonts w:eastAsia="Calibri"/>
        </w:rPr>
      </w:pPr>
      <w:r w:rsidRPr="00F70616">
        <w:rPr>
          <w:rFonts w:eastAsia="Calibri"/>
        </w:rPr>
        <w:t>-</w:t>
      </w:r>
      <w:r w:rsidRPr="00F70616">
        <w:rPr>
          <w:rFonts w:eastAsia="Calibri"/>
        </w:rPr>
        <w:tab/>
        <w:t xml:space="preserve">javno dostupna mjesta za punjenje izmjeničnom strujom snage veće od 3,7 kVA rezervirana za električna vozila kategorije L trebala bi biti opremljena, radi interoperabilnosti, barem utičnicama ili priključcima za vozila tipa 2 kako su opisani u normi HRN EN 62196-2. </w:t>
      </w:r>
    </w:p>
    <w:p w14:paraId="753406AB" w14:textId="77777777" w:rsidR="00F70616" w:rsidRPr="00F70616" w:rsidRDefault="00F70616" w:rsidP="00F70616">
      <w:pPr>
        <w:autoSpaceDE w:val="0"/>
        <w:autoSpaceDN w:val="0"/>
        <w:adjustRightInd w:val="0"/>
        <w:jc w:val="both"/>
        <w:rPr>
          <w:rFonts w:eastAsia="Calibri"/>
        </w:rPr>
      </w:pPr>
    </w:p>
    <w:p w14:paraId="67F0C6FA" w14:textId="77777777" w:rsidR="00F70616" w:rsidRPr="00F70616" w:rsidRDefault="00F70616" w:rsidP="00F70616">
      <w:pPr>
        <w:autoSpaceDE w:val="0"/>
        <w:autoSpaceDN w:val="0"/>
        <w:adjustRightInd w:val="0"/>
        <w:jc w:val="both"/>
        <w:rPr>
          <w:rFonts w:eastAsia="Calibri"/>
        </w:rPr>
      </w:pPr>
      <w:r w:rsidRPr="00F70616">
        <w:rPr>
          <w:rFonts w:eastAsia="Calibri"/>
        </w:rPr>
        <w:t>(15) Za opskrbu s kopna električnom energijom plovila na unutarnjim vodnim putovima primjenjuju se tehnička specifikacije koje moraju biti u skladu s normom HRN EN 15869-2 ili normom HRN EN 16840, ovisno o energetskim zahtjevima.</w:t>
      </w:r>
    </w:p>
    <w:p w14:paraId="1B0E6493" w14:textId="77777777" w:rsidR="00F70616" w:rsidRPr="00F70616" w:rsidRDefault="00F70616" w:rsidP="00F70616">
      <w:pPr>
        <w:autoSpaceDE w:val="0"/>
        <w:autoSpaceDN w:val="0"/>
        <w:adjustRightInd w:val="0"/>
        <w:jc w:val="both"/>
        <w:rPr>
          <w:rFonts w:eastAsia="Calibri"/>
        </w:rPr>
      </w:pPr>
    </w:p>
    <w:p w14:paraId="123529A1" w14:textId="6BAAF0E6" w:rsidR="00F70616" w:rsidRPr="00F70616" w:rsidRDefault="00F70616" w:rsidP="00F70616">
      <w:pPr>
        <w:autoSpaceDE w:val="0"/>
        <w:autoSpaceDN w:val="0"/>
        <w:adjustRightInd w:val="0"/>
        <w:jc w:val="both"/>
        <w:rPr>
          <w:rFonts w:eastAsia="Calibri"/>
        </w:rPr>
      </w:pPr>
      <w:r w:rsidRPr="00F70616">
        <w:rPr>
          <w:rFonts w:eastAsia="Calibri"/>
        </w:rPr>
        <w:t>(16) Upravitelji punionica alternativnih goriva</w:t>
      </w:r>
      <w:r w:rsidRPr="00F70616">
        <w:t xml:space="preserve"> </w:t>
      </w:r>
      <w:r w:rsidRPr="00F70616">
        <w:rPr>
          <w:rFonts w:eastAsia="Calibri"/>
        </w:rPr>
        <w:t xml:space="preserve">i pružatelji usluga punjenja dužni su objaviti podatke o svim javno dostupnim mjestima za punjenje korisnicima električnih vozila koja također pružaju mogućnost punjenja na ad hoc osnovi, bez sklapanja ugovora s dotičnim opskrbljivačem električnom energijom ili operatorom, a kako je to propisano člankom 6. stavkom 9. </w:t>
      </w:r>
      <w:r w:rsidR="006A3872">
        <w:rPr>
          <w:rFonts w:eastAsia="Calibri"/>
        </w:rPr>
        <w:t>ovoga Zakona</w:t>
      </w:r>
      <w:r w:rsidR="00377A18">
        <w:rPr>
          <w:rFonts w:eastAsia="Calibri"/>
        </w:rPr>
        <w:t>.</w:t>
      </w:r>
      <w:r w:rsidRPr="00F70616">
        <w:rPr>
          <w:color w:val="000000"/>
        </w:rPr>
        <w:t>“.</w:t>
      </w:r>
    </w:p>
    <w:p w14:paraId="1C8AD13E" w14:textId="77777777" w:rsidR="00F70616" w:rsidRPr="00F70616" w:rsidRDefault="00F70616" w:rsidP="00F70616">
      <w:pPr>
        <w:jc w:val="both"/>
      </w:pPr>
    </w:p>
    <w:p w14:paraId="148A0381" w14:textId="59323738" w:rsidR="00F70616" w:rsidRPr="00F70616" w:rsidRDefault="00F70616" w:rsidP="00F70616">
      <w:pPr>
        <w:autoSpaceDE w:val="0"/>
        <w:autoSpaceDN w:val="0"/>
        <w:adjustRightInd w:val="0"/>
        <w:jc w:val="center"/>
        <w:rPr>
          <w:rFonts w:eastAsia="Calibri"/>
          <w:b/>
        </w:rPr>
      </w:pPr>
      <w:r w:rsidRPr="00F70616">
        <w:rPr>
          <w:rFonts w:eastAsia="Calibri"/>
          <w:b/>
        </w:rPr>
        <w:t xml:space="preserve">Članak </w:t>
      </w:r>
      <w:r w:rsidR="003D30C8">
        <w:rPr>
          <w:rFonts w:eastAsia="Calibri"/>
          <w:b/>
        </w:rPr>
        <w:t>6</w:t>
      </w:r>
      <w:r w:rsidRPr="00F70616">
        <w:rPr>
          <w:rFonts w:eastAsia="Calibri"/>
          <w:b/>
        </w:rPr>
        <w:t>.</w:t>
      </w:r>
    </w:p>
    <w:p w14:paraId="0DB52663" w14:textId="77777777" w:rsidR="00F70616" w:rsidRPr="00F70616" w:rsidRDefault="00F70616" w:rsidP="00F70616">
      <w:pPr>
        <w:autoSpaceDE w:val="0"/>
        <w:autoSpaceDN w:val="0"/>
        <w:adjustRightInd w:val="0"/>
        <w:rPr>
          <w:rFonts w:eastAsia="Calibri"/>
          <w:b/>
        </w:rPr>
      </w:pPr>
    </w:p>
    <w:p w14:paraId="798E521E" w14:textId="77777777" w:rsidR="00F70616" w:rsidRPr="00F70616" w:rsidRDefault="00F70616" w:rsidP="00F70616">
      <w:pPr>
        <w:autoSpaceDE w:val="0"/>
        <w:autoSpaceDN w:val="0"/>
        <w:adjustRightInd w:val="0"/>
        <w:ind w:firstLine="708"/>
        <w:rPr>
          <w:rFonts w:eastAsia="Calibri"/>
        </w:rPr>
      </w:pPr>
      <w:r w:rsidRPr="00F70616">
        <w:rPr>
          <w:rFonts w:eastAsia="Calibri"/>
        </w:rPr>
        <w:t>U članku 7. stavak 2. mijenja se i glasi:</w:t>
      </w:r>
    </w:p>
    <w:p w14:paraId="63F144E7" w14:textId="77777777" w:rsidR="00F70616" w:rsidRPr="00F70616" w:rsidRDefault="00F70616" w:rsidP="00F70616">
      <w:pPr>
        <w:autoSpaceDE w:val="0"/>
        <w:autoSpaceDN w:val="0"/>
        <w:adjustRightInd w:val="0"/>
        <w:rPr>
          <w:rFonts w:eastAsia="Calibri"/>
        </w:rPr>
      </w:pPr>
    </w:p>
    <w:p w14:paraId="39ED436F" w14:textId="77777777" w:rsidR="00F70616" w:rsidRPr="00F70616" w:rsidRDefault="00F70616" w:rsidP="00F70616">
      <w:pPr>
        <w:autoSpaceDE w:val="0"/>
        <w:autoSpaceDN w:val="0"/>
        <w:adjustRightInd w:val="0"/>
        <w:rPr>
          <w:rFonts w:eastAsia="Calibri"/>
        </w:rPr>
      </w:pPr>
      <w:r w:rsidRPr="00F70616">
        <w:rPr>
          <w:rFonts w:eastAsia="Calibri"/>
        </w:rPr>
        <w:t>„(2) Tehničke specifikacije za mjesta za opskrbu motornih vozila vodikom su sljedeće:</w:t>
      </w:r>
    </w:p>
    <w:p w14:paraId="5E40DA48" w14:textId="77777777" w:rsidR="00F70616" w:rsidRPr="00F70616" w:rsidRDefault="00F70616" w:rsidP="00F70616">
      <w:pPr>
        <w:autoSpaceDE w:val="0"/>
        <w:autoSpaceDN w:val="0"/>
        <w:adjustRightInd w:val="0"/>
        <w:rPr>
          <w:rFonts w:eastAsia="Calibri"/>
        </w:rPr>
      </w:pPr>
    </w:p>
    <w:p w14:paraId="7902D7A4" w14:textId="77777777" w:rsidR="00F70616" w:rsidRPr="00F70616" w:rsidRDefault="00F70616" w:rsidP="00F70616">
      <w:pPr>
        <w:autoSpaceDE w:val="0"/>
        <w:autoSpaceDN w:val="0"/>
        <w:adjustRightInd w:val="0"/>
        <w:jc w:val="both"/>
        <w:rPr>
          <w:rFonts w:eastAsia="Calibri"/>
        </w:rPr>
      </w:pPr>
      <w:r w:rsidRPr="00F70616">
        <w:rPr>
          <w:rFonts w:eastAsia="Calibri"/>
        </w:rPr>
        <w:t>1. stanice na otvorenom za punjenje plinovitim vodikom koji se upotrebljava kao gorivo u motornim vozilima moraju ispunjavati zahtjeve za interoperabilnost opisane u normi HRN EN 17127 „Postaje na otvorenom za punjenje plinovitim vodikom s protokolom za punjenje“</w:t>
      </w:r>
    </w:p>
    <w:p w14:paraId="7D17A676" w14:textId="77777777" w:rsidR="00F70616" w:rsidRPr="00F70616" w:rsidRDefault="00F70616" w:rsidP="00F70616">
      <w:pPr>
        <w:autoSpaceDE w:val="0"/>
        <w:autoSpaceDN w:val="0"/>
        <w:adjustRightInd w:val="0"/>
        <w:jc w:val="both"/>
        <w:rPr>
          <w:rFonts w:eastAsia="Calibri"/>
        </w:rPr>
      </w:pPr>
    </w:p>
    <w:p w14:paraId="0F59EEB0" w14:textId="0553BA93" w:rsidR="00F70616" w:rsidRPr="00F70616" w:rsidRDefault="00F70616" w:rsidP="00F70616">
      <w:pPr>
        <w:autoSpaceDE w:val="0"/>
        <w:autoSpaceDN w:val="0"/>
        <w:adjustRightInd w:val="0"/>
        <w:jc w:val="both"/>
        <w:rPr>
          <w:rFonts w:eastAsia="Calibri"/>
        </w:rPr>
      </w:pPr>
      <w:r w:rsidRPr="00F70616">
        <w:rPr>
          <w:rFonts w:eastAsia="Calibri"/>
        </w:rPr>
        <w:lastRenderedPageBreak/>
        <w:t>2. karakteristike kvalitete vodika kojim stanice za punjenje opskrbljuju cestovna vozila moraju biti u skladu sa zahtjevima opisanim u normi HRN EN 17124, „Vodik kao gorivo – Specifikacija proizvoda i osiguranje kvalitete – Goriv</w:t>
      </w:r>
      <w:r w:rsidR="003E4263">
        <w:rPr>
          <w:rFonts w:eastAsia="Calibri"/>
        </w:rPr>
        <w:t>n</w:t>
      </w:r>
      <w:r w:rsidRPr="00F70616">
        <w:rPr>
          <w:rFonts w:eastAsia="Calibri"/>
        </w:rPr>
        <w:t>i članci s polimernom protonski vodljivom membranom (PEM) za cestovna vozila“ te su u normi ujedno opisane metode za osiguravanje kvalitete</w:t>
      </w:r>
      <w:r w:rsidRPr="00F70616" w:rsidDel="00675081">
        <w:rPr>
          <w:rFonts w:eastAsia="Calibri"/>
        </w:rPr>
        <w:t xml:space="preserve"> </w:t>
      </w:r>
    </w:p>
    <w:p w14:paraId="0826861F" w14:textId="77777777" w:rsidR="00F70616" w:rsidRPr="00F70616" w:rsidRDefault="00F70616" w:rsidP="00F70616">
      <w:pPr>
        <w:autoSpaceDE w:val="0"/>
        <w:autoSpaceDN w:val="0"/>
        <w:adjustRightInd w:val="0"/>
        <w:jc w:val="both"/>
        <w:rPr>
          <w:rFonts w:eastAsia="Calibri"/>
        </w:rPr>
      </w:pPr>
    </w:p>
    <w:p w14:paraId="48F3FEDF" w14:textId="77777777" w:rsidR="00F70616" w:rsidRPr="00F70616" w:rsidRDefault="00F70616" w:rsidP="00F70616">
      <w:pPr>
        <w:autoSpaceDE w:val="0"/>
        <w:autoSpaceDN w:val="0"/>
        <w:adjustRightInd w:val="0"/>
        <w:jc w:val="both"/>
        <w:rPr>
          <w:rFonts w:eastAsia="Calibri"/>
        </w:rPr>
      </w:pPr>
      <w:r w:rsidRPr="00F70616">
        <w:rPr>
          <w:rFonts w:eastAsia="Calibri"/>
        </w:rPr>
        <w:t>3. algoritam za dovod goriva mora ispunjavati zahtjeve norme HRN EN 17127 „Postaje na otvorenom za punjenje plinovitim vodikom s protokolom za punjenje“</w:t>
      </w:r>
    </w:p>
    <w:p w14:paraId="53857FE9" w14:textId="77777777" w:rsidR="00F70616" w:rsidRPr="00F70616" w:rsidRDefault="00F70616" w:rsidP="00F70616">
      <w:pPr>
        <w:autoSpaceDE w:val="0"/>
        <w:autoSpaceDN w:val="0"/>
        <w:adjustRightInd w:val="0"/>
        <w:jc w:val="both"/>
        <w:rPr>
          <w:rFonts w:eastAsia="Calibri"/>
        </w:rPr>
      </w:pPr>
    </w:p>
    <w:p w14:paraId="4388F1C0" w14:textId="59D176AD" w:rsidR="00F70616" w:rsidRPr="00F70616" w:rsidRDefault="00F70616" w:rsidP="00F70616">
      <w:pPr>
        <w:autoSpaceDE w:val="0"/>
        <w:autoSpaceDN w:val="0"/>
        <w:adjustRightInd w:val="0"/>
        <w:jc w:val="both"/>
        <w:rPr>
          <w:rFonts w:eastAsia="Calibri"/>
        </w:rPr>
      </w:pPr>
      <w:r w:rsidRPr="00F70616">
        <w:rPr>
          <w:rFonts w:eastAsia="Calibri"/>
        </w:rPr>
        <w:t>4. nakon što se zaključe postupci za certifikaciju priključaka, priključci za opskrbu motornih vozila plinovitim vodikom moraju biti u skladu s normom HRN EN ISO 17268 „Priključni uređaji za punjenje gorivom terensk</w:t>
      </w:r>
      <w:r w:rsidR="00855FD5">
        <w:rPr>
          <w:rFonts w:eastAsia="Calibri"/>
        </w:rPr>
        <w:t>ih vozila na plinoviti vodik“.“</w:t>
      </w:r>
      <w:r w:rsidR="00F124A7">
        <w:rPr>
          <w:rFonts w:eastAsia="Calibri"/>
        </w:rPr>
        <w:t>.</w:t>
      </w:r>
    </w:p>
    <w:p w14:paraId="77AF1FFF" w14:textId="77777777" w:rsidR="00F70616" w:rsidRPr="00F70616" w:rsidRDefault="00F70616" w:rsidP="00F70616">
      <w:pPr>
        <w:autoSpaceDE w:val="0"/>
        <w:autoSpaceDN w:val="0"/>
        <w:adjustRightInd w:val="0"/>
        <w:rPr>
          <w:rFonts w:eastAsia="Calibri"/>
          <w:b/>
        </w:rPr>
      </w:pPr>
    </w:p>
    <w:p w14:paraId="146B8442" w14:textId="767D3F40" w:rsidR="00F70616" w:rsidRPr="00F70616" w:rsidRDefault="00F70616" w:rsidP="00F70616">
      <w:pPr>
        <w:autoSpaceDE w:val="0"/>
        <w:autoSpaceDN w:val="0"/>
        <w:adjustRightInd w:val="0"/>
        <w:jc w:val="center"/>
        <w:rPr>
          <w:rFonts w:eastAsia="Calibri"/>
          <w:b/>
        </w:rPr>
      </w:pPr>
      <w:r w:rsidRPr="00F70616">
        <w:rPr>
          <w:rFonts w:eastAsia="Calibri"/>
          <w:b/>
        </w:rPr>
        <w:t xml:space="preserve">Članak </w:t>
      </w:r>
      <w:r w:rsidR="0067772E">
        <w:rPr>
          <w:rFonts w:eastAsia="Calibri"/>
          <w:b/>
        </w:rPr>
        <w:t>7</w:t>
      </w:r>
      <w:r w:rsidRPr="00F70616">
        <w:rPr>
          <w:rFonts w:eastAsia="Calibri"/>
          <w:b/>
        </w:rPr>
        <w:t>.</w:t>
      </w:r>
    </w:p>
    <w:p w14:paraId="7BBD8CF3" w14:textId="77777777" w:rsidR="00F70616" w:rsidRPr="00F70616" w:rsidRDefault="00F70616" w:rsidP="00F70616">
      <w:pPr>
        <w:autoSpaceDE w:val="0"/>
        <w:autoSpaceDN w:val="0"/>
        <w:adjustRightInd w:val="0"/>
        <w:rPr>
          <w:rFonts w:eastAsia="Calibri"/>
          <w:b/>
        </w:rPr>
      </w:pPr>
    </w:p>
    <w:p w14:paraId="31D5303A" w14:textId="77777777" w:rsidR="00F70616" w:rsidRPr="00F70616" w:rsidRDefault="00F70616" w:rsidP="00F70616">
      <w:pPr>
        <w:autoSpaceDE w:val="0"/>
        <w:autoSpaceDN w:val="0"/>
        <w:adjustRightInd w:val="0"/>
        <w:ind w:firstLine="708"/>
        <w:rPr>
          <w:rFonts w:eastAsia="Calibri"/>
        </w:rPr>
      </w:pPr>
      <w:r w:rsidRPr="00F70616">
        <w:rPr>
          <w:rFonts w:eastAsia="Calibri"/>
        </w:rPr>
        <w:t>U članku 8. stavak 11. mijenja se i glasi:</w:t>
      </w:r>
    </w:p>
    <w:p w14:paraId="5AA7F4EA" w14:textId="77777777" w:rsidR="00F70616" w:rsidRPr="00F70616" w:rsidRDefault="00F70616" w:rsidP="00F70616">
      <w:pPr>
        <w:autoSpaceDE w:val="0"/>
        <w:autoSpaceDN w:val="0"/>
        <w:adjustRightInd w:val="0"/>
        <w:rPr>
          <w:rFonts w:eastAsia="Calibri"/>
        </w:rPr>
      </w:pPr>
    </w:p>
    <w:p w14:paraId="786B98A9" w14:textId="77777777" w:rsidR="00F70616" w:rsidRPr="00F70616" w:rsidRDefault="00F70616" w:rsidP="00F70616">
      <w:pPr>
        <w:autoSpaceDE w:val="0"/>
        <w:autoSpaceDN w:val="0"/>
        <w:adjustRightInd w:val="0"/>
        <w:rPr>
          <w:rFonts w:eastAsia="Calibri"/>
        </w:rPr>
      </w:pPr>
      <w:r w:rsidRPr="00F70616">
        <w:rPr>
          <w:rFonts w:eastAsia="Calibri"/>
        </w:rPr>
        <w:t>„(11) Profil priključka mora ispunjavati zahtjeve norme HRN EN ISO 14469 „Cestovna vozila – Priključak za punjenje stlačenim prirodnim plinom (SPP).</w:t>
      </w:r>
      <w:r w:rsidRPr="00F70616">
        <w:t>“.</w:t>
      </w:r>
    </w:p>
    <w:p w14:paraId="52CC7B90" w14:textId="77777777" w:rsidR="00F70616" w:rsidRPr="00F70616" w:rsidRDefault="00F70616" w:rsidP="00F70616">
      <w:pPr>
        <w:autoSpaceDE w:val="0"/>
        <w:autoSpaceDN w:val="0"/>
        <w:adjustRightInd w:val="0"/>
        <w:rPr>
          <w:rFonts w:eastAsia="Calibri"/>
        </w:rPr>
      </w:pPr>
    </w:p>
    <w:p w14:paraId="09AD1A02" w14:textId="77777777" w:rsidR="00F70616" w:rsidRPr="00F70616" w:rsidRDefault="00F70616" w:rsidP="00F70616">
      <w:pPr>
        <w:autoSpaceDE w:val="0"/>
        <w:autoSpaceDN w:val="0"/>
        <w:adjustRightInd w:val="0"/>
        <w:ind w:firstLine="708"/>
        <w:rPr>
          <w:rFonts w:eastAsia="Calibri"/>
        </w:rPr>
      </w:pPr>
      <w:r w:rsidRPr="00F70616">
        <w:rPr>
          <w:rFonts w:eastAsia="Calibri"/>
        </w:rPr>
        <w:t>Iza stavka 11. dodaju se stavci 12., 13. i 14. koji glase:</w:t>
      </w:r>
    </w:p>
    <w:p w14:paraId="50CB7845" w14:textId="77777777" w:rsidR="003D30C8" w:rsidRDefault="003D30C8" w:rsidP="00F32B03">
      <w:pPr>
        <w:autoSpaceDE w:val="0"/>
        <w:autoSpaceDN w:val="0"/>
        <w:adjustRightInd w:val="0"/>
        <w:rPr>
          <w:rFonts w:eastAsia="Calibri"/>
        </w:rPr>
      </w:pPr>
    </w:p>
    <w:p w14:paraId="28D1DC17" w14:textId="6787DB46" w:rsidR="00F70616" w:rsidRPr="00F70616" w:rsidRDefault="00F70616" w:rsidP="003D30C8">
      <w:pPr>
        <w:autoSpaceDE w:val="0"/>
        <w:autoSpaceDN w:val="0"/>
        <w:adjustRightInd w:val="0"/>
        <w:jc w:val="both"/>
        <w:rPr>
          <w:rFonts w:eastAsia="Calibri"/>
        </w:rPr>
      </w:pPr>
      <w:r w:rsidRPr="00F70616">
        <w:rPr>
          <w:rFonts w:eastAsia="Calibri"/>
        </w:rPr>
        <w:t>„(12) Kad je riječ o mjestima za opskrbu stlačenim prirodnim plinom (SPP) primjenjuju se</w:t>
      </w:r>
      <w:r w:rsidR="00574E93">
        <w:rPr>
          <w:rFonts w:eastAsia="Calibri"/>
        </w:rPr>
        <w:t xml:space="preserve"> tehničke specifikacije da</w:t>
      </w:r>
      <w:r w:rsidRPr="00F70616">
        <w:rPr>
          <w:rFonts w:eastAsia="Calibri"/>
        </w:rPr>
        <w:t xml:space="preserve"> tlak goriva pri punjenju (radni tlak) je manometarski tlak od 20,0 MPa (200 bara) na 15 °C. Najveći dopušteni tlak goriva pri punjenju goriva jest 26,0 MPa s „kompenzacijom temperature“ kako je navedeno u normi HRN EN ISO 16923 „Stanice za punjenje prirodnim plinom – Stanice za punjenje vozila stlačenim prirodnim plinom (SPP)“</w:t>
      </w:r>
      <w:r w:rsidR="00574E93">
        <w:rPr>
          <w:rFonts w:eastAsia="Calibri"/>
        </w:rPr>
        <w:t xml:space="preserve"> te u </w:t>
      </w:r>
      <w:r w:rsidR="0042185D">
        <w:rPr>
          <w:rFonts w:eastAsia="Calibri"/>
        </w:rPr>
        <w:t>propisima</w:t>
      </w:r>
      <w:r w:rsidR="00BE4DD2">
        <w:rPr>
          <w:rFonts w:eastAsia="Calibri"/>
        </w:rPr>
        <w:t xml:space="preserve"> </w:t>
      </w:r>
      <w:r w:rsidR="007E4314" w:rsidRPr="007E4314">
        <w:rPr>
          <w:rFonts w:eastAsia="Calibri"/>
        </w:rPr>
        <w:t>kojim</w:t>
      </w:r>
      <w:r w:rsidR="00BE4DD2">
        <w:rPr>
          <w:rFonts w:eastAsia="Calibri"/>
        </w:rPr>
        <w:t>a</w:t>
      </w:r>
      <w:r w:rsidR="007E4314" w:rsidRPr="007E4314">
        <w:rPr>
          <w:rFonts w:eastAsia="Calibri"/>
        </w:rPr>
        <w:t xml:space="preserve"> se uređuj</w:t>
      </w:r>
      <w:r w:rsidR="00275E9D">
        <w:rPr>
          <w:rFonts w:eastAsia="Calibri"/>
        </w:rPr>
        <w:t>u</w:t>
      </w:r>
      <w:r w:rsidR="007E4314" w:rsidRPr="007E4314">
        <w:rPr>
          <w:rFonts w:eastAsia="Calibri"/>
        </w:rPr>
        <w:t xml:space="preserve"> </w:t>
      </w:r>
      <w:r w:rsidR="00574E93" w:rsidRPr="007E4314">
        <w:rPr>
          <w:rFonts w:eastAsia="Calibri"/>
        </w:rPr>
        <w:t>sustavi za opskrbu motornih vozila stlačenim prirodnim plinom (SPP-om)</w:t>
      </w:r>
      <w:r w:rsidRPr="007E4314">
        <w:rPr>
          <w:rFonts w:eastAsia="Calibri"/>
        </w:rPr>
        <w:t>.</w:t>
      </w:r>
      <w:r w:rsidR="00574E93" w:rsidRPr="007E4314">
        <w:rPr>
          <w:rFonts w:eastAsia="Calibri"/>
        </w:rPr>
        <w:t>“.</w:t>
      </w:r>
    </w:p>
    <w:p w14:paraId="15F51CD9" w14:textId="77777777" w:rsidR="00F70616" w:rsidRPr="00F70616" w:rsidRDefault="00F70616" w:rsidP="00F70616">
      <w:pPr>
        <w:autoSpaceDE w:val="0"/>
        <w:autoSpaceDN w:val="0"/>
        <w:adjustRightInd w:val="0"/>
        <w:jc w:val="both"/>
        <w:rPr>
          <w:rFonts w:eastAsia="Calibri"/>
        </w:rPr>
      </w:pPr>
      <w:r w:rsidRPr="00F70616">
        <w:rPr>
          <w:rFonts w:eastAsia="Calibri"/>
        </w:rPr>
        <w:t xml:space="preserve"> </w:t>
      </w:r>
    </w:p>
    <w:p w14:paraId="77607709" w14:textId="77777777" w:rsidR="00F70616" w:rsidRPr="00F70616" w:rsidRDefault="00F70616" w:rsidP="00F70616">
      <w:pPr>
        <w:autoSpaceDE w:val="0"/>
        <w:autoSpaceDN w:val="0"/>
        <w:adjustRightInd w:val="0"/>
        <w:jc w:val="both"/>
        <w:rPr>
          <w:rFonts w:eastAsia="Calibri"/>
        </w:rPr>
      </w:pPr>
      <w:r w:rsidRPr="00F70616">
        <w:rPr>
          <w:rFonts w:eastAsia="Calibri"/>
        </w:rPr>
        <w:t>(13) Kad je riječ o mjestima za opskrbu ukapljenim prirodnim plinom (UPP) za motorna vozila primjenjuju se sljedeće tehničke specifikacije:</w:t>
      </w:r>
    </w:p>
    <w:p w14:paraId="4AC39C0A" w14:textId="77777777" w:rsidR="00F70616" w:rsidRPr="00F70616" w:rsidRDefault="00F70616" w:rsidP="00F70616">
      <w:pPr>
        <w:autoSpaceDE w:val="0"/>
        <w:autoSpaceDN w:val="0"/>
        <w:adjustRightInd w:val="0"/>
        <w:jc w:val="both"/>
        <w:rPr>
          <w:rFonts w:eastAsia="Calibri"/>
        </w:rPr>
      </w:pPr>
      <w:r w:rsidRPr="00F70616">
        <w:rPr>
          <w:rFonts w:eastAsia="Calibri"/>
        </w:rPr>
        <w:t>- tlak goriva pri punjenju jest niži od najvećeg dopuštenog radnog tlaka spremnika vozila, kako je navedeno u normi HRN EN ISO 16924 „Stanice za punjenje prirodnim plinom – Stanice za punjenje vozila ukapljenim prirodnim plinom (UPP)“</w:t>
      </w:r>
    </w:p>
    <w:p w14:paraId="4D460A91" w14:textId="77777777" w:rsidR="00CC754E" w:rsidRDefault="00F70616" w:rsidP="00F70616">
      <w:pPr>
        <w:autoSpaceDE w:val="0"/>
        <w:autoSpaceDN w:val="0"/>
        <w:adjustRightInd w:val="0"/>
        <w:jc w:val="both"/>
        <w:rPr>
          <w:rFonts w:eastAsia="Calibri"/>
        </w:rPr>
      </w:pPr>
      <w:r w:rsidRPr="00F70616">
        <w:rPr>
          <w:rFonts w:eastAsia="Calibri"/>
        </w:rPr>
        <w:t>- za profil priključka primjenjuje se norma HRN EN ISO 12617 „Cestovna vozila – Priključak za punjenje ukapljenim prirodnim plinom (UPP) – Priključak za 3,1 MPa</w:t>
      </w:r>
    </w:p>
    <w:p w14:paraId="13103BD6" w14:textId="671F81F9" w:rsidR="00F70616" w:rsidRPr="00F70616" w:rsidRDefault="00CC754E" w:rsidP="00F70616">
      <w:pPr>
        <w:autoSpaceDE w:val="0"/>
        <w:autoSpaceDN w:val="0"/>
        <w:adjustRightInd w:val="0"/>
        <w:jc w:val="both"/>
        <w:rPr>
          <w:rFonts w:eastAsia="Calibri"/>
        </w:rPr>
      </w:pPr>
      <w:r>
        <w:rPr>
          <w:rFonts w:eastAsia="Calibri"/>
        </w:rPr>
        <w:t xml:space="preserve">- propisane </w:t>
      </w:r>
      <w:r w:rsidR="0042185D">
        <w:rPr>
          <w:rFonts w:eastAsia="Calibri"/>
        </w:rPr>
        <w:t xml:space="preserve">propisima </w:t>
      </w:r>
      <w:r w:rsidR="007E4314">
        <w:rPr>
          <w:rFonts w:eastAsia="Calibri"/>
        </w:rPr>
        <w:t>kojim</w:t>
      </w:r>
      <w:r w:rsidR="00BE4DD2">
        <w:rPr>
          <w:rFonts w:eastAsia="Calibri"/>
        </w:rPr>
        <w:t>a</w:t>
      </w:r>
      <w:r w:rsidR="007E4314">
        <w:rPr>
          <w:rFonts w:eastAsia="Calibri"/>
        </w:rPr>
        <w:t xml:space="preserve"> se uređuje ukapljeni naftni </w:t>
      </w:r>
      <w:r>
        <w:rPr>
          <w:rFonts w:eastAsia="Calibri"/>
        </w:rPr>
        <w:t>plin</w:t>
      </w:r>
      <w:r w:rsidR="00F70616" w:rsidRPr="00F70616">
        <w:rPr>
          <w:rFonts w:eastAsia="Calibri"/>
        </w:rPr>
        <w:t xml:space="preserve">. </w:t>
      </w:r>
    </w:p>
    <w:p w14:paraId="70D44E71" w14:textId="77777777" w:rsidR="00F70616" w:rsidRPr="00F70616" w:rsidRDefault="00F70616" w:rsidP="00F70616">
      <w:pPr>
        <w:autoSpaceDE w:val="0"/>
        <w:autoSpaceDN w:val="0"/>
        <w:adjustRightInd w:val="0"/>
        <w:jc w:val="both"/>
        <w:rPr>
          <w:rFonts w:eastAsia="Calibri"/>
        </w:rPr>
      </w:pPr>
    </w:p>
    <w:p w14:paraId="1BD22CC1" w14:textId="77777777" w:rsidR="00F70616" w:rsidRPr="00F70616" w:rsidRDefault="00F70616" w:rsidP="00F70616">
      <w:pPr>
        <w:autoSpaceDE w:val="0"/>
        <w:autoSpaceDN w:val="0"/>
        <w:adjustRightInd w:val="0"/>
        <w:jc w:val="both"/>
        <w:rPr>
          <w:rFonts w:eastAsia="Calibri"/>
        </w:rPr>
      </w:pPr>
      <w:r w:rsidRPr="00F70616">
        <w:rPr>
          <w:rFonts w:eastAsia="Calibri"/>
        </w:rPr>
        <w:t>(14) Kad je riječ o mjestima za opskrbu plovila na unutarnjim plovnim putovima ili morskih brodova primjenjuju se sljedeće tehničke specifikacije:</w:t>
      </w:r>
    </w:p>
    <w:p w14:paraId="690BAA93" w14:textId="77777777" w:rsidR="00F70616" w:rsidRPr="00F70616" w:rsidRDefault="00F70616" w:rsidP="00F70616">
      <w:pPr>
        <w:autoSpaceDE w:val="0"/>
        <w:autoSpaceDN w:val="0"/>
        <w:adjustRightInd w:val="0"/>
        <w:jc w:val="both"/>
        <w:rPr>
          <w:rFonts w:eastAsia="Calibri"/>
        </w:rPr>
      </w:pPr>
      <w:r w:rsidRPr="00F70616">
        <w:rPr>
          <w:rFonts w:eastAsia="Calibri"/>
        </w:rPr>
        <w:t>- za morske brodove, koji nisu obuhvaćeni Međunarodnim kodeksom za gradnju i opremanje brodova za prijevoz ukapljenog plina u razlivenom stanju (kodeks IGC), mjesta za opskrbu UPP-om moraju biti u skladu s normom HRN EN ISO 20519</w:t>
      </w:r>
    </w:p>
    <w:p w14:paraId="7F9BA7A9" w14:textId="77777777" w:rsidR="00F70616" w:rsidRPr="00F70616" w:rsidRDefault="00F70616" w:rsidP="00F70616">
      <w:pPr>
        <w:autoSpaceDE w:val="0"/>
        <w:autoSpaceDN w:val="0"/>
        <w:adjustRightInd w:val="0"/>
        <w:jc w:val="both"/>
        <w:rPr>
          <w:rFonts w:eastAsia="Calibri"/>
        </w:rPr>
      </w:pPr>
      <w:r w:rsidRPr="00F70616">
        <w:rPr>
          <w:rFonts w:eastAsia="Calibri"/>
        </w:rPr>
        <w:t>- za plovila na unutarnjim plovnim putovima mjesta za opskrbu UPP-om moraju biti u skladu s normom HRN EN ISO 20519 (dijelovi od 5.3. do 5.7.) samo radi interoperabilnosti.“.</w:t>
      </w:r>
    </w:p>
    <w:p w14:paraId="117BEB91" w14:textId="77777777" w:rsidR="001B31EC" w:rsidRDefault="001B31EC" w:rsidP="00F70616">
      <w:pPr>
        <w:autoSpaceDE w:val="0"/>
        <w:autoSpaceDN w:val="0"/>
        <w:adjustRightInd w:val="0"/>
        <w:jc w:val="center"/>
        <w:rPr>
          <w:rFonts w:eastAsia="Calibri"/>
          <w:b/>
        </w:rPr>
      </w:pPr>
    </w:p>
    <w:p w14:paraId="5A08E62D" w14:textId="5C3151D0" w:rsidR="00F70616" w:rsidRPr="00F70616" w:rsidRDefault="00F70616" w:rsidP="00F70616">
      <w:pPr>
        <w:autoSpaceDE w:val="0"/>
        <w:autoSpaceDN w:val="0"/>
        <w:adjustRightInd w:val="0"/>
        <w:jc w:val="center"/>
        <w:rPr>
          <w:rFonts w:eastAsia="Calibri"/>
          <w:b/>
        </w:rPr>
      </w:pPr>
      <w:r w:rsidRPr="00F70616">
        <w:rPr>
          <w:rFonts w:eastAsia="Calibri"/>
          <w:b/>
        </w:rPr>
        <w:lastRenderedPageBreak/>
        <w:t xml:space="preserve">Članak </w:t>
      </w:r>
      <w:r w:rsidR="001B31EC">
        <w:rPr>
          <w:rFonts w:eastAsia="Calibri"/>
          <w:b/>
        </w:rPr>
        <w:t>8</w:t>
      </w:r>
      <w:r w:rsidRPr="00F70616">
        <w:rPr>
          <w:rFonts w:eastAsia="Calibri"/>
          <w:b/>
        </w:rPr>
        <w:t>.</w:t>
      </w:r>
    </w:p>
    <w:p w14:paraId="227337A6" w14:textId="77777777" w:rsidR="00F70616" w:rsidRPr="00F70616" w:rsidRDefault="00F70616" w:rsidP="00F70616">
      <w:pPr>
        <w:autoSpaceDE w:val="0"/>
        <w:autoSpaceDN w:val="0"/>
        <w:adjustRightInd w:val="0"/>
        <w:rPr>
          <w:rFonts w:eastAsia="Calibri"/>
          <w:b/>
        </w:rPr>
      </w:pPr>
    </w:p>
    <w:p w14:paraId="392A92FA" w14:textId="77777777" w:rsidR="00F70616" w:rsidRPr="00F70616" w:rsidRDefault="00F70616" w:rsidP="00F70616">
      <w:pPr>
        <w:autoSpaceDE w:val="0"/>
        <w:autoSpaceDN w:val="0"/>
        <w:adjustRightInd w:val="0"/>
        <w:ind w:firstLine="708"/>
        <w:rPr>
          <w:rFonts w:eastAsia="Calibri"/>
        </w:rPr>
      </w:pPr>
      <w:r w:rsidRPr="00F70616">
        <w:rPr>
          <w:rFonts w:eastAsia="Calibri"/>
        </w:rPr>
        <w:t>Iza članka 9. dodaju se članci 9.a i 9.b koji glase:</w:t>
      </w:r>
    </w:p>
    <w:p w14:paraId="31555916" w14:textId="77777777" w:rsidR="00F70616" w:rsidRPr="00F70616" w:rsidRDefault="00F70616" w:rsidP="00F70616">
      <w:pPr>
        <w:autoSpaceDE w:val="0"/>
        <w:autoSpaceDN w:val="0"/>
        <w:adjustRightInd w:val="0"/>
        <w:rPr>
          <w:rFonts w:eastAsia="Calibri"/>
        </w:rPr>
      </w:pPr>
    </w:p>
    <w:p w14:paraId="324779C9" w14:textId="77777777" w:rsidR="00F70616" w:rsidRPr="00F70616" w:rsidRDefault="00F70616" w:rsidP="00F70616">
      <w:pPr>
        <w:autoSpaceDE w:val="0"/>
        <w:autoSpaceDN w:val="0"/>
        <w:adjustRightInd w:val="0"/>
        <w:jc w:val="center"/>
        <w:rPr>
          <w:rFonts w:eastAsia="Calibri"/>
        </w:rPr>
      </w:pPr>
      <w:r w:rsidRPr="00F70616">
        <w:rPr>
          <w:rFonts w:eastAsia="Calibri"/>
        </w:rPr>
        <w:t>„Članak 9.a</w:t>
      </w:r>
    </w:p>
    <w:p w14:paraId="7B17D0DC" w14:textId="77777777" w:rsidR="00F70616" w:rsidRPr="00F70616" w:rsidRDefault="00F70616" w:rsidP="00F70616">
      <w:pPr>
        <w:autoSpaceDE w:val="0"/>
        <w:autoSpaceDN w:val="0"/>
        <w:adjustRightInd w:val="0"/>
        <w:jc w:val="both"/>
        <w:rPr>
          <w:rFonts w:eastAsia="Calibri"/>
        </w:rPr>
      </w:pPr>
    </w:p>
    <w:p w14:paraId="5BB474A4" w14:textId="410E2631" w:rsidR="00F70616" w:rsidRPr="00F70616" w:rsidRDefault="00F70616" w:rsidP="00F70616">
      <w:pPr>
        <w:autoSpaceDE w:val="0"/>
        <w:autoSpaceDN w:val="0"/>
        <w:adjustRightInd w:val="0"/>
        <w:jc w:val="both"/>
        <w:rPr>
          <w:rFonts w:eastAsia="Calibri"/>
        </w:rPr>
      </w:pPr>
      <w:r w:rsidRPr="00F70616">
        <w:rPr>
          <w:rFonts w:eastAsia="Calibri"/>
        </w:rPr>
        <w:t>(1) Za potrebe praćenja razvoja infrastrukture za alternativna goriva i i</w:t>
      </w:r>
      <w:r>
        <w:rPr>
          <w:rFonts w:eastAsia="Calibri"/>
        </w:rPr>
        <w:t xml:space="preserve">nformiranje korisnika uspostavlja </w:t>
      </w:r>
      <w:r w:rsidRPr="00F70616">
        <w:rPr>
          <w:rFonts w:eastAsia="Calibri"/>
        </w:rPr>
        <w:t>se registar</w:t>
      </w:r>
      <w:r w:rsidR="00A967ED">
        <w:rPr>
          <w:rFonts w:eastAsia="Calibri"/>
        </w:rPr>
        <w:t>.</w:t>
      </w:r>
    </w:p>
    <w:p w14:paraId="34EBA6FF" w14:textId="77777777" w:rsidR="00F70616" w:rsidRPr="00F70616" w:rsidRDefault="00F70616" w:rsidP="00F70616">
      <w:pPr>
        <w:autoSpaceDE w:val="0"/>
        <w:autoSpaceDN w:val="0"/>
        <w:adjustRightInd w:val="0"/>
        <w:jc w:val="both"/>
        <w:rPr>
          <w:rFonts w:eastAsia="Calibri"/>
        </w:rPr>
      </w:pPr>
    </w:p>
    <w:p w14:paraId="4F72624C" w14:textId="77777777" w:rsidR="00F70616" w:rsidRPr="00F70616" w:rsidRDefault="00F70616" w:rsidP="00F70616">
      <w:pPr>
        <w:autoSpaceDE w:val="0"/>
        <w:autoSpaceDN w:val="0"/>
        <w:adjustRightInd w:val="0"/>
        <w:jc w:val="both"/>
        <w:rPr>
          <w:rFonts w:eastAsia="Calibri"/>
        </w:rPr>
      </w:pPr>
      <w:r w:rsidRPr="00F70616">
        <w:rPr>
          <w:rFonts w:eastAsia="Calibri"/>
        </w:rPr>
        <w:t>(2) Registar sadrži statičke i dinamičke informacije o vrsti lokaciji, načinu i uvjetima korištenja punionica alternativnih goriva te identifikacijske kodove koji će izdavati za svaku punionicu.</w:t>
      </w:r>
    </w:p>
    <w:p w14:paraId="7231D965" w14:textId="77777777" w:rsidR="00F70616" w:rsidRPr="00F70616" w:rsidRDefault="00F70616" w:rsidP="00F70616">
      <w:pPr>
        <w:autoSpaceDE w:val="0"/>
        <w:autoSpaceDN w:val="0"/>
        <w:adjustRightInd w:val="0"/>
        <w:jc w:val="both"/>
        <w:rPr>
          <w:rFonts w:eastAsia="Calibri"/>
        </w:rPr>
      </w:pPr>
    </w:p>
    <w:p w14:paraId="7D6DE515" w14:textId="77777777" w:rsidR="00F70616" w:rsidRPr="00F70616" w:rsidRDefault="00F70616" w:rsidP="00F70616">
      <w:pPr>
        <w:autoSpaceDE w:val="0"/>
        <w:autoSpaceDN w:val="0"/>
        <w:adjustRightInd w:val="0"/>
        <w:jc w:val="both"/>
        <w:rPr>
          <w:rFonts w:eastAsia="Calibri"/>
        </w:rPr>
      </w:pPr>
      <w:r w:rsidRPr="00F70616">
        <w:rPr>
          <w:rFonts w:eastAsia="Calibri"/>
        </w:rPr>
        <w:t>(3) Registar se vodi u elektroničkom obliku u skladu s normama za pružanje informacija u prometu u realnom vremenu.</w:t>
      </w:r>
    </w:p>
    <w:p w14:paraId="7BFA5E52" w14:textId="77777777" w:rsidR="00F70616" w:rsidRPr="00F70616" w:rsidRDefault="00F70616" w:rsidP="00F70616">
      <w:pPr>
        <w:autoSpaceDE w:val="0"/>
        <w:autoSpaceDN w:val="0"/>
        <w:adjustRightInd w:val="0"/>
        <w:jc w:val="both"/>
        <w:rPr>
          <w:rFonts w:eastAsia="Calibri"/>
        </w:rPr>
      </w:pPr>
    </w:p>
    <w:p w14:paraId="4F016E31" w14:textId="77777777" w:rsidR="00F70616" w:rsidRPr="00F70616" w:rsidRDefault="00F70616" w:rsidP="00F70616">
      <w:pPr>
        <w:autoSpaceDE w:val="0"/>
        <w:autoSpaceDN w:val="0"/>
        <w:adjustRightInd w:val="0"/>
        <w:jc w:val="both"/>
        <w:rPr>
          <w:rFonts w:eastAsia="Calibri"/>
        </w:rPr>
      </w:pPr>
      <w:r w:rsidRPr="00F70616">
        <w:rPr>
          <w:rFonts w:eastAsia="Calibri"/>
        </w:rPr>
        <w:t xml:space="preserve">(4) Tijelo nadležno za </w:t>
      </w:r>
      <w:r w:rsidR="0038404B">
        <w:rPr>
          <w:rFonts w:eastAsia="Calibri"/>
        </w:rPr>
        <w:t xml:space="preserve">uspostavu i </w:t>
      </w:r>
      <w:r w:rsidRPr="00F70616">
        <w:rPr>
          <w:rFonts w:eastAsia="Calibri"/>
        </w:rPr>
        <w:t>vođenje registra je ministarstvo nadležno za prometnu infrastrukturu.</w:t>
      </w:r>
    </w:p>
    <w:p w14:paraId="04ED3821" w14:textId="77777777" w:rsidR="00F70616" w:rsidRPr="00F70616" w:rsidRDefault="00F70616" w:rsidP="00F70616">
      <w:pPr>
        <w:autoSpaceDE w:val="0"/>
        <w:autoSpaceDN w:val="0"/>
        <w:adjustRightInd w:val="0"/>
        <w:jc w:val="both"/>
        <w:rPr>
          <w:rFonts w:eastAsia="Calibri"/>
        </w:rPr>
      </w:pPr>
    </w:p>
    <w:p w14:paraId="1B8EF3CD" w14:textId="77777777" w:rsidR="00F70616" w:rsidRPr="00F70616" w:rsidRDefault="00F70616" w:rsidP="00F70616">
      <w:pPr>
        <w:autoSpaceDE w:val="0"/>
        <w:autoSpaceDN w:val="0"/>
        <w:adjustRightInd w:val="0"/>
        <w:jc w:val="both"/>
        <w:rPr>
          <w:rFonts w:eastAsia="Calibri"/>
        </w:rPr>
      </w:pPr>
      <w:r w:rsidRPr="00F70616">
        <w:rPr>
          <w:rFonts w:eastAsia="Calibri"/>
        </w:rPr>
        <w:t>(5) Upravitelji infrastrukture punjenja i pružatelji usluga punjenja dužni su u roku od tri mjeseca od uspostave registra punionica alternativnih goriva ishoditi jedinstveni kod.</w:t>
      </w:r>
    </w:p>
    <w:p w14:paraId="562BC096" w14:textId="77777777" w:rsidR="00F70616" w:rsidRPr="00F70616" w:rsidRDefault="00F70616" w:rsidP="00F70616">
      <w:pPr>
        <w:autoSpaceDE w:val="0"/>
        <w:autoSpaceDN w:val="0"/>
        <w:adjustRightInd w:val="0"/>
        <w:jc w:val="both"/>
        <w:rPr>
          <w:rFonts w:eastAsia="Calibri"/>
        </w:rPr>
      </w:pPr>
    </w:p>
    <w:p w14:paraId="1F887B3E" w14:textId="77777777" w:rsidR="009537CB" w:rsidRDefault="00F70616" w:rsidP="009537CB">
      <w:pPr>
        <w:autoSpaceDE w:val="0"/>
        <w:autoSpaceDN w:val="0"/>
        <w:adjustRightInd w:val="0"/>
        <w:jc w:val="both"/>
        <w:rPr>
          <w:rFonts w:eastAsia="Calibri"/>
        </w:rPr>
      </w:pPr>
      <w:r w:rsidRPr="00F70616">
        <w:rPr>
          <w:rFonts w:eastAsia="Calibri"/>
        </w:rPr>
        <w:t xml:space="preserve">(6) </w:t>
      </w:r>
      <w:r w:rsidR="009537CB" w:rsidRPr="00F70616">
        <w:rPr>
          <w:rFonts w:eastAsia="Calibri"/>
        </w:rPr>
        <w:t>Iz registra se izdaju identifikacijski kodovi za upravitelje infrastrukture punjenja i pružatelje usluga punjenja</w:t>
      </w:r>
      <w:r w:rsidR="009537CB">
        <w:rPr>
          <w:rFonts w:eastAsia="Calibri"/>
        </w:rPr>
        <w:t>.</w:t>
      </w:r>
      <w:r w:rsidR="009537CB" w:rsidRPr="00F70616">
        <w:rPr>
          <w:rFonts w:eastAsia="Calibri"/>
        </w:rPr>
        <w:t xml:space="preserve"> </w:t>
      </w:r>
    </w:p>
    <w:p w14:paraId="699DBCC4" w14:textId="3762EACA" w:rsidR="00F70616" w:rsidRPr="00F70616" w:rsidRDefault="00F70616" w:rsidP="00F70616">
      <w:pPr>
        <w:autoSpaceDE w:val="0"/>
        <w:autoSpaceDN w:val="0"/>
        <w:adjustRightInd w:val="0"/>
        <w:jc w:val="both"/>
        <w:rPr>
          <w:rFonts w:eastAsia="Calibri"/>
        </w:rPr>
      </w:pPr>
    </w:p>
    <w:p w14:paraId="635F973F" w14:textId="2A37608F" w:rsidR="00F70616" w:rsidRDefault="00F70616" w:rsidP="00F70616">
      <w:pPr>
        <w:autoSpaceDE w:val="0"/>
        <w:autoSpaceDN w:val="0"/>
        <w:adjustRightInd w:val="0"/>
        <w:jc w:val="both"/>
        <w:rPr>
          <w:rFonts w:eastAsia="Calibri"/>
        </w:rPr>
      </w:pPr>
      <w:r>
        <w:rPr>
          <w:rFonts w:eastAsia="Calibri"/>
        </w:rPr>
        <w:t xml:space="preserve">(7) </w:t>
      </w:r>
      <w:r w:rsidR="009537CB">
        <w:rPr>
          <w:rFonts w:eastAsia="Calibri"/>
        </w:rPr>
        <w:t>U</w:t>
      </w:r>
      <w:r w:rsidR="009537CB" w:rsidRPr="00F70616">
        <w:rPr>
          <w:rFonts w:eastAsia="Calibri"/>
        </w:rPr>
        <w:t xml:space="preserve"> registru se vodi baza podataka izdanih identifikacijskih kodova te se iz registra razmjenjuju podaci s registrom identifikacijskih kodova na razini Europske unije</w:t>
      </w:r>
      <w:r w:rsidR="009537CB">
        <w:rPr>
          <w:rFonts w:eastAsia="Calibri"/>
        </w:rPr>
        <w:t>.</w:t>
      </w:r>
    </w:p>
    <w:p w14:paraId="653A493D" w14:textId="77777777" w:rsidR="00F70616" w:rsidRDefault="00F70616" w:rsidP="00F70616">
      <w:pPr>
        <w:autoSpaceDE w:val="0"/>
        <w:autoSpaceDN w:val="0"/>
        <w:adjustRightInd w:val="0"/>
        <w:jc w:val="both"/>
        <w:rPr>
          <w:rFonts w:eastAsia="Calibri"/>
        </w:rPr>
      </w:pPr>
    </w:p>
    <w:p w14:paraId="5FCB6B68" w14:textId="33C2AAB8" w:rsidR="009537CB" w:rsidRPr="00F70616" w:rsidRDefault="00F70616" w:rsidP="009537CB">
      <w:pPr>
        <w:autoSpaceDE w:val="0"/>
        <w:autoSpaceDN w:val="0"/>
        <w:adjustRightInd w:val="0"/>
        <w:jc w:val="both"/>
        <w:rPr>
          <w:rFonts w:eastAsia="Calibri"/>
        </w:rPr>
      </w:pPr>
      <w:r>
        <w:rPr>
          <w:rFonts w:eastAsia="Calibri"/>
        </w:rPr>
        <w:t>(8)</w:t>
      </w:r>
      <w:r w:rsidR="009537CB" w:rsidRPr="009537CB">
        <w:rPr>
          <w:rFonts w:eastAsia="Calibri"/>
        </w:rPr>
        <w:t xml:space="preserve"> </w:t>
      </w:r>
      <w:r w:rsidR="009537CB" w:rsidRPr="00F70616">
        <w:rPr>
          <w:rFonts w:eastAsia="Calibri"/>
        </w:rPr>
        <w:t>Sadržaj, oblik i način vođenja registra te način informiranja korisnika propisuje ministar nadležan za prometnu infrastrukturu, pravilnikom.</w:t>
      </w:r>
    </w:p>
    <w:p w14:paraId="347C8E17" w14:textId="21F3D811" w:rsidR="00F70616" w:rsidRPr="00F70616" w:rsidRDefault="00F70616" w:rsidP="00EA2BBD">
      <w:pPr>
        <w:autoSpaceDE w:val="0"/>
        <w:autoSpaceDN w:val="0"/>
        <w:adjustRightInd w:val="0"/>
        <w:rPr>
          <w:rFonts w:eastAsia="Calibri"/>
        </w:rPr>
      </w:pPr>
    </w:p>
    <w:p w14:paraId="2963C859" w14:textId="77777777" w:rsidR="00F70616" w:rsidRPr="00F70616" w:rsidRDefault="00F70616" w:rsidP="00F70616">
      <w:pPr>
        <w:autoSpaceDE w:val="0"/>
        <w:autoSpaceDN w:val="0"/>
        <w:adjustRightInd w:val="0"/>
        <w:jc w:val="center"/>
        <w:rPr>
          <w:rFonts w:eastAsia="Calibri"/>
        </w:rPr>
      </w:pPr>
      <w:r w:rsidRPr="00F70616">
        <w:rPr>
          <w:rFonts w:eastAsia="Calibri"/>
        </w:rPr>
        <w:t>Članak 9.b</w:t>
      </w:r>
    </w:p>
    <w:p w14:paraId="7409B673" w14:textId="77777777" w:rsidR="00F70616" w:rsidRPr="00F70616" w:rsidRDefault="00F70616" w:rsidP="00F70616">
      <w:pPr>
        <w:autoSpaceDE w:val="0"/>
        <w:autoSpaceDN w:val="0"/>
        <w:adjustRightInd w:val="0"/>
        <w:jc w:val="both"/>
        <w:rPr>
          <w:rFonts w:eastAsia="Calibri"/>
        </w:rPr>
      </w:pPr>
    </w:p>
    <w:p w14:paraId="33A95BDB" w14:textId="77777777" w:rsidR="00F70616" w:rsidRPr="00F70616" w:rsidRDefault="00F70616" w:rsidP="00F70616">
      <w:pPr>
        <w:autoSpaceDE w:val="0"/>
        <w:autoSpaceDN w:val="0"/>
        <w:adjustRightInd w:val="0"/>
        <w:jc w:val="both"/>
        <w:rPr>
          <w:rFonts w:eastAsia="Calibri"/>
        </w:rPr>
      </w:pPr>
      <w:r w:rsidRPr="00F70616">
        <w:rPr>
          <w:rFonts w:eastAsia="Calibri"/>
        </w:rPr>
        <w:t>(1) Postaje za opskrbu gorivom obavezne su prikazivati usporedbu jediničnih cijena alternativnih i konvencionalnih goriva.</w:t>
      </w:r>
    </w:p>
    <w:p w14:paraId="0335A0A0" w14:textId="77777777" w:rsidR="00F70616" w:rsidRPr="00F70616" w:rsidRDefault="00F70616" w:rsidP="00F70616">
      <w:pPr>
        <w:autoSpaceDE w:val="0"/>
        <w:autoSpaceDN w:val="0"/>
        <w:adjustRightInd w:val="0"/>
        <w:jc w:val="both"/>
        <w:rPr>
          <w:rFonts w:eastAsia="Calibri"/>
        </w:rPr>
      </w:pPr>
    </w:p>
    <w:p w14:paraId="3B5FD937" w14:textId="77777777" w:rsidR="00F70616" w:rsidRPr="00F70616" w:rsidRDefault="00F70616" w:rsidP="00F70616">
      <w:pPr>
        <w:autoSpaceDE w:val="0"/>
        <w:autoSpaceDN w:val="0"/>
        <w:adjustRightInd w:val="0"/>
        <w:jc w:val="both"/>
        <w:rPr>
          <w:rFonts w:eastAsia="Calibri"/>
        </w:rPr>
      </w:pPr>
      <w:r w:rsidRPr="00F70616">
        <w:rPr>
          <w:rFonts w:eastAsia="Calibri"/>
        </w:rPr>
        <w:t>(2) Metodologija za usporedbu uključuje cijene benzinskih, dizelskih i alternativnih goriva, izraženih u nacionalnoj valuti po prijeđenih 100 km.</w:t>
      </w:r>
    </w:p>
    <w:p w14:paraId="671CEA92" w14:textId="77777777" w:rsidR="00F70616" w:rsidRPr="00F70616" w:rsidRDefault="00F70616" w:rsidP="00F70616">
      <w:pPr>
        <w:autoSpaceDE w:val="0"/>
        <w:autoSpaceDN w:val="0"/>
        <w:adjustRightInd w:val="0"/>
        <w:jc w:val="both"/>
        <w:rPr>
          <w:rFonts w:eastAsia="Calibri"/>
        </w:rPr>
      </w:pPr>
    </w:p>
    <w:p w14:paraId="5B5FE0D8" w14:textId="77777777" w:rsidR="00F70616" w:rsidRDefault="00F70616" w:rsidP="00F70616">
      <w:pPr>
        <w:autoSpaceDE w:val="0"/>
        <w:autoSpaceDN w:val="0"/>
        <w:adjustRightInd w:val="0"/>
        <w:jc w:val="both"/>
        <w:rPr>
          <w:rFonts w:eastAsia="Calibri"/>
        </w:rPr>
      </w:pPr>
      <w:r w:rsidRPr="00F70616">
        <w:rPr>
          <w:rFonts w:eastAsia="Calibri"/>
        </w:rPr>
        <w:t>(3) Format, sadržaj i lokacije za pružanje informacija na postajama za opskrbu gorivima (temeljem metodologije usvojene od strane Europske komisije), propisuje ministar nadležan za prometnu infrastrukturu, pravilnikom.“.</w:t>
      </w:r>
    </w:p>
    <w:p w14:paraId="08419756" w14:textId="77777777" w:rsidR="002B086A" w:rsidRPr="00F70616" w:rsidRDefault="002B086A" w:rsidP="00F70616">
      <w:pPr>
        <w:autoSpaceDE w:val="0"/>
        <w:autoSpaceDN w:val="0"/>
        <w:adjustRightInd w:val="0"/>
        <w:jc w:val="both"/>
        <w:rPr>
          <w:rFonts w:eastAsia="Calibri"/>
        </w:rPr>
      </w:pPr>
    </w:p>
    <w:p w14:paraId="5757820D" w14:textId="4E1C35CD" w:rsidR="00F70616" w:rsidRPr="00F70616" w:rsidRDefault="00F70616" w:rsidP="00F70616">
      <w:pPr>
        <w:autoSpaceDE w:val="0"/>
        <w:autoSpaceDN w:val="0"/>
        <w:adjustRightInd w:val="0"/>
        <w:jc w:val="center"/>
        <w:rPr>
          <w:rFonts w:eastAsia="Calibri"/>
          <w:b/>
        </w:rPr>
      </w:pPr>
      <w:r w:rsidRPr="00F70616">
        <w:rPr>
          <w:rFonts w:eastAsia="Calibri"/>
          <w:b/>
        </w:rPr>
        <w:t xml:space="preserve">Članak </w:t>
      </w:r>
      <w:r w:rsidR="002B086A">
        <w:rPr>
          <w:rFonts w:eastAsia="Calibri"/>
          <w:b/>
        </w:rPr>
        <w:t>9.</w:t>
      </w:r>
    </w:p>
    <w:p w14:paraId="53251552" w14:textId="77777777" w:rsidR="00F70616" w:rsidRPr="00F70616" w:rsidRDefault="00F70616" w:rsidP="00F70616">
      <w:pPr>
        <w:autoSpaceDE w:val="0"/>
        <w:autoSpaceDN w:val="0"/>
        <w:adjustRightInd w:val="0"/>
        <w:rPr>
          <w:rFonts w:eastAsia="Calibri"/>
        </w:rPr>
      </w:pPr>
    </w:p>
    <w:p w14:paraId="50AFDA82" w14:textId="77777777" w:rsidR="00F70616" w:rsidRPr="00F70616" w:rsidRDefault="00F70616" w:rsidP="00F70616">
      <w:pPr>
        <w:autoSpaceDE w:val="0"/>
        <w:autoSpaceDN w:val="0"/>
        <w:adjustRightInd w:val="0"/>
        <w:ind w:firstLine="708"/>
        <w:rPr>
          <w:rFonts w:eastAsia="Calibri"/>
        </w:rPr>
      </w:pPr>
      <w:r w:rsidRPr="00F70616">
        <w:rPr>
          <w:rFonts w:eastAsia="Calibri"/>
        </w:rPr>
        <w:t>U članku 10. stavak 2. mijenja se i glasi:</w:t>
      </w:r>
    </w:p>
    <w:p w14:paraId="055E8067" w14:textId="77777777" w:rsidR="00F70616" w:rsidRPr="00F70616" w:rsidRDefault="00F70616" w:rsidP="00F70616">
      <w:pPr>
        <w:autoSpaceDE w:val="0"/>
        <w:autoSpaceDN w:val="0"/>
        <w:adjustRightInd w:val="0"/>
        <w:rPr>
          <w:rFonts w:eastAsia="Calibri"/>
        </w:rPr>
      </w:pPr>
    </w:p>
    <w:p w14:paraId="1570945C" w14:textId="77777777" w:rsidR="00F70616" w:rsidRPr="00F70616" w:rsidRDefault="00F70616" w:rsidP="00F70616">
      <w:pPr>
        <w:autoSpaceDE w:val="0"/>
        <w:autoSpaceDN w:val="0"/>
        <w:adjustRightInd w:val="0"/>
        <w:jc w:val="both"/>
        <w:rPr>
          <w:rFonts w:eastAsia="Calibri"/>
        </w:rPr>
      </w:pPr>
      <w:r w:rsidRPr="00F70616">
        <w:rPr>
          <w:rFonts w:eastAsia="Calibri"/>
        </w:rPr>
        <w:t>„(2) Za nacionalno koordinacijsko tijelo određuje se ministarstvo nadležno za energetiku da:</w:t>
      </w:r>
    </w:p>
    <w:p w14:paraId="1AF855F4" w14:textId="77777777" w:rsidR="00F70616" w:rsidRPr="00F70616" w:rsidRDefault="00F70616" w:rsidP="00F70616">
      <w:pPr>
        <w:autoSpaceDE w:val="0"/>
        <w:autoSpaceDN w:val="0"/>
        <w:adjustRightInd w:val="0"/>
        <w:jc w:val="both"/>
        <w:rPr>
          <w:rFonts w:eastAsia="Calibri"/>
        </w:rPr>
      </w:pPr>
    </w:p>
    <w:p w14:paraId="440644E3" w14:textId="77777777" w:rsidR="00F70616" w:rsidRPr="00F70616" w:rsidRDefault="00F70616" w:rsidP="00F70616">
      <w:pPr>
        <w:autoSpaceDE w:val="0"/>
        <w:autoSpaceDN w:val="0"/>
        <w:adjustRightInd w:val="0"/>
        <w:jc w:val="both"/>
        <w:rPr>
          <w:rFonts w:eastAsia="Calibri"/>
        </w:rPr>
      </w:pPr>
      <w:r w:rsidRPr="00F70616">
        <w:rPr>
          <w:rFonts w:eastAsia="Calibri"/>
        </w:rPr>
        <w:lastRenderedPageBreak/>
        <w:t>1. pruža potporu provedbi politike alternativnih goriva utvrđenu odredbama ovoga Zakona</w:t>
      </w:r>
      <w:r w:rsidR="00855FD5">
        <w:rPr>
          <w:rFonts w:eastAsia="Calibri"/>
        </w:rPr>
        <w:t>;</w:t>
      </w:r>
    </w:p>
    <w:p w14:paraId="3F8D8ABD" w14:textId="77777777" w:rsidR="00F70616" w:rsidRPr="00F70616" w:rsidRDefault="00F70616" w:rsidP="00F70616">
      <w:pPr>
        <w:autoSpaceDE w:val="0"/>
        <w:autoSpaceDN w:val="0"/>
        <w:adjustRightInd w:val="0"/>
        <w:jc w:val="both"/>
        <w:rPr>
          <w:rFonts w:eastAsia="Calibri"/>
        </w:rPr>
      </w:pPr>
      <w:r w:rsidRPr="00F70616">
        <w:rPr>
          <w:rFonts w:eastAsia="Calibri"/>
        </w:rPr>
        <w:t>2. izrađuje i provodi sustav praćenja mjera za unaprjeđenje infrastrukture alternativnih goriva</w:t>
      </w:r>
      <w:r w:rsidR="00855FD5">
        <w:rPr>
          <w:rFonts w:eastAsia="Calibri"/>
        </w:rPr>
        <w:t>;</w:t>
      </w:r>
    </w:p>
    <w:p w14:paraId="34103912" w14:textId="77777777" w:rsidR="00F70616" w:rsidRPr="00F70616" w:rsidRDefault="00F70616" w:rsidP="00F70616">
      <w:pPr>
        <w:autoSpaceDE w:val="0"/>
        <w:autoSpaceDN w:val="0"/>
        <w:adjustRightInd w:val="0"/>
        <w:jc w:val="both"/>
        <w:rPr>
          <w:rFonts w:eastAsia="Calibri"/>
        </w:rPr>
      </w:pPr>
      <w:r w:rsidRPr="00F70616">
        <w:rPr>
          <w:rFonts w:eastAsia="Calibri"/>
        </w:rPr>
        <w:t>3. za ministarstvo nadležno za prometnu infrastrukturu priprema i prilagođava provedbu okvira mjera za razvoj tržišta alternativnih goriva u prometu, u skladu s člankom 4. stavkom 1. ovoga Zakona, te njihovu provedbu prati u sklopu Nacionalnog akcijskog plana za energetsku učinkovitost, te osigurava sustavno planiranje za provedbu politike infrastrukture alternativnih goriva u Republici Hrvatsko</w:t>
      </w:r>
      <w:r w:rsidR="00855FD5">
        <w:rPr>
          <w:rFonts w:eastAsia="Calibri"/>
        </w:rPr>
        <w:t>j;</w:t>
      </w:r>
    </w:p>
    <w:p w14:paraId="6D6A3B28" w14:textId="77777777" w:rsidR="00F70616" w:rsidRPr="00F70616" w:rsidRDefault="00F70616" w:rsidP="00F70616">
      <w:pPr>
        <w:autoSpaceDE w:val="0"/>
        <w:autoSpaceDN w:val="0"/>
        <w:adjustRightInd w:val="0"/>
        <w:jc w:val="both"/>
        <w:rPr>
          <w:rFonts w:eastAsia="Calibri"/>
        </w:rPr>
      </w:pPr>
      <w:r w:rsidRPr="00F70616">
        <w:rPr>
          <w:rFonts w:eastAsia="Calibri"/>
        </w:rPr>
        <w:t>4. priprema Izvješće o provedbi NOP-a koje sadrži opis mjera poduzetih kao potpora izgradnji infrastrukture za alternativna goriva u skladu s člankom 5. ovoga Zakona</w:t>
      </w:r>
      <w:r w:rsidR="00855FD5">
        <w:rPr>
          <w:rFonts w:eastAsia="Calibri"/>
        </w:rPr>
        <w:t>;</w:t>
      </w:r>
    </w:p>
    <w:p w14:paraId="1F6C62A6" w14:textId="77777777" w:rsidR="00F70616" w:rsidRPr="00F70616" w:rsidRDefault="00F70616" w:rsidP="00F70616">
      <w:pPr>
        <w:autoSpaceDE w:val="0"/>
        <w:autoSpaceDN w:val="0"/>
        <w:adjustRightInd w:val="0"/>
        <w:jc w:val="both"/>
        <w:rPr>
          <w:rFonts w:eastAsia="Calibri"/>
        </w:rPr>
      </w:pPr>
      <w:r w:rsidRPr="00F70616">
        <w:rPr>
          <w:rFonts w:eastAsia="Calibri"/>
        </w:rPr>
        <w:t>5. na svojim mrežnim stranicama objavljuje i redovito ažurira informacije definirane člankom 5. i člankom 9. stavcima 6. i 7. ovoga Zakona.“.</w:t>
      </w:r>
    </w:p>
    <w:p w14:paraId="1C112A30" w14:textId="77777777" w:rsidR="00F70616" w:rsidRPr="00F70616" w:rsidRDefault="00F70616" w:rsidP="00F70616">
      <w:pPr>
        <w:autoSpaceDE w:val="0"/>
        <w:autoSpaceDN w:val="0"/>
        <w:adjustRightInd w:val="0"/>
        <w:jc w:val="center"/>
        <w:rPr>
          <w:rFonts w:eastAsia="Calibri"/>
          <w:b/>
        </w:rPr>
      </w:pPr>
    </w:p>
    <w:p w14:paraId="598C2989" w14:textId="2B48D4F6" w:rsidR="00F70616" w:rsidRPr="00F70616" w:rsidRDefault="00F70616" w:rsidP="00F70616">
      <w:pPr>
        <w:keepNext/>
        <w:widowControl w:val="0"/>
        <w:jc w:val="center"/>
        <w:rPr>
          <w:b/>
        </w:rPr>
      </w:pPr>
      <w:r w:rsidRPr="00F70616">
        <w:rPr>
          <w:b/>
        </w:rPr>
        <w:t xml:space="preserve">Članak </w:t>
      </w:r>
      <w:r w:rsidR="00DB6EB9">
        <w:rPr>
          <w:b/>
        </w:rPr>
        <w:t>10</w:t>
      </w:r>
      <w:r w:rsidRPr="00F70616">
        <w:rPr>
          <w:b/>
        </w:rPr>
        <w:t>.</w:t>
      </w:r>
    </w:p>
    <w:p w14:paraId="71224C27" w14:textId="77777777" w:rsidR="00F70616" w:rsidRPr="00F70616" w:rsidRDefault="00F70616" w:rsidP="00F70616">
      <w:pPr>
        <w:keepNext/>
        <w:widowControl w:val="0"/>
        <w:rPr>
          <w:b/>
        </w:rPr>
      </w:pPr>
    </w:p>
    <w:p w14:paraId="4BD056C6" w14:textId="77777777" w:rsidR="00F70616" w:rsidRPr="00F70616" w:rsidRDefault="00F70616" w:rsidP="00F70616">
      <w:pPr>
        <w:autoSpaceDE w:val="0"/>
        <w:autoSpaceDN w:val="0"/>
        <w:adjustRightInd w:val="0"/>
        <w:ind w:firstLine="708"/>
        <w:jc w:val="both"/>
      </w:pPr>
      <w:r w:rsidRPr="00F70616">
        <w:rPr>
          <w:rFonts w:eastAsia="Calibri"/>
        </w:rPr>
        <w:t>Članak 11. mijenja se i glasi:</w:t>
      </w:r>
      <w:r w:rsidRPr="00F70616">
        <w:t xml:space="preserve"> </w:t>
      </w:r>
    </w:p>
    <w:p w14:paraId="129DC545" w14:textId="77777777" w:rsidR="00F70616" w:rsidRPr="00F70616" w:rsidRDefault="00F70616" w:rsidP="00F70616">
      <w:pPr>
        <w:autoSpaceDE w:val="0"/>
        <w:autoSpaceDN w:val="0"/>
        <w:adjustRightInd w:val="0"/>
        <w:jc w:val="center"/>
        <w:rPr>
          <w:rFonts w:eastAsia="Calibri"/>
        </w:rPr>
      </w:pPr>
    </w:p>
    <w:p w14:paraId="49A5ABA7" w14:textId="77777777" w:rsidR="00F70616" w:rsidRPr="00F70616" w:rsidRDefault="00F70616" w:rsidP="00F70616">
      <w:pPr>
        <w:autoSpaceDE w:val="0"/>
        <w:autoSpaceDN w:val="0"/>
        <w:adjustRightInd w:val="0"/>
        <w:jc w:val="both"/>
        <w:rPr>
          <w:rFonts w:eastAsia="Calibri"/>
        </w:rPr>
      </w:pPr>
      <w:r w:rsidRPr="00F70616">
        <w:rPr>
          <w:rFonts w:eastAsia="Calibri"/>
        </w:rPr>
        <w:t>„(1) Ministarstvo nadležno za energetiku provodi upravni nadzor nad provedbom ovoga Zakona.</w:t>
      </w:r>
    </w:p>
    <w:p w14:paraId="73B6F95C" w14:textId="77777777" w:rsidR="00F70616" w:rsidRPr="00F70616" w:rsidRDefault="00F70616" w:rsidP="00F70616">
      <w:pPr>
        <w:autoSpaceDE w:val="0"/>
        <w:autoSpaceDN w:val="0"/>
        <w:adjustRightInd w:val="0"/>
        <w:contextualSpacing/>
        <w:jc w:val="both"/>
        <w:rPr>
          <w:rFonts w:eastAsia="Calibri"/>
        </w:rPr>
      </w:pPr>
    </w:p>
    <w:p w14:paraId="4D893A81" w14:textId="77777777" w:rsidR="00F70616" w:rsidRPr="00F70616" w:rsidRDefault="00F70616" w:rsidP="00F70616">
      <w:pPr>
        <w:autoSpaceDE w:val="0"/>
        <w:autoSpaceDN w:val="0"/>
        <w:adjustRightInd w:val="0"/>
        <w:contextualSpacing/>
        <w:jc w:val="both"/>
        <w:rPr>
          <w:rFonts w:eastAsia="Calibri"/>
        </w:rPr>
      </w:pPr>
      <w:r w:rsidRPr="00F70616">
        <w:rPr>
          <w:rFonts w:eastAsia="Calibri"/>
        </w:rPr>
        <w:t xml:space="preserve">(2) Ministarstvo nadležno za prometnu infrastrukturu provodi inspekcijski nadzor u primjeni ovoga </w:t>
      </w:r>
      <w:r w:rsidRPr="00F70616">
        <w:t>Zakonu.“</w:t>
      </w:r>
      <w:r w:rsidRPr="00F70616">
        <w:rPr>
          <w:rFonts w:eastAsia="Calibri"/>
        </w:rPr>
        <w:t>.</w:t>
      </w:r>
    </w:p>
    <w:p w14:paraId="249638E9" w14:textId="77777777" w:rsidR="000E59FD" w:rsidRDefault="000E59FD" w:rsidP="000E59FD">
      <w:pPr>
        <w:autoSpaceDE w:val="0"/>
        <w:autoSpaceDN w:val="0"/>
        <w:adjustRightInd w:val="0"/>
        <w:rPr>
          <w:b/>
        </w:rPr>
      </w:pPr>
      <w:bookmarkStart w:id="0" w:name="_Toc394468826"/>
    </w:p>
    <w:p w14:paraId="32121883" w14:textId="241EB2E4" w:rsidR="00F70616" w:rsidRPr="00F70616" w:rsidRDefault="00F70616" w:rsidP="00F70616">
      <w:pPr>
        <w:keepNext/>
        <w:widowControl w:val="0"/>
        <w:jc w:val="center"/>
        <w:rPr>
          <w:b/>
        </w:rPr>
      </w:pPr>
      <w:r w:rsidRPr="00F70616">
        <w:rPr>
          <w:b/>
        </w:rPr>
        <w:t xml:space="preserve">Članak </w:t>
      </w:r>
      <w:r w:rsidR="00D230D7" w:rsidRPr="00F70616">
        <w:rPr>
          <w:b/>
        </w:rPr>
        <w:t>1</w:t>
      </w:r>
      <w:r w:rsidR="00D230D7">
        <w:rPr>
          <w:b/>
        </w:rPr>
        <w:t>1</w:t>
      </w:r>
      <w:r w:rsidRPr="00F70616">
        <w:rPr>
          <w:b/>
        </w:rPr>
        <w:t>.</w:t>
      </w:r>
    </w:p>
    <w:p w14:paraId="7B433992" w14:textId="77777777" w:rsidR="00F70616" w:rsidRPr="00F70616" w:rsidRDefault="00F70616" w:rsidP="00F70616">
      <w:pPr>
        <w:keepNext/>
        <w:widowControl w:val="0"/>
        <w:rPr>
          <w:b/>
        </w:rPr>
      </w:pPr>
    </w:p>
    <w:p w14:paraId="5D048A07" w14:textId="0CE4F004" w:rsidR="00F70616" w:rsidRPr="00F70616" w:rsidRDefault="00F70616" w:rsidP="00F70616">
      <w:pPr>
        <w:keepNext/>
        <w:widowControl w:val="0"/>
        <w:ind w:firstLine="708"/>
        <w:jc w:val="both"/>
      </w:pPr>
      <w:r w:rsidRPr="00F70616">
        <w:t>Iza poglavlja VIII. dodaje se poglavlje: „V</w:t>
      </w:r>
      <w:r w:rsidR="00926FBC">
        <w:t xml:space="preserve">III.a s nazivom i </w:t>
      </w:r>
      <w:r w:rsidR="00F124A7">
        <w:t xml:space="preserve">člancima </w:t>
      </w:r>
      <w:r w:rsidR="00926FBC">
        <w:t xml:space="preserve">11.a </w:t>
      </w:r>
      <w:r w:rsidR="001C193D">
        <w:t xml:space="preserve">i 11.b </w:t>
      </w:r>
      <w:r w:rsidRPr="00F70616">
        <w:t>koji glase:</w:t>
      </w:r>
    </w:p>
    <w:p w14:paraId="12300F47" w14:textId="77777777" w:rsidR="00F70616" w:rsidRPr="00F70616" w:rsidRDefault="00F70616" w:rsidP="00F70616">
      <w:pPr>
        <w:keepNext/>
        <w:jc w:val="center"/>
        <w:outlineLvl w:val="2"/>
        <w:rPr>
          <w:bCs/>
        </w:rPr>
      </w:pPr>
    </w:p>
    <w:p w14:paraId="58C6DD60" w14:textId="77777777" w:rsidR="00F70616" w:rsidRPr="00F70616" w:rsidRDefault="00F70616" w:rsidP="00F70616">
      <w:pPr>
        <w:keepNext/>
        <w:jc w:val="center"/>
        <w:outlineLvl w:val="2"/>
        <w:rPr>
          <w:bCs/>
        </w:rPr>
      </w:pPr>
      <w:r w:rsidRPr="00F70616">
        <w:rPr>
          <w:bCs/>
        </w:rPr>
        <w:t>„VIII. a PREKRŠAJNE ODREDBE</w:t>
      </w:r>
      <w:bookmarkEnd w:id="0"/>
    </w:p>
    <w:p w14:paraId="602789C2" w14:textId="77777777" w:rsidR="00F70616" w:rsidRPr="00F70616" w:rsidRDefault="00F70616" w:rsidP="00DA5059">
      <w:pPr>
        <w:jc w:val="center"/>
      </w:pPr>
    </w:p>
    <w:p w14:paraId="67DCC82B" w14:textId="77777777" w:rsidR="00F70616" w:rsidRPr="00F70616" w:rsidRDefault="00F70616" w:rsidP="00DA5059">
      <w:pPr>
        <w:jc w:val="center"/>
      </w:pPr>
      <w:r w:rsidRPr="00F70616">
        <w:t>Članak 11.a</w:t>
      </w:r>
    </w:p>
    <w:p w14:paraId="1BF7FAA8" w14:textId="77777777" w:rsidR="00F70616" w:rsidRPr="00F70616" w:rsidRDefault="00F70616" w:rsidP="00F124A7">
      <w:pPr>
        <w:jc w:val="both"/>
      </w:pPr>
    </w:p>
    <w:p w14:paraId="1357BB20" w14:textId="77777777" w:rsidR="00F70616" w:rsidRPr="00F70616" w:rsidRDefault="00F70616" w:rsidP="00F124A7">
      <w:pPr>
        <w:spacing w:afterLines="30" w:after="72"/>
        <w:jc w:val="both"/>
      </w:pPr>
      <w:r w:rsidRPr="00F70616">
        <w:t>(1) Novčanom kaznom od 10.000,00 do 75.000,00 kuna kaznit će se za prekršaj pravna osoba:</w:t>
      </w:r>
    </w:p>
    <w:p w14:paraId="2FA10048" w14:textId="77777777" w:rsidR="00F124A7" w:rsidRDefault="00F124A7" w:rsidP="00F124A7">
      <w:pPr>
        <w:jc w:val="both"/>
      </w:pPr>
    </w:p>
    <w:p w14:paraId="27B28807" w14:textId="2EF5579F" w:rsidR="00F70616" w:rsidRPr="00F70616" w:rsidRDefault="00F70616" w:rsidP="00F124A7">
      <w:pPr>
        <w:jc w:val="both"/>
      </w:pPr>
      <w:r w:rsidRPr="00F70616">
        <w:t xml:space="preserve">- ako ne objavi podatke propisane člankom 6. </w:t>
      </w:r>
      <w:r w:rsidR="00F124A7" w:rsidRPr="00F70616">
        <w:t>stav</w:t>
      </w:r>
      <w:r w:rsidR="00F124A7">
        <w:t>kom</w:t>
      </w:r>
      <w:r w:rsidR="00F124A7" w:rsidRPr="00F70616">
        <w:t xml:space="preserve"> </w:t>
      </w:r>
      <w:r w:rsidRPr="00F70616">
        <w:t>16.</w:t>
      </w:r>
      <w:r w:rsidR="00F124A7">
        <w:t xml:space="preserve"> ovoga Zakona,</w:t>
      </w:r>
      <w:r w:rsidRPr="00F70616">
        <w:t xml:space="preserve"> a dužan je objaviti </w:t>
      </w:r>
      <w:r w:rsidR="00F124A7">
        <w:t>sva</w:t>
      </w:r>
      <w:r w:rsidRPr="00F70616">
        <w:t xml:space="preserve"> javno </w:t>
      </w:r>
      <w:r w:rsidR="00F124A7" w:rsidRPr="00F70616">
        <w:t>dostupn</w:t>
      </w:r>
      <w:r w:rsidR="00F124A7">
        <w:t>a</w:t>
      </w:r>
      <w:r w:rsidR="00F124A7" w:rsidRPr="00F70616">
        <w:t xml:space="preserve"> mjest</w:t>
      </w:r>
      <w:r w:rsidR="00F124A7">
        <w:t>a</w:t>
      </w:r>
      <w:r w:rsidR="00F124A7" w:rsidRPr="00F70616">
        <w:t xml:space="preserve"> </w:t>
      </w:r>
      <w:r w:rsidRPr="00F70616">
        <w:t>za punjenje korisnicima električnih vozila koja pružaju mogućnost punjenja na ad hoc osnovi, bez sklapanja ugovora s dotičnim opskrbljivačem električnom energijom ili operatorom, kako je to propisano člankom 6. stavkom 9. ovoga Zakona</w:t>
      </w:r>
    </w:p>
    <w:p w14:paraId="07194060" w14:textId="77777777" w:rsidR="00F70616" w:rsidRPr="00F70616" w:rsidRDefault="00F70616" w:rsidP="00F124A7">
      <w:pPr>
        <w:jc w:val="both"/>
      </w:pPr>
      <w:r w:rsidRPr="00F70616">
        <w:t xml:space="preserve">- ako cijene koje se naplaćuju na javno dostupnim mjestima, nisu opravdane, lako i jasno usporedive, pregledne i nediskriminirajuće, a kako je to propisano člankom 6. stavkom 10. ovoga Zakona </w:t>
      </w:r>
    </w:p>
    <w:p w14:paraId="6EC74F74" w14:textId="77777777" w:rsidR="00F70616" w:rsidRPr="00F70616" w:rsidRDefault="00F70616" w:rsidP="00F124A7">
      <w:pPr>
        <w:jc w:val="both"/>
      </w:pPr>
      <w:r w:rsidRPr="00F70616">
        <w:t xml:space="preserve">- ako ne surađuje na nediskriminirajućoj osnovi sa svakom osobom koja postavlja ili upravlja javno dostupnim mjestima za punjenje, a kako je to propisano člankom 6. stavkom 11. ovoga Zakona </w:t>
      </w:r>
    </w:p>
    <w:p w14:paraId="6F401843" w14:textId="4CD9D849" w:rsidR="00F70616" w:rsidRPr="00F70616" w:rsidRDefault="00F70616" w:rsidP="00F124A7">
      <w:pPr>
        <w:jc w:val="both"/>
      </w:pPr>
      <w:r w:rsidRPr="00F70616">
        <w:t>- ako korisnicima motornih vozila na alternativna goriva ne omogući pristup odgovarajućim, dosljednim i jasnim informacijama o onim motornim vozilima koja je moguće</w:t>
      </w:r>
      <w:r w:rsidR="001615D8">
        <w:t xml:space="preserve"> redovito puniti individualnim</w:t>
      </w:r>
      <w:r w:rsidRPr="00F70616">
        <w:t xml:space="preserve"> vrstama goriva uvedenim na tržište ili ih napuniti na mjestima za punjenje, a koje informacije se stavljaju na raspolaganje korisnicima u sklopu uputa za uporabu motornih vozila, na mjestima za punjenje i opskrbu, na motornim vozilima i u zastupstvima za motorna vozila na području Republike Hrvatske, kako je to propisano člankom 9. stavcima 1. i 2. ovoga Zakona </w:t>
      </w:r>
    </w:p>
    <w:p w14:paraId="08EFBDC0" w14:textId="52010D9E" w:rsidR="00F70616" w:rsidRPr="00F70616" w:rsidRDefault="00F70616" w:rsidP="00F124A7">
      <w:pPr>
        <w:jc w:val="both"/>
      </w:pPr>
      <w:r w:rsidRPr="00F70616">
        <w:lastRenderedPageBreak/>
        <w:t xml:space="preserve">- </w:t>
      </w:r>
      <w:r w:rsidRPr="00855FD5">
        <w:t>ako ne pruži informacije iz podstavka 4. ovoga stavka, koje</w:t>
      </w:r>
      <w:r w:rsidR="00926FBC">
        <w:t xml:space="preserve"> </w:t>
      </w:r>
      <w:r w:rsidRPr="00F70616">
        <w:t xml:space="preserve">se temelje na odredbama o označivanju usklađenosti goriva s hrvatskim normama </w:t>
      </w:r>
      <w:r w:rsidR="00F124A7" w:rsidRPr="00F70616">
        <w:t>koj</w:t>
      </w:r>
      <w:r w:rsidR="00F124A7">
        <w:t>ima</w:t>
      </w:r>
      <w:r w:rsidR="00F124A7" w:rsidRPr="00F70616">
        <w:t xml:space="preserve"> </w:t>
      </w:r>
      <w:r w:rsidRPr="00F70616">
        <w:t xml:space="preserve">se utvrđuju tehničke specifikacije za goriva kako je to propisano člankom 9. stavkom 3. ovoga Zakona </w:t>
      </w:r>
    </w:p>
    <w:p w14:paraId="704F2884" w14:textId="4B04E58D" w:rsidR="00F70616" w:rsidRPr="00F70616" w:rsidRDefault="00F70616" w:rsidP="00F124A7">
      <w:pPr>
        <w:jc w:val="both"/>
      </w:pPr>
      <w:r w:rsidRPr="00F70616">
        <w:t>- ako se od datuma uvođenja goriva na tržište ne istaknu informacije na jednostavan, lako razumljiv i jasno vidljiv način na odgovarajućim crpkama i njihovim mlaznicama na svim mjestima za opsk</w:t>
      </w:r>
      <w:r w:rsidR="001C2050">
        <w:t>r</w:t>
      </w:r>
      <w:r w:rsidRPr="00F70616">
        <w:t>bu</w:t>
      </w:r>
      <w:r w:rsidR="003D32CD">
        <w:t xml:space="preserve"> </w:t>
      </w:r>
      <w:r w:rsidRPr="00F70616">
        <w:t xml:space="preserve">na poklopcima spremnika za gorivo motornih vozila za koja je određeno gorivo preporučeno i prikladno ili se ne istaknu informacije o preporučenom ili prikladnom gorivu u neposrednoj blizini poklopca spremnika za goriva te u uputama za uporabu motornih vozila, a kako je to propisano člankom 9. stavkom 4. podstavcima 1. i 2. ovoga </w:t>
      </w:r>
      <w:r w:rsidR="00ED09D7">
        <w:t>Zakona</w:t>
      </w:r>
    </w:p>
    <w:p w14:paraId="4A9BFD61" w14:textId="6F1068ED" w:rsidR="00F70616" w:rsidRPr="00F70616" w:rsidRDefault="00F70616" w:rsidP="00F124A7">
      <w:pPr>
        <w:jc w:val="both"/>
      </w:pPr>
      <w:r w:rsidRPr="00F70616">
        <w:t xml:space="preserve">- ako u roku od tri mjeseca od uspostave registra punionica alternativnih goriva ne ishodi jedinstveni kod iz članka 9.a </w:t>
      </w:r>
      <w:r w:rsidR="00D230D7" w:rsidRPr="00F70616">
        <w:t>stav</w:t>
      </w:r>
      <w:r w:rsidR="00D230D7">
        <w:t>ka</w:t>
      </w:r>
      <w:r w:rsidR="00D230D7" w:rsidRPr="00F70616">
        <w:t xml:space="preserve"> </w:t>
      </w:r>
      <w:r w:rsidRPr="00F70616">
        <w:t>5. ovoga Zakona</w:t>
      </w:r>
      <w:r w:rsidRPr="008D511A">
        <w:t xml:space="preserve"> </w:t>
      </w:r>
    </w:p>
    <w:p w14:paraId="054814D5" w14:textId="1AB05650" w:rsidR="00D230D7" w:rsidRPr="00F70616" w:rsidRDefault="00D230D7" w:rsidP="00F124A7">
      <w:pPr>
        <w:jc w:val="both"/>
      </w:pPr>
      <w:r w:rsidRPr="00F70616">
        <w:t>- ako postaje za opskrbu gorivom ne prikazuju usporedbu jediničnih cijena alternativnih i konvencionalnih goriva i to ako ne koriste</w:t>
      </w:r>
      <w:r w:rsidRPr="00F70616">
        <w:rPr>
          <w:rFonts w:eastAsia="Calibri"/>
        </w:rPr>
        <w:t xml:space="preserve"> metodologiju za usporedbu koja uključuje cijene benzinskih, dizelskih i alternativnih goriva, izraženih u nacionalnoj valuti po prijeđenih 100 km</w:t>
      </w:r>
      <w:r w:rsidRPr="00F70616">
        <w:t xml:space="preserve"> iz članka 9.b stav</w:t>
      </w:r>
      <w:r>
        <w:t>a</w:t>
      </w:r>
      <w:r w:rsidRPr="00F70616">
        <w:t>ka 1. i 2. ovoga Zakona</w:t>
      </w:r>
      <w:r>
        <w:t>.</w:t>
      </w:r>
    </w:p>
    <w:p w14:paraId="3953D13F" w14:textId="77777777" w:rsidR="00F70616" w:rsidRPr="00F70616" w:rsidRDefault="00F70616" w:rsidP="00F124A7">
      <w:pPr>
        <w:jc w:val="both"/>
      </w:pPr>
    </w:p>
    <w:p w14:paraId="5F8F3B9F" w14:textId="77777777" w:rsidR="00F70616" w:rsidRPr="00F70616" w:rsidRDefault="00F70616" w:rsidP="00F124A7">
      <w:pPr>
        <w:jc w:val="both"/>
      </w:pPr>
      <w:r w:rsidRPr="00F70616">
        <w:t>(2) Za prekršaj iz stavka 1. ovoga članka kaznit će se i odgovorna osoba u pravnoj osobi novčanom kaznom od 2.000,00 do 8.000,00 kuna.</w:t>
      </w:r>
    </w:p>
    <w:p w14:paraId="14EF2585" w14:textId="77777777" w:rsidR="00F70616" w:rsidRPr="00F70616" w:rsidRDefault="00F70616" w:rsidP="00F124A7">
      <w:pPr>
        <w:jc w:val="both"/>
        <w:rPr>
          <w:rFonts w:eastAsia="Calibri"/>
          <w:lang w:eastAsia="en-US"/>
        </w:rPr>
      </w:pPr>
    </w:p>
    <w:p w14:paraId="69BA43FC" w14:textId="7B8CBD34" w:rsidR="0038420D" w:rsidRDefault="00F70616" w:rsidP="00F124A7">
      <w:pPr>
        <w:jc w:val="both"/>
        <w:rPr>
          <w:rFonts w:eastAsia="Calibri"/>
          <w:lang w:eastAsia="en-US"/>
        </w:rPr>
      </w:pPr>
      <w:r w:rsidRPr="00F70616">
        <w:rPr>
          <w:rFonts w:eastAsia="Calibri"/>
          <w:lang w:eastAsia="en-US"/>
        </w:rPr>
        <w:t>(3) Za prekršaj iz stavka 1. ovoga članka kaznit će se i fizička osoba novčanom kaznom od 10.000,00 do 75.000,00 kuna.</w:t>
      </w:r>
    </w:p>
    <w:p w14:paraId="161656D3" w14:textId="2E484A96" w:rsidR="001C193D" w:rsidRPr="00F70616" w:rsidRDefault="001C193D" w:rsidP="00E23FB4"/>
    <w:p w14:paraId="720D8962" w14:textId="5674160F" w:rsidR="001C193D" w:rsidRPr="00F70616" w:rsidRDefault="001C193D" w:rsidP="001C193D">
      <w:pPr>
        <w:jc w:val="center"/>
      </w:pPr>
      <w:r>
        <w:t>Članak 11.b</w:t>
      </w:r>
    </w:p>
    <w:p w14:paraId="0C5C5F4E" w14:textId="77777777" w:rsidR="001C193D" w:rsidRPr="00F70616" w:rsidRDefault="001C193D" w:rsidP="00ED09D7">
      <w:pPr>
        <w:jc w:val="both"/>
      </w:pPr>
    </w:p>
    <w:p w14:paraId="4EC0D9A0" w14:textId="65F1D4B3" w:rsidR="001C193D" w:rsidRPr="00F70616" w:rsidRDefault="001C193D" w:rsidP="00ED09D7">
      <w:pPr>
        <w:jc w:val="both"/>
      </w:pPr>
      <w:r>
        <w:t>(1) Novčanom kaznom od 1.320,00 do 9.950,00 eura</w:t>
      </w:r>
      <w:r w:rsidRPr="00F70616">
        <w:t xml:space="preserve"> kaznit će se za prekršaj pravna osoba:</w:t>
      </w:r>
    </w:p>
    <w:p w14:paraId="69B26CB8" w14:textId="77777777" w:rsidR="00ED09D7" w:rsidRDefault="00ED09D7" w:rsidP="00ED09D7">
      <w:pPr>
        <w:jc w:val="both"/>
      </w:pPr>
    </w:p>
    <w:p w14:paraId="5769A1FF" w14:textId="18703F4A" w:rsidR="001C193D" w:rsidRPr="00F70616" w:rsidRDefault="001C193D" w:rsidP="00ED09D7">
      <w:pPr>
        <w:jc w:val="both"/>
      </w:pPr>
      <w:r w:rsidRPr="00F70616">
        <w:t xml:space="preserve">- ako ne objavi podatke propisane člankom 6. </w:t>
      </w:r>
      <w:r w:rsidR="00ED09D7" w:rsidRPr="00F70616">
        <w:t>stav</w:t>
      </w:r>
      <w:r w:rsidR="00ED09D7">
        <w:t>kom</w:t>
      </w:r>
      <w:r w:rsidR="00ED09D7" w:rsidRPr="00F70616">
        <w:t xml:space="preserve"> </w:t>
      </w:r>
      <w:r w:rsidRPr="00F70616">
        <w:t xml:space="preserve">16. </w:t>
      </w:r>
      <w:r w:rsidR="00ED09D7">
        <w:t xml:space="preserve">ovoga Zakona, </w:t>
      </w:r>
      <w:r w:rsidRPr="00F70616">
        <w:t xml:space="preserve">a dužan je objaviti </w:t>
      </w:r>
      <w:r w:rsidR="00ED09D7">
        <w:t>sva</w:t>
      </w:r>
      <w:r w:rsidRPr="00F70616">
        <w:t xml:space="preserve"> javno </w:t>
      </w:r>
      <w:r w:rsidR="00ED09D7" w:rsidRPr="00F70616">
        <w:t>dostupn</w:t>
      </w:r>
      <w:r w:rsidR="00ED09D7">
        <w:t>a</w:t>
      </w:r>
      <w:r w:rsidR="00ED09D7" w:rsidRPr="00F70616">
        <w:t xml:space="preserve"> mjest</w:t>
      </w:r>
      <w:r w:rsidR="00ED09D7">
        <w:t>a</w:t>
      </w:r>
      <w:r w:rsidR="00ED09D7" w:rsidRPr="00F70616">
        <w:t xml:space="preserve"> </w:t>
      </w:r>
      <w:r w:rsidRPr="00F70616">
        <w:t>za punjenje korisnicima električnih vozila koja pružaju mogućnost punjenja na ad hoc osnovi, bez sklapanja ugovora s dotičnim opskrbljivačem električnom energijom ili operatorom, kako je to propisano člankom 6. stavkom 9. ovoga Zakona</w:t>
      </w:r>
    </w:p>
    <w:p w14:paraId="0A78896F" w14:textId="77777777" w:rsidR="001C193D" w:rsidRPr="00F70616" w:rsidRDefault="001C193D" w:rsidP="00ED09D7">
      <w:pPr>
        <w:jc w:val="both"/>
      </w:pPr>
      <w:r w:rsidRPr="00F70616">
        <w:t xml:space="preserve">- ako cijene koje se naplaćuju na javno dostupnim mjestima, nisu opravdane, lako i jasno usporedive, pregledne i nediskriminirajuće, a kako je to propisano člankom 6. stavkom 10. ovoga Zakona </w:t>
      </w:r>
    </w:p>
    <w:p w14:paraId="4D3D19FA" w14:textId="77777777" w:rsidR="001C193D" w:rsidRPr="00F70616" w:rsidRDefault="001C193D" w:rsidP="00ED09D7">
      <w:pPr>
        <w:jc w:val="both"/>
      </w:pPr>
      <w:r w:rsidRPr="00F70616">
        <w:t xml:space="preserve">- ako ne surađuje na nediskriminirajućoj osnovi sa svakom osobom koja postavlja ili upravlja javno dostupnim mjestima za punjenje, a kako je to propisano člankom 6. stavkom 11. ovoga Zakona </w:t>
      </w:r>
    </w:p>
    <w:p w14:paraId="3C1A5D91" w14:textId="06B1C55A" w:rsidR="001C193D" w:rsidRPr="00F70616" w:rsidRDefault="001C193D" w:rsidP="00ED09D7">
      <w:pPr>
        <w:jc w:val="both"/>
      </w:pPr>
      <w:r w:rsidRPr="00F70616">
        <w:t>- ako korisnicima motornih vozila na alternativna goriva ne omogući pristup odgovarajućim, dosljednim i jasnim informacijama o onim motornim vozilima koja je moguć</w:t>
      </w:r>
      <w:r w:rsidR="001373D9">
        <w:t>e redovito puniti individualnim</w:t>
      </w:r>
      <w:r w:rsidRPr="00F70616">
        <w:t xml:space="preserve"> vrstama goriva uvedenim na tržište ili ih napuniti na mjestima za punjenje, a koje informacije se stavljaju na raspolaganje korisnicima u sklopu uputa za uporabu motornih vozila, na mjestima za punjenje i opskrbu, na motornim vozilima i u zastupstvima za motorna vozila na području Republike Hrvatske, kako je to propisano člankom 9. stavcima 1. i 2. ovoga Zakona </w:t>
      </w:r>
    </w:p>
    <w:p w14:paraId="5A846408" w14:textId="77777777" w:rsidR="001C193D" w:rsidRPr="00F70616" w:rsidRDefault="001C193D" w:rsidP="00ED09D7">
      <w:pPr>
        <w:jc w:val="both"/>
      </w:pPr>
      <w:r w:rsidRPr="00F70616">
        <w:t xml:space="preserve">- </w:t>
      </w:r>
      <w:r w:rsidRPr="00855FD5">
        <w:t>ako ne pruži informacije iz podstavka 4. ovoga stavka, koje</w:t>
      </w:r>
      <w:r>
        <w:t xml:space="preserve"> </w:t>
      </w:r>
      <w:r w:rsidRPr="00F70616">
        <w:t xml:space="preserve">se temelje na odredbama o označivanju usklađenosti goriva s hrvatskim normama koje se utvrđuju tehničke specifikacije za goriva kako je to propisano člankom 9. stavkom 3. ovoga Zakona </w:t>
      </w:r>
    </w:p>
    <w:p w14:paraId="23FE7760" w14:textId="19C8CA79" w:rsidR="001C193D" w:rsidRPr="00F70616" w:rsidRDefault="001C193D" w:rsidP="00ED09D7">
      <w:pPr>
        <w:jc w:val="both"/>
      </w:pPr>
      <w:r w:rsidRPr="00F70616">
        <w:t>- ako se od datuma uvođenja goriva na tržište ne istaknu informacije na jednostavan, lako razumljiv i jasno vidljiv način na odgovarajućim crpkama i njihovim mlaznicama na svim mjestima za opsk</w:t>
      </w:r>
      <w:r w:rsidR="008A2C13">
        <w:t>r</w:t>
      </w:r>
      <w:r w:rsidRPr="00F70616">
        <w:t>bu</w:t>
      </w:r>
      <w:r w:rsidR="003D32CD">
        <w:t xml:space="preserve"> </w:t>
      </w:r>
      <w:r w:rsidRPr="00F70616">
        <w:t xml:space="preserve">na poklopcima </w:t>
      </w:r>
      <w:r w:rsidRPr="00F70616">
        <w:lastRenderedPageBreak/>
        <w:t xml:space="preserve">spremnika za gorivo motornih vozila za koja je određeno gorivo preporučeno i prikladno ili se ne istaknu informacije o preporučenom ili prikladnom gorivu u neposrednoj blizini poklopca spremnika za goriva te u uputama za uporabu motornih vozila, a kako je to propisano člankom 9. stavkom 4. podstavcima 1. i 2. ovoga </w:t>
      </w:r>
      <w:r w:rsidR="00174BFA">
        <w:t>Zakona</w:t>
      </w:r>
    </w:p>
    <w:p w14:paraId="668D70D1" w14:textId="445AAB9E" w:rsidR="001C193D" w:rsidRDefault="001C193D" w:rsidP="00ED09D7">
      <w:pPr>
        <w:jc w:val="both"/>
      </w:pPr>
      <w:r w:rsidRPr="00F70616">
        <w:t>- ako u roku od tri mjeseca od uspostave registra punionica alternativnih goriva ne ishodi jedinstveni kod iz članka 9.a stav</w:t>
      </w:r>
      <w:r>
        <w:t>ka</w:t>
      </w:r>
      <w:r w:rsidRPr="00F70616">
        <w:t xml:space="preserve"> 5. ovoga Zakona</w:t>
      </w:r>
      <w:r w:rsidRPr="008D511A">
        <w:t xml:space="preserve"> </w:t>
      </w:r>
    </w:p>
    <w:p w14:paraId="5B2DF4A4" w14:textId="77777777" w:rsidR="001C193D" w:rsidRPr="00F70616" w:rsidRDefault="001C193D" w:rsidP="00ED09D7">
      <w:pPr>
        <w:jc w:val="both"/>
      </w:pPr>
      <w:r w:rsidRPr="00F70616">
        <w:t>- ako postaje za opskrbu gorivom ne prikazuju usporedbu jediničnih cijena alternativnih i konvencionalnih goriva i to ako ne koriste</w:t>
      </w:r>
      <w:r w:rsidRPr="00F70616">
        <w:rPr>
          <w:rFonts w:eastAsia="Calibri"/>
        </w:rPr>
        <w:t xml:space="preserve"> metodologiju za usporedbu koja uključuje cijene benzinskih, dizelskih i alternativnih goriva, izraženih u nacionalnoj valuti po prijeđenih 100 km</w:t>
      </w:r>
      <w:r w:rsidRPr="00F70616">
        <w:t xml:space="preserve"> iz članka 9.b stav</w:t>
      </w:r>
      <w:r>
        <w:t>a</w:t>
      </w:r>
      <w:r w:rsidRPr="00F70616">
        <w:t>ka 1. i 2. ovoga Zakona</w:t>
      </w:r>
      <w:r>
        <w:t>.</w:t>
      </w:r>
    </w:p>
    <w:p w14:paraId="0D0F14F1" w14:textId="77777777" w:rsidR="001C193D" w:rsidRPr="00F70616" w:rsidRDefault="001C193D" w:rsidP="001C193D">
      <w:pPr>
        <w:jc w:val="both"/>
      </w:pPr>
    </w:p>
    <w:p w14:paraId="16A32178" w14:textId="67E70DCD" w:rsidR="001C193D" w:rsidRPr="00F70616" w:rsidRDefault="001C193D" w:rsidP="001C193D">
      <w:pPr>
        <w:jc w:val="both"/>
      </w:pPr>
      <w:r w:rsidRPr="00F70616">
        <w:t>(2) Za prekršaj iz stavka 1. ovoga članka kaznit će se i odgovorna osoba u pravno</w:t>
      </w:r>
      <w:r>
        <w:t>j osobi novčanom kaznom od 260,00 do 1.060,00 eura</w:t>
      </w:r>
      <w:r w:rsidRPr="00F70616">
        <w:t>.</w:t>
      </w:r>
    </w:p>
    <w:p w14:paraId="0B47A9C0" w14:textId="77777777" w:rsidR="001C193D" w:rsidRPr="00F70616" w:rsidRDefault="001C193D" w:rsidP="001C193D">
      <w:pPr>
        <w:jc w:val="both"/>
        <w:rPr>
          <w:rFonts w:eastAsia="Calibri"/>
          <w:lang w:eastAsia="en-US"/>
        </w:rPr>
      </w:pPr>
    </w:p>
    <w:p w14:paraId="357F223A" w14:textId="39AEEF59" w:rsidR="000E59FD" w:rsidRDefault="001C193D" w:rsidP="00F70616">
      <w:pPr>
        <w:jc w:val="both"/>
        <w:rPr>
          <w:rFonts w:eastAsia="Calibri"/>
          <w:lang w:eastAsia="en-US"/>
        </w:rPr>
      </w:pPr>
      <w:r w:rsidRPr="00F70616">
        <w:rPr>
          <w:rFonts w:eastAsia="Calibri"/>
          <w:lang w:eastAsia="en-US"/>
        </w:rPr>
        <w:t>(3) Za prekršaj iz stavka 1. ovoga članka kaznit će se i fizi</w:t>
      </w:r>
      <w:r>
        <w:rPr>
          <w:rFonts w:eastAsia="Calibri"/>
          <w:lang w:eastAsia="en-US"/>
        </w:rPr>
        <w:t>čka osoba novčanom kaznom od 1.320,00 do 9.950,00 eura.</w:t>
      </w:r>
      <w:r w:rsidR="00F70616" w:rsidRPr="00F70616">
        <w:rPr>
          <w:rFonts w:eastAsia="Calibri"/>
          <w:lang w:eastAsia="en-US"/>
        </w:rPr>
        <w:t>“.</w:t>
      </w:r>
    </w:p>
    <w:p w14:paraId="26E4FAB1" w14:textId="12555DF1" w:rsidR="00975662" w:rsidRPr="00F70616" w:rsidRDefault="00975662" w:rsidP="00F70616">
      <w:pPr>
        <w:jc w:val="both"/>
      </w:pPr>
    </w:p>
    <w:p w14:paraId="609862BC" w14:textId="77777777" w:rsidR="00F70616" w:rsidRPr="00F70616" w:rsidRDefault="00F70616" w:rsidP="00F70616">
      <w:pPr>
        <w:jc w:val="center"/>
      </w:pPr>
    </w:p>
    <w:p w14:paraId="5110BB56" w14:textId="77777777" w:rsidR="00F70616" w:rsidRPr="00F70616" w:rsidRDefault="00F70616" w:rsidP="00F70616">
      <w:pPr>
        <w:autoSpaceDE w:val="0"/>
        <w:autoSpaceDN w:val="0"/>
        <w:adjustRightInd w:val="0"/>
        <w:jc w:val="center"/>
        <w:rPr>
          <w:rFonts w:eastAsia="Calibri"/>
          <w:b/>
        </w:rPr>
      </w:pPr>
      <w:r w:rsidRPr="00F70616">
        <w:rPr>
          <w:rFonts w:eastAsia="Calibri"/>
          <w:b/>
        </w:rPr>
        <w:t>PRIJELAZNE I ZAVRŠNE ODREDBE</w:t>
      </w:r>
    </w:p>
    <w:p w14:paraId="09EFA172" w14:textId="77777777" w:rsidR="00F70616" w:rsidRPr="00F70616" w:rsidRDefault="00F70616" w:rsidP="00F70616">
      <w:pPr>
        <w:autoSpaceDE w:val="0"/>
        <w:autoSpaceDN w:val="0"/>
        <w:adjustRightInd w:val="0"/>
        <w:jc w:val="center"/>
        <w:rPr>
          <w:rFonts w:eastAsia="Calibri"/>
          <w:b/>
        </w:rPr>
      </w:pPr>
    </w:p>
    <w:p w14:paraId="491145AA" w14:textId="2DF92E75" w:rsidR="00F70616" w:rsidRPr="00F70616" w:rsidRDefault="00F70616" w:rsidP="00F70616">
      <w:pPr>
        <w:autoSpaceDE w:val="0"/>
        <w:autoSpaceDN w:val="0"/>
        <w:adjustRightInd w:val="0"/>
        <w:jc w:val="center"/>
        <w:rPr>
          <w:rFonts w:eastAsia="Calibri"/>
          <w:b/>
        </w:rPr>
      </w:pPr>
      <w:r w:rsidRPr="00F70616">
        <w:rPr>
          <w:rFonts w:eastAsia="Calibri"/>
          <w:b/>
        </w:rPr>
        <w:t xml:space="preserve">Članak </w:t>
      </w:r>
      <w:r w:rsidR="00A7474A" w:rsidRPr="00F70616">
        <w:rPr>
          <w:rFonts w:eastAsia="Calibri"/>
          <w:b/>
        </w:rPr>
        <w:t>1</w:t>
      </w:r>
      <w:r w:rsidR="00A7474A">
        <w:rPr>
          <w:rFonts w:eastAsia="Calibri"/>
          <w:b/>
        </w:rPr>
        <w:t>2</w:t>
      </w:r>
      <w:r w:rsidRPr="00F70616">
        <w:rPr>
          <w:rFonts w:eastAsia="Calibri"/>
          <w:b/>
        </w:rPr>
        <w:t>.</w:t>
      </w:r>
    </w:p>
    <w:p w14:paraId="36AA6DE4" w14:textId="77777777" w:rsidR="00F70616" w:rsidRPr="00F70616" w:rsidRDefault="00F70616" w:rsidP="00F70616">
      <w:pPr>
        <w:autoSpaceDE w:val="0"/>
        <w:autoSpaceDN w:val="0"/>
        <w:adjustRightInd w:val="0"/>
        <w:jc w:val="center"/>
        <w:rPr>
          <w:rFonts w:eastAsia="Calibri"/>
        </w:rPr>
      </w:pPr>
    </w:p>
    <w:p w14:paraId="43468338" w14:textId="03789534" w:rsidR="00F70616" w:rsidRPr="00F70616" w:rsidRDefault="00F70616" w:rsidP="00F70616">
      <w:pPr>
        <w:autoSpaceDE w:val="0"/>
        <w:autoSpaceDN w:val="0"/>
        <w:adjustRightInd w:val="0"/>
        <w:jc w:val="both"/>
        <w:rPr>
          <w:rFonts w:eastAsia="Calibri"/>
        </w:rPr>
      </w:pPr>
      <w:r w:rsidRPr="00F70616">
        <w:rPr>
          <w:rFonts w:eastAsia="Calibri"/>
        </w:rPr>
        <w:t>Ministar nadležan za prometnu infrastrukturu će donijeti pravilnike iz član</w:t>
      </w:r>
      <w:r w:rsidR="00A7474A">
        <w:rPr>
          <w:rFonts w:eastAsia="Calibri"/>
        </w:rPr>
        <w:t>a</w:t>
      </w:r>
      <w:r w:rsidRPr="00F70616">
        <w:rPr>
          <w:rFonts w:eastAsia="Calibri"/>
        </w:rPr>
        <w:t xml:space="preserve">ka 9.a </w:t>
      </w:r>
      <w:r w:rsidR="00ED4821">
        <w:rPr>
          <w:rFonts w:eastAsia="Calibri"/>
        </w:rPr>
        <w:t xml:space="preserve">i </w:t>
      </w:r>
      <w:r w:rsidRPr="00F70616">
        <w:rPr>
          <w:rFonts w:eastAsia="Calibri"/>
        </w:rPr>
        <w:t xml:space="preserve">9.b koji </w:t>
      </w:r>
      <w:r w:rsidR="00A7474A">
        <w:rPr>
          <w:rFonts w:eastAsia="Calibri"/>
        </w:rPr>
        <w:t>su</w:t>
      </w:r>
      <w:r w:rsidR="00A7474A" w:rsidRPr="00F70616">
        <w:rPr>
          <w:rFonts w:eastAsia="Calibri"/>
        </w:rPr>
        <w:t xml:space="preserve"> </w:t>
      </w:r>
      <w:r w:rsidRPr="00F70616">
        <w:rPr>
          <w:rFonts w:eastAsia="Calibri"/>
        </w:rPr>
        <w:t>dodan</w:t>
      </w:r>
      <w:r w:rsidR="00A7474A">
        <w:rPr>
          <w:rFonts w:eastAsia="Calibri"/>
        </w:rPr>
        <w:t>i</w:t>
      </w:r>
      <w:r w:rsidRPr="00F70616">
        <w:rPr>
          <w:rFonts w:eastAsia="Calibri"/>
        </w:rPr>
        <w:t xml:space="preserve"> člankom </w:t>
      </w:r>
      <w:r w:rsidR="00A7474A">
        <w:rPr>
          <w:rFonts w:eastAsia="Calibri"/>
        </w:rPr>
        <w:t>8</w:t>
      </w:r>
      <w:r w:rsidRPr="00F70616">
        <w:rPr>
          <w:rFonts w:eastAsia="Calibri"/>
        </w:rPr>
        <w:t>. ovoga Zakona u roku od tri mjeseca od dana stupanja na snagu ovoga Zakona.</w:t>
      </w:r>
    </w:p>
    <w:p w14:paraId="0324C873" w14:textId="77777777" w:rsidR="00F70616" w:rsidRPr="00F70616" w:rsidRDefault="00F70616" w:rsidP="00F70616">
      <w:pPr>
        <w:autoSpaceDE w:val="0"/>
        <w:autoSpaceDN w:val="0"/>
        <w:adjustRightInd w:val="0"/>
        <w:jc w:val="both"/>
        <w:rPr>
          <w:rFonts w:eastAsia="Calibri"/>
        </w:rPr>
      </w:pPr>
    </w:p>
    <w:p w14:paraId="352A93BC" w14:textId="51A7DFAC" w:rsidR="00F70616" w:rsidRPr="00F70616" w:rsidRDefault="00F70616" w:rsidP="00F70616">
      <w:pPr>
        <w:autoSpaceDE w:val="0"/>
        <w:autoSpaceDN w:val="0"/>
        <w:adjustRightInd w:val="0"/>
        <w:jc w:val="center"/>
        <w:rPr>
          <w:rFonts w:eastAsia="Calibri"/>
          <w:b/>
        </w:rPr>
      </w:pPr>
      <w:r w:rsidRPr="00F70616">
        <w:rPr>
          <w:rFonts w:eastAsia="Calibri"/>
          <w:b/>
        </w:rPr>
        <w:t xml:space="preserve">Članak </w:t>
      </w:r>
      <w:r w:rsidR="00996396" w:rsidRPr="00F70616">
        <w:rPr>
          <w:rFonts w:eastAsia="Calibri"/>
          <w:b/>
        </w:rPr>
        <w:t>1</w:t>
      </w:r>
      <w:r w:rsidR="00996396">
        <w:rPr>
          <w:rFonts w:eastAsia="Calibri"/>
          <w:b/>
        </w:rPr>
        <w:t>3</w:t>
      </w:r>
      <w:r w:rsidRPr="00F70616">
        <w:rPr>
          <w:rFonts w:eastAsia="Calibri"/>
          <w:b/>
        </w:rPr>
        <w:t>.</w:t>
      </w:r>
    </w:p>
    <w:p w14:paraId="3D72505E" w14:textId="77777777" w:rsidR="00F70616" w:rsidRPr="00F70616" w:rsidRDefault="00F70616" w:rsidP="00F70616">
      <w:pPr>
        <w:autoSpaceDE w:val="0"/>
        <w:autoSpaceDN w:val="0"/>
        <w:adjustRightInd w:val="0"/>
        <w:jc w:val="both"/>
        <w:rPr>
          <w:rFonts w:eastAsia="Calibri"/>
        </w:rPr>
      </w:pPr>
    </w:p>
    <w:p w14:paraId="6581F20D" w14:textId="77777777" w:rsidR="00F70616" w:rsidRPr="00F70616" w:rsidRDefault="00F70616" w:rsidP="00F70616">
      <w:pPr>
        <w:autoSpaceDE w:val="0"/>
        <w:autoSpaceDN w:val="0"/>
        <w:adjustRightInd w:val="0"/>
        <w:contextualSpacing/>
        <w:jc w:val="both"/>
        <w:rPr>
          <w:rFonts w:eastAsia="Calibri"/>
        </w:rPr>
      </w:pPr>
      <w:r w:rsidRPr="00F70616">
        <w:rPr>
          <w:rFonts w:eastAsia="Calibri"/>
        </w:rPr>
        <w:t xml:space="preserve">Upravitelji punionica alternativnih goriva dužni su u roku od tri mjeseca od uspostave registra iz članka 9.a </w:t>
      </w:r>
      <w:r w:rsidR="00895BAE">
        <w:rPr>
          <w:rFonts w:eastAsia="Calibri"/>
        </w:rPr>
        <w:t xml:space="preserve">koji je dodan člankom 8. </w:t>
      </w:r>
      <w:r w:rsidRPr="00F70616">
        <w:rPr>
          <w:rFonts w:eastAsia="Calibri"/>
        </w:rPr>
        <w:t>ovoga Zakona, ishoditi jedinstveni kod te pružati sve propisane informacije u svrhu informiranja korisnika.</w:t>
      </w:r>
    </w:p>
    <w:p w14:paraId="452FB6A3" w14:textId="190D9334" w:rsidR="00F70616" w:rsidRDefault="00F70616" w:rsidP="00F70616">
      <w:pPr>
        <w:autoSpaceDE w:val="0"/>
        <w:autoSpaceDN w:val="0"/>
        <w:adjustRightInd w:val="0"/>
        <w:jc w:val="both"/>
        <w:rPr>
          <w:rFonts w:eastAsia="Calibri"/>
        </w:rPr>
      </w:pPr>
    </w:p>
    <w:p w14:paraId="38D50416" w14:textId="3ABC3EA7" w:rsidR="0038420D" w:rsidRPr="00174BFA" w:rsidRDefault="00773C8B" w:rsidP="00174BFA">
      <w:pPr>
        <w:autoSpaceDE w:val="0"/>
        <w:autoSpaceDN w:val="0"/>
        <w:adjustRightInd w:val="0"/>
        <w:jc w:val="center"/>
        <w:rPr>
          <w:rFonts w:eastAsia="Calibri"/>
          <w:b/>
        </w:rPr>
      </w:pPr>
      <w:r w:rsidRPr="00174BFA">
        <w:rPr>
          <w:rFonts w:eastAsia="Calibri"/>
          <w:b/>
        </w:rPr>
        <w:t>Članak 14</w:t>
      </w:r>
      <w:r w:rsidR="0038420D" w:rsidRPr="00174BFA">
        <w:rPr>
          <w:rFonts w:eastAsia="Calibri"/>
          <w:b/>
        </w:rPr>
        <w:t>.</w:t>
      </w:r>
    </w:p>
    <w:p w14:paraId="3F5C0C4D" w14:textId="04F1BBA0" w:rsidR="004E25D8" w:rsidRPr="004E25D8" w:rsidRDefault="004E25D8" w:rsidP="004E25D8">
      <w:pPr>
        <w:autoSpaceDE w:val="0"/>
        <w:autoSpaceDN w:val="0"/>
        <w:adjustRightInd w:val="0"/>
        <w:jc w:val="both"/>
        <w:rPr>
          <w:rFonts w:eastAsia="Calibri"/>
        </w:rPr>
      </w:pPr>
    </w:p>
    <w:p w14:paraId="46043DF8" w14:textId="2988271C" w:rsidR="0038420D" w:rsidRPr="004E25D8" w:rsidRDefault="00174BFA" w:rsidP="004E25D8">
      <w:pPr>
        <w:autoSpaceDE w:val="0"/>
        <w:autoSpaceDN w:val="0"/>
        <w:adjustRightInd w:val="0"/>
        <w:jc w:val="both"/>
        <w:rPr>
          <w:rFonts w:eastAsia="Calibri"/>
        </w:rPr>
      </w:pPr>
      <w:r>
        <w:rPr>
          <w:rFonts w:eastAsia="Calibri"/>
        </w:rPr>
        <w:t>Odredbe članka</w:t>
      </w:r>
      <w:r w:rsidR="004E25D8">
        <w:rPr>
          <w:rFonts w:eastAsia="Calibri"/>
        </w:rPr>
        <w:t xml:space="preserve"> 11.a</w:t>
      </w:r>
      <w:r w:rsidR="0038420D" w:rsidRPr="004E25D8">
        <w:rPr>
          <w:rFonts w:eastAsia="Calibri"/>
        </w:rPr>
        <w:t xml:space="preserve"> </w:t>
      </w:r>
      <w:r>
        <w:rPr>
          <w:rFonts w:eastAsia="Calibri"/>
        </w:rPr>
        <w:t xml:space="preserve">koji je dodan člankom 11. ovoga Zakona prestaju važiti na dan uvođenja eura. </w:t>
      </w:r>
    </w:p>
    <w:p w14:paraId="76C54FBA" w14:textId="05FBEF52" w:rsidR="0038420D" w:rsidRPr="00F70616" w:rsidRDefault="0038420D" w:rsidP="00F70616">
      <w:pPr>
        <w:autoSpaceDE w:val="0"/>
        <w:autoSpaceDN w:val="0"/>
        <w:adjustRightInd w:val="0"/>
        <w:jc w:val="both"/>
        <w:rPr>
          <w:rFonts w:eastAsia="Calibri"/>
        </w:rPr>
      </w:pPr>
    </w:p>
    <w:p w14:paraId="527E63DB" w14:textId="55F4AD91" w:rsidR="00F70616" w:rsidRPr="00F70616" w:rsidRDefault="00F70616" w:rsidP="00F70616">
      <w:pPr>
        <w:autoSpaceDE w:val="0"/>
        <w:autoSpaceDN w:val="0"/>
        <w:adjustRightInd w:val="0"/>
        <w:jc w:val="center"/>
        <w:rPr>
          <w:rFonts w:eastAsia="Calibri"/>
          <w:b/>
        </w:rPr>
      </w:pPr>
      <w:r w:rsidRPr="00F70616">
        <w:rPr>
          <w:rFonts w:eastAsia="Calibri"/>
          <w:b/>
        </w:rPr>
        <w:t xml:space="preserve">Članak </w:t>
      </w:r>
      <w:r w:rsidR="00DB54A9" w:rsidRPr="00F70616">
        <w:rPr>
          <w:rFonts w:eastAsia="Calibri"/>
          <w:b/>
        </w:rPr>
        <w:t>1</w:t>
      </w:r>
      <w:r w:rsidR="00773C8B">
        <w:rPr>
          <w:rFonts w:eastAsia="Calibri"/>
          <w:b/>
        </w:rPr>
        <w:t>5</w:t>
      </w:r>
      <w:r w:rsidRPr="00F70616">
        <w:rPr>
          <w:rFonts w:eastAsia="Calibri"/>
          <w:b/>
        </w:rPr>
        <w:t>.</w:t>
      </w:r>
    </w:p>
    <w:p w14:paraId="55C99DD3" w14:textId="77777777" w:rsidR="00F70616" w:rsidRPr="00F70616" w:rsidRDefault="00F70616" w:rsidP="00F70616">
      <w:pPr>
        <w:autoSpaceDE w:val="0"/>
        <w:autoSpaceDN w:val="0"/>
        <w:adjustRightInd w:val="0"/>
        <w:jc w:val="both"/>
        <w:rPr>
          <w:rFonts w:eastAsia="Calibri"/>
        </w:rPr>
      </w:pPr>
    </w:p>
    <w:p w14:paraId="32B89C9E" w14:textId="18018DFD" w:rsidR="00F70616" w:rsidRPr="00F70616" w:rsidRDefault="00F70616" w:rsidP="00F70616">
      <w:pPr>
        <w:autoSpaceDE w:val="0"/>
        <w:autoSpaceDN w:val="0"/>
        <w:adjustRightInd w:val="0"/>
        <w:jc w:val="both"/>
        <w:rPr>
          <w:rFonts w:eastAsia="Calibri"/>
        </w:rPr>
      </w:pPr>
      <w:r w:rsidRPr="00F70616">
        <w:rPr>
          <w:rFonts w:eastAsia="Calibri"/>
        </w:rPr>
        <w:t>Ovaj Zakon stupa na snagu osmoga dana od dana objave u „Narodnim novinama“</w:t>
      </w:r>
      <w:r w:rsidR="00174BFA">
        <w:rPr>
          <w:rFonts w:eastAsia="Calibri"/>
        </w:rPr>
        <w:t>, osim članka 11.b koji je dodan člankom 11. ovoga Zakona koji stupa na snagu na dan uvođenja eura</w:t>
      </w:r>
      <w:r w:rsidRPr="00F70616">
        <w:rPr>
          <w:rFonts w:eastAsia="Calibri"/>
        </w:rPr>
        <w:t>.</w:t>
      </w:r>
    </w:p>
    <w:p w14:paraId="6F5D21A0" w14:textId="77777777" w:rsidR="00F845D8" w:rsidRDefault="00F845D8" w:rsidP="00F845D8">
      <w:pPr>
        <w:suppressAutoHyphens/>
        <w:jc w:val="center"/>
        <w:rPr>
          <w:rFonts w:eastAsia="Calibri"/>
          <w:b/>
        </w:rPr>
        <w:sectPr w:rsidR="00F845D8" w:rsidSect="00F70616">
          <w:footerReference w:type="default" r:id="rId14"/>
          <w:pgSz w:w="11906" w:h="16838" w:code="9"/>
          <w:pgMar w:top="1134" w:right="1418" w:bottom="1247" w:left="1418" w:header="709" w:footer="709" w:gutter="0"/>
          <w:paperSrc w:first="14"/>
          <w:cols w:space="708"/>
          <w:titlePg/>
          <w:docGrid w:linePitch="360"/>
        </w:sectPr>
      </w:pPr>
    </w:p>
    <w:p w14:paraId="62DFFB39" w14:textId="77777777" w:rsidR="00F845D8" w:rsidRDefault="00F845D8" w:rsidP="00F845D8">
      <w:pPr>
        <w:suppressAutoHyphens/>
        <w:jc w:val="center"/>
        <w:rPr>
          <w:rFonts w:eastAsia="Calibri"/>
          <w:b/>
        </w:rPr>
      </w:pPr>
      <w:r>
        <w:rPr>
          <w:rFonts w:eastAsia="Calibri"/>
          <w:b/>
        </w:rPr>
        <w:lastRenderedPageBreak/>
        <w:t xml:space="preserve">O B R A Z L O Ž E N J E </w:t>
      </w:r>
    </w:p>
    <w:p w14:paraId="462815AB" w14:textId="0EC55FDC" w:rsidR="00F845D8" w:rsidRPr="002109C8" w:rsidRDefault="00F845D8" w:rsidP="009442CF">
      <w:pPr>
        <w:suppressAutoHyphens/>
        <w:rPr>
          <w:b/>
          <w:bCs/>
        </w:rPr>
      </w:pPr>
    </w:p>
    <w:p w14:paraId="0AD40C47" w14:textId="77777777" w:rsidR="00F845D8" w:rsidRDefault="00F845D8" w:rsidP="00F845D8">
      <w:pPr>
        <w:autoSpaceDE w:val="0"/>
        <w:autoSpaceDN w:val="0"/>
        <w:adjustRightInd w:val="0"/>
        <w:rPr>
          <w:b/>
          <w:bCs/>
        </w:rPr>
      </w:pPr>
    </w:p>
    <w:p w14:paraId="03E7BA64" w14:textId="77777777" w:rsidR="00F845D8" w:rsidRPr="00EF0BE1" w:rsidRDefault="00F845D8" w:rsidP="00F845D8">
      <w:pPr>
        <w:numPr>
          <w:ilvl w:val="0"/>
          <w:numId w:val="16"/>
        </w:numPr>
        <w:ind w:hanging="720"/>
        <w:jc w:val="both"/>
        <w:rPr>
          <w:rFonts w:eastAsia="Arial"/>
          <w:b/>
          <w:lang w:eastAsia="en-US"/>
        </w:rPr>
      </w:pPr>
      <w:r w:rsidRPr="00EF0BE1">
        <w:rPr>
          <w:rFonts w:eastAsia="Arial"/>
          <w:b/>
          <w:lang w:eastAsia="en-US"/>
        </w:rPr>
        <w:t xml:space="preserve">RAZLOZI ZBOG KOJIH SE ZAKON DONOSI </w:t>
      </w:r>
    </w:p>
    <w:p w14:paraId="6BE64373" w14:textId="77777777" w:rsidR="00F845D8" w:rsidRPr="001F3B3B" w:rsidRDefault="00F845D8" w:rsidP="00F845D8">
      <w:pPr>
        <w:ind w:left="720"/>
        <w:jc w:val="both"/>
        <w:rPr>
          <w:rFonts w:eastAsia="Arial"/>
          <w:b/>
          <w:lang w:eastAsia="en-US"/>
        </w:rPr>
      </w:pPr>
    </w:p>
    <w:p w14:paraId="7BB68AA9" w14:textId="6DE676C0" w:rsidR="00F845D8" w:rsidRDefault="00F845D8" w:rsidP="001063CD">
      <w:pPr>
        <w:autoSpaceDE w:val="0"/>
        <w:autoSpaceDN w:val="0"/>
        <w:adjustRightInd w:val="0"/>
        <w:ind w:firstLine="708"/>
        <w:jc w:val="both"/>
        <w:rPr>
          <w:b/>
          <w:bCs/>
        </w:rPr>
      </w:pPr>
      <w:r>
        <w:rPr>
          <w:bCs/>
        </w:rPr>
        <w:t xml:space="preserve">Konačnim prijedlogom </w:t>
      </w:r>
      <w:r w:rsidR="00ED4821">
        <w:rPr>
          <w:bCs/>
        </w:rPr>
        <w:t xml:space="preserve">zakona </w:t>
      </w:r>
      <w:r>
        <w:rPr>
          <w:bCs/>
        </w:rPr>
        <w:t xml:space="preserve">o </w:t>
      </w:r>
      <w:r w:rsidR="00B6268B">
        <w:rPr>
          <w:bCs/>
        </w:rPr>
        <w:t xml:space="preserve">izmjenama i dopunama Zakona o </w:t>
      </w:r>
      <w:r>
        <w:rPr>
          <w:bCs/>
        </w:rPr>
        <w:t xml:space="preserve">uspostavi infrastrukture za alternativna goriva provest će se </w:t>
      </w:r>
      <w:r w:rsidRPr="00C63444">
        <w:rPr>
          <w:bCs/>
        </w:rPr>
        <w:t xml:space="preserve">usklađivanje s </w:t>
      </w:r>
      <w:r w:rsidR="0057012D">
        <w:rPr>
          <w:bCs/>
        </w:rPr>
        <w:t>propisima Europske unije</w:t>
      </w:r>
      <w:r w:rsidRPr="00C63444">
        <w:rPr>
          <w:bCs/>
        </w:rPr>
        <w:t>,</w:t>
      </w:r>
      <w:r>
        <w:rPr>
          <w:bCs/>
        </w:rPr>
        <w:t xml:space="preserve"> </w:t>
      </w:r>
      <w:r w:rsidRPr="00C63444">
        <w:rPr>
          <w:bCs/>
        </w:rPr>
        <w:t>stvoriti preduvjeti za daljnji razvoj infrastrukture za alternativna goriva,</w:t>
      </w:r>
      <w:r>
        <w:rPr>
          <w:bCs/>
        </w:rPr>
        <w:t xml:space="preserve"> odrediti </w:t>
      </w:r>
      <w:r w:rsidRPr="00C63444">
        <w:rPr>
          <w:bCs/>
        </w:rPr>
        <w:t>način uspostave registra punionica</w:t>
      </w:r>
      <w:r>
        <w:rPr>
          <w:bCs/>
        </w:rPr>
        <w:t>, kao</w:t>
      </w:r>
      <w:r w:rsidRPr="00C63444">
        <w:rPr>
          <w:bCs/>
        </w:rPr>
        <w:t xml:space="preserve"> i </w:t>
      </w:r>
      <w:r>
        <w:rPr>
          <w:bCs/>
        </w:rPr>
        <w:t>usporedba</w:t>
      </w:r>
      <w:r w:rsidRPr="00C63444">
        <w:rPr>
          <w:bCs/>
        </w:rPr>
        <w:t xml:space="preserve"> jediničnih cijena alternativnih i konvencionalnih goriva</w:t>
      </w:r>
      <w:r>
        <w:rPr>
          <w:bCs/>
        </w:rPr>
        <w:t xml:space="preserve">. </w:t>
      </w:r>
    </w:p>
    <w:p w14:paraId="24F26736" w14:textId="77777777" w:rsidR="00F845D8" w:rsidRPr="002109C8" w:rsidRDefault="00F845D8" w:rsidP="00F845D8">
      <w:pPr>
        <w:autoSpaceDE w:val="0"/>
        <w:autoSpaceDN w:val="0"/>
        <w:adjustRightInd w:val="0"/>
        <w:rPr>
          <w:b/>
          <w:bCs/>
        </w:rPr>
      </w:pPr>
    </w:p>
    <w:p w14:paraId="5E5F4BDD" w14:textId="77777777" w:rsidR="00F845D8" w:rsidRPr="00C63444" w:rsidRDefault="00F845D8" w:rsidP="00F845D8">
      <w:pPr>
        <w:autoSpaceDE w:val="0"/>
        <w:autoSpaceDN w:val="0"/>
        <w:adjustRightInd w:val="0"/>
        <w:jc w:val="both"/>
        <w:rPr>
          <w:b/>
          <w:bCs/>
        </w:rPr>
      </w:pPr>
    </w:p>
    <w:p w14:paraId="08EE528E" w14:textId="12A01A35" w:rsidR="00F845D8" w:rsidRPr="002109C8" w:rsidRDefault="00F845D8" w:rsidP="001063CD">
      <w:pPr>
        <w:ind w:firstLine="708"/>
        <w:jc w:val="both"/>
      </w:pPr>
      <w:r w:rsidRPr="002109C8">
        <w:t>Pravni okvir za korištenje alternativnih goriva u prometu i razvoj infrastrukture za ista donesen je Zakonom o uspostavi infrastrukture za alternativna goriva („Narodne novine“, br</w:t>
      </w:r>
      <w:r w:rsidR="00992B2F">
        <w:t>oj</w:t>
      </w:r>
      <w:r w:rsidRPr="002109C8">
        <w:t xml:space="preserve"> 120/16</w:t>
      </w:r>
      <w:r w:rsidR="00992B2F">
        <w:t>.</w:t>
      </w:r>
      <w:r w:rsidRPr="002109C8">
        <w:t>).</w:t>
      </w:r>
    </w:p>
    <w:p w14:paraId="39E1BFF8" w14:textId="77777777" w:rsidR="00F845D8" w:rsidRPr="002109C8" w:rsidRDefault="00F845D8" w:rsidP="00F845D8">
      <w:pPr>
        <w:jc w:val="both"/>
      </w:pPr>
    </w:p>
    <w:p w14:paraId="248E5148" w14:textId="64DC8D3F" w:rsidR="00F845D8" w:rsidRPr="002109C8" w:rsidRDefault="00F845D8" w:rsidP="001063CD">
      <w:pPr>
        <w:ind w:firstLine="708"/>
        <w:jc w:val="both"/>
      </w:pPr>
      <w:r w:rsidRPr="002109C8">
        <w:t>U skladu sa za sada raspoloživim tehnologijama te uzimajući u obzir europsko okruženje i pravni okvir Europske unije tj. Direktivu 2014/94/EU Europskog parlamenta i Vijeća od 22. listopada 2014. godine o uspostavi infrastrukture za alternativna goriva (SL L 307, 28.10.2014.), u daljnjem tekstu: Direktiva 2014/94/EU, u Republici Hrvatskoj alternativna goriva koja se koriste u prometu obuhvaćaju: električnu energiju, vodik, biogoriva, prirodni plin i ukapljeni naftni plin (UNP). Osim UNP-a i korištenja biogoriva, u Republici Hrvatskoj za sada postoji izuzetno ograničeno korištenje ostalih alternativnih goriva u prometu, uz vrlo malo tržište za prijevozna sredstva koja ne koriste naftne derivate. Cilj Republike Hrvatske je razviti infrastrukturu za alternativna goriva kao preduvjet za korištenje alternativnih goriva u prometu kako bi se postigao razvoj održivog tržišta i prometnog sustava na temelju istih, koji bi rezultirali minimalnim negativnim učinkom po okoliš i društvo.</w:t>
      </w:r>
    </w:p>
    <w:p w14:paraId="02D0F5E0" w14:textId="77777777" w:rsidR="00F845D8" w:rsidRPr="002109C8" w:rsidRDefault="00F845D8" w:rsidP="00F845D8">
      <w:pPr>
        <w:jc w:val="both"/>
      </w:pPr>
    </w:p>
    <w:p w14:paraId="25754720" w14:textId="2CB1680E" w:rsidR="00F845D8" w:rsidRDefault="00992B2F" w:rsidP="001063CD">
      <w:pPr>
        <w:ind w:firstLine="708"/>
        <w:jc w:val="both"/>
      </w:pPr>
      <w:r>
        <w:t>Ovim Zakonom</w:t>
      </w:r>
      <w:r w:rsidR="0057012D">
        <w:t xml:space="preserve"> se provode odredbe </w:t>
      </w:r>
      <w:r w:rsidR="00F845D8" w:rsidRPr="002109C8">
        <w:t>Delegirane uredbe Komisije (EU) 2019/1745 оd 13. kolovoza 2019. o dopuni i izmjeni Direktive 2014/94/EU Europskog parlamenta i Vijeća u pogledu mjesta za punjenje motornih vozila kategorije L, opskrbe električnom energijom s kopna za plovila na unutarnjim vodnim putovima, opskrbe vodikom za cestovni promet, opskrbe prirodnim plinom za cestovni i vodni promet te o stavljanju izvan snage Delegirane uredbe Komisije (EU) 2018/674.</w:t>
      </w:r>
      <w:r w:rsidR="00207F41">
        <w:t xml:space="preserve"> (u daljnjem tekstu: Delegirana uredba Komisije </w:t>
      </w:r>
      <w:r w:rsidR="00207F41" w:rsidRPr="002109C8">
        <w:t>(EU) 2019/1745</w:t>
      </w:r>
      <w:r w:rsidR="00207F41">
        <w:t>).</w:t>
      </w:r>
      <w:r w:rsidR="00F845D8" w:rsidRPr="002109C8">
        <w:t xml:space="preserve"> </w:t>
      </w:r>
      <w:r w:rsidR="00801C7E">
        <w:t>Predloženim Zakonom</w:t>
      </w:r>
      <w:r w:rsidR="00801C7E" w:rsidRPr="002109C8">
        <w:t xml:space="preserve"> </w:t>
      </w:r>
      <w:r w:rsidR="00F845D8" w:rsidRPr="002109C8">
        <w:t>se osigurava primjena Provedbene uredbe komisije (EU) 2018/732 оd 17. svibnja 2018. o zajedničkoj metodologiji za usporedbu jediničnih cijena alternativnih goriva u skladu s Direktivom 2014/94/EU Europskog parlamenta i Vijeća.</w:t>
      </w:r>
    </w:p>
    <w:p w14:paraId="2CF1A26D" w14:textId="77777777" w:rsidR="0057012D" w:rsidRPr="002109C8" w:rsidRDefault="0057012D" w:rsidP="001063CD">
      <w:pPr>
        <w:ind w:firstLine="708"/>
        <w:jc w:val="both"/>
      </w:pPr>
    </w:p>
    <w:p w14:paraId="05CD7630" w14:textId="273EF294" w:rsidR="00F845D8" w:rsidRPr="002109C8" w:rsidRDefault="00376326" w:rsidP="001063CD">
      <w:pPr>
        <w:ind w:firstLine="708"/>
        <w:jc w:val="both"/>
        <w:rPr>
          <w:color w:val="000000"/>
        </w:rPr>
      </w:pPr>
      <w:r>
        <w:rPr>
          <w:color w:val="000000"/>
        </w:rPr>
        <w:t xml:space="preserve">Predloženim </w:t>
      </w:r>
      <w:r w:rsidR="00F845D8" w:rsidRPr="002109C8">
        <w:rPr>
          <w:color w:val="000000"/>
        </w:rPr>
        <w:t xml:space="preserve">Zakonom dodatno se uređuju, radi interoperabilnosti, područja vezana za mjesta za punjenje motornih vozila kategorije L, </w:t>
      </w:r>
      <w:r w:rsidRPr="002109C8">
        <w:rPr>
          <w:color w:val="000000"/>
        </w:rPr>
        <w:t>opskrb</w:t>
      </w:r>
      <w:r>
        <w:rPr>
          <w:color w:val="000000"/>
        </w:rPr>
        <w:t>a</w:t>
      </w:r>
      <w:r w:rsidRPr="002109C8">
        <w:rPr>
          <w:color w:val="000000"/>
        </w:rPr>
        <w:t xml:space="preserve"> </w:t>
      </w:r>
      <w:r w:rsidR="00F845D8" w:rsidRPr="002109C8">
        <w:rPr>
          <w:color w:val="000000"/>
        </w:rPr>
        <w:t xml:space="preserve">električnom energijom s kopna za plovila na unutarnjim vodnim putovima i mjesta za opskrbu ukapljenim prirodnim plinom za vodni promet te </w:t>
      </w:r>
      <w:r>
        <w:rPr>
          <w:color w:val="000000"/>
        </w:rPr>
        <w:t xml:space="preserve">se regulira </w:t>
      </w:r>
      <w:r w:rsidRPr="002109C8">
        <w:rPr>
          <w:color w:val="000000"/>
        </w:rPr>
        <w:t>nov</w:t>
      </w:r>
      <w:r>
        <w:rPr>
          <w:color w:val="000000"/>
        </w:rPr>
        <w:t>i</w:t>
      </w:r>
      <w:r w:rsidRPr="002109C8">
        <w:rPr>
          <w:color w:val="000000"/>
        </w:rPr>
        <w:t xml:space="preserve"> </w:t>
      </w:r>
      <w:r w:rsidR="00F845D8" w:rsidRPr="002109C8">
        <w:rPr>
          <w:color w:val="000000"/>
        </w:rPr>
        <w:t xml:space="preserve">razvoj događaja nastalog aktivnostima Europskog odbora za normizaciju (CEN-a) i Europskog odbora za elektrotehničku normizaciju (Cenelec-a) u području normi za opskrbu prirodnim plinom i vodikom. </w:t>
      </w:r>
      <w:r w:rsidR="00F845D8" w:rsidRPr="0057012D">
        <w:rPr>
          <w:color w:val="000000"/>
        </w:rPr>
        <w:t>Delegirana uredba Komisije (EU) 2018/674</w:t>
      </w:r>
      <w:r w:rsidR="00F845D8" w:rsidRPr="002109C8">
        <w:rPr>
          <w:color w:val="000000"/>
        </w:rPr>
        <w:t xml:space="preserve"> </w:t>
      </w:r>
      <w:r w:rsidR="0057012D">
        <w:rPr>
          <w:color w:val="000000"/>
        </w:rPr>
        <w:t>o</w:t>
      </w:r>
      <w:r w:rsidR="0057012D" w:rsidRPr="0057012D">
        <w:rPr>
          <w:color w:val="000000"/>
        </w:rPr>
        <w:t>d 17. studenoga 2017. o dopuni Direktive 2014/94/EU Europskog parlamenta i Vijeća u pogledu mjesta za punjenje motornih vozila kategorije L, opskrbe električnom energijom s kopna plovila na unutarnjim vodnim putovima i mjesta za opskrbu ukapljenim prirodnim plinom vodnog prometa te o izmjeni te direktive u pogledu priključaka za motorna vozila za opskrbu plinovitim vodikom</w:t>
      </w:r>
      <w:r w:rsidR="000C3F53">
        <w:rPr>
          <w:color w:val="000000"/>
        </w:rPr>
        <w:t xml:space="preserve"> </w:t>
      </w:r>
      <w:r w:rsidR="00F845D8" w:rsidRPr="002109C8">
        <w:rPr>
          <w:color w:val="000000"/>
        </w:rPr>
        <w:t>stavlja se izvan snage. Osigurava se uspostava registra punionica alternativnih goriva i informiranje korisnika. Postaje za opskrbu gorivom obavezne su prikazivati usporedbu jediničnih cijena alternativnih i konvencionalnih goriva.</w:t>
      </w:r>
    </w:p>
    <w:p w14:paraId="363BB49A" w14:textId="77777777" w:rsidR="00F845D8" w:rsidRPr="002109C8" w:rsidRDefault="00F845D8" w:rsidP="00F845D8">
      <w:pPr>
        <w:jc w:val="both"/>
        <w:rPr>
          <w:color w:val="000000"/>
        </w:rPr>
      </w:pPr>
    </w:p>
    <w:p w14:paraId="2B8C5562" w14:textId="7C23A285" w:rsidR="00F845D8" w:rsidRPr="002109C8" w:rsidRDefault="00F845D8" w:rsidP="001063CD">
      <w:pPr>
        <w:ind w:firstLine="708"/>
        <w:jc w:val="both"/>
      </w:pPr>
      <w:r w:rsidRPr="002109C8">
        <w:rPr>
          <w:color w:val="000000"/>
        </w:rPr>
        <w:t xml:space="preserve">Treba </w:t>
      </w:r>
      <w:r w:rsidR="00376326" w:rsidRPr="002109C8">
        <w:rPr>
          <w:color w:val="000000"/>
        </w:rPr>
        <w:t>napomenut</w:t>
      </w:r>
      <w:r w:rsidR="00376326">
        <w:rPr>
          <w:color w:val="000000"/>
        </w:rPr>
        <w:t>i</w:t>
      </w:r>
      <w:r w:rsidR="001063CD">
        <w:rPr>
          <w:color w:val="000000"/>
        </w:rPr>
        <w:t>,</w:t>
      </w:r>
      <w:r w:rsidR="00376326" w:rsidRPr="002109C8">
        <w:rPr>
          <w:color w:val="000000"/>
        </w:rPr>
        <w:t xml:space="preserve"> </w:t>
      </w:r>
      <w:r w:rsidRPr="002109C8">
        <w:rPr>
          <w:color w:val="000000"/>
        </w:rPr>
        <w:t>kako je također Nacionalnim okvirom politike za uspostavu infrastrukture za alternativna goriva i razvoj tržišta alternativnih goriva u prometu („Narodne novine“, broj 34/17</w:t>
      </w:r>
      <w:r w:rsidR="00992B2F">
        <w:rPr>
          <w:color w:val="000000"/>
        </w:rPr>
        <w:t>.</w:t>
      </w:r>
      <w:r w:rsidRPr="002109C8">
        <w:rPr>
          <w:color w:val="000000"/>
        </w:rPr>
        <w:t xml:space="preserve">, u daljnjem tekstu: NOP) predviđena obveza donošenja </w:t>
      </w:r>
      <w:r w:rsidRPr="002109C8">
        <w:t>zakonskih i podzakonskih akata kojima će se urediti određivanje uvjeta priključka na elektroenergetski sustav za punionice, uvjete distribuiranja, naplate i jediničnu cijenu alternativnih energenata koji se koriste u prometu, te određivanje uvjeta punionica za ukapljeni prirodni plin (UPP) i stlačeni prirodni plin (SPP).</w:t>
      </w:r>
    </w:p>
    <w:p w14:paraId="41B4577C" w14:textId="77777777" w:rsidR="00F845D8" w:rsidRPr="002109C8" w:rsidRDefault="00F845D8" w:rsidP="00F845D8">
      <w:pPr>
        <w:jc w:val="both"/>
        <w:rPr>
          <w:color w:val="000000"/>
          <w:highlight w:val="yellow"/>
        </w:rPr>
      </w:pPr>
    </w:p>
    <w:p w14:paraId="3E8D0371" w14:textId="3760280E" w:rsidR="00F845D8" w:rsidRPr="002109C8" w:rsidRDefault="00F845D8" w:rsidP="001063CD">
      <w:pPr>
        <w:ind w:firstLine="708"/>
        <w:jc w:val="both"/>
        <w:rPr>
          <w:color w:val="000000"/>
        </w:rPr>
      </w:pPr>
      <w:r w:rsidRPr="002109C8">
        <w:rPr>
          <w:color w:val="000000"/>
        </w:rPr>
        <w:t>Slijedom navedenog</w:t>
      </w:r>
      <w:r w:rsidR="00992B2F">
        <w:rPr>
          <w:color w:val="000000"/>
        </w:rPr>
        <w:t>a,</w:t>
      </w:r>
      <w:r w:rsidRPr="002109C8">
        <w:rPr>
          <w:color w:val="000000"/>
        </w:rPr>
        <w:t xml:space="preserve"> pristupilo se izradi </w:t>
      </w:r>
      <w:r w:rsidR="00992B2F" w:rsidRPr="002109C8">
        <w:rPr>
          <w:color w:val="000000"/>
        </w:rPr>
        <w:t>izmjen</w:t>
      </w:r>
      <w:r w:rsidR="00992B2F">
        <w:rPr>
          <w:color w:val="000000"/>
        </w:rPr>
        <w:t>a</w:t>
      </w:r>
      <w:r w:rsidR="00992B2F" w:rsidRPr="002109C8">
        <w:rPr>
          <w:color w:val="000000"/>
        </w:rPr>
        <w:t xml:space="preserve"> </w:t>
      </w:r>
      <w:r w:rsidRPr="002109C8">
        <w:rPr>
          <w:color w:val="000000"/>
        </w:rPr>
        <w:t xml:space="preserve">i </w:t>
      </w:r>
      <w:r w:rsidR="00992B2F" w:rsidRPr="002109C8">
        <w:rPr>
          <w:color w:val="000000"/>
        </w:rPr>
        <w:t>dopun</w:t>
      </w:r>
      <w:r w:rsidR="00992B2F">
        <w:rPr>
          <w:color w:val="000000"/>
        </w:rPr>
        <w:t>a</w:t>
      </w:r>
      <w:r w:rsidR="00992B2F" w:rsidRPr="002109C8">
        <w:rPr>
          <w:color w:val="000000"/>
        </w:rPr>
        <w:t xml:space="preserve"> </w:t>
      </w:r>
      <w:r w:rsidRPr="002109C8">
        <w:rPr>
          <w:color w:val="000000"/>
        </w:rPr>
        <w:t>Zakona kao i izradi nacrta provedbenih propisa čime će se provesti usklađivanje s</w:t>
      </w:r>
      <w:r w:rsidR="00D556A1">
        <w:rPr>
          <w:color w:val="000000"/>
        </w:rPr>
        <w:t xml:space="preserve"> propisima Europske unije</w:t>
      </w:r>
      <w:r w:rsidRPr="002109C8">
        <w:rPr>
          <w:color w:val="000000"/>
        </w:rPr>
        <w:t>, ispuniti navedena obveza iz NOP-a i ujedno stvoriti preduvjeti za daljnji razvoj infrastrukture za alternativna goriva.</w:t>
      </w:r>
    </w:p>
    <w:p w14:paraId="42C9E642" w14:textId="77777777" w:rsidR="00F845D8" w:rsidRDefault="00F845D8" w:rsidP="00F845D8">
      <w:pPr>
        <w:jc w:val="both"/>
      </w:pPr>
    </w:p>
    <w:p w14:paraId="56935482" w14:textId="77777777" w:rsidR="00F845D8" w:rsidRDefault="00F845D8" w:rsidP="00F845D8">
      <w:pPr>
        <w:jc w:val="both"/>
      </w:pPr>
    </w:p>
    <w:p w14:paraId="6D1DD398" w14:textId="179DC185" w:rsidR="00F845D8" w:rsidRPr="00EF0BE1" w:rsidRDefault="00F845D8" w:rsidP="00F845D8">
      <w:pPr>
        <w:numPr>
          <w:ilvl w:val="0"/>
          <w:numId w:val="16"/>
        </w:numPr>
        <w:ind w:hanging="720"/>
        <w:jc w:val="both"/>
        <w:rPr>
          <w:rFonts w:eastAsia="Arial"/>
          <w:b/>
          <w:bCs/>
          <w:lang w:eastAsia="en-US"/>
        </w:rPr>
      </w:pPr>
      <w:r w:rsidRPr="00EF0BE1">
        <w:rPr>
          <w:rFonts w:eastAsia="Arial"/>
          <w:b/>
          <w:bCs/>
          <w:lang w:eastAsia="en-US"/>
        </w:rPr>
        <w:t>PITANJA KOJA SE ZAKONOM</w:t>
      </w:r>
      <w:r w:rsidR="00511107">
        <w:rPr>
          <w:rFonts w:eastAsia="Arial"/>
          <w:b/>
          <w:bCs/>
          <w:lang w:eastAsia="en-US"/>
        </w:rPr>
        <w:t xml:space="preserve"> RJEŠAVAJU</w:t>
      </w:r>
    </w:p>
    <w:p w14:paraId="2C4B5C4A" w14:textId="77777777" w:rsidR="00F845D8" w:rsidRPr="002109C8" w:rsidRDefault="00F845D8" w:rsidP="00F845D8">
      <w:pPr>
        <w:jc w:val="both"/>
      </w:pPr>
    </w:p>
    <w:p w14:paraId="62205647" w14:textId="77777777" w:rsidR="00F845D8" w:rsidRPr="000A1EC0" w:rsidRDefault="00F845D8" w:rsidP="005738C4">
      <w:pPr>
        <w:autoSpaceDE w:val="0"/>
        <w:autoSpaceDN w:val="0"/>
        <w:adjustRightInd w:val="0"/>
        <w:ind w:firstLine="709"/>
        <w:jc w:val="both"/>
        <w:rPr>
          <w:bCs/>
        </w:rPr>
      </w:pPr>
      <w:r w:rsidRPr="000A1EC0">
        <w:rPr>
          <w:bCs/>
        </w:rPr>
        <w:t>Konačnim prijedlogom zakona uređuju se sljedeća osnovna pitanja:</w:t>
      </w:r>
    </w:p>
    <w:p w14:paraId="0D9AC201" w14:textId="77777777" w:rsidR="00F845D8" w:rsidRPr="000A1EC0" w:rsidRDefault="00F845D8" w:rsidP="00F845D8">
      <w:pPr>
        <w:numPr>
          <w:ilvl w:val="0"/>
          <w:numId w:val="4"/>
        </w:numPr>
        <w:jc w:val="both"/>
      </w:pPr>
      <w:r w:rsidRPr="000A1EC0">
        <w:rPr>
          <w:shd w:val="clear" w:color="auto" w:fill="FFFFFF"/>
        </w:rPr>
        <w:t xml:space="preserve">propisuju se tehničke specifikacije za mjesta za punjenje motornih vozila kategorije L </w:t>
      </w:r>
    </w:p>
    <w:p w14:paraId="05115C89" w14:textId="77777777" w:rsidR="00F845D8" w:rsidRPr="000A1EC0" w:rsidRDefault="00F845D8" w:rsidP="00F845D8">
      <w:pPr>
        <w:numPr>
          <w:ilvl w:val="0"/>
          <w:numId w:val="4"/>
        </w:numPr>
        <w:jc w:val="both"/>
      </w:pPr>
      <w:r w:rsidRPr="000A1EC0">
        <w:t>propisuju se tehničke specifikacije za opskrbu električnom energijom s kopna za plovila na unutarnjim vodnim putovima mora biti u skladu s normom EN 15869-2 ili normom EN 16840, ovisno o energetskim zahtjevima</w:t>
      </w:r>
    </w:p>
    <w:p w14:paraId="0617A1C8" w14:textId="77777777" w:rsidR="00F845D8" w:rsidRPr="000A1EC0" w:rsidRDefault="00F845D8" w:rsidP="00F845D8">
      <w:pPr>
        <w:numPr>
          <w:ilvl w:val="0"/>
          <w:numId w:val="4"/>
        </w:numPr>
        <w:jc w:val="both"/>
      </w:pPr>
      <w:r w:rsidRPr="000A1EC0">
        <w:t>propisuju se tehničke specifikacije za mjesta za opskrbu stlačenim prirodnim plinom (SPP) za motorna vozila</w:t>
      </w:r>
    </w:p>
    <w:p w14:paraId="53A61700" w14:textId="77777777" w:rsidR="00F845D8" w:rsidRPr="000A1EC0" w:rsidRDefault="00F845D8" w:rsidP="00F845D8">
      <w:pPr>
        <w:numPr>
          <w:ilvl w:val="0"/>
          <w:numId w:val="4"/>
        </w:numPr>
        <w:jc w:val="both"/>
      </w:pPr>
      <w:r w:rsidRPr="000A1EC0">
        <w:t xml:space="preserve">propisuju se tehničke specifikacije za mjesta za opskrbu plovila na unutarnjim plovnim putovima ili morskih brodova </w:t>
      </w:r>
    </w:p>
    <w:p w14:paraId="25CD2E52" w14:textId="6E34FB21" w:rsidR="00F845D8" w:rsidRPr="000A1EC0" w:rsidRDefault="00F845D8" w:rsidP="00F845D8">
      <w:pPr>
        <w:numPr>
          <w:ilvl w:val="0"/>
          <w:numId w:val="4"/>
        </w:numPr>
        <w:jc w:val="both"/>
      </w:pPr>
      <w:r w:rsidRPr="000A1EC0">
        <w:t>mijenja se Prilog II. Direktivi 2014/94/EU, točke: 2.1., 2.2., 2.3. i 2.4. vezano za tehničke specifikacije koje se odnose na stanice na otvorenom za punjenje plinovitim vodikom koji se upotrebljava kao gorivo u motornim vozilima, uključujući karakteristike kvalitete vodika, algoritam za dovod goriva, kao i priključaka za opskrbu motornih vozila plinovitim vodikom</w:t>
      </w:r>
    </w:p>
    <w:p w14:paraId="4B76D907" w14:textId="08445146" w:rsidR="00F845D8" w:rsidRPr="000A1EC0" w:rsidRDefault="00F845D8" w:rsidP="00ED735A">
      <w:pPr>
        <w:numPr>
          <w:ilvl w:val="0"/>
          <w:numId w:val="4"/>
        </w:numPr>
        <w:jc w:val="both"/>
      </w:pPr>
      <w:r w:rsidRPr="000A1EC0">
        <w:t>mijenja se Prilog II. Direktivi 2014/94/EU, točka 3.3. vezano za tehničke specifikacije koje se odnose na profil priključka za punjenje stlačenim prirodnim plinom (SPP)</w:t>
      </w:r>
    </w:p>
    <w:p w14:paraId="2970C832" w14:textId="1435A989" w:rsidR="00F845D8" w:rsidRPr="000A1EC0" w:rsidRDefault="00F845D8" w:rsidP="00F845D8">
      <w:pPr>
        <w:numPr>
          <w:ilvl w:val="0"/>
          <w:numId w:val="4"/>
        </w:numPr>
        <w:jc w:val="both"/>
      </w:pPr>
      <w:r w:rsidRPr="000A1EC0">
        <w:t>delegirana uredba Komisije (EU) 2018/674 stavlja se izvan snage</w:t>
      </w:r>
    </w:p>
    <w:p w14:paraId="66BCFA28" w14:textId="77777777" w:rsidR="00F845D8" w:rsidRPr="000A1EC0" w:rsidRDefault="00F845D8" w:rsidP="00F845D8">
      <w:pPr>
        <w:numPr>
          <w:ilvl w:val="0"/>
          <w:numId w:val="4"/>
        </w:numPr>
        <w:jc w:val="both"/>
      </w:pPr>
      <w:r w:rsidRPr="000A1EC0">
        <w:t>određuje se način uspostave registra punionica</w:t>
      </w:r>
    </w:p>
    <w:p w14:paraId="7AD5C21F" w14:textId="77777777" w:rsidR="00F845D8" w:rsidRPr="000F4719" w:rsidRDefault="00F845D8" w:rsidP="00F845D8">
      <w:pPr>
        <w:numPr>
          <w:ilvl w:val="0"/>
          <w:numId w:val="4"/>
        </w:numPr>
        <w:jc w:val="both"/>
      </w:pPr>
      <w:r w:rsidRPr="000A1EC0">
        <w:t>uspostavlja se sustav o usporedbi jediničnih cijena alternativnih i konvencionalnih</w:t>
      </w:r>
      <w:r w:rsidRPr="002109C8">
        <w:t xml:space="preserve"> goriva</w:t>
      </w:r>
      <w:r w:rsidR="001063CD">
        <w:t>.</w:t>
      </w:r>
    </w:p>
    <w:p w14:paraId="7585072F" w14:textId="77777777" w:rsidR="00F845D8" w:rsidRPr="002109C8" w:rsidRDefault="00F845D8" w:rsidP="00F845D8">
      <w:pPr>
        <w:autoSpaceDE w:val="0"/>
        <w:autoSpaceDN w:val="0"/>
        <w:adjustRightInd w:val="0"/>
        <w:jc w:val="both"/>
      </w:pPr>
    </w:p>
    <w:p w14:paraId="1F42F7AE" w14:textId="3F7A6C1B" w:rsidR="00F845D8" w:rsidRPr="002109C8" w:rsidRDefault="00F845D8" w:rsidP="00F845D8">
      <w:pPr>
        <w:shd w:val="clear" w:color="auto" w:fill="FFFFFF"/>
        <w:ind w:firstLine="709"/>
        <w:jc w:val="both"/>
        <w:rPr>
          <w:shd w:val="clear" w:color="auto" w:fill="FFFFFF"/>
        </w:rPr>
      </w:pPr>
    </w:p>
    <w:p w14:paraId="672498FD" w14:textId="78B19664" w:rsidR="00F845D8" w:rsidRPr="002109C8" w:rsidRDefault="001063CD" w:rsidP="00F845D8">
      <w:pPr>
        <w:shd w:val="clear" w:color="auto" w:fill="FFFFFF"/>
        <w:ind w:firstLine="709"/>
        <w:jc w:val="both"/>
        <w:rPr>
          <w:shd w:val="clear" w:color="auto" w:fill="FFFFFF"/>
        </w:rPr>
      </w:pPr>
      <w:r>
        <w:rPr>
          <w:shd w:val="clear" w:color="auto" w:fill="FFFFFF"/>
        </w:rPr>
        <w:t xml:space="preserve">Ovim </w:t>
      </w:r>
      <w:r w:rsidR="00F845D8" w:rsidRPr="002109C8">
        <w:rPr>
          <w:shd w:val="clear" w:color="auto" w:fill="FFFFFF"/>
        </w:rPr>
        <w:t>Zakonom će se osigurati da tehničke specifikacije za interoperabilnost mjesta za punjenje i opskrbu alternativnih goriva budu specificirane u skladu s europskim i međunarodnim normama tako da se potrebne tehničke specifikacije utvrde uzimajući u obzir postojeće europske norme i povezane međunarodne normizacijske aktivnosti. Norme koje je izradio Europski odbor za normizaciju (CEN) i Europski odbor za elektrotehničku normizaciju</w:t>
      </w:r>
      <w:r w:rsidR="00F845D8" w:rsidRPr="002109C8">
        <w:rPr>
          <w:spacing w:val="-10"/>
          <w:w w:val="95"/>
          <w:sz w:val="19"/>
        </w:rPr>
        <w:t xml:space="preserve"> (</w:t>
      </w:r>
      <w:r w:rsidR="00F845D8" w:rsidRPr="002109C8">
        <w:rPr>
          <w:shd w:val="clear" w:color="auto" w:fill="FFFFFF"/>
        </w:rPr>
        <w:t xml:space="preserve">Cenelec) prihvatila je europska industrija kako bi se u cijeloj </w:t>
      </w:r>
      <w:r w:rsidR="00207F41">
        <w:rPr>
          <w:shd w:val="clear" w:color="auto" w:fill="FFFFFF"/>
        </w:rPr>
        <w:t>Europskoj u</w:t>
      </w:r>
      <w:r w:rsidR="00207F41" w:rsidRPr="002109C8">
        <w:rPr>
          <w:shd w:val="clear" w:color="auto" w:fill="FFFFFF"/>
        </w:rPr>
        <w:t xml:space="preserve">niji </w:t>
      </w:r>
      <w:r w:rsidR="00F845D8" w:rsidRPr="002109C8">
        <w:rPr>
          <w:shd w:val="clear" w:color="auto" w:fill="FFFFFF"/>
        </w:rPr>
        <w:t xml:space="preserve">osigurala mobilnost s vozilima i plovilima na različita goriva. CEN i Cenelec predložili su </w:t>
      </w:r>
      <w:r w:rsidR="00207F41">
        <w:rPr>
          <w:shd w:val="clear" w:color="auto" w:fill="FFFFFF"/>
        </w:rPr>
        <w:t>Europskoj k</w:t>
      </w:r>
      <w:r w:rsidR="00207F41" w:rsidRPr="002109C8">
        <w:rPr>
          <w:shd w:val="clear" w:color="auto" w:fill="FFFFFF"/>
        </w:rPr>
        <w:t xml:space="preserve">omisiji </w:t>
      </w:r>
      <w:r w:rsidR="00F845D8" w:rsidRPr="002109C8">
        <w:rPr>
          <w:shd w:val="clear" w:color="auto" w:fill="FFFFFF"/>
        </w:rPr>
        <w:t xml:space="preserve">da te norme uključe u pravni okvir </w:t>
      </w:r>
      <w:r w:rsidR="00207F41">
        <w:rPr>
          <w:shd w:val="clear" w:color="auto" w:fill="FFFFFF"/>
        </w:rPr>
        <w:t>Europske u</w:t>
      </w:r>
      <w:r w:rsidR="00207F41" w:rsidRPr="002109C8">
        <w:rPr>
          <w:shd w:val="clear" w:color="auto" w:fill="FFFFFF"/>
        </w:rPr>
        <w:t>nije</w:t>
      </w:r>
      <w:r w:rsidR="00F845D8" w:rsidRPr="002109C8">
        <w:rPr>
          <w:shd w:val="clear" w:color="auto" w:fill="FFFFFF"/>
        </w:rPr>
        <w:t>. U skladu s navedenim potrebno je Tehničke specifikacije iz Priloga II. Direktive 2014/94/EU na odgovarajući način dopuniti ili izmijeniti.</w:t>
      </w:r>
      <w:r w:rsidR="00F845D8" w:rsidRPr="002109C8">
        <w:t xml:space="preserve"> </w:t>
      </w:r>
    </w:p>
    <w:p w14:paraId="020E0665" w14:textId="77777777" w:rsidR="00F845D8" w:rsidRPr="002109C8" w:rsidRDefault="00F845D8" w:rsidP="00F845D8">
      <w:pPr>
        <w:shd w:val="clear" w:color="auto" w:fill="FFFFFF"/>
        <w:ind w:firstLine="708"/>
        <w:jc w:val="both"/>
        <w:rPr>
          <w:shd w:val="clear" w:color="auto" w:fill="FFFFFF"/>
        </w:rPr>
      </w:pPr>
    </w:p>
    <w:p w14:paraId="6F17F40E" w14:textId="77777777" w:rsidR="00F845D8" w:rsidRPr="002109C8" w:rsidRDefault="00F845D8" w:rsidP="00F845D8">
      <w:pPr>
        <w:shd w:val="clear" w:color="auto" w:fill="FFFFFF"/>
        <w:ind w:firstLine="708"/>
        <w:jc w:val="both"/>
        <w:rPr>
          <w:shd w:val="clear" w:color="auto" w:fill="FFFFFF"/>
        </w:rPr>
      </w:pPr>
      <w:r w:rsidRPr="002109C8">
        <w:rPr>
          <w:shd w:val="clear" w:color="auto" w:fill="FFFFFF"/>
        </w:rPr>
        <w:lastRenderedPageBreak/>
        <w:t>Odredbe vezane za interoperabilnost u kontekstu Delegirane uredbe (EU) 2019/1745 odnose se isključivo na kapacitet stanica za punjenje i opskrbu kako bi se opskrbljivali s energijom u obliku koji je kompatibilan sa svim tehnologijama vozila te kako bi se omogućila neometana upotreba vozila na alternativna goriva na cijelom području EU-a.</w:t>
      </w:r>
    </w:p>
    <w:p w14:paraId="04FAB31B" w14:textId="77777777" w:rsidR="00F845D8" w:rsidRDefault="00F845D8" w:rsidP="00F845D8">
      <w:pPr>
        <w:shd w:val="clear" w:color="auto" w:fill="FFFFFF"/>
        <w:spacing w:line="288" w:lineRule="atLeast"/>
        <w:jc w:val="both"/>
      </w:pPr>
    </w:p>
    <w:p w14:paraId="20B5BA26" w14:textId="77777777" w:rsidR="00F845D8" w:rsidRDefault="00F845D8" w:rsidP="00C032D3">
      <w:pPr>
        <w:shd w:val="clear" w:color="auto" w:fill="FFFFFF"/>
        <w:spacing w:line="288" w:lineRule="atLeast"/>
        <w:ind w:firstLine="708"/>
        <w:jc w:val="both"/>
      </w:pPr>
      <w:r w:rsidRPr="000F4719">
        <w:t xml:space="preserve">U cilju kvalitetnijeg informiranja korisnika kao i praćenja razvoja infrastrukture za alternativna goriva </w:t>
      </w:r>
      <w:r>
        <w:t>Konačnim p</w:t>
      </w:r>
      <w:r w:rsidRPr="000F4719">
        <w:t xml:space="preserve">rijedlogom </w:t>
      </w:r>
      <w:r>
        <w:t>z</w:t>
      </w:r>
      <w:r w:rsidRPr="000F4719">
        <w:t>akona se određuje uspostava registra punionica za alternativna goriva i njegovo vođenje.</w:t>
      </w:r>
    </w:p>
    <w:p w14:paraId="76B30524" w14:textId="77777777" w:rsidR="00F845D8" w:rsidRDefault="00F845D8" w:rsidP="00F845D8">
      <w:pPr>
        <w:shd w:val="clear" w:color="auto" w:fill="FFFFFF"/>
        <w:spacing w:line="288" w:lineRule="atLeast"/>
        <w:jc w:val="both"/>
      </w:pPr>
    </w:p>
    <w:p w14:paraId="4CD91EE7" w14:textId="77777777" w:rsidR="00F845D8" w:rsidRDefault="00F845D8" w:rsidP="00C032D3">
      <w:pPr>
        <w:shd w:val="clear" w:color="auto" w:fill="FFFFFF"/>
        <w:spacing w:line="288" w:lineRule="atLeast"/>
        <w:ind w:firstLine="708"/>
        <w:jc w:val="both"/>
      </w:pPr>
      <w:r>
        <w:t>Konačnim prijedlogom z</w:t>
      </w:r>
      <w:r w:rsidRPr="000F4719">
        <w:t>akona uvodi se i obveza iskazivanja informacija za usporedbu između odgovarajućih jediničnih cijena svih vrsta goriva na javno dostupnim mjestima za opskrbu i punjenje alternativnim gorivima. Navedeno će omogućiti transparentnije iskazivanje cijena goriva na postajama za opskrbu gorivom čime će se ujedno povećati osviještenost vozača, dobavljača i medija prilikom kupnje cestovnih vozila.</w:t>
      </w:r>
    </w:p>
    <w:p w14:paraId="40836241" w14:textId="77777777" w:rsidR="00F845D8" w:rsidRDefault="00F845D8" w:rsidP="00F845D8">
      <w:pPr>
        <w:shd w:val="clear" w:color="auto" w:fill="FFFFFF"/>
        <w:spacing w:line="288" w:lineRule="atLeast"/>
        <w:jc w:val="both"/>
      </w:pPr>
    </w:p>
    <w:p w14:paraId="0B5D2564" w14:textId="77777777" w:rsidR="00F845D8" w:rsidRPr="002109C8" w:rsidRDefault="00F845D8" w:rsidP="00F845D8">
      <w:pPr>
        <w:shd w:val="clear" w:color="auto" w:fill="FFFFFF"/>
        <w:spacing w:line="288" w:lineRule="atLeast"/>
        <w:jc w:val="both"/>
      </w:pPr>
    </w:p>
    <w:p w14:paraId="0F7035A3" w14:textId="4FE36DCB" w:rsidR="00F845D8" w:rsidRPr="00EF0BE1" w:rsidRDefault="00F845D8" w:rsidP="00F845D8">
      <w:pPr>
        <w:numPr>
          <w:ilvl w:val="0"/>
          <w:numId w:val="16"/>
        </w:numPr>
        <w:ind w:hanging="720"/>
        <w:jc w:val="both"/>
        <w:rPr>
          <w:rFonts w:eastAsia="Arial"/>
          <w:b/>
          <w:bCs/>
          <w:lang w:eastAsia="en-US"/>
        </w:rPr>
      </w:pPr>
      <w:r w:rsidRPr="00EF0BE1">
        <w:rPr>
          <w:rFonts w:eastAsia="Arial"/>
          <w:b/>
          <w:bCs/>
          <w:lang w:eastAsia="en-US"/>
        </w:rPr>
        <w:t>OBRAZLOŽENJE ODREDBI PREDLOŽENOG ZAKONA</w:t>
      </w:r>
    </w:p>
    <w:p w14:paraId="5EC66C8E" w14:textId="77777777" w:rsidR="00F845D8" w:rsidRDefault="00F845D8" w:rsidP="00F845D8">
      <w:pPr>
        <w:shd w:val="clear" w:color="auto" w:fill="FFFFFF"/>
        <w:spacing w:line="288" w:lineRule="atLeast"/>
        <w:jc w:val="both"/>
      </w:pPr>
    </w:p>
    <w:p w14:paraId="7D3F6238" w14:textId="77777777" w:rsidR="007753F8" w:rsidRPr="00AA1407" w:rsidRDefault="007753F8" w:rsidP="007753F8">
      <w:pPr>
        <w:jc w:val="both"/>
        <w:rPr>
          <w:rFonts w:eastAsia="Calibri"/>
          <w:b/>
          <w:lang w:eastAsia="en-US"/>
        </w:rPr>
      </w:pPr>
      <w:r w:rsidRPr="00AA1407">
        <w:rPr>
          <w:rFonts w:eastAsia="Calibri"/>
          <w:b/>
          <w:lang w:eastAsia="en-US"/>
        </w:rPr>
        <w:t>Uz članak 1.</w:t>
      </w:r>
    </w:p>
    <w:p w14:paraId="03A7E7FF" w14:textId="77777777" w:rsidR="007753F8" w:rsidRDefault="007753F8" w:rsidP="007753F8">
      <w:pPr>
        <w:jc w:val="both"/>
        <w:rPr>
          <w:rFonts w:eastAsia="Calibri"/>
          <w:lang w:eastAsia="en-US"/>
        </w:rPr>
      </w:pPr>
    </w:p>
    <w:p w14:paraId="5B7BD99B" w14:textId="77777777" w:rsidR="007753F8" w:rsidRPr="00AA1407" w:rsidRDefault="007753F8" w:rsidP="007753F8">
      <w:pPr>
        <w:jc w:val="both"/>
        <w:rPr>
          <w:rFonts w:eastAsia="Calibri"/>
          <w:lang w:eastAsia="en-US"/>
        </w:rPr>
      </w:pPr>
      <w:r w:rsidRPr="00AA1407">
        <w:rPr>
          <w:rFonts w:eastAsia="Calibri"/>
          <w:lang w:eastAsia="en-US"/>
        </w:rPr>
        <w:t>Ovim se člankom mijenja članak 1. stavak 2. Zakonu o uspostavi infrastrukture za alternativna goriva („Narodne novine“, br</w:t>
      </w:r>
      <w:r>
        <w:rPr>
          <w:rFonts w:eastAsia="Calibri"/>
          <w:lang w:eastAsia="en-US"/>
        </w:rPr>
        <w:t>oj</w:t>
      </w:r>
      <w:r w:rsidRPr="00AA1407">
        <w:rPr>
          <w:rFonts w:eastAsia="Calibri"/>
          <w:lang w:eastAsia="en-US"/>
        </w:rPr>
        <w:t xml:space="preserve"> 120/16</w:t>
      </w:r>
      <w:r>
        <w:rPr>
          <w:rFonts w:eastAsia="Calibri"/>
          <w:lang w:eastAsia="en-US"/>
        </w:rPr>
        <w:t>.</w:t>
      </w:r>
      <w:r w:rsidRPr="00AA1407">
        <w:rPr>
          <w:rFonts w:eastAsia="Calibri"/>
          <w:lang w:eastAsia="en-US"/>
        </w:rPr>
        <w:t>)</w:t>
      </w:r>
      <w:r>
        <w:rPr>
          <w:rFonts w:eastAsia="Calibri"/>
          <w:lang w:eastAsia="en-US"/>
        </w:rPr>
        <w:t>.</w:t>
      </w:r>
      <w:r w:rsidRPr="00AA1407">
        <w:rPr>
          <w:rFonts w:eastAsia="Calibri"/>
          <w:lang w:eastAsia="en-US"/>
        </w:rPr>
        <w:t xml:space="preserve"> </w:t>
      </w:r>
      <w:r>
        <w:rPr>
          <w:rFonts w:eastAsia="Calibri"/>
          <w:lang w:eastAsia="en-US"/>
        </w:rPr>
        <w:t>N</w:t>
      </w:r>
      <w:r w:rsidRPr="00AA1407">
        <w:rPr>
          <w:rFonts w:eastAsia="Calibri"/>
          <w:lang w:eastAsia="en-US"/>
        </w:rPr>
        <w:t>aime</w:t>
      </w:r>
      <w:r>
        <w:rPr>
          <w:rFonts w:eastAsia="Calibri"/>
          <w:lang w:eastAsia="en-US"/>
        </w:rPr>
        <w:t>,</w:t>
      </w:r>
      <w:r w:rsidRPr="00AA1407">
        <w:rPr>
          <w:rFonts w:eastAsia="Calibri"/>
          <w:lang w:eastAsia="en-US"/>
        </w:rPr>
        <w:t xml:space="preserve"> Centar za praćenje poslovanja energetskog sektora i investicija je prestao sa svojim djelatnostima te će u predmetnom Zakonu njegovu ulogu nacionalnog koordinacijskog tijela preuzeti Ministarstvo gospodarstva i održivog razvoja. Naime, člankom 3. Zakona o prestanku važenja Zakona o Centru za praćenje poslovanja energetskog sektora i investicija („Narodne novine“, br</w:t>
      </w:r>
      <w:r>
        <w:rPr>
          <w:rFonts w:eastAsia="Calibri"/>
          <w:lang w:eastAsia="en-US"/>
        </w:rPr>
        <w:t>oj</w:t>
      </w:r>
      <w:r w:rsidRPr="00AA1407">
        <w:rPr>
          <w:rFonts w:eastAsia="Calibri"/>
          <w:lang w:eastAsia="en-US"/>
        </w:rPr>
        <w:t xml:space="preserve"> 46/18</w:t>
      </w:r>
      <w:r>
        <w:rPr>
          <w:rFonts w:eastAsia="Calibri"/>
          <w:lang w:eastAsia="en-US"/>
        </w:rPr>
        <w:t>.</w:t>
      </w:r>
      <w:r w:rsidRPr="00AA1407">
        <w:rPr>
          <w:rFonts w:eastAsia="Calibri"/>
          <w:lang w:eastAsia="en-US"/>
        </w:rPr>
        <w:t xml:space="preserve">) je propisano da će ministarstvo nadležno za poslove energetike preuzeti njihovu ulogu. </w:t>
      </w:r>
    </w:p>
    <w:p w14:paraId="39580373" w14:textId="77777777" w:rsidR="007753F8" w:rsidRPr="00AA1407" w:rsidRDefault="007753F8" w:rsidP="007753F8">
      <w:pPr>
        <w:jc w:val="both"/>
        <w:rPr>
          <w:rFonts w:eastAsia="Calibri"/>
          <w:lang w:eastAsia="en-US"/>
        </w:rPr>
      </w:pPr>
    </w:p>
    <w:p w14:paraId="00891B16" w14:textId="77777777" w:rsidR="007753F8" w:rsidRPr="00AA1407" w:rsidRDefault="007753F8" w:rsidP="007753F8">
      <w:pPr>
        <w:jc w:val="both"/>
        <w:rPr>
          <w:rFonts w:eastAsia="Calibri"/>
          <w:b/>
          <w:lang w:eastAsia="en-US"/>
        </w:rPr>
      </w:pPr>
      <w:r w:rsidRPr="00AA1407">
        <w:rPr>
          <w:rFonts w:eastAsia="Calibri"/>
          <w:b/>
          <w:lang w:eastAsia="en-US"/>
        </w:rPr>
        <w:t>Uz članak 2.</w:t>
      </w:r>
    </w:p>
    <w:p w14:paraId="26E0D956" w14:textId="77777777" w:rsidR="007753F8" w:rsidRDefault="007753F8" w:rsidP="007753F8">
      <w:pPr>
        <w:jc w:val="both"/>
        <w:rPr>
          <w:rFonts w:eastAsia="Calibri"/>
          <w:lang w:eastAsia="en-US"/>
        </w:rPr>
      </w:pPr>
    </w:p>
    <w:p w14:paraId="1AFE7084" w14:textId="50D55B34" w:rsidR="007753F8" w:rsidRPr="00AA1407" w:rsidRDefault="007753F8" w:rsidP="007753F8">
      <w:pPr>
        <w:jc w:val="both"/>
      </w:pPr>
      <w:r w:rsidRPr="00AA1407">
        <w:rPr>
          <w:rFonts w:eastAsia="Calibri"/>
          <w:lang w:eastAsia="en-US"/>
        </w:rPr>
        <w:t>Ovim se člankom mijenja članak 2. Zakonu o uspostavi infrastrukture za alternativna goriva („Narodne novine“, br</w:t>
      </w:r>
      <w:r>
        <w:rPr>
          <w:rFonts w:eastAsia="Calibri"/>
          <w:lang w:eastAsia="en-US"/>
        </w:rPr>
        <w:t>oj</w:t>
      </w:r>
      <w:r w:rsidRPr="00AA1407">
        <w:rPr>
          <w:rFonts w:eastAsia="Calibri"/>
          <w:lang w:eastAsia="en-US"/>
        </w:rPr>
        <w:t xml:space="preserve"> 120/16</w:t>
      </w:r>
      <w:r>
        <w:rPr>
          <w:rFonts w:eastAsia="Calibri"/>
          <w:lang w:eastAsia="en-US"/>
        </w:rPr>
        <w:t>.</w:t>
      </w:r>
      <w:r w:rsidRPr="00AA1407">
        <w:rPr>
          <w:rFonts w:eastAsia="Calibri"/>
          <w:lang w:eastAsia="en-US"/>
        </w:rPr>
        <w:t>) te se proširuje opseg Zakona s prenošenjem odredbi Delegirane uredbe Komisije (EU) 2019/1745.</w:t>
      </w:r>
    </w:p>
    <w:p w14:paraId="2E2F46BE" w14:textId="77777777" w:rsidR="007753F8" w:rsidRDefault="007753F8" w:rsidP="007753F8">
      <w:pPr>
        <w:jc w:val="both"/>
      </w:pPr>
    </w:p>
    <w:p w14:paraId="66B9AD7E" w14:textId="77777777" w:rsidR="007753F8" w:rsidRPr="00AA1407" w:rsidRDefault="007753F8" w:rsidP="007753F8">
      <w:pPr>
        <w:jc w:val="both"/>
        <w:rPr>
          <w:rFonts w:eastAsia="Calibri"/>
          <w:b/>
          <w:lang w:eastAsia="en-US"/>
        </w:rPr>
      </w:pPr>
      <w:r w:rsidRPr="00AA1407">
        <w:rPr>
          <w:rFonts w:eastAsia="Calibri"/>
          <w:b/>
          <w:lang w:eastAsia="en-US"/>
        </w:rPr>
        <w:t>Uz članak 3.</w:t>
      </w:r>
    </w:p>
    <w:p w14:paraId="7C41A162" w14:textId="77777777" w:rsidR="007753F8" w:rsidRDefault="007753F8" w:rsidP="007753F8">
      <w:pPr>
        <w:jc w:val="both"/>
        <w:rPr>
          <w:rFonts w:eastAsia="Calibri"/>
          <w:lang w:eastAsia="en-US"/>
        </w:rPr>
      </w:pPr>
    </w:p>
    <w:p w14:paraId="7CD9369E" w14:textId="2418AE30" w:rsidR="007753F8" w:rsidRDefault="007753F8" w:rsidP="007753F8">
      <w:pPr>
        <w:jc w:val="both"/>
        <w:rPr>
          <w:rFonts w:eastAsia="Calibri"/>
          <w:lang w:eastAsia="en-US"/>
        </w:rPr>
      </w:pPr>
      <w:r w:rsidRPr="00AA1407">
        <w:rPr>
          <w:rFonts w:eastAsia="Calibri"/>
          <w:lang w:eastAsia="en-US"/>
        </w:rPr>
        <w:t xml:space="preserve">Ovim se člankom mijenja članak 3. stavak 2. </w:t>
      </w:r>
      <w:r w:rsidR="009949DC" w:rsidRPr="00AA1407">
        <w:rPr>
          <w:rFonts w:eastAsia="Calibri"/>
          <w:lang w:eastAsia="en-US"/>
        </w:rPr>
        <w:t>Zakon</w:t>
      </w:r>
      <w:r w:rsidR="009949DC">
        <w:rPr>
          <w:rFonts w:eastAsia="Calibri"/>
          <w:lang w:eastAsia="en-US"/>
        </w:rPr>
        <w:t>a</w:t>
      </w:r>
      <w:r w:rsidR="009949DC" w:rsidRPr="00AA1407">
        <w:rPr>
          <w:rFonts w:eastAsia="Calibri"/>
          <w:lang w:eastAsia="en-US"/>
        </w:rPr>
        <w:t xml:space="preserve"> </w:t>
      </w:r>
      <w:r w:rsidRPr="00AA1407">
        <w:rPr>
          <w:rFonts w:eastAsia="Calibri"/>
          <w:lang w:eastAsia="en-US"/>
        </w:rPr>
        <w:t>o uspostavi infrastrukture za alternativna goriva („Narodne novine“, br</w:t>
      </w:r>
      <w:r>
        <w:rPr>
          <w:rFonts w:eastAsia="Calibri"/>
          <w:lang w:eastAsia="en-US"/>
        </w:rPr>
        <w:t>oj</w:t>
      </w:r>
      <w:r w:rsidRPr="00AA1407">
        <w:rPr>
          <w:rFonts w:eastAsia="Calibri"/>
          <w:lang w:eastAsia="en-US"/>
        </w:rPr>
        <w:t xml:space="preserve"> 120/16</w:t>
      </w:r>
      <w:r>
        <w:rPr>
          <w:rFonts w:eastAsia="Calibri"/>
          <w:lang w:eastAsia="en-US"/>
        </w:rPr>
        <w:t>.</w:t>
      </w:r>
      <w:r w:rsidRPr="00AA1407">
        <w:rPr>
          <w:rFonts w:eastAsia="Calibri"/>
          <w:lang w:eastAsia="en-US"/>
        </w:rPr>
        <w:t>)</w:t>
      </w:r>
      <w:r>
        <w:rPr>
          <w:rFonts w:eastAsia="Calibri"/>
          <w:lang w:eastAsia="en-US"/>
        </w:rPr>
        <w:t>.</w:t>
      </w:r>
      <w:r w:rsidRPr="00AA1407">
        <w:rPr>
          <w:rFonts w:eastAsia="Calibri"/>
          <w:lang w:eastAsia="en-US"/>
        </w:rPr>
        <w:t xml:space="preserve"> </w:t>
      </w:r>
      <w:r>
        <w:rPr>
          <w:rFonts w:eastAsia="Calibri"/>
          <w:lang w:eastAsia="en-US"/>
        </w:rPr>
        <w:t>N</w:t>
      </w:r>
      <w:r w:rsidRPr="00AA1407">
        <w:rPr>
          <w:rFonts w:eastAsia="Calibri"/>
          <w:lang w:eastAsia="en-US"/>
        </w:rPr>
        <w:t>aime</w:t>
      </w:r>
      <w:r>
        <w:rPr>
          <w:rFonts w:eastAsia="Calibri"/>
          <w:lang w:eastAsia="en-US"/>
        </w:rPr>
        <w:t>,</w:t>
      </w:r>
      <w:r w:rsidRPr="00AA1407">
        <w:rPr>
          <w:rFonts w:eastAsia="Calibri"/>
          <w:lang w:eastAsia="en-US"/>
        </w:rPr>
        <w:t xml:space="preserve"> Centar za praćenje poslovanja energetskog sektora i investicija je prestao sa svojim djelatnostima te će u predmetnom Zakonu njegovu ulogu nacionalnog koordinacijskog tijela preuzeti Ministarstvo gospodarstva i održivog razvoja. </w:t>
      </w:r>
      <w:r>
        <w:rPr>
          <w:rFonts w:eastAsia="Calibri"/>
          <w:lang w:eastAsia="en-US"/>
        </w:rPr>
        <w:t>Č</w:t>
      </w:r>
      <w:r w:rsidRPr="00AA1407">
        <w:rPr>
          <w:rFonts w:eastAsia="Calibri"/>
          <w:lang w:eastAsia="en-US"/>
        </w:rPr>
        <w:t>lankom 3. Zakona o prestanku važenja Zakona o Centru za praćenje poslovanja energetskog sektora i investicija („Narodne novine“, br</w:t>
      </w:r>
      <w:r>
        <w:rPr>
          <w:rFonts w:eastAsia="Calibri"/>
          <w:lang w:eastAsia="en-US"/>
        </w:rPr>
        <w:t>oj</w:t>
      </w:r>
      <w:r w:rsidRPr="00AA1407">
        <w:rPr>
          <w:rFonts w:eastAsia="Calibri"/>
          <w:lang w:eastAsia="en-US"/>
        </w:rPr>
        <w:t xml:space="preserve"> 46/18</w:t>
      </w:r>
      <w:r>
        <w:rPr>
          <w:rFonts w:eastAsia="Calibri"/>
          <w:lang w:eastAsia="en-US"/>
        </w:rPr>
        <w:t>.</w:t>
      </w:r>
      <w:r w:rsidRPr="00AA1407">
        <w:rPr>
          <w:rFonts w:eastAsia="Calibri"/>
          <w:lang w:eastAsia="en-US"/>
        </w:rPr>
        <w:t>) je propisano da će ministarstvo nadležno za poslove ener</w:t>
      </w:r>
      <w:r w:rsidR="00190891">
        <w:rPr>
          <w:rFonts w:eastAsia="Calibri"/>
          <w:lang w:eastAsia="en-US"/>
        </w:rPr>
        <w:t xml:space="preserve">getike preuzeti njihovu ulogu. </w:t>
      </w:r>
    </w:p>
    <w:p w14:paraId="34113BB8" w14:textId="77777777" w:rsidR="00190891" w:rsidRDefault="00190891" w:rsidP="007753F8">
      <w:pPr>
        <w:jc w:val="both"/>
        <w:rPr>
          <w:rFonts w:eastAsia="Calibri"/>
          <w:lang w:eastAsia="en-US"/>
        </w:rPr>
      </w:pPr>
    </w:p>
    <w:p w14:paraId="142CC01D" w14:textId="49151DCA" w:rsidR="00190891" w:rsidRPr="00AA1407" w:rsidRDefault="00190891" w:rsidP="00190891">
      <w:pPr>
        <w:jc w:val="both"/>
        <w:rPr>
          <w:rFonts w:eastAsia="Calibri"/>
          <w:b/>
          <w:lang w:eastAsia="en-US"/>
        </w:rPr>
      </w:pPr>
      <w:r w:rsidRPr="00AA1407">
        <w:rPr>
          <w:rFonts w:eastAsia="Calibri"/>
          <w:b/>
          <w:lang w:eastAsia="en-US"/>
        </w:rPr>
        <w:t xml:space="preserve">Uz članak </w:t>
      </w:r>
      <w:r w:rsidR="00A6146D">
        <w:rPr>
          <w:rFonts w:eastAsia="Calibri"/>
          <w:b/>
          <w:lang w:eastAsia="en-US"/>
        </w:rPr>
        <w:t>4</w:t>
      </w:r>
      <w:r w:rsidRPr="00AA1407">
        <w:rPr>
          <w:rFonts w:eastAsia="Calibri"/>
          <w:b/>
          <w:lang w:eastAsia="en-US"/>
        </w:rPr>
        <w:t>.</w:t>
      </w:r>
    </w:p>
    <w:p w14:paraId="13D2C9D7" w14:textId="77777777" w:rsidR="00190891" w:rsidRDefault="00190891" w:rsidP="00190891">
      <w:pPr>
        <w:jc w:val="both"/>
        <w:rPr>
          <w:rFonts w:eastAsia="Calibri"/>
          <w:lang w:eastAsia="en-US"/>
        </w:rPr>
      </w:pPr>
    </w:p>
    <w:p w14:paraId="18960484" w14:textId="00C58379" w:rsidR="0013233A" w:rsidRDefault="0013233A" w:rsidP="00190891">
      <w:pPr>
        <w:jc w:val="both"/>
        <w:rPr>
          <w:rFonts w:eastAsia="Calibri"/>
          <w:lang w:eastAsia="en-US"/>
        </w:rPr>
      </w:pPr>
      <w:r>
        <w:rPr>
          <w:rFonts w:eastAsia="Calibri"/>
          <w:lang w:eastAsia="en-US"/>
        </w:rPr>
        <w:t xml:space="preserve">Članak </w:t>
      </w:r>
      <w:r w:rsidR="00A6146D">
        <w:rPr>
          <w:rFonts w:eastAsia="Calibri"/>
          <w:lang w:eastAsia="en-US"/>
        </w:rPr>
        <w:t>4</w:t>
      </w:r>
      <w:r>
        <w:rPr>
          <w:rFonts w:eastAsia="Calibri"/>
          <w:lang w:eastAsia="en-US"/>
        </w:rPr>
        <w:t xml:space="preserve">. se dodaje radi toga što je u fazi pripreme </w:t>
      </w:r>
      <w:r w:rsidR="00A6146D">
        <w:rPr>
          <w:rFonts w:eastAsia="Calibri"/>
          <w:lang w:eastAsia="en-US"/>
        </w:rPr>
        <w:t>ovoga Zakona</w:t>
      </w:r>
      <w:r>
        <w:rPr>
          <w:rFonts w:eastAsia="Calibri"/>
          <w:lang w:eastAsia="en-US"/>
        </w:rPr>
        <w:t xml:space="preserve"> uočena pogre</w:t>
      </w:r>
      <w:r w:rsidR="000B50DE">
        <w:rPr>
          <w:rFonts w:eastAsia="Calibri"/>
          <w:lang w:eastAsia="en-US"/>
        </w:rPr>
        <w:t xml:space="preserve">ška u Zakonu na snazi koja se odnosi </w:t>
      </w:r>
      <w:r w:rsidR="000B50DE" w:rsidRPr="000B50DE">
        <w:rPr>
          <w:rFonts w:eastAsia="Calibri"/>
          <w:lang w:eastAsia="en-US"/>
        </w:rPr>
        <w:t>na pitanje iz</w:t>
      </w:r>
      <w:r w:rsidR="0047466C">
        <w:rPr>
          <w:rFonts w:eastAsia="Calibri"/>
          <w:lang w:eastAsia="en-US"/>
        </w:rPr>
        <w:t>v</w:t>
      </w:r>
      <w:r w:rsidR="000B50DE" w:rsidRPr="000B50DE">
        <w:rPr>
          <w:rFonts w:eastAsia="Calibri"/>
          <w:lang w:eastAsia="en-US"/>
        </w:rPr>
        <w:t xml:space="preserve">ještavanja o NOP-u. </w:t>
      </w:r>
    </w:p>
    <w:p w14:paraId="4E37F366" w14:textId="5EB9CFD7" w:rsidR="00190891" w:rsidRDefault="0013233A" w:rsidP="00190891">
      <w:pPr>
        <w:jc w:val="both"/>
        <w:rPr>
          <w:rFonts w:eastAsia="Calibri"/>
          <w:lang w:eastAsia="en-US"/>
        </w:rPr>
      </w:pPr>
      <w:r>
        <w:rPr>
          <w:rFonts w:eastAsia="Calibri"/>
          <w:lang w:eastAsia="en-US"/>
        </w:rPr>
        <w:lastRenderedPageBreak/>
        <w:t xml:space="preserve">Ovim </w:t>
      </w:r>
      <w:r w:rsidR="00190891" w:rsidRPr="00AA1407">
        <w:rPr>
          <w:rFonts w:eastAsia="Calibri"/>
          <w:lang w:eastAsia="en-US"/>
        </w:rPr>
        <w:t xml:space="preserve">člankom </w:t>
      </w:r>
      <w:r>
        <w:rPr>
          <w:rFonts w:eastAsia="Calibri"/>
          <w:lang w:eastAsia="en-US"/>
        </w:rPr>
        <w:t xml:space="preserve">se </w:t>
      </w:r>
      <w:r w:rsidR="00190891" w:rsidRPr="00AA1407">
        <w:rPr>
          <w:rFonts w:eastAsia="Calibri"/>
          <w:lang w:eastAsia="en-US"/>
        </w:rPr>
        <w:t xml:space="preserve">mijenja </w:t>
      </w:r>
      <w:r w:rsidR="00706DDA">
        <w:rPr>
          <w:rFonts w:eastAsia="Calibri"/>
          <w:lang w:eastAsia="en-US"/>
        </w:rPr>
        <w:t xml:space="preserve">članak </w:t>
      </w:r>
      <w:r w:rsidR="00190891" w:rsidRPr="00190891">
        <w:rPr>
          <w:rFonts w:eastAsia="Calibri"/>
          <w:lang w:eastAsia="en-US"/>
        </w:rPr>
        <w:t xml:space="preserve">4. stavak 10. </w:t>
      </w:r>
      <w:r w:rsidR="00A6146D">
        <w:rPr>
          <w:rFonts w:eastAsia="Calibri"/>
          <w:lang w:eastAsia="en-US"/>
        </w:rPr>
        <w:t xml:space="preserve">važećeg </w:t>
      </w:r>
      <w:r w:rsidR="00190891">
        <w:rPr>
          <w:rFonts w:eastAsia="Calibri"/>
          <w:lang w:eastAsia="en-US"/>
        </w:rPr>
        <w:t>Zakona.</w:t>
      </w:r>
      <w:r w:rsidR="00190891" w:rsidRPr="00AA1407">
        <w:rPr>
          <w:rFonts w:eastAsia="Calibri"/>
          <w:lang w:eastAsia="en-US"/>
        </w:rPr>
        <w:t xml:space="preserve"> </w:t>
      </w:r>
      <w:r w:rsidR="00190891">
        <w:rPr>
          <w:rFonts w:eastAsia="Calibri"/>
          <w:lang w:eastAsia="en-US"/>
        </w:rPr>
        <w:t>N</w:t>
      </w:r>
      <w:r w:rsidR="00190891" w:rsidRPr="00AA1407">
        <w:rPr>
          <w:rFonts w:eastAsia="Calibri"/>
          <w:lang w:eastAsia="en-US"/>
        </w:rPr>
        <w:t>aime</w:t>
      </w:r>
      <w:r w:rsidR="00190891">
        <w:rPr>
          <w:rFonts w:eastAsia="Calibri"/>
          <w:lang w:eastAsia="en-US"/>
        </w:rPr>
        <w:t>,</w:t>
      </w:r>
      <w:r w:rsidR="00190891" w:rsidRPr="00AA1407">
        <w:rPr>
          <w:rFonts w:eastAsia="Calibri"/>
          <w:lang w:eastAsia="en-US"/>
        </w:rPr>
        <w:t xml:space="preserve"> </w:t>
      </w:r>
      <w:r w:rsidR="00190891">
        <w:rPr>
          <w:rFonts w:eastAsia="Calibri"/>
          <w:lang w:eastAsia="en-US"/>
        </w:rPr>
        <w:t xml:space="preserve">članak 11. </w:t>
      </w:r>
      <w:r w:rsidR="00706DDA">
        <w:rPr>
          <w:rFonts w:eastAsia="Calibri"/>
          <w:lang w:eastAsia="en-US"/>
        </w:rPr>
        <w:t xml:space="preserve">nema stavak 2. te </w:t>
      </w:r>
      <w:r w:rsidR="00190891">
        <w:rPr>
          <w:rFonts w:eastAsia="Calibri"/>
          <w:lang w:eastAsia="en-US"/>
        </w:rPr>
        <w:t>se odnosi na upravni nadzor, a ne na pitanje iz</w:t>
      </w:r>
      <w:r w:rsidR="0047466C">
        <w:rPr>
          <w:rFonts w:eastAsia="Calibri"/>
          <w:lang w:eastAsia="en-US"/>
        </w:rPr>
        <w:t>v</w:t>
      </w:r>
      <w:r w:rsidR="00190891">
        <w:rPr>
          <w:rFonts w:eastAsia="Calibri"/>
          <w:lang w:eastAsia="en-US"/>
        </w:rPr>
        <w:t>ještavanja</w:t>
      </w:r>
      <w:r w:rsidR="00706DDA">
        <w:rPr>
          <w:rFonts w:eastAsia="Calibri"/>
          <w:lang w:eastAsia="en-US"/>
        </w:rPr>
        <w:t xml:space="preserve"> o NOP-u</w:t>
      </w:r>
      <w:r w:rsidR="00190891">
        <w:rPr>
          <w:rFonts w:eastAsia="Calibri"/>
          <w:lang w:eastAsia="en-US"/>
        </w:rPr>
        <w:t xml:space="preserve">. </w:t>
      </w:r>
      <w:r w:rsidR="00706DDA">
        <w:rPr>
          <w:rFonts w:eastAsia="Calibri"/>
          <w:lang w:eastAsia="en-US"/>
        </w:rPr>
        <w:t>Na izvještavanje o NOP-u se odnosi članak 10. stavak 2. Zakona.</w:t>
      </w:r>
      <w:r w:rsidR="00190891">
        <w:rPr>
          <w:rFonts w:eastAsia="Calibri"/>
          <w:lang w:eastAsia="en-US"/>
        </w:rPr>
        <w:t xml:space="preserve"> </w:t>
      </w:r>
    </w:p>
    <w:p w14:paraId="538179C7" w14:textId="77777777" w:rsidR="007753F8" w:rsidRPr="00AA1407" w:rsidRDefault="007753F8" w:rsidP="007753F8">
      <w:pPr>
        <w:jc w:val="both"/>
        <w:rPr>
          <w:rFonts w:eastAsia="Calibri"/>
          <w:lang w:eastAsia="en-US"/>
        </w:rPr>
      </w:pPr>
    </w:p>
    <w:p w14:paraId="2929AC73" w14:textId="69EFEE53" w:rsidR="007753F8" w:rsidRPr="00AA1407" w:rsidRDefault="007753F8" w:rsidP="007753F8">
      <w:pPr>
        <w:jc w:val="both"/>
        <w:rPr>
          <w:rFonts w:eastAsia="Calibri"/>
          <w:b/>
          <w:lang w:eastAsia="en-US"/>
        </w:rPr>
      </w:pPr>
      <w:r w:rsidRPr="00AA1407">
        <w:rPr>
          <w:rFonts w:eastAsia="Calibri"/>
          <w:b/>
          <w:lang w:eastAsia="en-US"/>
        </w:rPr>
        <w:t xml:space="preserve">Uz članak </w:t>
      </w:r>
      <w:r w:rsidR="00E006C4">
        <w:rPr>
          <w:rFonts w:eastAsia="Calibri"/>
          <w:b/>
          <w:lang w:eastAsia="en-US"/>
        </w:rPr>
        <w:t>5</w:t>
      </w:r>
      <w:r w:rsidRPr="00AA1407">
        <w:rPr>
          <w:rFonts w:eastAsia="Calibri"/>
          <w:b/>
          <w:lang w:eastAsia="en-US"/>
        </w:rPr>
        <w:t>.</w:t>
      </w:r>
    </w:p>
    <w:p w14:paraId="3EC9737F" w14:textId="77777777" w:rsidR="007753F8" w:rsidRDefault="007753F8" w:rsidP="007753F8">
      <w:pPr>
        <w:jc w:val="both"/>
        <w:rPr>
          <w:rFonts w:eastAsia="Calibri"/>
          <w:lang w:eastAsia="en-US"/>
        </w:rPr>
      </w:pPr>
    </w:p>
    <w:p w14:paraId="5160A00F" w14:textId="3496E023" w:rsidR="007753F8" w:rsidRDefault="007753F8" w:rsidP="007753F8">
      <w:pPr>
        <w:jc w:val="both"/>
        <w:rPr>
          <w:rFonts w:eastAsia="Calibri"/>
          <w:lang w:eastAsia="en-US"/>
        </w:rPr>
      </w:pPr>
      <w:r w:rsidRPr="00AA1407">
        <w:rPr>
          <w:rFonts w:eastAsia="Calibri"/>
          <w:lang w:eastAsia="en-US"/>
        </w:rPr>
        <w:t>Ovim se člankom mijenja članak 6. Zakona o uspostavi infrastrukture za alternativna goriva („Narodne novine“, br</w:t>
      </w:r>
      <w:r>
        <w:rPr>
          <w:rFonts w:eastAsia="Calibri"/>
          <w:lang w:eastAsia="en-US"/>
        </w:rPr>
        <w:t>oj</w:t>
      </w:r>
      <w:r w:rsidRPr="00AA1407">
        <w:rPr>
          <w:rFonts w:eastAsia="Calibri"/>
          <w:lang w:eastAsia="en-US"/>
        </w:rPr>
        <w:t xml:space="preserve"> 120/16</w:t>
      </w:r>
      <w:r>
        <w:rPr>
          <w:rFonts w:eastAsia="Calibri"/>
          <w:lang w:eastAsia="en-US"/>
        </w:rPr>
        <w:t>.</w:t>
      </w:r>
      <w:r w:rsidRPr="00AA1407">
        <w:rPr>
          <w:rFonts w:eastAsia="Calibri"/>
          <w:lang w:eastAsia="en-US"/>
        </w:rPr>
        <w:t xml:space="preserve">), tako da se dodaju stavci 14. i 15. kojima se uređuje pitanje tehničkih specifikacija na mjestima za punjenje motornih vozila kategorije L. </w:t>
      </w:r>
    </w:p>
    <w:p w14:paraId="02E93FE3" w14:textId="77777777" w:rsidR="004E056D" w:rsidRPr="004E056D" w:rsidRDefault="004E056D" w:rsidP="004E056D">
      <w:pPr>
        <w:jc w:val="both"/>
        <w:rPr>
          <w:rFonts w:eastAsia="Calibri"/>
          <w:lang w:eastAsia="en-US"/>
        </w:rPr>
      </w:pPr>
      <w:r>
        <w:rPr>
          <w:rFonts w:eastAsia="Calibri"/>
          <w:lang w:eastAsia="en-US"/>
        </w:rPr>
        <w:t xml:space="preserve">Nadalje potrebno je </w:t>
      </w:r>
      <w:r w:rsidR="00E006C4">
        <w:rPr>
          <w:rFonts w:eastAsia="Calibri"/>
          <w:lang w:eastAsia="en-US"/>
        </w:rPr>
        <w:t xml:space="preserve">u </w:t>
      </w:r>
      <w:r>
        <w:rPr>
          <w:rFonts w:eastAsia="Calibri"/>
          <w:lang w:eastAsia="en-US"/>
        </w:rPr>
        <w:t>člank</w:t>
      </w:r>
      <w:r w:rsidR="00E006C4">
        <w:rPr>
          <w:rFonts w:eastAsia="Calibri"/>
          <w:lang w:eastAsia="en-US"/>
        </w:rPr>
        <w:t>u</w:t>
      </w:r>
      <w:r w:rsidRPr="004E056D">
        <w:rPr>
          <w:rFonts w:eastAsia="Calibri"/>
          <w:lang w:eastAsia="en-US"/>
        </w:rPr>
        <w:t xml:space="preserve"> 6. stavak 1. mijenja</w:t>
      </w:r>
      <w:r>
        <w:rPr>
          <w:rFonts w:eastAsia="Calibri"/>
          <w:lang w:eastAsia="en-US"/>
        </w:rPr>
        <w:t xml:space="preserve">ti radi toga što se kao referentna godina spominje 2020. </w:t>
      </w:r>
      <w:r w:rsidR="00117D0D">
        <w:rPr>
          <w:rFonts w:eastAsia="Calibri"/>
          <w:lang w:eastAsia="en-US"/>
        </w:rPr>
        <w:t>koja je prošla</w:t>
      </w:r>
      <w:r w:rsidRPr="004E056D">
        <w:rPr>
          <w:rFonts w:eastAsia="Calibri"/>
          <w:lang w:eastAsia="en-US"/>
        </w:rPr>
        <w:t>:</w:t>
      </w:r>
    </w:p>
    <w:p w14:paraId="4944922C" w14:textId="77777777" w:rsidR="004E056D" w:rsidRPr="00AA1407" w:rsidRDefault="004E056D" w:rsidP="004E056D">
      <w:pPr>
        <w:jc w:val="both"/>
        <w:rPr>
          <w:rFonts w:eastAsia="Calibri"/>
          <w:lang w:eastAsia="en-US"/>
        </w:rPr>
      </w:pPr>
      <w:r w:rsidRPr="004E056D">
        <w:rPr>
          <w:rFonts w:eastAsia="Calibri"/>
          <w:lang w:eastAsia="en-US"/>
        </w:rPr>
        <w:t>„(10) U skladu s NOP-om i važećim tehničkim specifikacijama, uspostavit će se primjereni broj javno dostupnih mjesta za punjenje električnom energijom, kako bi se osiguralo da električna vozila mogu prometovati okviru osnovne TEN-T mreže te u gradskim/prigradskim aglomeracijama i drugim gusto naseljenim područjima. Broj takvih mjesta za punjenje utvrđuje se kako je naznačeno NOP-om te najboljom praksom i preporukama koje izdaje Europska komisija. U obzir se uzimaju i posebne potrebe u vezi s instaliranjem javno dostupnih mjesta za punjenje na postajama javnog prijevoza.“.</w:t>
      </w:r>
    </w:p>
    <w:p w14:paraId="66A8905B" w14:textId="77777777" w:rsidR="007753F8" w:rsidRPr="00AA1407" w:rsidRDefault="007753F8" w:rsidP="007753F8">
      <w:pPr>
        <w:jc w:val="both"/>
        <w:rPr>
          <w:rFonts w:eastAsia="Calibri"/>
          <w:b/>
          <w:lang w:eastAsia="en-US"/>
        </w:rPr>
      </w:pPr>
    </w:p>
    <w:p w14:paraId="6BB6D2E4" w14:textId="1B216D78" w:rsidR="007753F8" w:rsidRPr="00AA1407" w:rsidRDefault="007753F8" w:rsidP="007753F8">
      <w:pPr>
        <w:jc w:val="both"/>
        <w:rPr>
          <w:rFonts w:eastAsia="Calibri"/>
          <w:b/>
          <w:lang w:eastAsia="en-US"/>
        </w:rPr>
      </w:pPr>
      <w:r w:rsidRPr="00AA1407">
        <w:rPr>
          <w:rFonts w:eastAsia="Calibri"/>
          <w:b/>
          <w:lang w:eastAsia="en-US"/>
        </w:rPr>
        <w:t xml:space="preserve">Uz članak </w:t>
      </w:r>
      <w:r w:rsidR="00E006C4">
        <w:rPr>
          <w:rFonts w:eastAsia="Calibri"/>
          <w:b/>
          <w:lang w:eastAsia="en-US"/>
        </w:rPr>
        <w:t>6</w:t>
      </w:r>
      <w:r w:rsidRPr="00AA1407">
        <w:rPr>
          <w:rFonts w:eastAsia="Calibri"/>
          <w:b/>
          <w:lang w:eastAsia="en-US"/>
        </w:rPr>
        <w:t>.</w:t>
      </w:r>
    </w:p>
    <w:p w14:paraId="5FC55AE1" w14:textId="77777777" w:rsidR="007753F8" w:rsidRDefault="007753F8" w:rsidP="007753F8">
      <w:pPr>
        <w:jc w:val="both"/>
        <w:rPr>
          <w:rFonts w:eastAsia="Calibri"/>
          <w:lang w:eastAsia="en-US"/>
        </w:rPr>
      </w:pPr>
    </w:p>
    <w:p w14:paraId="313C52DD" w14:textId="77777777" w:rsidR="007753F8" w:rsidRPr="00AA1407" w:rsidRDefault="007753F8" w:rsidP="007753F8">
      <w:pPr>
        <w:jc w:val="both"/>
        <w:rPr>
          <w:rFonts w:eastAsia="Calibri"/>
          <w:lang w:eastAsia="en-US"/>
        </w:rPr>
      </w:pPr>
      <w:r w:rsidRPr="00AA1407">
        <w:rPr>
          <w:rFonts w:eastAsia="Calibri"/>
          <w:lang w:eastAsia="en-US"/>
        </w:rPr>
        <w:t xml:space="preserve">Ovim se člankom mijenja </w:t>
      </w:r>
      <w:r w:rsidR="00E006C4">
        <w:rPr>
          <w:rFonts w:eastAsia="Calibri"/>
          <w:lang w:eastAsia="en-US"/>
        </w:rPr>
        <w:t xml:space="preserve">članak </w:t>
      </w:r>
      <w:r w:rsidRPr="00AA1407">
        <w:rPr>
          <w:rFonts w:eastAsia="Calibri"/>
          <w:lang w:eastAsia="en-US"/>
        </w:rPr>
        <w:t>7. stavak 2. Zakona o uspostavi infrastrukture za alternativna goriva („Narodne novine“, br</w:t>
      </w:r>
      <w:r>
        <w:rPr>
          <w:rFonts w:eastAsia="Calibri"/>
          <w:lang w:eastAsia="en-US"/>
        </w:rPr>
        <w:t>oj</w:t>
      </w:r>
      <w:r w:rsidRPr="00AA1407">
        <w:rPr>
          <w:rFonts w:eastAsia="Calibri"/>
          <w:lang w:eastAsia="en-US"/>
        </w:rPr>
        <w:t xml:space="preserve"> 120/16</w:t>
      </w:r>
      <w:r>
        <w:rPr>
          <w:rFonts w:eastAsia="Calibri"/>
          <w:lang w:eastAsia="en-US"/>
        </w:rPr>
        <w:t>.</w:t>
      </w:r>
      <w:r w:rsidRPr="00AA1407">
        <w:rPr>
          <w:rFonts w:eastAsia="Calibri"/>
          <w:lang w:eastAsia="en-US"/>
        </w:rPr>
        <w:t>), tako da se uređuje pitanje tehničkih specifikacija na mjestima za opskrbu motornih vozila vodikom.</w:t>
      </w:r>
    </w:p>
    <w:p w14:paraId="7243BC0D" w14:textId="77777777" w:rsidR="007753F8" w:rsidRPr="00AA1407" w:rsidRDefault="007753F8" w:rsidP="007753F8">
      <w:pPr>
        <w:jc w:val="both"/>
        <w:rPr>
          <w:rFonts w:eastAsia="Calibri"/>
          <w:b/>
          <w:lang w:eastAsia="en-US"/>
        </w:rPr>
      </w:pPr>
    </w:p>
    <w:p w14:paraId="2B9241C6" w14:textId="6C714465" w:rsidR="007753F8" w:rsidRPr="00AA1407" w:rsidRDefault="007753F8" w:rsidP="007753F8">
      <w:pPr>
        <w:jc w:val="both"/>
        <w:rPr>
          <w:rFonts w:eastAsia="Calibri"/>
          <w:b/>
          <w:lang w:eastAsia="en-US"/>
        </w:rPr>
      </w:pPr>
      <w:r w:rsidRPr="00AA1407">
        <w:rPr>
          <w:rFonts w:eastAsia="Calibri"/>
          <w:b/>
          <w:lang w:eastAsia="en-US"/>
        </w:rPr>
        <w:t xml:space="preserve">Uz članak </w:t>
      </w:r>
      <w:r w:rsidR="00E006C4">
        <w:rPr>
          <w:rFonts w:eastAsia="Calibri"/>
          <w:b/>
          <w:lang w:eastAsia="en-US"/>
        </w:rPr>
        <w:t>7</w:t>
      </w:r>
      <w:r w:rsidRPr="00AA1407">
        <w:rPr>
          <w:rFonts w:eastAsia="Calibri"/>
          <w:b/>
          <w:lang w:eastAsia="en-US"/>
        </w:rPr>
        <w:t>.</w:t>
      </w:r>
    </w:p>
    <w:p w14:paraId="24F216EF" w14:textId="77777777" w:rsidR="007753F8" w:rsidRDefault="007753F8" w:rsidP="007753F8">
      <w:pPr>
        <w:jc w:val="both"/>
        <w:rPr>
          <w:rFonts w:eastAsia="Calibri"/>
          <w:lang w:eastAsia="en-US"/>
        </w:rPr>
      </w:pPr>
    </w:p>
    <w:p w14:paraId="766685AB" w14:textId="77777777" w:rsidR="007753F8" w:rsidRPr="00AA1407" w:rsidRDefault="007753F8" w:rsidP="007753F8">
      <w:pPr>
        <w:jc w:val="both"/>
        <w:rPr>
          <w:rFonts w:eastAsia="Calibri"/>
          <w:lang w:eastAsia="en-US"/>
        </w:rPr>
      </w:pPr>
      <w:r w:rsidRPr="00AA1407">
        <w:rPr>
          <w:rFonts w:eastAsia="Calibri"/>
          <w:lang w:eastAsia="en-US"/>
        </w:rPr>
        <w:t>Ovim se člankom mijenja članak 8. stavak 11. Zakona o uspostavi infrastrukture za alternativna goriva („Narodne novine“, br</w:t>
      </w:r>
      <w:r>
        <w:rPr>
          <w:rFonts w:eastAsia="Calibri"/>
          <w:lang w:eastAsia="en-US"/>
        </w:rPr>
        <w:t>oj</w:t>
      </w:r>
      <w:r w:rsidRPr="00AA1407">
        <w:rPr>
          <w:rFonts w:eastAsia="Calibri"/>
          <w:lang w:eastAsia="en-US"/>
        </w:rPr>
        <w:t xml:space="preserve"> 120/16</w:t>
      </w:r>
      <w:r>
        <w:rPr>
          <w:rFonts w:eastAsia="Calibri"/>
          <w:lang w:eastAsia="en-US"/>
        </w:rPr>
        <w:t>.</w:t>
      </w:r>
      <w:r w:rsidRPr="00AA1407">
        <w:rPr>
          <w:rFonts w:eastAsia="Calibri"/>
          <w:lang w:eastAsia="en-US"/>
        </w:rPr>
        <w:t>), tako da se uređuje pitanje tehničkih specifikacija profila priključka tako da mora ispunjavati zahtjeve norme EN ISO 14469 „Cestovna vozila – Priključak za punjenje stlačenim prirodnim plinom (SPP)</w:t>
      </w:r>
      <w:r>
        <w:rPr>
          <w:rFonts w:eastAsia="Calibri"/>
          <w:lang w:eastAsia="en-US"/>
        </w:rPr>
        <w:t>“</w:t>
      </w:r>
      <w:r w:rsidRPr="00AA1407">
        <w:rPr>
          <w:rFonts w:eastAsia="Calibri"/>
          <w:lang w:eastAsia="en-US"/>
        </w:rPr>
        <w:t>.</w:t>
      </w:r>
    </w:p>
    <w:p w14:paraId="5622EFD3" w14:textId="77777777" w:rsidR="007753F8" w:rsidRPr="00AA1407" w:rsidRDefault="007753F8" w:rsidP="007753F8">
      <w:pPr>
        <w:jc w:val="both"/>
        <w:rPr>
          <w:rFonts w:eastAsia="Calibri"/>
          <w:lang w:eastAsia="en-US"/>
        </w:rPr>
      </w:pPr>
      <w:r w:rsidRPr="00AA1407">
        <w:rPr>
          <w:rFonts w:eastAsia="Calibri"/>
          <w:lang w:eastAsia="en-US"/>
        </w:rPr>
        <w:t xml:space="preserve">Nadalje, </w:t>
      </w:r>
      <w:r w:rsidR="00E006C4">
        <w:rPr>
          <w:rFonts w:eastAsia="Calibri"/>
          <w:lang w:eastAsia="en-US"/>
        </w:rPr>
        <w:t xml:space="preserve">u </w:t>
      </w:r>
      <w:r w:rsidRPr="00AA1407">
        <w:rPr>
          <w:rFonts w:eastAsia="Calibri"/>
          <w:lang w:eastAsia="en-US"/>
        </w:rPr>
        <w:t xml:space="preserve">članku 8. dodaju se stavci 12., 13. i 14. kojima se dodatno definiraju tehničke specifikacije za mjesta za opskrbu stlačenim prirodnim plinom (SPP), mjesta za opskrbu ukapljenim prirodnim plinom i mjesta za opskrbu plovila na unutarnjim plovnim putovima ili morskih brodova. </w:t>
      </w:r>
    </w:p>
    <w:p w14:paraId="1557517D" w14:textId="77777777" w:rsidR="00E93AA8" w:rsidRDefault="00E93AA8" w:rsidP="007753F8">
      <w:pPr>
        <w:jc w:val="both"/>
        <w:rPr>
          <w:rFonts w:eastAsia="Calibri"/>
          <w:b/>
          <w:lang w:eastAsia="en-US"/>
        </w:rPr>
      </w:pPr>
    </w:p>
    <w:p w14:paraId="51DDE819" w14:textId="5059D28C" w:rsidR="007753F8" w:rsidRPr="00AA1407" w:rsidRDefault="007753F8" w:rsidP="007753F8">
      <w:pPr>
        <w:jc w:val="both"/>
        <w:rPr>
          <w:rFonts w:eastAsia="Calibri"/>
          <w:b/>
          <w:lang w:eastAsia="en-US"/>
        </w:rPr>
      </w:pPr>
      <w:r w:rsidRPr="00AA1407">
        <w:rPr>
          <w:rFonts w:eastAsia="Calibri"/>
          <w:b/>
          <w:lang w:eastAsia="en-US"/>
        </w:rPr>
        <w:t xml:space="preserve">Uz članak </w:t>
      </w:r>
      <w:r w:rsidR="00E006C4">
        <w:rPr>
          <w:rFonts w:eastAsia="Calibri"/>
          <w:b/>
          <w:lang w:eastAsia="en-US"/>
        </w:rPr>
        <w:t>8</w:t>
      </w:r>
      <w:r w:rsidRPr="00AA1407">
        <w:rPr>
          <w:rFonts w:eastAsia="Calibri"/>
          <w:b/>
          <w:lang w:eastAsia="en-US"/>
        </w:rPr>
        <w:t>.</w:t>
      </w:r>
    </w:p>
    <w:p w14:paraId="491DF00E" w14:textId="77777777" w:rsidR="007753F8" w:rsidRDefault="007753F8" w:rsidP="007753F8">
      <w:pPr>
        <w:jc w:val="both"/>
        <w:rPr>
          <w:rFonts w:eastAsia="Calibri"/>
          <w:lang w:eastAsia="en-US"/>
        </w:rPr>
      </w:pPr>
    </w:p>
    <w:p w14:paraId="1C8F3549" w14:textId="77777777" w:rsidR="007753F8" w:rsidRPr="00AA1407" w:rsidRDefault="007753F8" w:rsidP="007753F8">
      <w:pPr>
        <w:jc w:val="both"/>
        <w:rPr>
          <w:rFonts w:eastAsia="Calibri"/>
        </w:rPr>
      </w:pPr>
      <w:r w:rsidRPr="00AA1407">
        <w:rPr>
          <w:rFonts w:eastAsia="Calibri"/>
          <w:lang w:eastAsia="en-US"/>
        </w:rPr>
        <w:t>Ovim se člankom dodaje članak 9.a, kojim se z</w:t>
      </w:r>
      <w:r w:rsidRPr="00AA1407">
        <w:rPr>
          <w:rFonts w:eastAsia="Calibri"/>
        </w:rPr>
        <w:t>a potrebe praćenja razvoja infrastrukture za alternativna goriva i informiranje korisnika, uspostavlja registar koji izdaje identifikacijske kodove za upravitelje infrastrukture punjenja i pružatelje usluga punjenja, vodi bazu podataka izdanih identifikacijskih kodova, razmjenjuje podatke s registrom identifikacijskih kodova na razini Europske unije te se</w:t>
      </w:r>
      <w:r w:rsidRPr="00AA1407">
        <w:rPr>
          <w:rFonts w:eastAsia="Calibri"/>
          <w:lang w:eastAsia="en-US"/>
        </w:rPr>
        <w:t xml:space="preserve"> dodaje i članak 9.b, kojim se regulira obveza postaja za opskrbu gorivom vezano za prikazivanje usporedbe jediničnih cijena alternativnih i konvencionalnih goriva.</w:t>
      </w:r>
    </w:p>
    <w:p w14:paraId="3CFBF016" w14:textId="77777777" w:rsidR="007753F8" w:rsidRPr="00AA1407" w:rsidRDefault="007753F8" w:rsidP="007753F8">
      <w:pPr>
        <w:jc w:val="both"/>
        <w:rPr>
          <w:rFonts w:eastAsia="Calibri"/>
          <w:b/>
          <w:lang w:eastAsia="en-US"/>
        </w:rPr>
      </w:pPr>
    </w:p>
    <w:p w14:paraId="2836492C" w14:textId="20EF2871" w:rsidR="007753F8" w:rsidRPr="00AA1407" w:rsidRDefault="007753F8" w:rsidP="007753F8">
      <w:pPr>
        <w:jc w:val="both"/>
        <w:rPr>
          <w:rFonts w:eastAsia="Calibri"/>
          <w:b/>
          <w:lang w:eastAsia="en-US"/>
        </w:rPr>
      </w:pPr>
      <w:r w:rsidRPr="00AA1407">
        <w:rPr>
          <w:rFonts w:eastAsia="Calibri"/>
          <w:b/>
          <w:lang w:eastAsia="en-US"/>
        </w:rPr>
        <w:t xml:space="preserve">Uz članak </w:t>
      </w:r>
      <w:r w:rsidR="00E006C4">
        <w:rPr>
          <w:rFonts w:eastAsia="Calibri"/>
          <w:b/>
          <w:lang w:eastAsia="en-US"/>
        </w:rPr>
        <w:t>9</w:t>
      </w:r>
      <w:r w:rsidRPr="00AA1407">
        <w:rPr>
          <w:rFonts w:eastAsia="Calibri"/>
          <w:b/>
          <w:lang w:eastAsia="en-US"/>
        </w:rPr>
        <w:t>.</w:t>
      </w:r>
    </w:p>
    <w:p w14:paraId="45A1D3E8" w14:textId="77777777" w:rsidR="007753F8" w:rsidRDefault="007753F8" w:rsidP="007753F8">
      <w:pPr>
        <w:jc w:val="both"/>
        <w:rPr>
          <w:rFonts w:eastAsia="Calibri"/>
          <w:lang w:eastAsia="en-US"/>
        </w:rPr>
      </w:pPr>
    </w:p>
    <w:p w14:paraId="6C4B4A96" w14:textId="77777777" w:rsidR="007753F8" w:rsidRPr="00AA1407" w:rsidRDefault="007753F8" w:rsidP="007753F8">
      <w:pPr>
        <w:jc w:val="both"/>
        <w:rPr>
          <w:rFonts w:eastAsia="Calibri"/>
          <w:lang w:eastAsia="en-US"/>
        </w:rPr>
      </w:pPr>
      <w:r w:rsidRPr="00AA1407">
        <w:rPr>
          <w:rFonts w:eastAsia="Calibri"/>
          <w:lang w:eastAsia="en-US"/>
        </w:rPr>
        <w:lastRenderedPageBreak/>
        <w:t>Ovim se člankom mijenja članak 10. stavak 2. u Zakonu o uspostavi infrastrukture za alternativna goriva („Narodne novine“, br</w:t>
      </w:r>
      <w:r>
        <w:rPr>
          <w:rFonts w:eastAsia="Calibri"/>
          <w:lang w:eastAsia="en-US"/>
        </w:rPr>
        <w:t>oj</w:t>
      </w:r>
      <w:r w:rsidRPr="00AA1407">
        <w:rPr>
          <w:rFonts w:eastAsia="Calibri"/>
          <w:lang w:eastAsia="en-US"/>
        </w:rPr>
        <w:t xml:space="preserve"> 120/16</w:t>
      </w:r>
      <w:r>
        <w:rPr>
          <w:rFonts w:eastAsia="Calibri"/>
          <w:lang w:eastAsia="en-US"/>
        </w:rPr>
        <w:t>.</w:t>
      </w:r>
      <w:r w:rsidRPr="00AA1407">
        <w:rPr>
          <w:rFonts w:eastAsia="Calibri"/>
          <w:lang w:eastAsia="en-US"/>
        </w:rPr>
        <w:t xml:space="preserve">), naime Centar za praćenje poslovanja energetskog sektora i investicija je prestao sa svojim djelatnostima te će u predmetnom Zakonu njegovu ulogu nacionalnog koordinacijskog tijela preuzeti Ministarstvo gospodarstva i održivog razvoja. </w:t>
      </w:r>
      <w:r>
        <w:rPr>
          <w:rFonts w:eastAsia="Calibri"/>
          <w:lang w:eastAsia="en-US"/>
        </w:rPr>
        <w:t>Č</w:t>
      </w:r>
      <w:r w:rsidRPr="00AA1407">
        <w:rPr>
          <w:rFonts w:eastAsia="Calibri"/>
          <w:lang w:eastAsia="en-US"/>
        </w:rPr>
        <w:t>lankom 3. Zakona o prestanku važenja Zakona o Centru za praćenje poslovanja energetskog sektora i investicija („Narodne novine“, br</w:t>
      </w:r>
      <w:r>
        <w:rPr>
          <w:rFonts w:eastAsia="Calibri"/>
          <w:lang w:eastAsia="en-US"/>
        </w:rPr>
        <w:t>oj</w:t>
      </w:r>
      <w:r w:rsidRPr="00AA1407">
        <w:rPr>
          <w:rFonts w:eastAsia="Calibri"/>
          <w:lang w:eastAsia="en-US"/>
        </w:rPr>
        <w:t xml:space="preserve"> 46/18</w:t>
      </w:r>
      <w:r>
        <w:rPr>
          <w:rFonts w:eastAsia="Calibri"/>
          <w:lang w:eastAsia="en-US"/>
        </w:rPr>
        <w:t>.</w:t>
      </w:r>
      <w:r w:rsidRPr="00AA1407">
        <w:rPr>
          <w:rFonts w:eastAsia="Calibri"/>
          <w:lang w:eastAsia="en-US"/>
        </w:rPr>
        <w:t>) je propisano da će ministarstvo nadležno za poslove energetike preuzeti njihovu ulogu.</w:t>
      </w:r>
    </w:p>
    <w:p w14:paraId="1F795E7F" w14:textId="77777777" w:rsidR="007753F8" w:rsidRPr="00AA1407" w:rsidRDefault="007753F8" w:rsidP="007753F8">
      <w:pPr>
        <w:jc w:val="both"/>
        <w:rPr>
          <w:rFonts w:eastAsia="Calibri"/>
          <w:lang w:eastAsia="en-US"/>
        </w:rPr>
      </w:pPr>
    </w:p>
    <w:p w14:paraId="0E2AE74F" w14:textId="11EF39E4" w:rsidR="007753F8" w:rsidRPr="00AA1407" w:rsidRDefault="007753F8" w:rsidP="007753F8">
      <w:pPr>
        <w:jc w:val="both"/>
        <w:rPr>
          <w:rFonts w:eastAsia="Calibri"/>
          <w:b/>
          <w:lang w:eastAsia="en-US"/>
        </w:rPr>
      </w:pPr>
      <w:r w:rsidRPr="00AA1407">
        <w:rPr>
          <w:rFonts w:eastAsia="Calibri"/>
          <w:b/>
          <w:lang w:eastAsia="en-US"/>
        </w:rPr>
        <w:t xml:space="preserve">Uz članak </w:t>
      </w:r>
      <w:r w:rsidR="00E006C4">
        <w:rPr>
          <w:rFonts w:eastAsia="Calibri"/>
          <w:b/>
          <w:lang w:eastAsia="en-US"/>
        </w:rPr>
        <w:t>10</w:t>
      </w:r>
      <w:r w:rsidRPr="00AA1407">
        <w:rPr>
          <w:rFonts w:eastAsia="Calibri"/>
          <w:b/>
          <w:lang w:eastAsia="en-US"/>
        </w:rPr>
        <w:t>.</w:t>
      </w:r>
    </w:p>
    <w:p w14:paraId="1EF88BE1" w14:textId="77777777" w:rsidR="007753F8" w:rsidRDefault="007753F8" w:rsidP="007753F8">
      <w:pPr>
        <w:jc w:val="both"/>
        <w:rPr>
          <w:rFonts w:eastAsia="Calibri"/>
          <w:lang w:eastAsia="en-US"/>
        </w:rPr>
      </w:pPr>
    </w:p>
    <w:p w14:paraId="401B09D6" w14:textId="7195B731" w:rsidR="007753F8" w:rsidRPr="00AA1407" w:rsidRDefault="007753F8" w:rsidP="007753F8">
      <w:pPr>
        <w:jc w:val="both"/>
        <w:rPr>
          <w:rFonts w:eastAsia="Calibri"/>
          <w:lang w:eastAsia="en-US"/>
        </w:rPr>
      </w:pPr>
      <w:r w:rsidRPr="00AA1407">
        <w:rPr>
          <w:rFonts w:eastAsia="Calibri"/>
          <w:lang w:eastAsia="en-US"/>
        </w:rPr>
        <w:t>Ovim se člankom dopunjuje Zakon o uspostavi infrastrukture za alternativna goriva („Narodne novine“, br</w:t>
      </w:r>
      <w:r>
        <w:rPr>
          <w:rFonts w:eastAsia="Calibri"/>
          <w:lang w:eastAsia="en-US"/>
        </w:rPr>
        <w:t>oj</w:t>
      </w:r>
      <w:r w:rsidRPr="00AA1407">
        <w:rPr>
          <w:rFonts w:eastAsia="Calibri"/>
          <w:lang w:eastAsia="en-US"/>
        </w:rPr>
        <w:t xml:space="preserve"> 120/16</w:t>
      </w:r>
      <w:r>
        <w:rPr>
          <w:rFonts w:eastAsia="Calibri"/>
          <w:lang w:eastAsia="en-US"/>
        </w:rPr>
        <w:t>.</w:t>
      </w:r>
      <w:r w:rsidRPr="00AA1407">
        <w:rPr>
          <w:rFonts w:eastAsia="Calibri"/>
          <w:lang w:eastAsia="en-US"/>
        </w:rPr>
        <w:t xml:space="preserve">), na način da se ustanovljava institut prekršajne odgovornosti zbog povrede prava i obveza propisanih Zakonom </w:t>
      </w:r>
      <w:r w:rsidRPr="00AA1407">
        <w:t xml:space="preserve">te se </w:t>
      </w:r>
      <w:r w:rsidRPr="00AA1407">
        <w:rPr>
          <w:rFonts w:eastAsia="Calibri"/>
          <w:lang w:eastAsia="en-US"/>
        </w:rPr>
        <w:t>propisuju prekršajne kazne (članak 11.a</w:t>
      </w:r>
      <w:r w:rsidR="00EB38A4">
        <w:rPr>
          <w:rFonts w:eastAsia="Calibri"/>
          <w:lang w:eastAsia="en-US"/>
        </w:rPr>
        <w:t xml:space="preserve"> i članak 11.b </w:t>
      </w:r>
      <w:r w:rsidRPr="00AA1407">
        <w:rPr>
          <w:rFonts w:eastAsia="Calibri"/>
          <w:lang w:eastAsia="en-US"/>
        </w:rPr>
        <w:t>).</w:t>
      </w:r>
      <w:r w:rsidR="00EB38A4" w:rsidRPr="00EB38A4">
        <w:t xml:space="preserve"> </w:t>
      </w:r>
      <w:r w:rsidR="00EB38A4">
        <w:t xml:space="preserve">Radi skorog </w:t>
      </w:r>
      <w:r w:rsidR="00EB38A4" w:rsidRPr="00EB38A4">
        <w:t>uvođenje eura kao služb</w:t>
      </w:r>
      <w:r w:rsidR="00EB38A4">
        <w:t xml:space="preserve">ene valute u Republiku Hrvatsku </w:t>
      </w:r>
      <w:r w:rsidR="00EB38A4" w:rsidRPr="00EB38A4">
        <w:t>(u daljnjem tekstu: uvođenje eura)</w:t>
      </w:r>
      <w:r w:rsidR="00EB38A4">
        <w:t xml:space="preserve"> predloženo je </w:t>
      </w:r>
      <w:r w:rsidR="00EB38A4">
        <w:rPr>
          <w:rFonts w:eastAsia="Calibri"/>
          <w:lang w:eastAsia="en-US"/>
        </w:rPr>
        <w:t>duplo</w:t>
      </w:r>
      <w:r w:rsidR="00EB38A4" w:rsidRPr="00EB38A4">
        <w:rPr>
          <w:rFonts w:eastAsia="Calibri"/>
          <w:lang w:eastAsia="en-US"/>
        </w:rPr>
        <w:t xml:space="preserve"> propisivanja prekršajnih odredbi</w:t>
      </w:r>
      <w:r w:rsidR="00EB38A4">
        <w:rPr>
          <w:rFonts w:eastAsia="Calibri"/>
          <w:lang w:eastAsia="en-US"/>
        </w:rPr>
        <w:t>, u i to u kunama do uvođenja eura te u eurima nakon uvođenja eura.</w:t>
      </w:r>
    </w:p>
    <w:p w14:paraId="68551B13" w14:textId="77777777" w:rsidR="007753F8" w:rsidRDefault="007753F8" w:rsidP="007753F8">
      <w:pPr>
        <w:jc w:val="both"/>
        <w:rPr>
          <w:rFonts w:eastAsia="Calibri"/>
          <w:b/>
          <w:lang w:eastAsia="en-US"/>
        </w:rPr>
      </w:pPr>
    </w:p>
    <w:p w14:paraId="23FC9AEB" w14:textId="218C9435" w:rsidR="007753F8" w:rsidRPr="00AA1407" w:rsidRDefault="007753F8" w:rsidP="007753F8">
      <w:pPr>
        <w:jc w:val="both"/>
        <w:rPr>
          <w:rFonts w:eastAsia="Calibri"/>
          <w:b/>
          <w:lang w:eastAsia="en-US"/>
        </w:rPr>
      </w:pPr>
      <w:r w:rsidRPr="00AA1407">
        <w:rPr>
          <w:rFonts w:eastAsia="Calibri"/>
          <w:b/>
          <w:lang w:eastAsia="en-US"/>
        </w:rPr>
        <w:t xml:space="preserve">Uz članak </w:t>
      </w:r>
      <w:r w:rsidR="00E006C4" w:rsidRPr="00AA1407">
        <w:rPr>
          <w:rFonts w:eastAsia="Calibri"/>
          <w:b/>
          <w:lang w:eastAsia="en-US"/>
        </w:rPr>
        <w:t>1</w:t>
      </w:r>
      <w:r w:rsidR="00E006C4">
        <w:rPr>
          <w:rFonts w:eastAsia="Calibri"/>
          <w:b/>
          <w:lang w:eastAsia="en-US"/>
        </w:rPr>
        <w:t>1</w:t>
      </w:r>
      <w:r w:rsidRPr="00AA1407">
        <w:rPr>
          <w:rFonts w:eastAsia="Calibri"/>
          <w:b/>
          <w:lang w:eastAsia="en-US"/>
        </w:rPr>
        <w:t>.</w:t>
      </w:r>
    </w:p>
    <w:p w14:paraId="2CCFFC3E" w14:textId="77777777" w:rsidR="007753F8" w:rsidRDefault="007753F8" w:rsidP="007753F8">
      <w:pPr>
        <w:jc w:val="both"/>
        <w:rPr>
          <w:rFonts w:eastAsia="Calibri"/>
          <w:lang w:eastAsia="en-US"/>
        </w:rPr>
      </w:pPr>
    </w:p>
    <w:p w14:paraId="420CAC51" w14:textId="77777777" w:rsidR="007753F8" w:rsidRPr="00AA1407" w:rsidRDefault="007753F8" w:rsidP="007753F8">
      <w:pPr>
        <w:jc w:val="both"/>
        <w:rPr>
          <w:rFonts w:eastAsia="Calibri"/>
          <w:b/>
          <w:lang w:eastAsia="en-US"/>
        </w:rPr>
      </w:pPr>
      <w:r w:rsidRPr="00AA1407">
        <w:rPr>
          <w:rFonts w:eastAsia="Calibri"/>
          <w:lang w:eastAsia="en-US"/>
        </w:rPr>
        <w:t>Ovim se člankom propisuje nadležnost za provedbu inspekcijskog nadzora.</w:t>
      </w:r>
    </w:p>
    <w:p w14:paraId="7B3B7870" w14:textId="77777777" w:rsidR="007753F8" w:rsidRDefault="007753F8" w:rsidP="007753F8">
      <w:pPr>
        <w:jc w:val="both"/>
        <w:rPr>
          <w:rFonts w:eastAsia="Calibri"/>
          <w:b/>
          <w:lang w:eastAsia="en-US"/>
        </w:rPr>
      </w:pPr>
    </w:p>
    <w:p w14:paraId="338858CC" w14:textId="56922565" w:rsidR="007753F8" w:rsidRPr="00AA1407" w:rsidRDefault="007753F8" w:rsidP="007753F8">
      <w:pPr>
        <w:jc w:val="both"/>
        <w:rPr>
          <w:rFonts w:eastAsia="Calibri"/>
          <w:b/>
          <w:lang w:eastAsia="en-US"/>
        </w:rPr>
      </w:pPr>
      <w:r w:rsidRPr="00AA1407">
        <w:rPr>
          <w:rFonts w:eastAsia="Calibri"/>
          <w:b/>
          <w:lang w:eastAsia="en-US"/>
        </w:rPr>
        <w:t xml:space="preserve">Uz članak </w:t>
      </w:r>
      <w:r w:rsidR="00E006C4" w:rsidRPr="00AA1407">
        <w:rPr>
          <w:rFonts w:eastAsia="Calibri"/>
          <w:b/>
          <w:lang w:eastAsia="en-US"/>
        </w:rPr>
        <w:t>1</w:t>
      </w:r>
      <w:r w:rsidR="00E006C4">
        <w:rPr>
          <w:rFonts w:eastAsia="Calibri"/>
          <w:b/>
          <w:lang w:eastAsia="en-US"/>
        </w:rPr>
        <w:t>2</w:t>
      </w:r>
      <w:r w:rsidRPr="00AA1407">
        <w:rPr>
          <w:rFonts w:eastAsia="Calibri"/>
          <w:b/>
          <w:lang w:eastAsia="en-US"/>
        </w:rPr>
        <w:t>.</w:t>
      </w:r>
    </w:p>
    <w:p w14:paraId="10C36A8C" w14:textId="77777777" w:rsidR="007753F8" w:rsidRDefault="007753F8" w:rsidP="007753F8">
      <w:pPr>
        <w:jc w:val="both"/>
        <w:rPr>
          <w:rFonts w:eastAsia="Calibri"/>
          <w:lang w:eastAsia="en-US"/>
        </w:rPr>
      </w:pPr>
    </w:p>
    <w:p w14:paraId="33DB2792" w14:textId="28BAB92E" w:rsidR="007753F8" w:rsidRPr="00AA1407" w:rsidRDefault="007753F8" w:rsidP="007753F8">
      <w:pPr>
        <w:jc w:val="both"/>
        <w:rPr>
          <w:rFonts w:eastAsia="Calibri"/>
          <w:lang w:eastAsia="en-US"/>
        </w:rPr>
      </w:pPr>
      <w:r w:rsidRPr="00AA1407">
        <w:rPr>
          <w:rFonts w:eastAsia="Calibri"/>
          <w:lang w:eastAsia="en-US"/>
        </w:rPr>
        <w:t>Ovim se člankom</w:t>
      </w:r>
      <w:r w:rsidR="00E006C4">
        <w:rPr>
          <w:rFonts w:eastAsia="Calibri"/>
          <w:lang w:eastAsia="en-US"/>
        </w:rPr>
        <w:t xml:space="preserve"> </w:t>
      </w:r>
      <w:r>
        <w:rPr>
          <w:rFonts w:eastAsia="Calibri"/>
          <w:lang w:eastAsia="en-US"/>
        </w:rPr>
        <w:t>propisuje</w:t>
      </w:r>
      <w:r w:rsidRPr="00AA1407">
        <w:rPr>
          <w:rFonts w:eastAsia="Calibri"/>
          <w:lang w:eastAsia="en-US"/>
        </w:rPr>
        <w:t xml:space="preserve"> </w:t>
      </w:r>
      <w:r w:rsidR="00E006C4" w:rsidRPr="00AA1407">
        <w:rPr>
          <w:rFonts w:eastAsia="Calibri"/>
          <w:lang w:eastAsia="en-US"/>
        </w:rPr>
        <w:t>donošenj</w:t>
      </w:r>
      <w:r w:rsidR="00E006C4">
        <w:rPr>
          <w:rFonts w:eastAsia="Calibri"/>
          <w:lang w:eastAsia="en-US"/>
        </w:rPr>
        <w:t>e</w:t>
      </w:r>
      <w:r w:rsidR="00E006C4" w:rsidRPr="00AA1407">
        <w:rPr>
          <w:rFonts w:eastAsia="Calibri"/>
          <w:lang w:eastAsia="en-US"/>
        </w:rPr>
        <w:t xml:space="preserve"> </w:t>
      </w:r>
      <w:r w:rsidRPr="00AA1407">
        <w:rPr>
          <w:rFonts w:eastAsia="Calibri"/>
          <w:lang w:eastAsia="en-US"/>
        </w:rPr>
        <w:t>pravilnika iz članka 9.a vezano za uspostavu i vođenje registra punionica alternativnih goriva, kao i o načinu informiranja korisnika te pravilnika o</w:t>
      </w:r>
      <w:r w:rsidRPr="00AA1407">
        <w:t xml:space="preserve"> s</w:t>
      </w:r>
      <w:r w:rsidRPr="00AA1407">
        <w:rPr>
          <w:rFonts w:eastAsia="Calibri"/>
          <w:lang w:eastAsia="en-US"/>
        </w:rPr>
        <w:t xml:space="preserve">adržaju i obliku identifikacijskog koda </w:t>
      </w:r>
      <w:r>
        <w:rPr>
          <w:rFonts w:eastAsia="Calibri"/>
          <w:lang w:eastAsia="en-US"/>
        </w:rPr>
        <w:t>te</w:t>
      </w:r>
      <w:r w:rsidRPr="00AA1407">
        <w:rPr>
          <w:rFonts w:eastAsia="Calibri"/>
          <w:lang w:eastAsia="en-US"/>
        </w:rPr>
        <w:t xml:space="preserve"> </w:t>
      </w:r>
      <w:r>
        <w:rPr>
          <w:rFonts w:eastAsia="Calibri"/>
          <w:lang w:eastAsia="en-US"/>
        </w:rPr>
        <w:t>iz članka 9.b</w:t>
      </w:r>
      <w:r w:rsidRPr="00AA1407">
        <w:rPr>
          <w:rFonts w:eastAsia="Calibri"/>
          <w:lang w:eastAsia="en-US"/>
        </w:rPr>
        <w:t xml:space="preserve"> </w:t>
      </w:r>
      <w:r>
        <w:rPr>
          <w:rFonts w:eastAsia="Calibri"/>
          <w:lang w:eastAsia="en-US"/>
        </w:rPr>
        <w:t xml:space="preserve">vezano za </w:t>
      </w:r>
      <w:r w:rsidRPr="00AA1407">
        <w:rPr>
          <w:rFonts w:eastAsia="Calibri"/>
          <w:lang w:eastAsia="en-US"/>
        </w:rPr>
        <w:t xml:space="preserve">način donošenja pravilnika za pružanje informacija na postajama za opskrbu gorivima </w:t>
      </w:r>
    </w:p>
    <w:p w14:paraId="7989D40B" w14:textId="77777777" w:rsidR="007753F8" w:rsidRPr="00AA1407" w:rsidRDefault="007753F8" w:rsidP="007753F8">
      <w:pPr>
        <w:jc w:val="both"/>
        <w:rPr>
          <w:rFonts w:eastAsia="Calibri"/>
          <w:b/>
          <w:lang w:eastAsia="en-US"/>
        </w:rPr>
      </w:pPr>
    </w:p>
    <w:p w14:paraId="37989931" w14:textId="1E5EF041" w:rsidR="007753F8" w:rsidRPr="00AA1407" w:rsidRDefault="007753F8" w:rsidP="007753F8">
      <w:pPr>
        <w:jc w:val="both"/>
        <w:rPr>
          <w:rFonts w:eastAsia="Calibri"/>
          <w:b/>
          <w:lang w:eastAsia="en-US"/>
        </w:rPr>
      </w:pPr>
      <w:r w:rsidRPr="00AA1407">
        <w:rPr>
          <w:rFonts w:eastAsia="Calibri"/>
          <w:b/>
          <w:lang w:eastAsia="en-US"/>
        </w:rPr>
        <w:t xml:space="preserve">Uz članak </w:t>
      </w:r>
      <w:r w:rsidR="00E006C4" w:rsidRPr="00AA1407">
        <w:rPr>
          <w:rFonts w:eastAsia="Calibri"/>
          <w:b/>
          <w:lang w:eastAsia="en-US"/>
        </w:rPr>
        <w:t>1</w:t>
      </w:r>
      <w:r w:rsidR="00E006C4">
        <w:rPr>
          <w:rFonts w:eastAsia="Calibri"/>
          <w:b/>
          <w:lang w:eastAsia="en-US"/>
        </w:rPr>
        <w:t>3</w:t>
      </w:r>
      <w:r w:rsidRPr="00AA1407">
        <w:rPr>
          <w:rFonts w:eastAsia="Calibri"/>
          <w:b/>
          <w:lang w:eastAsia="en-US"/>
        </w:rPr>
        <w:t>.</w:t>
      </w:r>
    </w:p>
    <w:p w14:paraId="7439B58E" w14:textId="77777777" w:rsidR="007753F8" w:rsidRDefault="007753F8" w:rsidP="007753F8">
      <w:pPr>
        <w:jc w:val="both"/>
        <w:rPr>
          <w:rFonts w:eastAsia="Calibri"/>
          <w:lang w:eastAsia="en-US"/>
        </w:rPr>
      </w:pPr>
    </w:p>
    <w:p w14:paraId="64F6F0BC" w14:textId="704DDF8D" w:rsidR="007753F8" w:rsidRDefault="007753F8" w:rsidP="007753F8">
      <w:pPr>
        <w:jc w:val="both"/>
        <w:rPr>
          <w:rFonts w:eastAsia="Calibri"/>
          <w:lang w:eastAsia="en-US"/>
        </w:rPr>
      </w:pPr>
      <w:r w:rsidRPr="00AA1407">
        <w:rPr>
          <w:rFonts w:eastAsia="Calibri"/>
          <w:lang w:eastAsia="en-US"/>
        </w:rPr>
        <w:t xml:space="preserve">Ovim se člankom propisuje obveza upraviteljima punionica alternativnih goriva da u roku od tri mjeseca od uspostave registra iz članka 9.a ishode jedinstveni kod, kao i da omoguće pristup svim potrebnim informacijama u svrhu informiranja korisnika. </w:t>
      </w:r>
    </w:p>
    <w:p w14:paraId="76861EE1" w14:textId="125B84EB" w:rsidR="00773C8B" w:rsidRDefault="00773C8B" w:rsidP="007753F8">
      <w:pPr>
        <w:jc w:val="both"/>
        <w:rPr>
          <w:rFonts w:eastAsia="Calibri"/>
          <w:lang w:eastAsia="en-US"/>
        </w:rPr>
      </w:pPr>
    </w:p>
    <w:p w14:paraId="5C06E37E" w14:textId="5B5D3015" w:rsidR="00773C8B" w:rsidRPr="009B5946" w:rsidRDefault="00773C8B" w:rsidP="007753F8">
      <w:pPr>
        <w:jc w:val="both"/>
        <w:rPr>
          <w:rFonts w:eastAsia="Calibri"/>
          <w:b/>
          <w:lang w:eastAsia="en-US"/>
        </w:rPr>
      </w:pPr>
      <w:r w:rsidRPr="009B5946">
        <w:rPr>
          <w:rFonts w:eastAsia="Calibri"/>
          <w:b/>
          <w:lang w:eastAsia="en-US"/>
        </w:rPr>
        <w:t>Uz članak 14.</w:t>
      </w:r>
    </w:p>
    <w:p w14:paraId="210A7D68" w14:textId="2A79C836" w:rsidR="00773C8B" w:rsidRDefault="00773C8B" w:rsidP="007753F8">
      <w:pPr>
        <w:jc w:val="both"/>
        <w:rPr>
          <w:rFonts w:eastAsia="Calibri"/>
          <w:lang w:eastAsia="en-US"/>
        </w:rPr>
      </w:pPr>
    </w:p>
    <w:p w14:paraId="1D0299C2" w14:textId="01E677A3" w:rsidR="00773C8B" w:rsidRPr="00AA1407" w:rsidRDefault="00773C8B" w:rsidP="007753F8">
      <w:pPr>
        <w:jc w:val="both"/>
        <w:rPr>
          <w:rFonts w:eastAsia="Calibri"/>
          <w:lang w:eastAsia="en-US"/>
        </w:rPr>
      </w:pPr>
      <w:r>
        <w:rPr>
          <w:rFonts w:eastAsia="Calibri"/>
          <w:lang w:eastAsia="en-US"/>
        </w:rPr>
        <w:t xml:space="preserve">Ovim se člankom </w:t>
      </w:r>
      <w:r w:rsidR="009B5946">
        <w:rPr>
          <w:rFonts w:eastAsia="Calibri"/>
          <w:lang w:eastAsia="en-US"/>
        </w:rPr>
        <w:t>propis</w:t>
      </w:r>
      <w:r w:rsidR="00FE7A4E">
        <w:rPr>
          <w:rFonts w:eastAsia="Calibri"/>
          <w:lang w:eastAsia="en-US"/>
        </w:rPr>
        <w:t>uj</w:t>
      </w:r>
      <w:r w:rsidR="009B5946">
        <w:rPr>
          <w:rFonts w:eastAsia="Calibri"/>
          <w:lang w:eastAsia="en-US"/>
        </w:rPr>
        <w:t xml:space="preserve">e prijelazna i završna odredba </w:t>
      </w:r>
      <w:r>
        <w:rPr>
          <w:rFonts w:eastAsia="Calibri"/>
          <w:lang w:eastAsia="en-US"/>
        </w:rPr>
        <w:t>v</w:t>
      </w:r>
      <w:bookmarkStart w:id="1" w:name="_GoBack"/>
      <w:bookmarkEnd w:id="1"/>
      <w:r>
        <w:rPr>
          <w:rFonts w:eastAsia="Calibri"/>
          <w:lang w:eastAsia="en-US"/>
        </w:rPr>
        <w:t xml:space="preserve">ezano za </w:t>
      </w:r>
      <w:r w:rsidRPr="00773C8B">
        <w:rPr>
          <w:rFonts w:eastAsia="Calibri"/>
          <w:lang w:eastAsia="en-US"/>
        </w:rPr>
        <w:t>uvo</w:t>
      </w:r>
      <w:r>
        <w:rPr>
          <w:rFonts w:eastAsia="Calibri"/>
          <w:lang w:eastAsia="en-US"/>
        </w:rPr>
        <w:t>đenje</w:t>
      </w:r>
      <w:r w:rsidRPr="00773C8B">
        <w:rPr>
          <w:rFonts w:eastAsia="Calibri"/>
          <w:lang w:eastAsia="en-US"/>
        </w:rPr>
        <w:t xml:space="preserve"> eura</w:t>
      </w:r>
      <w:r>
        <w:rPr>
          <w:rFonts w:eastAsia="Calibri"/>
          <w:lang w:eastAsia="en-US"/>
        </w:rPr>
        <w:t>.</w:t>
      </w:r>
    </w:p>
    <w:p w14:paraId="707E48B7" w14:textId="77777777" w:rsidR="007753F8" w:rsidRPr="00AA1407" w:rsidRDefault="007753F8" w:rsidP="007753F8">
      <w:pPr>
        <w:jc w:val="both"/>
        <w:rPr>
          <w:rFonts w:eastAsia="Calibri"/>
          <w:lang w:eastAsia="en-US"/>
        </w:rPr>
      </w:pPr>
    </w:p>
    <w:p w14:paraId="37B88E51" w14:textId="6A240994" w:rsidR="007753F8" w:rsidRPr="00AA1407" w:rsidRDefault="007753F8" w:rsidP="007753F8">
      <w:pPr>
        <w:jc w:val="both"/>
        <w:rPr>
          <w:rFonts w:eastAsia="Calibri"/>
          <w:b/>
          <w:lang w:eastAsia="en-US"/>
        </w:rPr>
      </w:pPr>
      <w:r w:rsidRPr="00AA1407">
        <w:rPr>
          <w:rFonts w:eastAsia="Calibri"/>
          <w:b/>
          <w:lang w:eastAsia="en-US"/>
        </w:rPr>
        <w:t xml:space="preserve">Uz članak </w:t>
      </w:r>
      <w:r w:rsidR="00E006C4" w:rsidRPr="00AA1407">
        <w:rPr>
          <w:rFonts w:eastAsia="Calibri"/>
          <w:b/>
          <w:lang w:eastAsia="en-US"/>
        </w:rPr>
        <w:t>1</w:t>
      </w:r>
      <w:r w:rsidR="00773C8B">
        <w:rPr>
          <w:rFonts w:eastAsia="Calibri"/>
          <w:b/>
          <w:lang w:eastAsia="en-US"/>
        </w:rPr>
        <w:t>5</w:t>
      </w:r>
      <w:r w:rsidRPr="00AA1407">
        <w:rPr>
          <w:rFonts w:eastAsia="Calibri"/>
          <w:b/>
          <w:lang w:eastAsia="en-US"/>
        </w:rPr>
        <w:t>.</w:t>
      </w:r>
    </w:p>
    <w:p w14:paraId="3E387A64" w14:textId="77777777" w:rsidR="007753F8" w:rsidRDefault="007753F8" w:rsidP="007753F8">
      <w:pPr>
        <w:jc w:val="both"/>
        <w:rPr>
          <w:rFonts w:eastAsia="Calibri"/>
          <w:lang w:eastAsia="en-US"/>
        </w:rPr>
      </w:pPr>
    </w:p>
    <w:p w14:paraId="17BC1450" w14:textId="77777777" w:rsidR="007753F8" w:rsidRDefault="007753F8" w:rsidP="007753F8">
      <w:pPr>
        <w:jc w:val="both"/>
        <w:rPr>
          <w:rFonts w:eastAsia="Calibri"/>
          <w:lang w:eastAsia="en-US"/>
        </w:rPr>
      </w:pPr>
      <w:r w:rsidRPr="00AA1407">
        <w:rPr>
          <w:rFonts w:eastAsia="Calibri"/>
          <w:lang w:eastAsia="en-US"/>
        </w:rPr>
        <w:t xml:space="preserve">Ovim </w:t>
      </w:r>
      <w:r>
        <w:rPr>
          <w:rFonts w:eastAsia="Calibri"/>
          <w:lang w:eastAsia="en-US"/>
        </w:rPr>
        <w:t xml:space="preserve">se </w:t>
      </w:r>
      <w:r w:rsidRPr="00AA1407">
        <w:rPr>
          <w:rFonts w:eastAsia="Calibri"/>
          <w:lang w:eastAsia="en-US"/>
        </w:rPr>
        <w:t xml:space="preserve">člankom </w:t>
      </w:r>
      <w:r>
        <w:rPr>
          <w:rFonts w:eastAsia="Calibri"/>
          <w:lang w:eastAsia="en-US"/>
        </w:rPr>
        <w:t>određuje</w:t>
      </w:r>
      <w:r w:rsidRPr="00AA1407">
        <w:rPr>
          <w:rFonts w:eastAsia="Calibri"/>
          <w:lang w:eastAsia="en-US"/>
        </w:rPr>
        <w:t xml:space="preserve"> stupanj</w:t>
      </w:r>
      <w:r>
        <w:rPr>
          <w:rFonts w:eastAsia="Calibri"/>
          <w:lang w:eastAsia="en-US"/>
        </w:rPr>
        <w:t>e</w:t>
      </w:r>
      <w:r w:rsidRPr="00AA1407">
        <w:rPr>
          <w:rFonts w:eastAsia="Calibri"/>
          <w:lang w:eastAsia="en-US"/>
        </w:rPr>
        <w:t xml:space="preserve"> na snagu Zakona.</w:t>
      </w:r>
    </w:p>
    <w:p w14:paraId="25640D91" w14:textId="77777777" w:rsidR="00101BF7" w:rsidRDefault="00101BF7" w:rsidP="007753F8">
      <w:pPr>
        <w:jc w:val="both"/>
        <w:rPr>
          <w:rFonts w:eastAsia="Calibri"/>
          <w:lang w:eastAsia="en-US"/>
        </w:rPr>
      </w:pPr>
    </w:p>
    <w:p w14:paraId="0A69389D" w14:textId="77777777" w:rsidR="00222C7B" w:rsidRPr="00AA1407" w:rsidRDefault="00222C7B" w:rsidP="007753F8">
      <w:pPr>
        <w:jc w:val="both"/>
        <w:rPr>
          <w:rFonts w:eastAsia="Calibri"/>
          <w:lang w:eastAsia="en-US"/>
        </w:rPr>
      </w:pPr>
    </w:p>
    <w:p w14:paraId="01AD96B6" w14:textId="77777777" w:rsidR="00F845D8" w:rsidRPr="00EF0BE1" w:rsidRDefault="00F845D8" w:rsidP="00F845D8">
      <w:pPr>
        <w:numPr>
          <w:ilvl w:val="0"/>
          <w:numId w:val="16"/>
        </w:numPr>
        <w:ind w:hanging="720"/>
        <w:jc w:val="both"/>
        <w:rPr>
          <w:b/>
          <w:lang w:eastAsia="en-US"/>
        </w:rPr>
      </w:pPr>
      <w:r w:rsidRPr="00EF0BE1">
        <w:rPr>
          <w:rFonts w:eastAsia="Arial"/>
          <w:b/>
          <w:lang w:eastAsia="en-US"/>
        </w:rPr>
        <w:t xml:space="preserve">OCJENA I IZVORI POTREBNIH </w:t>
      </w:r>
      <w:r w:rsidRPr="00EF0BE1">
        <w:rPr>
          <w:b/>
          <w:lang w:eastAsia="en-US"/>
        </w:rPr>
        <w:t>SREDSTAVA ZA PROVOĐENJE ZAKONA</w:t>
      </w:r>
    </w:p>
    <w:p w14:paraId="7B7B7604" w14:textId="77777777" w:rsidR="00F845D8" w:rsidRDefault="00F845D8" w:rsidP="00F845D8">
      <w:pPr>
        <w:shd w:val="clear" w:color="auto" w:fill="FFFFFF"/>
        <w:spacing w:line="288" w:lineRule="atLeast"/>
        <w:jc w:val="both"/>
      </w:pPr>
    </w:p>
    <w:p w14:paraId="4A6B769C" w14:textId="4B49AC64" w:rsidR="00F845D8" w:rsidRPr="002109C8" w:rsidRDefault="00F845D8" w:rsidP="00DA5059">
      <w:pPr>
        <w:shd w:val="clear" w:color="auto" w:fill="FFFFFF"/>
        <w:ind w:firstLine="709"/>
        <w:jc w:val="both"/>
      </w:pPr>
      <w:r w:rsidRPr="002109C8">
        <w:t xml:space="preserve">Za </w:t>
      </w:r>
      <w:r w:rsidR="00222C7B" w:rsidRPr="002109C8">
        <w:t>prov</w:t>
      </w:r>
      <w:r w:rsidR="00222C7B">
        <w:t>ođenje</w:t>
      </w:r>
      <w:r w:rsidR="00222C7B" w:rsidRPr="002109C8">
        <w:t xml:space="preserve"> </w:t>
      </w:r>
      <w:r w:rsidRPr="002109C8">
        <w:t xml:space="preserve">ovoga Zakona nije potrebno osigurati </w:t>
      </w:r>
      <w:r>
        <w:t xml:space="preserve">dodatna </w:t>
      </w:r>
      <w:r w:rsidRPr="002109C8">
        <w:t>sredstva u državnom proračunu Republike Hrvatske, niti u proračunima jedinica lokalne i područne (regionalne) samouprave.</w:t>
      </w:r>
    </w:p>
    <w:p w14:paraId="17B21285" w14:textId="77777777" w:rsidR="00F845D8" w:rsidRPr="002109C8" w:rsidRDefault="00F845D8" w:rsidP="00F845D8">
      <w:pPr>
        <w:shd w:val="clear" w:color="auto" w:fill="FFFFFF"/>
        <w:jc w:val="both"/>
      </w:pPr>
    </w:p>
    <w:p w14:paraId="257D359C" w14:textId="77777777" w:rsidR="00F845D8" w:rsidRPr="002109C8" w:rsidRDefault="00F845D8" w:rsidP="00DA5059">
      <w:pPr>
        <w:shd w:val="clear" w:color="auto" w:fill="FFFFFF"/>
        <w:ind w:firstLine="709"/>
        <w:jc w:val="both"/>
      </w:pPr>
      <w:r w:rsidRPr="002109C8">
        <w:t xml:space="preserve">Cilj Zakona nije dodatno financijski opteretiti državni proračun ili regionalna i lokalna tijela vlasti, nego ujednačiti tehničke specifikacije stanica za punjenje i opskrbu alternativnim gorivima kako bi bile kompatibilne sa svim tehnologijama vozila te kako bi se omogućila neometana upotreba vozila na alternativna goriva na cijelom području EU-a u vremenima koja dolaze. </w:t>
      </w:r>
      <w:r w:rsidRPr="00B805C2">
        <w:t>Sredstva za provedbu ovog</w:t>
      </w:r>
      <w:r w:rsidR="00222C7B">
        <w:t>a</w:t>
      </w:r>
      <w:r w:rsidRPr="00B805C2">
        <w:t xml:space="preserve"> Zakona osigurana su u okviru redovnih aktivnosti Ministarstva mora, prometa i infrastrukture i Ministarstva gospodarstva i održivog razvoja.</w:t>
      </w:r>
    </w:p>
    <w:p w14:paraId="4F7E6B7A" w14:textId="74EC1939" w:rsidR="00F845D8" w:rsidRDefault="00F845D8" w:rsidP="00F845D8">
      <w:pPr>
        <w:shd w:val="clear" w:color="auto" w:fill="FFFFFF"/>
        <w:spacing w:line="288" w:lineRule="atLeast"/>
        <w:jc w:val="both"/>
      </w:pPr>
    </w:p>
    <w:p w14:paraId="20908397" w14:textId="3E916065" w:rsidR="00975662" w:rsidRDefault="00975662" w:rsidP="00F845D8">
      <w:pPr>
        <w:shd w:val="clear" w:color="auto" w:fill="FFFFFF"/>
        <w:spacing w:line="288" w:lineRule="atLeast"/>
        <w:jc w:val="both"/>
      </w:pPr>
    </w:p>
    <w:p w14:paraId="6A2BE9A4" w14:textId="10D14B4E" w:rsidR="00975662" w:rsidRDefault="00975662" w:rsidP="00F845D8">
      <w:pPr>
        <w:shd w:val="clear" w:color="auto" w:fill="FFFFFF"/>
        <w:spacing w:line="288" w:lineRule="atLeast"/>
        <w:jc w:val="both"/>
      </w:pPr>
    </w:p>
    <w:p w14:paraId="4842BB8A" w14:textId="77777777" w:rsidR="00975662" w:rsidRDefault="00975662" w:rsidP="00F845D8">
      <w:pPr>
        <w:shd w:val="clear" w:color="auto" w:fill="FFFFFF"/>
        <w:spacing w:line="288" w:lineRule="atLeast"/>
        <w:jc w:val="both"/>
      </w:pPr>
    </w:p>
    <w:p w14:paraId="3FEDFDF0" w14:textId="77777777" w:rsidR="00F845D8" w:rsidRPr="0047278C" w:rsidRDefault="00F845D8" w:rsidP="00F845D8">
      <w:pPr>
        <w:ind w:firstLine="708"/>
        <w:jc w:val="both"/>
        <w:rPr>
          <w:rFonts w:eastAsia="Arial"/>
        </w:rPr>
      </w:pPr>
    </w:p>
    <w:p w14:paraId="2833B921" w14:textId="77777777" w:rsidR="00F845D8" w:rsidRPr="00EF0BE1" w:rsidRDefault="00F845D8" w:rsidP="00F845D8">
      <w:pPr>
        <w:numPr>
          <w:ilvl w:val="0"/>
          <w:numId w:val="16"/>
        </w:numPr>
        <w:ind w:hanging="720"/>
        <w:jc w:val="both"/>
        <w:rPr>
          <w:rFonts w:eastAsia="Arial"/>
          <w:b/>
          <w:bCs/>
        </w:rPr>
      </w:pPr>
      <w:r w:rsidRPr="00EF0BE1">
        <w:rPr>
          <w:rFonts w:eastAsia="Arial"/>
          <w:b/>
          <w:bCs/>
        </w:rPr>
        <w:t>RAZLIKE IZMEĐU RJEŠENJA KOJA SE PREDLAŽU KONAČNIM PRIJEDLOGOM ZAKONA U ODNOSU NA RJEŠENJA IZ PRIJEDLOGA ZAKONA I RAZLOZI ZBOG KOJIH SU TE RAZLIKE NASTALE</w:t>
      </w:r>
    </w:p>
    <w:p w14:paraId="6351F1C4" w14:textId="77777777" w:rsidR="00F845D8" w:rsidRPr="0047278C" w:rsidRDefault="00F845D8" w:rsidP="00F845D8">
      <w:pPr>
        <w:ind w:firstLine="708"/>
        <w:jc w:val="both"/>
        <w:rPr>
          <w:rFonts w:eastAsia="Arial"/>
          <w:b/>
          <w:bCs/>
          <w:iCs/>
        </w:rPr>
      </w:pPr>
    </w:p>
    <w:p w14:paraId="59B4D0AE" w14:textId="77777777" w:rsidR="00F845D8" w:rsidRDefault="00550492" w:rsidP="00550492">
      <w:pPr>
        <w:shd w:val="clear" w:color="auto" w:fill="FFFFFF"/>
        <w:spacing w:line="288" w:lineRule="atLeast"/>
        <w:ind w:firstLine="708"/>
        <w:jc w:val="both"/>
      </w:pPr>
      <w:r>
        <w:t>Konačni prijedlog zakona o izmjenama i dopunama Zakona o alternativnim gorivima ima 13. umjesto 12. članaka, jer je između dva čitanja dodan novi članak 4.</w:t>
      </w:r>
    </w:p>
    <w:p w14:paraId="08B6934F" w14:textId="77777777" w:rsidR="00550492" w:rsidRDefault="00550492" w:rsidP="00F845D8">
      <w:pPr>
        <w:shd w:val="clear" w:color="auto" w:fill="FFFFFF"/>
        <w:spacing w:line="288" w:lineRule="atLeast"/>
        <w:jc w:val="both"/>
      </w:pPr>
    </w:p>
    <w:p w14:paraId="5F3DE6FC" w14:textId="45CB2D70" w:rsidR="00F845D8" w:rsidRDefault="00F845D8" w:rsidP="00222C7B">
      <w:pPr>
        <w:shd w:val="clear" w:color="auto" w:fill="FFFFFF"/>
        <w:spacing w:line="288" w:lineRule="atLeast"/>
        <w:ind w:firstLine="708"/>
        <w:jc w:val="both"/>
      </w:pPr>
      <w:r>
        <w:t>Odbor za zakonodavstvo Hrvatskog</w:t>
      </w:r>
      <w:r w:rsidR="00550492">
        <w:t>a</w:t>
      </w:r>
      <w:r>
        <w:t xml:space="preserve"> sabora na 54. sjednici održanoj 16. veljače </w:t>
      </w:r>
      <w:r w:rsidR="00550492">
        <w:t xml:space="preserve">2022. </w:t>
      </w:r>
      <w:r>
        <w:t xml:space="preserve">raspravljao je o Prijedlogu zakona o izmjenama i dopunama </w:t>
      </w:r>
      <w:r w:rsidR="00550492">
        <w:t xml:space="preserve">Zakona </w:t>
      </w:r>
      <w:r>
        <w:t>o uspostavi infrastrukture za alternativna goriva te je jednoglasno podupro donošenje ovog</w:t>
      </w:r>
      <w:r w:rsidR="00976EF4">
        <w:t>a</w:t>
      </w:r>
      <w:r>
        <w:t xml:space="preserve"> Zakona. Na tekst Prijedloga zakona Odbor je istaknuo potrebu nomotehničke </w:t>
      </w:r>
      <w:r w:rsidR="00BD6D68">
        <w:t>dorade</w:t>
      </w:r>
      <w:r>
        <w:t xml:space="preserve"> pojedinih odredbi, a osobito:</w:t>
      </w:r>
    </w:p>
    <w:p w14:paraId="64D32E9B" w14:textId="6762BF53" w:rsidR="00F845D8" w:rsidRDefault="00F845D8" w:rsidP="00F845D8">
      <w:pPr>
        <w:numPr>
          <w:ilvl w:val="0"/>
          <w:numId w:val="4"/>
        </w:numPr>
        <w:shd w:val="clear" w:color="auto" w:fill="FFFFFF"/>
        <w:spacing w:line="288" w:lineRule="atLeast"/>
        <w:jc w:val="both"/>
      </w:pPr>
      <w:r>
        <w:t xml:space="preserve">članak 6. </w:t>
      </w:r>
      <w:r w:rsidR="005A5CD9">
        <w:t xml:space="preserve">(članak 7. Konačnog prijedloga zakona) </w:t>
      </w:r>
      <w:r>
        <w:t>– u dodanom stavku 12. potrebno je brisati oznaku podstavka (s o</w:t>
      </w:r>
      <w:r w:rsidR="00067882">
        <w:t>bzirom da se radi o jednom pods</w:t>
      </w:r>
      <w:r>
        <w:t>tavku)</w:t>
      </w:r>
    </w:p>
    <w:p w14:paraId="14AFE114" w14:textId="77777777" w:rsidR="00F845D8" w:rsidRDefault="00F845D8" w:rsidP="00F845D8">
      <w:pPr>
        <w:numPr>
          <w:ilvl w:val="0"/>
          <w:numId w:val="4"/>
        </w:numPr>
        <w:shd w:val="clear" w:color="auto" w:fill="FFFFFF"/>
        <w:spacing w:line="288" w:lineRule="atLeast"/>
        <w:jc w:val="both"/>
      </w:pPr>
      <w:r>
        <w:t xml:space="preserve">članak 11 </w:t>
      </w:r>
      <w:r w:rsidR="005A5CD9">
        <w:t xml:space="preserve">(članak 12. Konačnog prijedloga zakona) </w:t>
      </w:r>
      <w:r>
        <w:t>– kako bi se izbjeglo ponavljanje dovoljno je navesti „pravilnike iz članaka 9.a i 9.b koji su dodani člankom 7. …“</w:t>
      </w:r>
    </w:p>
    <w:p w14:paraId="3A5A7DE7" w14:textId="77777777" w:rsidR="00F845D8" w:rsidRDefault="00F845D8" w:rsidP="00F845D8">
      <w:pPr>
        <w:numPr>
          <w:ilvl w:val="0"/>
          <w:numId w:val="4"/>
        </w:numPr>
        <w:shd w:val="clear" w:color="auto" w:fill="FFFFFF"/>
        <w:spacing w:line="288" w:lineRule="atLeast"/>
        <w:jc w:val="both"/>
      </w:pPr>
      <w:r>
        <w:t xml:space="preserve">članak 12. </w:t>
      </w:r>
      <w:r w:rsidR="005A5CD9">
        <w:t xml:space="preserve">(članak 13. Konačnog prijedloga zakona) </w:t>
      </w:r>
      <w:r>
        <w:t>– potrebno je dopuniti izričaj „iz članka 9.a koji je dodan člankom 7. …“ (kao u članku 11.)</w:t>
      </w:r>
      <w:r w:rsidR="005A5CD9">
        <w:t>, što je i učinjeno.</w:t>
      </w:r>
      <w:r>
        <w:t xml:space="preserve"> </w:t>
      </w:r>
    </w:p>
    <w:p w14:paraId="122F10A3" w14:textId="6D72120A" w:rsidR="00550492" w:rsidRDefault="00550492" w:rsidP="00550492">
      <w:pPr>
        <w:jc w:val="both"/>
        <w:rPr>
          <w:rFonts w:eastAsia="Arial"/>
          <w:lang w:eastAsia="en-US"/>
        </w:rPr>
      </w:pPr>
    </w:p>
    <w:p w14:paraId="329DFB8E" w14:textId="77777777" w:rsidR="00550492" w:rsidRDefault="00550492" w:rsidP="00222C7B">
      <w:pPr>
        <w:ind w:firstLine="708"/>
        <w:jc w:val="both"/>
        <w:rPr>
          <w:rFonts w:eastAsia="Arial"/>
          <w:lang w:eastAsia="en-US"/>
        </w:rPr>
      </w:pPr>
      <w:r>
        <w:rPr>
          <w:rFonts w:eastAsia="Arial"/>
          <w:lang w:eastAsia="en-US"/>
        </w:rPr>
        <w:t>U članku 1. Konačnog prijedloga zakona predlagatelj je proširio odredbu članka</w:t>
      </w:r>
      <w:r w:rsidRPr="009C7C91">
        <w:rPr>
          <w:rFonts w:eastAsia="Arial"/>
          <w:lang w:eastAsia="en-US"/>
        </w:rPr>
        <w:t xml:space="preserve"> 1. stav</w:t>
      </w:r>
      <w:r>
        <w:rPr>
          <w:rFonts w:eastAsia="Arial"/>
          <w:lang w:eastAsia="en-US"/>
        </w:rPr>
        <w:t>ka 3., koja se mijenja, i na „područje zaštite</w:t>
      </w:r>
      <w:r w:rsidRPr="009C7C91">
        <w:rPr>
          <w:rFonts w:eastAsia="Arial"/>
          <w:lang w:eastAsia="en-US"/>
        </w:rPr>
        <w:t xml:space="preserve"> na radu, područje zaštite od požara i tehnoloških eksplozija, područje zapaljivih tekućina i plinova. Naime, navedena područja su ključna za osiguravanje pretpostavki za sigurnost ljudi i postrojenja.</w:t>
      </w:r>
      <w:r>
        <w:rPr>
          <w:rFonts w:eastAsia="Arial"/>
          <w:lang w:eastAsia="en-US"/>
        </w:rPr>
        <w:t xml:space="preserve"> </w:t>
      </w:r>
    </w:p>
    <w:p w14:paraId="71C85538" w14:textId="77777777" w:rsidR="009C7C91" w:rsidRDefault="009C7C91" w:rsidP="00F845D8">
      <w:pPr>
        <w:jc w:val="both"/>
        <w:rPr>
          <w:rFonts w:eastAsia="Arial"/>
          <w:lang w:eastAsia="en-US"/>
        </w:rPr>
      </w:pPr>
    </w:p>
    <w:p w14:paraId="2D7A2EFE" w14:textId="77777777" w:rsidR="00ED75C2" w:rsidRDefault="00ED75C2" w:rsidP="00222C7B">
      <w:pPr>
        <w:ind w:firstLine="708"/>
        <w:jc w:val="both"/>
        <w:rPr>
          <w:rFonts w:eastAsia="Arial"/>
          <w:lang w:eastAsia="en-US"/>
        </w:rPr>
      </w:pPr>
      <w:r>
        <w:rPr>
          <w:rFonts w:eastAsia="Arial"/>
          <w:lang w:eastAsia="en-US"/>
        </w:rPr>
        <w:t xml:space="preserve">Predlagatelj je dodao novi članak 4. </w:t>
      </w:r>
      <w:r w:rsidR="005A5CD9">
        <w:rPr>
          <w:rFonts w:eastAsia="Arial"/>
          <w:lang w:eastAsia="en-US"/>
        </w:rPr>
        <w:t xml:space="preserve">Konačnog prijedloga zakona </w:t>
      </w:r>
      <w:r>
        <w:rPr>
          <w:rFonts w:eastAsia="Arial"/>
          <w:lang w:eastAsia="en-US"/>
        </w:rPr>
        <w:t xml:space="preserve">kojim je izvršena izmjena članka 4. stavka 10. kojom je </w:t>
      </w:r>
      <w:r w:rsidR="00976EF4">
        <w:rPr>
          <w:rFonts w:eastAsia="Arial"/>
          <w:lang w:eastAsia="en-US"/>
        </w:rPr>
        <w:t>ispravljeno pozivanje na odredbu vezano za izradu izvješća o provedbi NOP-a.</w:t>
      </w:r>
    </w:p>
    <w:p w14:paraId="4369A49C" w14:textId="77777777" w:rsidR="00976EF4" w:rsidRDefault="00976EF4" w:rsidP="00F845D8">
      <w:pPr>
        <w:jc w:val="both"/>
        <w:rPr>
          <w:rFonts w:eastAsia="Arial"/>
          <w:lang w:eastAsia="en-US"/>
        </w:rPr>
      </w:pPr>
    </w:p>
    <w:p w14:paraId="46DCC273" w14:textId="3A3FE8BF" w:rsidR="00D17A07" w:rsidRDefault="00D17A07" w:rsidP="00222C7B">
      <w:pPr>
        <w:ind w:firstLine="708"/>
        <w:jc w:val="both"/>
        <w:rPr>
          <w:rFonts w:eastAsia="Arial"/>
          <w:lang w:eastAsia="en-US"/>
        </w:rPr>
      </w:pPr>
      <w:r>
        <w:rPr>
          <w:rFonts w:eastAsia="Arial"/>
          <w:lang w:eastAsia="en-US"/>
        </w:rPr>
        <w:t>Izmijenjen je članak 6. stavak 1. važećeg Zakona</w:t>
      </w:r>
      <w:r w:rsidR="00F7599E">
        <w:rPr>
          <w:rFonts w:eastAsia="Arial"/>
          <w:lang w:eastAsia="en-US"/>
        </w:rPr>
        <w:t xml:space="preserve"> tako da je izbrisana procjena</w:t>
      </w:r>
      <w:r w:rsidR="00F7599E" w:rsidRPr="00F7599E">
        <w:rPr>
          <w:rFonts w:eastAsia="Arial"/>
          <w:lang w:eastAsia="en-US"/>
        </w:rPr>
        <w:t xml:space="preserve"> broja registriranih električnih vozila do kraja 2020.</w:t>
      </w:r>
      <w:r w:rsidR="00F15B77">
        <w:rPr>
          <w:rFonts w:eastAsia="Arial"/>
          <w:lang w:eastAsia="en-US"/>
        </w:rPr>
        <w:t xml:space="preserve"> </w:t>
      </w:r>
    </w:p>
    <w:p w14:paraId="37294459" w14:textId="0CEB1643" w:rsidR="00B60A7C" w:rsidRDefault="00B60A7C" w:rsidP="00F845D8">
      <w:pPr>
        <w:jc w:val="both"/>
        <w:rPr>
          <w:rFonts w:eastAsia="Arial"/>
          <w:lang w:eastAsia="en-US"/>
        </w:rPr>
      </w:pPr>
    </w:p>
    <w:p w14:paraId="452FD5AC" w14:textId="71EC67AB" w:rsidR="00B60A7C" w:rsidRDefault="009C7C91" w:rsidP="00DA5059">
      <w:pPr>
        <w:ind w:firstLine="708"/>
        <w:jc w:val="both"/>
        <w:rPr>
          <w:rFonts w:eastAsia="Arial"/>
          <w:lang w:eastAsia="en-US"/>
        </w:rPr>
      </w:pPr>
      <w:r>
        <w:rPr>
          <w:rFonts w:eastAsia="Arial"/>
          <w:lang w:eastAsia="en-US"/>
        </w:rPr>
        <w:t xml:space="preserve">Nadalje, </w:t>
      </w:r>
      <w:r w:rsidR="005A5CD9">
        <w:rPr>
          <w:rFonts w:eastAsia="Arial"/>
          <w:lang w:eastAsia="en-US"/>
        </w:rPr>
        <w:t xml:space="preserve">uočena </w:t>
      </w:r>
      <w:r>
        <w:rPr>
          <w:rFonts w:eastAsia="Arial"/>
          <w:lang w:eastAsia="en-US"/>
        </w:rPr>
        <w:t xml:space="preserve">je potreba upućivanja kroz Konačni prijedloga </w:t>
      </w:r>
      <w:r w:rsidR="005A5CD9">
        <w:rPr>
          <w:rFonts w:eastAsia="Arial"/>
          <w:lang w:eastAsia="en-US"/>
        </w:rPr>
        <w:t xml:space="preserve">zakona </w:t>
      </w:r>
      <w:r>
        <w:rPr>
          <w:rFonts w:eastAsia="Arial"/>
          <w:lang w:eastAsia="en-US"/>
        </w:rPr>
        <w:t xml:space="preserve">na poštivanje odredbi </w:t>
      </w:r>
      <w:r w:rsidR="0042185D">
        <w:rPr>
          <w:rFonts w:eastAsia="Arial"/>
          <w:lang w:eastAsia="en-US"/>
        </w:rPr>
        <w:t>propis</w:t>
      </w:r>
      <w:r w:rsidR="00DA5059">
        <w:rPr>
          <w:rFonts w:eastAsia="Arial"/>
          <w:lang w:eastAsia="en-US"/>
        </w:rPr>
        <w:t>a</w:t>
      </w:r>
      <w:r w:rsidR="00DA5059" w:rsidRPr="009C7C91">
        <w:rPr>
          <w:rFonts w:eastAsia="Arial"/>
          <w:lang w:eastAsia="en-US"/>
        </w:rPr>
        <w:t xml:space="preserve"> </w:t>
      </w:r>
      <w:r w:rsidR="00DA5059">
        <w:rPr>
          <w:rFonts w:eastAsia="Arial"/>
          <w:lang w:eastAsia="en-US"/>
        </w:rPr>
        <w:t>kojim se uređuju</w:t>
      </w:r>
      <w:r w:rsidR="00DA5059" w:rsidRPr="009C7C91">
        <w:rPr>
          <w:rFonts w:eastAsia="Arial"/>
          <w:lang w:eastAsia="en-US"/>
        </w:rPr>
        <w:t xml:space="preserve"> </w:t>
      </w:r>
      <w:r w:rsidRPr="009C7C91">
        <w:rPr>
          <w:rFonts w:eastAsia="Arial"/>
          <w:lang w:eastAsia="en-US"/>
        </w:rPr>
        <w:t xml:space="preserve">sustavi za opskrbu motornih vozila </w:t>
      </w:r>
      <w:r w:rsidR="002F50F7" w:rsidRPr="009C7C91">
        <w:rPr>
          <w:rFonts w:eastAsia="Arial"/>
          <w:lang w:eastAsia="en-US"/>
        </w:rPr>
        <w:t>st</w:t>
      </w:r>
      <w:r w:rsidR="002F50F7">
        <w:rPr>
          <w:rFonts w:eastAsia="Arial"/>
          <w:lang w:eastAsia="en-US"/>
        </w:rPr>
        <w:t>l</w:t>
      </w:r>
      <w:r w:rsidR="002F50F7" w:rsidRPr="009C7C91">
        <w:rPr>
          <w:rFonts w:eastAsia="Arial"/>
          <w:lang w:eastAsia="en-US"/>
        </w:rPr>
        <w:t xml:space="preserve">ačenim </w:t>
      </w:r>
      <w:r w:rsidRPr="009C7C91">
        <w:rPr>
          <w:rFonts w:eastAsia="Arial"/>
          <w:lang w:eastAsia="en-US"/>
        </w:rPr>
        <w:t>prirodnim plinom (SPP-om)</w:t>
      </w:r>
      <w:r>
        <w:rPr>
          <w:rFonts w:eastAsia="Arial"/>
          <w:lang w:eastAsia="en-US"/>
        </w:rPr>
        <w:t xml:space="preserve">, kao i </w:t>
      </w:r>
      <w:r w:rsidR="00DA5059">
        <w:rPr>
          <w:rFonts w:eastAsia="Arial"/>
          <w:lang w:eastAsia="en-US"/>
        </w:rPr>
        <w:t>pr</w:t>
      </w:r>
      <w:r w:rsidR="0042185D">
        <w:rPr>
          <w:rFonts w:eastAsia="Arial"/>
          <w:lang w:eastAsia="en-US"/>
        </w:rPr>
        <w:t>opis</w:t>
      </w:r>
      <w:r w:rsidR="00CE24BF">
        <w:rPr>
          <w:rFonts w:eastAsia="Arial"/>
          <w:lang w:eastAsia="en-US"/>
        </w:rPr>
        <w:t>a</w:t>
      </w:r>
      <w:r w:rsidR="00DA5059" w:rsidRPr="009C7C91">
        <w:rPr>
          <w:rFonts w:eastAsia="Arial"/>
          <w:lang w:eastAsia="en-US"/>
        </w:rPr>
        <w:t xml:space="preserve"> </w:t>
      </w:r>
      <w:r w:rsidR="00DA5059">
        <w:rPr>
          <w:rFonts w:eastAsia="Arial"/>
          <w:lang w:eastAsia="en-US"/>
        </w:rPr>
        <w:t>kojim</w:t>
      </w:r>
      <w:r w:rsidR="00CE24BF">
        <w:rPr>
          <w:rFonts w:eastAsia="Arial"/>
          <w:lang w:eastAsia="en-US"/>
        </w:rPr>
        <w:t>a</w:t>
      </w:r>
      <w:r w:rsidR="00DA5059">
        <w:rPr>
          <w:rFonts w:eastAsia="Arial"/>
          <w:lang w:eastAsia="en-US"/>
        </w:rPr>
        <w:t xml:space="preserve"> se uređuje</w:t>
      </w:r>
      <w:r w:rsidR="00DA5059" w:rsidRPr="009C7C91">
        <w:rPr>
          <w:rFonts w:eastAsia="Arial"/>
          <w:lang w:eastAsia="en-US"/>
        </w:rPr>
        <w:t xml:space="preserve"> ukapljen</w:t>
      </w:r>
      <w:r w:rsidR="00DA5059">
        <w:rPr>
          <w:rFonts w:eastAsia="Arial"/>
          <w:lang w:eastAsia="en-US"/>
        </w:rPr>
        <w:t>i</w:t>
      </w:r>
      <w:r w:rsidR="00DA5059" w:rsidRPr="009C7C91">
        <w:rPr>
          <w:rFonts w:eastAsia="Arial"/>
          <w:lang w:eastAsia="en-US"/>
        </w:rPr>
        <w:t xml:space="preserve"> naftn</w:t>
      </w:r>
      <w:r w:rsidR="00DA5059">
        <w:rPr>
          <w:rFonts w:eastAsia="Arial"/>
          <w:lang w:eastAsia="en-US"/>
        </w:rPr>
        <w:t>i</w:t>
      </w:r>
      <w:r w:rsidR="00DA5059" w:rsidRPr="009C7C91">
        <w:rPr>
          <w:rFonts w:eastAsia="Arial"/>
          <w:lang w:eastAsia="en-US"/>
        </w:rPr>
        <w:t xml:space="preserve"> </w:t>
      </w:r>
      <w:r w:rsidRPr="009C7C91">
        <w:rPr>
          <w:rFonts w:eastAsia="Arial"/>
          <w:lang w:eastAsia="en-US"/>
        </w:rPr>
        <w:t>plin</w:t>
      </w:r>
      <w:r w:rsidR="005A5CD9">
        <w:rPr>
          <w:rFonts w:eastAsia="Arial"/>
          <w:lang w:eastAsia="en-US"/>
        </w:rPr>
        <w:t xml:space="preserve">, te je navedeno </w:t>
      </w:r>
      <w:r w:rsidR="00DA5059">
        <w:rPr>
          <w:rFonts w:eastAsia="Arial"/>
          <w:lang w:eastAsia="en-US"/>
        </w:rPr>
        <w:t xml:space="preserve">dodano </w:t>
      </w:r>
      <w:r w:rsidR="005A5CD9">
        <w:rPr>
          <w:rFonts w:eastAsia="Arial"/>
          <w:lang w:eastAsia="en-US"/>
        </w:rPr>
        <w:t>u članku 7. Konačnog prijedloga zakona</w:t>
      </w:r>
      <w:r>
        <w:rPr>
          <w:rFonts w:eastAsia="Arial"/>
          <w:lang w:eastAsia="en-US"/>
        </w:rPr>
        <w:t>.</w:t>
      </w:r>
    </w:p>
    <w:p w14:paraId="15520ABA" w14:textId="77777777" w:rsidR="002F50F7" w:rsidRDefault="002F50F7" w:rsidP="00DA5059">
      <w:pPr>
        <w:ind w:firstLine="708"/>
        <w:jc w:val="both"/>
        <w:rPr>
          <w:rFonts w:eastAsia="Arial"/>
          <w:lang w:eastAsia="en-US"/>
        </w:rPr>
      </w:pPr>
    </w:p>
    <w:p w14:paraId="40D7CC93" w14:textId="56DBF0BA" w:rsidR="00EB38A4" w:rsidRDefault="002F50F7" w:rsidP="00DA5059">
      <w:pPr>
        <w:ind w:firstLine="708"/>
        <w:jc w:val="both"/>
        <w:rPr>
          <w:rFonts w:eastAsia="Arial"/>
          <w:lang w:eastAsia="en-US"/>
        </w:rPr>
      </w:pPr>
      <w:r>
        <w:rPr>
          <w:rFonts w:eastAsia="Arial"/>
          <w:lang w:eastAsia="en-US"/>
        </w:rPr>
        <w:lastRenderedPageBreak/>
        <w:t xml:space="preserve">U članku 8. Konačnog prijedloga zakona (članak 7. Prijedloga zakona) kojim se dodaje članak 9.a, stavak 1. je podijeljen u više stavaka – novi stavci 6. i 7. </w:t>
      </w:r>
    </w:p>
    <w:p w14:paraId="12DCB551" w14:textId="3824AC22" w:rsidR="002F50F7" w:rsidRDefault="002F50F7" w:rsidP="00DA5059">
      <w:pPr>
        <w:ind w:firstLine="708"/>
        <w:jc w:val="both"/>
        <w:rPr>
          <w:rFonts w:eastAsia="Arial"/>
          <w:lang w:eastAsia="en-US"/>
        </w:rPr>
      </w:pPr>
    </w:p>
    <w:p w14:paraId="589B2EC3" w14:textId="52B30B08" w:rsidR="00EB38A4" w:rsidRDefault="00EB38A4" w:rsidP="00DA5059">
      <w:pPr>
        <w:ind w:firstLine="708"/>
        <w:jc w:val="both"/>
        <w:rPr>
          <w:rFonts w:eastAsia="Arial"/>
          <w:lang w:eastAsia="en-US"/>
        </w:rPr>
      </w:pPr>
      <w:r>
        <w:rPr>
          <w:rFonts w:eastAsia="Arial"/>
          <w:lang w:eastAsia="en-US"/>
        </w:rPr>
        <w:t>Predlagatelj je ažurirao čla</w:t>
      </w:r>
      <w:r w:rsidR="00EA34E1">
        <w:rPr>
          <w:rFonts w:eastAsia="Arial"/>
          <w:lang w:eastAsia="en-US"/>
        </w:rPr>
        <w:t xml:space="preserve">nak 11. </w:t>
      </w:r>
      <w:r w:rsidR="009442CF">
        <w:rPr>
          <w:rFonts w:eastAsia="Arial"/>
          <w:lang w:eastAsia="en-US"/>
        </w:rPr>
        <w:t xml:space="preserve">Konačnog prijedloga zakona </w:t>
      </w:r>
      <w:r w:rsidR="00EA34E1">
        <w:rPr>
          <w:rFonts w:eastAsia="Arial"/>
          <w:lang w:eastAsia="en-US"/>
        </w:rPr>
        <w:t xml:space="preserve">uzimajući u obzir planirano uvođenje </w:t>
      </w:r>
      <w:r w:rsidR="00EA34E1" w:rsidRPr="00EA34E1">
        <w:rPr>
          <w:rFonts w:eastAsia="Arial"/>
          <w:lang w:eastAsia="en-US"/>
        </w:rPr>
        <w:t xml:space="preserve">eura kao službene valute u </w:t>
      </w:r>
      <w:r w:rsidR="00EA34E1" w:rsidRPr="000E35CB">
        <w:rPr>
          <w:rFonts w:eastAsia="Arial"/>
          <w:lang w:eastAsia="en-US"/>
        </w:rPr>
        <w:t>Republi</w:t>
      </w:r>
      <w:r w:rsidR="00127DE4" w:rsidRPr="000E35CB">
        <w:rPr>
          <w:rFonts w:eastAsia="Arial"/>
          <w:lang w:eastAsia="en-US"/>
        </w:rPr>
        <w:t>ci</w:t>
      </w:r>
      <w:r w:rsidR="00EA34E1" w:rsidRPr="000E35CB">
        <w:rPr>
          <w:rFonts w:eastAsia="Arial"/>
          <w:lang w:eastAsia="en-US"/>
        </w:rPr>
        <w:t xml:space="preserve"> Hrvatsk</w:t>
      </w:r>
      <w:r w:rsidR="00127DE4" w:rsidRPr="000E35CB">
        <w:rPr>
          <w:rFonts w:eastAsia="Arial"/>
          <w:lang w:eastAsia="en-US"/>
        </w:rPr>
        <w:t>oj</w:t>
      </w:r>
      <w:r w:rsidR="00EA34E1" w:rsidRPr="000E35CB">
        <w:rPr>
          <w:rFonts w:eastAsia="Arial"/>
          <w:lang w:eastAsia="en-US"/>
        </w:rPr>
        <w:t xml:space="preserve"> na</w:t>
      </w:r>
      <w:r w:rsidR="00EA34E1">
        <w:rPr>
          <w:rFonts w:eastAsia="Arial"/>
          <w:lang w:eastAsia="en-US"/>
        </w:rPr>
        <w:t xml:space="preserve"> način da je koristio </w:t>
      </w:r>
      <w:r w:rsidR="00EA34E1" w:rsidRPr="00EA34E1">
        <w:rPr>
          <w:rFonts w:eastAsia="Arial"/>
          <w:lang w:eastAsia="en-US"/>
        </w:rPr>
        <w:t>model tzv. duplog propisivanja pr</w:t>
      </w:r>
      <w:r w:rsidR="00EA34E1">
        <w:rPr>
          <w:rFonts w:eastAsia="Arial"/>
          <w:lang w:eastAsia="en-US"/>
        </w:rPr>
        <w:t xml:space="preserve">ekršajnih odredbi, na način da </w:t>
      </w:r>
      <w:r w:rsidR="009442CF">
        <w:rPr>
          <w:rFonts w:eastAsia="Arial"/>
          <w:lang w:eastAsia="en-US"/>
        </w:rPr>
        <w:t>su</w:t>
      </w:r>
      <w:r w:rsidR="00EA34E1" w:rsidRPr="00EA34E1">
        <w:rPr>
          <w:rFonts w:eastAsia="Arial"/>
          <w:lang w:eastAsia="en-US"/>
        </w:rPr>
        <w:t xml:space="preserve"> jed</w:t>
      </w:r>
      <w:r w:rsidR="00EA34E1">
        <w:rPr>
          <w:rFonts w:eastAsia="Arial"/>
          <w:lang w:eastAsia="en-US"/>
        </w:rPr>
        <w:t xml:space="preserve">nim člankom </w:t>
      </w:r>
      <w:r w:rsidR="009442CF">
        <w:rPr>
          <w:rFonts w:eastAsia="Arial"/>
          <w:lang w:eastAsia="en-US"/>
        </w:rPr>
        <w:t>propisane</w:t>
      </w:r>
      <w:r w:rsidR="00EA34E1" w:rsidRPr="00EA34E1">
        <w:rPr>
          <w:rFonts w:eastAsia="Arial"/>
          <w:lang w:eastAsia="en-US"/>
        </w:rPr>
        <w:t xml:space="preserve"> novčane kazne u kunama, koje su n</w:t>
      </w:r>
      <w:r w:rsidR="00EA34E1">
        <w:rPr>
          <w:rFonts w:eastAsia="Arial"/>
          <w:lang w:eastAsia="en-US"/>
        </w:rPr>
        <w:t>a snazi do da</w:t>
      </w:r>
      <w:r w:rsidR="009442CF">
        <w:rPr>
          <w:rFonts w:eastAsia="Arial"/>
          <w:lang w:eastAsia="en-US"/>
        </w:rPr>
        <w:t>na</w:t>
      </w:r>
      <w:r w:rsidR="00EA34E1">
        <w:rPr>
          <w:rFonts w:eastAsia="Arial"/>
          <w:lang w:eastAsia="en-US"/>
        </w:rPr>
        <w:t xml:space="preserve"> uvođenja eura, a drugim člankom propisa</w:t>
      </w:r>
      <w:r w:rsidR="00897C84">
        <w:rPr>
          <w:rFonts w:eastAsia="Arial"/>
          <w:lang w:eastAsia="en-US"/>
        </w:rPr>
        <w:t>ne</w:t>
      </w:r>
      <w:r w:rsidR="00EA34E1" w:rsidRPr="00EA34E1">
        <w:rPr>
          <w:rFonts w:eastAsia="Arial"/>
          <w:lang w:eastAsia="en-US"/>
        </w:rPr>
        <w:t xml:space="preserve"> no</w:t>
      </w:r>
      <w:r w:rsidR="00EA34E1">
        <w:rPr>
          <w:rFonts w:eastAsia="Arial"/>
          <w:lang w:eastAsia="en-US"/>
        </w:rPr>
        <w:t>včane kazne</w:t>
      </w:r>
      <w:r w:rsidR="00EA34E1" w:rsidRPr="00EA34E1">
        <w:rPr>
          <w:rFonts w:eastAsia="Arial"/>
          <w:lang w:eastAsia="en-US"/>
        </w:rPr>
        <w:t xml:space="preserve"> u eurima, koje će biti na snazi od da</w:t>
      </w:r>
      <w:r w:rsidR="009442CF">
        <w:rPr>
          <w:rFonts w:eastAsia="Arial"/>
          <w:lang w:eastAsia="en-US"/>
        </w:rPr>
        <w:t>na</w:t>
      </w:r>
      <w:r w:rsidR="00EA34E1" w:rsidRPr="00EA34E1">
        <w:rPr>
          <w:rFonts w:eastAsia="Arial"/>
          <w:lang w:eastAsia="en-US"/>
        </w:rPr>
        <w:t xml:space="preserve"> uvođenja eura.</w:t>
      </w:r>
    </w:p>
    <w:p w14:paraId="3102373D" w14:textId="77777777" w:rsidR="00EB38A4" w:rsidRPr="00EB38A4" w:rsidRDefault="00EB38A4" w:rsidP="00EB38A4">
      <w:pPr>
        <w:ind w:firstLine="708"/>
        <w:jc w:val="both"/>
        <w:rPr>
          <w:rFonts w:eastAsia="Arial"/>
          <w:lang w:eastAsia="en-US"/>
        </w:rPr>
      </w:pPr>
    </w:p>
    <w:p w14:paraId="101C88C3" w14:textId="6A3C0657" w:rsidR="00EB38A4" w:rsidRDefault="00EA34E1" w:rsidP="00EB38A4">
      <w:pPr>
        <w:ind w:firstLine="708"/>
        <w:jc w:val="both"/>
        <w:rPr>
          <w:rFonts w:eastAsia="Arial"/>
          <w:lang w:eastAsia="en-US"/>
        </w:rPr>
      </w:pPr>
      <w:r>
        <w:rPr>
          <w:rFonts w:eastAsia="Arial"/>
          <w:lang w:eastAsia="en-US"/>
        </w:rPr>
        <w:t>Uzimajući u obzir uvođenje eura</w:t>
      </w:r>
      <w:r w:rsidRPr="00EA34E1">
        <w:t xml:space="preserve"> </w:t>
      </w:r>
      <w:r w:rsidRPr="00EA34E1">
        <w:rPr>
          <w:rFonts w:eastAsia="Arial"/>
          <w:lang w:eastAsia="en-US"/>
        </w:rPr>
        <w:t>kao službene valute u Republi</w:t>
      </w:r>
      <w:r w:rsidR="00897C84">
        <w:rPr>
          <w:rFonts w:eastAsia="Arial"/>
          <w:lang w:eastAsia="en-US"/>
        </w:rPr>
        <w:t>ci</w:t>
      </w:r>
      <w:r w:rsidRPr="00EA34E1">
        <w:rPr>
          <w:rFonts w:eastAsia="Arial"/>
          <w:lang w:eastAsia="en-US"/>
        </w:rPr>
        <w:t xml:space="preserve"> Hrvatsk</w:t>
      </w:r>
      <w:r w:rsidR="00897C84">
        <w:rPr>
          <w:rFonts w:eastAsia="Arial"/>
          <w:lang w:eastAsia="en-US"/>
        </w:rPr>
        <w:t>oj</w:t>
      </w:r>
      <w:r>
        <w:rPr>
          <w:rFonts w:eastAsia="Arial"/>
          <w:lang w:eastAsia="en-US"/>
        </w:rPr>
        <w:t>, p</w:t>
      </w:r>
      <w:r w:rsidR="00EB38A4" w:rsidRPr="00EB38A4">
        <w:rPr>
          <w:rFonts w:eastAsia="Arial"/>
          <w:lang w:eastAsia="en-US"/>
        </w:rPr>
        <w:t xml:space="preserve">redlagatelj je dodao članak </w:t>
      </w:r>
      <w:r w:rsidR="00EB38A4">
        <w:rPr>
          <w:rFonts w:eastAsia="Arial"/>
          <w:lang w:eastAsia="en-US"/>
        </w:rPr>
        <w:t>1</w:t>
      </w:r>
      <w:r w:rsidR="00EB38A4" w:rsidRPr="00EB38A4">
        <w:rPr>
          <w:rFonts w:eastAsia="Arial"/>
          <w:lang w:eastAsia="en-US"/>
        </w:rPr>
        <w:t xml:space="preserve">4. Konačnog prijedloga zakona kojim je </w:t>
      </w:r>
      <w:r w:rsidR="00EB38A4">
        <w:rPr>
          <w:rFonts w:eastAsia="Arial"/>
          <w:lang w:eastAsia="en-US"/>
        </w:rPr>
        <w:t>propisao</w:t>
      </w:r>
      <w:r w:rsidR="00EB38A4" w:rsidRPr="00EB38A4">
        <w:rPr>
          <w:rFonts w:eastAsia="Arial"/>
          <w:lang w:eastAsia="en-US"/>
        </w:rPr>
        <w:t xml:space="preserve"> prijelazn</w:t>
      </w:r>
      <w:r w:rsidR="009442CF">
        <w:rPr>
          <w:rFonts w:eastAsia="Arial"/>
          <w:lang w:eastAsia="en-US"/>
        </w:rPr>
        <w:t>u</w:t>
      </w:r>
      <w:r w:rsidR="00EB38A4" w:rsidRPr="00EB38A4">
        <w:rPr>
          <w:rFonts w:eastAsia="Arial"/>
          <w:lang w:eastAsia="en-US"/>
        </w:rPr>
        <w:t xml:space="preserve"> i završn</w:t>
      </w:r>
      <w:r w:rsidR="009442CF">
        <w:rPr>
          <w:rFonts w:eastAsia="Arial"/>
          <w:lang w:eastAsia="en-US"/>
        </w:rPr>
        <w:t xml:space="preserve">u </w:t>
      </w:r>
      <w:r w:rsidR="00EB38A4" w:rsidRPr="00EB38A4">
        <w:rPr>
          <w:rFonts w:eastAsia="Arial"/>
          <w:lang w:eastAsia="en-US"/>
        </w:rPr>
        <w:t>odredb</w:t>
      </w:r>
      <w:r w:rsidR="009442CF">
        <w:rPr>
          <w:rFonts w:eastAsia="Arial"/>
          <w:lang w:eastAsia="en-US"/>
        </w:rPr>
        <w:t>u</w:t>
      </w:r>
      <w:r w:rsidR="00EB38A4" w:rsidRPr="00EB38A4">
        <w:rPr>
          <w:rFonts w:eastAsia="Arial"/>
          <w:lang w:eastAsia="en-US"/>
        </w:rPr>
        <w:t xml:space="preserve"> vezano za uvođenje eura.</w:t>
      </w:r>
    </w:p>
    <w:p w14:paraId="5724F290" w14:textId="77777777" w:rsidR="009C7C91" w:rsidRDefault="009C7C91" w:rsidP="00906E06">
      <w:pPr>
        <w:jc w:val="both"/>
        <w:rPr>
          <w:rFonts w:eastAsia="Arial"/>
          <w:lang w:eastAsia="en-US"/>
        </w:rPr>
      </w:pPr>
    </w:p>
    <w:p w14:paraId="649E6246" w14:textId="31C1B453" w:rsidR="00F845D8" w:rsidRPr="00EA1C0A" w:rsidRDefault="00F845D8" w:rsidP="00906E06">
      <w:pPr>
        <w:jc w:val="both"/>
        <w:rPr>
          <w:rFonts w:eastAsia="Arial"/>
          <w:lang w:eastAsia="en-US"/>
        </w:rPr>
      </w:pPr>
    </w:p>
    <w:p w14:paraId="2B2D0CC5" w14:textId="77777777" w:rsidR="00F845D8" w:rsidRPr="00EF0BE1" w:rsidRDefault="00F845D8" w:rsidP="00906E06">
      <w:pPr>
        <w:numPr>
          <w:ilvl w:val="0"/>
          <w:numId w:val="16"/>
        </w:numPr>
        <w:ind w:hanging="720"/>
        <w:jc w:val="both"/>
        <w:rPr>
          <w:rFonts w:eastAsia="Arial"/>
          <w:b/>
          <w:bCs/>
          <w:iCs/>
        </w:rPr>
      </w:pPr>
      <w:r w:rsidRPr="00EF0BE1">
        <w:rPr>
          <w:rFonts w:eastAsia="Arial"/>
          <w:b/>
          <w:bCs/>
          <w:iCs/>
        </w:rPr>
        <w:t>PRIJEDLOZI, PRIMJEDBE I MIŠLJENJA KOJI SU DANI NA PRIJEDLOG ZAKONA, A KOJE PREDLAGATELJ NIJE PRIHVATIO TE RAZLOZI NEPRIHVAĆANJA</w:t>
      </w:r>
    </w:p>
    <w:p w14:paraId="7A4FA646" w14:textId="77777777" w:rsidR="00F845D8" w:rsidRDefault="00F845D8" w:rsidP="00906E06">
      <w:pPr>
        <w:shd w:val="clear" w:color="auto" w:fill="FFFFFF"/>
        <w:jc w:val="both"/>
      </w:pPr>
    </w:p>
    <w:p w14:paraId="5CAABAEC" w14:textId="7EED7155" w:rsidR="00F845D8" w:rsidRDefault="00F15B77" w:rsidP="00906E06">
      <w:pPr>
        <w:shd w:val="clear" w:color="auto" w:fill="FFFFFF"/>
        <w:ind w:firstLine="708"/>
        <w:jc w:val="both"/>
      </w:pPr>
      <w:r>
        <w:t>N</w:t>
      </w:r>
      <w:r w:rsidR="00F845D8">
        <w:t>a 10. sjednici Hrvatskog</w:t>
      </w:r>
      <w:r w:rsidR="00222C7B">
        <w:t>a</w:t>
      </w:r>
      <w:r w:rsidR="00F845D8">
        <w:t xml:space="preserve"> sabora 17. veljače 2022. </w:t>
      </w:r>
      <w:r>
        <w:t xml:space="preserve">zastupnica Anka Mrak Taritaš povela je raspravu o tome </w:t>
      </w:r>
      <w:r w:rsidR="00F845D8">
        <w:t>zašto je upravni nadzor nad provedbom Zakona u nadležnosti Ministarstva gospodarstva i održivog razvoja, a inspekcijski nadzor u nadležnosti Ministarstva mora, prometa i infrastrukture. Naime, člankom 76. Zakona o tržištu električne energije (</w:t>
      </w:r>
      <w:r w:rsidR="003F21B5">
        <w:t xml:space="preserve">„Narodne novine“, broj </w:t>
      </w:r>
      <w:r w:rsidR="00F845D8">
        <w:t>111/21</w:t>
      </w:r>
      <w:r w:rsidR="003F21B5">
        <w:t>.</w:t>
      </w:r>
      <w:r w:rsidR="00F845D8">
        <w:t>) propisan</w:t>
      </w:r>
      <w:r w:rsidR="00E93AA8">
        <w:t>e</w:t>
      </w:r>
      <w:r w:rsidR="00F845D8">
        <w:t xml:space="preserve"> su odredbe za integraciju elektromobilnosti u elektroenergetsku mrežu tako da </w:t>
      </w:r>
      <w:r w:rsidR="003F21B5">
        <w:t xml:space="preserve">ministarstvo </w:t>
      </w:r>
      <w:r w:rsidR="00F845D8">
        <w:t>nadležno za energetiku provodi upravni nadzor nad provedbom i ovog</w:t>
      </w:r>
      <w:r w:rsidR="003F21B5">
        <w:t>a</w:t>
      </w:r>
      <w:r w:rsidR="00F845D8">
        <w:t xml:space="preserve"> Zakona. Nadalje, u okviru djelokruga rada </w:t>
      </w:r>
      <w:r w:rsidR="003F21B5">
        <w:t xml:space="preserve">ministarstva </w:t>
      </w:r>
      <w:r w:rsidR="00F845D8">
        <w:t xml:space="preserve">nadležnog za energetiku također </w:t>
      </w:r>
      <w:r w:rsidR="00E93AA8">
        <w:t xml:space="preserve">je </w:t>
      </w:r>
      <w:r w:rsidR="00F845D8">
        <w:t>provedba Strategije energetskog razvoja Republike Hrvatske do 2030. s pogledom na 2050. godinu, kao i priprema prijedloga Hrvatske strategije za vodik od 2021. do 2050. godine. Ministarstvo nadležno za energetiku upravlja razvojem elektroenergetske mreže, kao i razvojem infrastrukture za proizvodnju, prijenos i distribuciju alternativnih goriva te je u skladu s navedenim logično da upravni nadzor obavlja Ministarstvo nadležno za energetiku.</w:t>
      </w:r>
      <w:r w:rsidR="003F21B5">
        <w:t xml:space="preserve"> </w:t>
      </w:r>
      <w:r w:rsidR="00F845D8">
        <w:t xml:space="preserve">Kako se Zakon o uspostavi infrastrukture za alternativna goriva odnosi isključivo samo na infrastrukturu u području prometa inspekcijski nadzor provodi </w:t>
      </w:r>
      <w:r w:rsidR="003F21B5">
        <w:t xml:space="preserve">ministarstvo </w:t>
      </w:r>
      <w:r w:rsidR="00F845D8">
        <w:t>nadležno za prometnu infrastrukturu.</w:t>
      </w:r>
    </w:p>
    <w:p w14:paraId="1CD1D45E" w14:textId="77777777" w:rsidR="00F845D8" w:rsidRDefault="00F845D8" w:rsidP="00906E06">
      <w:pPr>
        <w:shd w:val="clear" w:color="auto" w:fill="FFFFFF"/>
        <w:jc w:val="both"/>
      </w:pPr>
    </w:p>
    <w:p w14:paraId="38CCCB74" w14:textId="2F03A585" w:rsidR="00F845D8" w:rsidRDefault="00F845D8" w:rsidP="00906E06">
      <w:pPr>
        <w:shd w:val="clear" w:color="auto" w:fill="FFFFFF"/>
        <w:ind w:firstLine="708"/>
        <w:jc w:val="both"/>
      </w:pPr>
      <w:r>
        <w:t xml:space="preserve">Nadalje, </w:t>
      </w:r>
      <w:r w:rsidR="00F15B77">
        <w:t>zastupnik Željko Pavić je u raspravi na sjednici Hrvatskog sabora naveo da</w:t>
      </w:r>
      <w:r>
        <w:t xml:space="preserve"> se izradi Zakona pristupilo u vrijeme kada se na radnim tijelima Vijeća Europe raspravlja o Prijedlogu uredbe Europskog parlamenta i Vijeća o uvođenju infrastrukture za alternativna goriva i stavljanju izvan snage Direktive 2014/94/EU Europskog parlamenta i Vijeća te će ponovno biti potrebno mijenjati Zakon o uspostavi infrastrukture za alternativna goriva. </w:t>
      </w:r>
      <w:r w:rsidR="00906E06">
        <w:t xml:space="preserve">S tim u vezi, predlagatelj ističe kako živimo </w:t>
      </w:r>
      <w:r>
        <w:t xml:space="preserve">u dinamičnom vremenu kada je tehnološke i digitalne promjene potrebno kontinuirano ažurirati i regulirati kroz promjene pravnih propisa. Na razini </w:t>
      </w:r>
      <w:r w:rsidR="00B64737">
        <w:t xml:space="preserve">Europske unije </w:t>
      </w:r>
      <w:r>
        <w:t xml:space="preserve">planira se u potpunosti staviti </w:t>
      </w:r>
      <w:r w:rsidR="00B64737">
        <w:t>iz</w:t>
      </w:r>
      <w:r>
        <w:t xml:space="preserve">van snage Direktiva 2014/94/EU, pet godina nakon što je </w:t>
      </w:r>
      <w:r w:rsidR="00BD6D68">
        <w:t>bila</w:t>
      </w:r>
      <w:r>
        <w:t xml:space="preserve"> na snazi u državama članicama. </w:t>
      </w:r>
      <w:r w:rsidR="00B64737">
        <w:t>Predlagatelj</w:t>
      </w:r>
      <w:r>
        <w:t xml:space="preserve"> se nastoji prilagoditi svim tehnološkim i digitalnim promjenama u skladu s raspoloživim proračunskim sredstvima.</w:t>
      </w:r>
    </w:p>
    <w:p w14:paraId="23A5E88D" w14:textId="77777777" w:rsidR="00F845D8" w:rsidRDefault="00101BF7" w:rsidP="00F845D8">
      <w:pPr>
        <w:shd w:val="clear" w:color="auto" w:fill="FFFFFF"/>
        <w:spacing w:line="288" w:lineRule="atLeast"/>
        <w:jc w:val="both"/>
      </w:pPr>
      <w:r>
        <w:br w:type="page"/>
      </w:r>
    </w:p>
    <w:p w14:paraId="0E0D29D9" w14:textId="77777777" w:rsidR="00B64737" w:rsidRDefault="00F845D8" w:rsidP="00906E06">
      <w:pPr>
        <w:shd w:val="clear" w:color="auto" w:fill="FFFFFF"/>
        <w:jc w:val="center"/>
        <w:rPr>
          <w:rFonts w:eastAsia="Calibri"/>
          <w:b/>
        </w:rPr>
      </w:pPr>
      <w:r w:rsidRPr="002109C8">
        <w:rPr>
          <w:rFonts w:eastAsia="Calibri"/>
          <w:b/>
        </w:rPr>
        <w:lastRenderedPageBreak/>
        <w:t>TEKST ODREDBI VAŽEĆEG ZAKONA</w:t>
      </w:r>
      <w:r w:rsidR="00B64737">
        <w:rPr>
          <w:rFonts w:eastAsia="Calibri"/>
          <w:b/>
        </w:rPr>
        <w:t xml:space="preserve"> </w:t>
      </w:r>
      <w:r w:rsidRPr="002109C8">
        <w:rPr>
          <w:rFonts w:eastAsia="Calibri"/>
          <w:b/>
        </w:rPr>
        <w:t>KOJE SE MIJENJAJU,</w:t>
      </w:r>
    </w:p>
    <w:p w14:paraId="2A0B28A0" w14:textId="77777777" w:rsidR="00F845D8" w:rsidRPr="002109C8" w:rsidRDefault="00F845D8" w:rsidP="00906E06">
      <w:pPr>
        <w:shd w:val="clear" w:color="auto" w:fill="FFFFFF"/>
        <w:jc w:val="center"/>
        <w:rPr>
          <w:rFonts w:eastAsia="Calibri"/>
          <w:b/>
        </w:rPr>
      </w:pPr>
      <w:r w:rsidRPr="002109C8">
        <w:rPr>
          <w:rFonts w:eastAsia="Calibri"/>
          <w:b/>
        </w:rPr>
        <w:t>ODNOSNO DOPUNJUJU</w:t>
      </w:r>
    </w:p>
    <w:p w14:paraId="09223DD9" w14:textId="77777777" w:rsidR="00F845D8" w:rsidRDefault="00F845D8" w:rsidP="00906E06">
      <w:pPr>
        <w:widowControl w:val="0"/>
        <w:autoSpaceDE w:val="0"/>
        <w:autoSpaceDN w:val="0"/>
      </w:pPr>
    </w:p>
    <w:p w14:paraId="01AB5865" w14:textId="77777777" w:rsidR="00AC728B" w:rsidRDefault="00AC728B" w:rsidP="00906E06">
      <w:pPr>
        <w:widowControl w:val="0"/>
        <w:autoSpaceDE w:val="0"/>
        <w:autoSpaceDN w:val="0"/>
      </w:pPr>
    </w:p>
    <w:p w14:paraId="256AD4C3" w14:textId="77777777" w:rsidR="00AC728B" w:rsidRPr="00906E06" w:rsidRDefault="00AC728B" w:rsidP="00906E06">
      <w:pPr>
        <w:widowControl w:val="0"/>
        <w:autoSpaceDE w:val="0"/>
        <w:autoSpaceDN w:val="0"/>
        <w:ind w:right="-2"/>
        <w:jc w:val="center"/>
        <w:rPr>
          <w:szCs w:val="22"/>
          <w:lang w:eastAsia="en-US"/>
        </w:rPr>
      </w:pPr>
      <w:r w:rsidRPr="00906E06">
        <w:rPr>
          <w:szCs w:val="22"/>
          <w:lang w:eastAsia="en-US"/>
        </w:rPr>
        <w:t>I. OPĆE ODREDBE</w:t>
      </w:r>
    </w:p>
    <w:p w14:paraId="0E710DEB" w14:textId="77777777" w:rsidR="00AC728B" w:rsidRPr="00906E06" w:rsidRDefault="00AC728B" w:rsidP="00906E06">
      <w:pPr>
        <w:widowControl w:val="0"/>
        <w:autoSpaceDE w:val="0"/>
        <w:autoSpaceDN w:val="0"/>
      </w:pPr>
    </w:p>
    <w:p w14:paraId="222FA905" w14:textId="77777777" w:rsidR="00AC728B" w:rsidRPr="00906E06" w:rsidRDefault="00AC728B" w:rsidP="00906E06">
      <w:pPr>
        <w:widowControl w:val="0"/>
        <w:autoSpaceDE w:val="0"/>
        <w:autoSpaceDN w:val="0"/>
        <w:ind w:right="-2"/>
        <w:jc w:val="center"/>
        <w:rPr>
          <w:szCs w:val="22"/>
          <w:lang w:eastAsia="en-US"/>
        </w:rPr>
      </w:pPr>
      <w:r w:rsidRPr="00906E06">
        <w:rPr>
          <w:szCs w:val="22"/>
          <w:lang w:eastAsia="en-US"/>
        </w:rPr>
        <w:t>Predmet</w:t>
      </w:r>
      <w:r w:rsidRPr="00906E06">
        <w:rPr>
          <w:spacing w:val="-2"/>
          <w:szCs w:val="22"/>
          <w:lang w:eastAsia="en-US"/>
        </w:rPr>
        <w:t xml:space="preserve"> </w:t>
      </w:r>
      <w:r w:rsidRPr="00906E06">
        <w:rPr>
          <w:szCs w:val="22"/>
          <w:lang w:eastAsia="en-US"/>
        </w:rPr>
        <w:t>Zakona</w:t>
      </w:r>
    </w:p>
    <w:p w14:paraId="00C63862" w14:textId="77777777" w:rsidR="00906E06" w:rsidRPr="00906E06" w:rsidRDefault="00906E06" w:rsidP="00906E06">
      <w:pPr>
        <w:widowControl w:val="0"/>
        <w:autoSpaceDE w:val="0"/>
        <w:autoSpaceDN w:val="0"/>
        <w:ind w:left="1774" w:right="1771"/>
        <w:jc w:val="center"/>
        <w:rPr>
          <w:rFonts w:eastAsia="Arial"/>
          <w:szCs w:val="22"/>
          <w:lang w:eastAsia="en-US"/>
        </w:rPr>
      </w:pPr>
    </w:p>
    <w:p w14:paraId="1973E495" w14:textId="149705CD" w:rsidR="00AC728B" w:rsidRPr="00906E06" w:rsidRDefault="00AC728B" w:rsidP="00906E06">
      <w:pPr>
        <w:widowControl w:val="0"/>
        <w:autoSpaceDE w:val="0"/>
        <w:autoSpaceDN w:val="0"/>
        <w:ind w:left="1774" w:right="1771"/>
        <w:jc w:val="center"/>
        <w:rPr>
          <w:rFonts w:eastAsia="Arial"/>
          <w:szCs w:val="22"/>
          <w:lang w:eastAsia="en-US"/>
        </w:rPr>
      </w:pPr>
      <w:r w:rsidRPr="00906E06">
        <w:rPr>
          <w:rFonts w:eastAsia="Arial"/>
          <w:szCs w:val="22"/>
          <w:lang w:eastAsia="en-US"/>
        </w:rPr>
        <w:t>Članak 1.</w:t>
      </w:r>
    </w:p>
    <w:p w14:paraId="0E14F1B6" w14:textId="77777777" w:rsidR="00AC728B" w:rsidRPr="00906E06" w:rsidRDefault="00AC728B" w:rsidP="00906E06">
      <w:pPr>
        <w:widowControl w:val="0"/>
        <w:autoSpaceDE w:val="0"/>
        <w:autoSpaceDN w:val="0"/>
        <w:ind w:right="-2"/>
        <w:jc w:val="both"/>
        <w:rPr>
          <w:szCs w:val="22"/>
          <w:lang w:eastAsia="en-US"/>
        </w:rPr>
      </w:pPr>
    </w:p>
    <w:p w14:paraId="548994D4" w14:textId="77777777" w:rsidR="00AC728B" w:rsidRPr="00906E06" w:rsidRDefault="00AC728B" w:rsidP="00906E06">
      <w:pPr>
        <w:widowControl w:val="0"/>
        <w:autoSpaceDE w:val="0"/>
        <w:autoSpaceDN w:val="0"/>
        <w:ind w:right="-2"/>
        <w:jc w:val="both"/>
        <w:rPr>
          <w:rFonts w:eastAsia="Arial"/>
          <w:b/>
          <w:szCs w:val="22"/>
          <w:lang w:eastAsia="en-US"/>
        </w:rPr>
      </w:pPr>
      <w:r w:rsidRPr="00906E06">
        <w:rPr>
          <w:szCs w:val="22"/>
          <w:lang w:eastAsia="en-US"/>
        </w:rPr>
        <w:t>(1) Ovim Zakonom se utvrđuje zajednički okvir mjera za uspostavljanje infrastrukture za alternativna goriva, kako bi se na najmanju moguću mjeru smanjila ovisnost o nafti te ublažio negativni utjecaj prometa na</w:t>
      </w:r>
      <w:r w:rsidRPr="00906E06">
        <w:rPr>
          <w:spacing w:val="1"/>
          <w:szCs w:val="22"/>
          <w:lang w:eastAsia="en-US"/>
        </w:rPr>
        <w:t xml:space="preserve"> </w:t>
      </w:r>
      <w:r w:rsidRPr="00906E06">
        <w:rPr>
          <w:szCs w:val="22"/>
          <w:lang w:eastAsia="en-US"/>
        </w:rPr>
        <w:t>okoliš.</w:t>
      </w:r>
    </w:p>
    <w:p w14:paraId="3D1F6E52" w14:textId="77777777" w:rsidR="00AC728B" w:rsidRPr="00906E06" w:rsidRDefault="00AC728B" w:rsidP="00906E06">
      <w:pPr>
        <w:widowControl w:val="0"/>
        <w:autoSpaceDE w:val="0"/>
        <w:autoSpaceDN w:val="0"/>
        <w:rPr>
          <w:rFonts w:eastAsia="Arial"/>
          <w:szCs w:val="18"/>
          <w:lang w:eastAsia="en-US"/>
        </w:rPr>
      </w:pPr>
    </w:p>
    <w:p w14:paraId="79D80971" w14:textId="77777777" w:rsidR="00AC728B" w:rsidRPr="00906E06" w:rsidRDefault="00AC728B" w:rsidP="00906E06">
      <w:pPr>
        <w:widowControl w:val="0"/>
        <w:autoSpaceDE w:val="0"/>
        <w:autoSpaceDN w:val="0"/>
        <w:ind w:right="-2"/>
        <w:jc w:val="both"/>
        <w:rPr>
          <w:szCs w:val="22"/>
          <w:lang w:eastAsia="en-US"/>
        </w:rPr>
      </w:pPr>
      <w:r w:rsidRPr="00906E06">
        <w:rPr>
          <w:szCs w:val="22"/>
          <w:lang w:eastAsia="en-US"/>
        </w:rPr>
        <w:t>(2) Zakonom se utvrđuju minimalni zahtjevi za izgradnju infrastrukture za alternativna goriva, uključujući mjesta za punjenje, utvrđuju se zajedničke tehničke specifikacije za mjesta za punjenje i opskrbu, zahtjevi za informiranje korisnika, kao i način izvršavanja obveza izvješćivanja o provedbi mjera uspostavljanja infrastrukture za alternativna goriva.</w:t>
      </w:r>
    </w:p>
    <w:p w14:paraId="6FEF2318" w14:textId="77777777" w:rsidR="00AC728B" w:rsidRPr="00906E06" w:rsidRDefault="00AC728B" w:rsidP="00906E06">
      <w:pPr>
        <w:widowControl w:val="0"/>
        <w:autoSpaceDE w:val="0"/>
        <w:autoSpaceDN w:val="0"/>
        <w:rPr>
          <w:rFonts w:eastAsia="Arial"/>
          <w:szCs w:val="18"/>
          <w:lang w:eastAsia="en-US"/>
        </w:rPr>
      </w:pPr>
    </w:p>
    <w:p w14:paraId="4422310D" w14:textId="77777777" w:rsidR="00AC728B" w:rsidRPr="00906E06" w:rsidRDefault="00AC728B" w:rsidP="00906E06">
      <w:pPr>
        <w:widowControl w:val="0"/>
        <w:autoSpaceDE w:val="0"/>
        <w:autoSpaceDN w:val="0"/>
        <w:ind w:right="-2"/>
        <w:jc w:val="both"/>
        <w:rPr>
          <w:szCs w:val="22"/>
          <w:lang w:eastAsia="en-US"/>
        </w:rPr>
      </w:pPr>
      <w:r w:rsidRPr="00906E06">
        <w:rPr>
          <w:szCs w:val="22"/>
          <w:lang w:eastAsia="en-US"/>
        </w:rPr>
        <w:t>(3) Na sva ostala pitanja uspostave infrastrukture za alternativna goriva koja nisu uređena ovim Zakonom primjenjuju se propisi kojima se uređuje područje prometne infrastrukture, područje prostornog uređenja, područje infrastrukture prostornih podataka, područje gradnje, područje energetike, područje energetske učinkovitosti, područje zaštite okoliša, te zakoni kojima su osnovani i koji određuju djelokrug Fonda za zaštitu okoliša i energetsku učinkovitost, kao i Centra za praćenje poslovanja energetskog sektora i investicija i državne potpore.</w:t>
      </w:r>
    </w:p>
    <w:p w14:paraId="6EC097C3" w14:textId="77777777" w:rsidR="00AC728B" w:rsidRPr="00906E06" w:rsidRDefault="00AC728B" w:rsidP="00906E06">
      <w:pPr>
        <w:widowControl w:val="0"/>
        <w:autoSpaceDE w:val="0"/>
        <w:autoSpaceDN w:val="0"/>
        <w:rPr>
          <w:rFonts w:eastAsia="Arial"/>
          <w:szCs w:val="18"/>
          <w:lang w:eastAsia="en-US"/>
        </w:rPr>
      </w:pPr>
    </w:p>
    <w:p w14:paraId="6D8AFE16" w14:textId="77777777" w:rsidR="00AC728B" w:rsidRPr="00906E06" w:rsidRDefault="00AC728B" w:rsidP="00906E06">
      <w:pPr>
        <w:widowControl w:val="0"/>
        <w:autoSpaceDE w:val="0"/>
        <w:autoSpaceDN w:val="0"/>
        <w:ind w:left="1772" w:right="1771"/>
        <w:jc w:val="center"/>
        <w:rPr>
          <w:rFonts w:eastAsia="Arial"/>
          <w:szCs w:val="22"/>
          <w:lang w:eastAsia="en-US"/>
        </w:rPr>
      </w:pPr>
      <w:r w:rsidRPr="00906E06">
        <w:rPr>
          <w:rFonts w:eastAsia="Arial"/>
          <w:szCs w:val="22"/>
          <w:lang w:eastAsia="en-US"/>
        </w:rPr>
        <w:t xml:space="preserve">Usklađivanje s pravnim poretkom Europske unije </w:t>
      </w:r>
    </w:p>
    <w:p w14:paraId="3DFF9357" w14:textId="77777777" w:rsidR="00906E06" w:rsidRPr="00906E06" w:rsidRDefault="00906E06" w:rsidP="00906E06">
      <w:pPr>
        <w:widowControl w:val="0"/>
        <w:autoSpaceDE w:val="0"/>
        <w:autoSpaceDN w:val="0"/>
        <w:ind w:left="1772" w:right="1771"/>
        <w:jc w:val="center"/>
        <w:rPr>
          <w:rFonts w:eastAsia="Arial"/>
          <w:szCs w:val="22"/>
          <w:lang w:eastAsia="en-US"/>
        </w:rPr>
      </w:pPr>
    </w:p>
    <w:p w14:paraId="084281B7" w14:textId="4F6DAFD6" w:rsidR="00AC728B" w:rsidRPr="00906E06" w:rsidRDefault="00AC728B" w:rsidP="00906E06">
      <w:pPr>
        <w:widowControl w:val="0"/>
        <w:autoSpaceDE w:val="0"/>
        <w:autoSpaceDN w:val="0"/>
        <w:ind w:left="1772" w:right="1771"/>
        <w:jc w:val="center"/>
        <w:rPr>
          <w:rFonts w:eastAsia="Arial"/>
          <w:szCs w:val="22"/>
          <w:lang w:eastAsia="en-US"/>
        </w:rPr>
      </w:pPr>
      <w:r w:rsidRPr="00906E06">
        <w:rPr>
          <w:rFonts w:eastAsia="Arial"/>
          <w:szCs w:val="22"/>
          <w:lang w:eastAsia="en-US"/>
        </w:rPr>
        <w:t>Članak 2.</w:t>
      </w:r>
    </w:p>
    <w:p w14:paraId="51F650CA" w14:textId="77777777" w:rsidR="00906E06" w:rsidRPr="00906E06" w:rsidRDefault="00906E06" w:rsidP="00F11648">
      <w:pPr>
        <w:widowControl w:val="0"/>
        <w:autoSpaceDE w:val="0"/>
        <w:autoSpaceDN w:val="0"/>
        <w:ind w:left="118" w:right="113"/>
        <w:jc w:val="both"/>
        <w:rPr>
          <w:rFonts w:eastAsia="Arial"/>
          <w:szCs w:val="22"/>
          <w:lang w:eastAsia="en-US"/>
        </w:rPr>
      </w:pPr>
    </w:p>
    <w:p w14:paraId="7A76F65C" w14:textId="10C43372" w:rsidR="00AC728B" w:rsidRPr="00906E06" w:rsidRDefault="00AC728B" w:rsidP="00F11648">
      <w:pPr>
        <w:widowControl w:val="0"/>
        <w:autoSpaceDE w:val="0"/>
        <w:autoSpaceDN w:val="0"/>
        <w:ind w:left="118" w:right="113"/>
        <w:jc w:val="both"/>
        <w:rPr>
          <w:rFonts w:eastAsia="Arial"/>
          <w:szCs w:val="22"/>
          <w:lang w:eastAsia="en-US"/>
        </w:rPr>
      </w:pPr>
      <w:r w:rsidRPr="00906E06">
        <w:rPr>
          <w:rFonts w:eastAsia="Arial"/>
          <w:szCs w:val="22"/>
          <w:lang w:eastAsia="en-US"/>
        </w:rPr>
        <w:t>Ovim se Zakonom u pravni poredak Republike Hrvatske prenose odredbe Direktive 2014/94/EU Europskog parlamenta i Vijeća od 22. listopada 2014. godine o uspostavi infrastrukture za alternativna goriva (SL L 307, 28.10.2014.) u onom dijelu koji se odnosi na državu članicu.</w:t>
      </w:r>
    </w:p>
    <w:p w14:paraId="40D6200F" w14:textId="77777777" w:rsidR="00AC728B" w:rsidRPr="00906E06" w:rsidRDefault="00AC728B" w:rsidP="00F11648">
      <w:pPr>
        <w:widowControl w:val="0"/>
        <w:autoSpaceDE w:val="0"/>
        <w:autoSpaceDN w:val="0"/>
        <w:rPr>
          <w:rFonts w:eastAsia="Arial"/>
          <w:szCs w:val="18"/>
          <w:lang w:eastAsia="en-US"/>
        </w:rPr>
      </w:pPr>
    </w:p>
    <w:p w14:paraId="439D9194" w14:textId="77777777" w:rsidR="00906E06" w:rsidRPr="00906E06" w:rsidRDefault="00AC728B" w:rsidP="00906E06">
      <w:pPr>
        <w:widowControl w:val="0"/>
        <w:autoSpaceDE w:val="0"/>
        <w:autoSpaceDN w:val="0"/>
        <w:ind w:left="3373" w:right="3375"/>
        <w:jc w:val="center"/>
        <w:rPr>
          <w:rFonts w:eastAsia="Arial"/>
          <w:szCs w:val="22"/>
          <w:lang w:eastAsia="en-US"/>
        </w:rPr>
      </w:pPr>
      <w:r w:rsidRPr="00906E06">
        <w:rPr>
          <w:rFonts w:eastAsia="Arial"/>
          <w:szCs w:val="22"/>
          <w:lang w:eastAsia="en-US"/>
        </w:rPr>
        <w:t xml:space="preserve">Značenje pojmova </w:t>
      </w:r>
    </w:p>
    <w:p w14:paraId="429D3C23" w14:textId="77777777" w:rsidR="00906E06" w:rsidRPr="00906E06" w:rsidRDefault="00906E06" w:rsidP="00906E06">
      <w:pPr>
        <w:widowControl w:val="0"/>
        <w:autoSpaceDE w:val="0"/>
        <w:autoSpaceDN w:val="0"/>
        <w:ind w:left="3373" w:right="3375"/>
        <w:jc w:val="center"/>
        <w:rPr>
          <w:rFonts w:eastAsia="Arial"/>
          <w:szCs w:val="22"/>
          <w:lang w:eastAsia="en-US"/>
        </w:rPr>
      </w:pPr>
    </w:p>
    <w:p w14:paraId="7198A402" w14:textId="2518E7DA" w:rsidR="00AC728B" w:rsidRPr="00906E06" w:rsidRDefault="00AC728B" w:rsidP="00906E06">
      <w:pPr>
        <w:widowControl w:val="0"/>
        <w:autoSpaceDE w:val="0"/>
        <w:autoSpaceDN w:val="0"/>
        <w:ind w:left="3373" w:right="3375"/>
        <w:jc w:val="center"/>
        <w:rPr>
          <w:rFonts w:eastAsia="Arial"/>
          <w:szCs w:val="22"/>
          <w:lang w:eastAsia="en-US"/>
        </w:rPr>
      </w:pPr>
      <w:r w:rsidRPr="00906E06">
        <w:rPr>
          <w:rFonts w:eastAsia="Arial"/>
          <w:szCs w:val="22"/>
          <w:lang w:eastAsia="en-US"/>
        </w:rPr>
        <w:t>Članak 3.</w:t>
      </w:r>
    </w:p>
    <w:p w14:paraId="47836791" w14:textId="77777777" w:rsidR="00906E06" w:rsidRPr="00906E06" w:rsidRDefault="00906E06" w:rsidP="00906E06">
      <w:pPr>
        <w:widowControl w:val="0"/>
        <w:autoSpaceDE w:val="0"/>
        <w:autoSpaceDN w:val="0"/>
        <w:ind w:left="3373" w:right="3375"/>
        <w:jc w:val="center"/>
        <w:rPr>
          <w:rFonts w:eastAsia="Arial"/>
          <w:szCs w:val="22"/>
          <w:lang w:eastAsia="en-US"/>
        </w:rPr>
      </w:pPr>
    </w:p>
    <w:p w14:paraId="07D8C249" w14:textId="77777777" w:rsidR="00AC728B" w:rsidRPr="00906E06" w:rsidRDefault="00AC728B" w:rsidP="00906E06">
      <w:pPr>
        <w:widowControl w:val="0"/>
        <w:autoSpaceDE w:val="0"/>
        <w:autoSpaceDN w:val="0"/>
        <w:ind w:right="-2"/>
        <w:jc w:val="both"/>
        <w:rPr>
          <w:szCs w:val="22"/>
          <w:lang w:eastAsia="en-US"/>
        </w:rPr>
      </w:pPr>
      <w:r w:rsidRPr="00906E06">
        <w:rPr>
          <w:szCs w:val="22"/>
          <w:lang w:eastAsia="en-US"/>
        </w:rPr>
        <w:t>(1) U smislu ovoga Zakona pojedini pojmovi imaju sljedeće značenje:</w:t>
      </w:r>
    </w:p>
    <w:p w14:paraId="21A2312E" w14:textId="77777777" w:rsidR="00AC728B" w:rsidRPr="00906E06" w:rsidRDefault="00AC728B" w:rsidP="00906E06">
      <w:pPr>
        <w:widowControl w:val="0"/>
        <w:autoSpaceDE w:val="0"/>
        <w:autoSpaceDN w:val="0"/>
        <w:rPr>
          <w:rFonts w:eastAsia="Arial"/>
          <w:szCs w:val="18"/>
          <w:lang w:eastAsia="en-US"/>
        </w:rPr>
      </w:pPr>
    </w:p>
    <w:p w14:paraId="66457033" w14:textId="77777777" w:rsidR="00AC728B" w:rsidRPr="00906E06" w:rsidRDefault="00AC728B" w:rsidP="00906E06">
      <w:pPr>
        <w:widowControl w:val="0"/>
        <w:tabs>
          <w:tab w:val="left" w:pos="1081"/>
        </w:tabs>
        <w:autoSpaceDE w:val="0"/>
        <w:autoSpaceDN w:val="0"/>
        <w:ind w:left="684" w:right="113"/>
        <w:jc w:val="both"/>
        <w:rPr>
          <w:szCs w:val="22"/>
          <w:lang w:eastAsia="en-US"/>
        </w:rPr>
      </w:pPr>
      <w:r w:rsidRPr="00906E06">
        <w:rPr>
          <w:szCs w:val="22"/>
          <w:lang w:eastAsia="en-US"/>
        </w:rPr>
        <w:t>1.</w:t>
      </w:r>
      <w:r w:rsidRPr="00906E06">
        <w:rPr>
          <w:szCs w:val="22"/>
          <w:lang w:eastAsia="en-US"/>
        </w:rPr>
        <w:tab/>
        <w:t>alternativna goriva: goriva ili izvori energije koji služe, barem djelomično, kao nadomjestak za izvore fosilnih goriva u opskrbi prometa energijom i koji imaju potencijal doprinijeti dekarbonizaciji prometnog sustava te poboljšati okolišnu učinkovitost prometnog sektora, koji između ostalog uključuju: električnu energiju, vodik, biogoriva (tekuća ili plinovita biogoriva namijenjena prometu proizvedena iz biomase), sintetička i parafinska goriva, prirodni plin, uključujući bioplin, u plinovitom (stlačeni prirodni plin – SPP) i ukapljenom obliku (ukapljeni prirodni plin – UPP) te ukapljeni naftni plin (UNP)</w:t>
      </w:r>
    </w:p>
    <w:p w14:paraId="10EE411A" w14:textId="77777777" w:rsidR="00AC728B" w:rsidRPr="00906E06" w:rsidRDefault="00AC728B" w:rsidP="00906E06">
      <w:pPr>
        <w:widowControl w:val="0"/>
        <w:tabs>
          <w:tab w:val="left" w:pos="1081"/>
        </w:tabs>
        <w:autoSpaceDE w:val="0"/>
        <w:autoSpaceDN w:val="0"/>
        <w:ind w:left="684" w:right="113"/>
        <w:jc w:val="both"/>
        <w:rPr>
          <w:szCs w:val="22"/>
          <w:lang w:eastAsia="en-US"/>
        </w:rPr>
      </w:pPr>
    </w:p>
    <w:p w14:paraId="1F443D7E" w14:textId="77777777" w:rsidR="00AC728B" w:rsidRPr="002109C8" w:rsidRDefault="00AC728B" w:rsidP="00906E06">
      <w:pPr>
        <w:widowControl w:val="0"/>
        <w:tabs>
          <w:tab w:val="left" w:pos="1081"/>
        </w:tabs>
        <w:autoSpaceDE w:val="0"/>
        <w:autoSpaceDN w:val="0"/>
        <w:ind w:left="684" w:right="113"/>
        <w:jc w:val="both"/>
        <w:rPr>
          <w:szCs w:val="22"/>
          <w:lang w:val="en-US" w:eastAsia="en-US"/>
        </w:rPr>
      </w:pPr>
      <w:r w:rsidRPr="00906E06">
        <w:rPr>
          <w:szCs w:val="22"/>
          <w:lang w:eastAsia="en-US"/>
        </w:rPr>
        <w:lastRenderedPageBreak/>
        <w:t>2.</w:t>
      </w:r>
      <w:r w:rsidRPr="00906E06">
        <w:rPr>
          <w:szCs w:val="22"/>
          <w:lang w:eastAsia="en-US"/>
        </w:rPr>
        <w:tab/>
        <w:t>električno vozilo: motorno vozilo opremljeno sustavom za prijenos snage koje sadrži barem jedan neperiferni električni uređaj kao pretvornik energije s električnim</w:t>
      </w:r>
      <w:r w:rsidRPr="002109C8">
        <w:rPr>
          <w:szCs w:val="22"/>
          <w:lang w:val="en-US" w:eastAsia="en-US"/>
        </w:rPr>
        <w:t xml:space="preserve"> sustavom </w:t>
      </w:r>
      <w:r w:rsidRPr="00EA41EB">
        <w:rPr>
          <w:szCs w:val="22"/>
          <w:lang w:eastAsia="en-US"/>
        </w:rPr>
        <w:t>za</w:t>
      </w:r>
      <w:r w:rsidRPr="002109C8">
        <w:rPr>
          <w:szCs w:val="22"/>
          <w:lang w:val="en-US" w:eastAsia="en-US"/>
        </w:rPr>
        <w:t xml:space="preserve"> pohranu </w:t>
      </w:r>
      <w:r w:rsidRPr="0047466C">
        <w:rPr>
          <w:szCs w:val="22"/>
          <w:lang w:eastAsia="en-US"/>
        </w:rPr>
        <w:t>energije</w:t>
      </w:r>
      <w:r w:rsidRPr="002109C8">
        <w:rPr>
          <w:szCs w:val="22"/>
          <w:lang w:val="en-US" w:eastAsia="en-US"/>
        </w:rPr>
        <w:t xml:space="preserve"> s mogućnošću </w:t>
      </w:r>
      <w:r w:rsidRPr="0047466C">
        <w:rPr>
          <w:szCs w:val="22"/>
          <w:lang w:eastAsia="en-US"/>
        </w:rPr>
        <w:t>ponovnog</w:t>
      </w:r>
      <w:r w:rsidRPr="002109C8">
        <w:rPr>
          <w:szCs w:val="22"/>
          <w:lang w:val="en-US" w:eastAsia="en-US"/>
        </w:rPr>
        <w:t xml:space="preserve"> punjenja, </w:t>
      </w:r>
      <w:r w:rsidRPr="0047466C">
        <w:rPr>
          <w:szCs w:val="22"/>
          <w:lang w:eastAsia="en-US"/>
        </w:rPr>
        <w:t>koji</w:t>
      </w:r>
      <w:r w:rsidRPr="002109C8">
        <w:rPr>
          <w:szCs w:val="22"/>
          <w:lang w:val="en-US" w:eastAsia="en-US"/>
        </w:rPr>
        <w:t xml:space="preserve"> je moguće puniti eksterno</w:t>
      </w:r>
    </w:p>
    <w:p w14:paraId="17F7C359" w14:textId="77777777" w:rsidR="00AC728B" w:rsidRPr="00906E06" w:rsidRDefault="00AC728B" w:rsidP="00906E06">
      <w:pPr>
        <w:widowControl w:val="0"/>
        <w:tabs>
          <w:tab w:val="left" w:pos="1081"/>
        </w:tabs>
        <w:autoSpaceDE w:val="0"/>
        <w:autoSpaceDN w:val="0"/>
        <w:ind w:left="684" w:right="113"/>
        <w:jc w:val="both"/>
        <w:rPr>
          <w:szCs w:val="22"/>
          <w:lang w:eastAsia="en-US"/>
        </w:rPr>
      </w:pPr>
    </w:p>
    <w:p w14:paraId="170DE621" w14:textId="77777777" w:rsidR="00AC728B" w:rsidRPr="00906E06" w:rsidRDefault="00AC728B" w:rsidP="00906E06">
      <w:pPr>
        <w:widowControl w:val="0"/>
        <w:tabs>
          <w:tab w:val="left" w:pos="1081"/>
        </w:tabs>
        <w:autoSpaceDE w:val="0"/>
        <w:autoSpaceDN w:val="0"/>
        <w:ind w:left="684" w:right="113"/>
        <w:jc w:val="both"/>
        <w:rPr>
          <w:szCs w:val="22"/>
          <w:lang w:eastAsia="en-US"/>
        </w:rPr>
      </w:pPr>
      <w:r w:rsidRPr="00906E06">
        <w:rPr>
          <w:szCs w:val="22"/>
          <w:lang w:eastAsia="en-US"/>
        </w:rPr>
        <w:t>3.</w:t>
      </w:r>
      <w:r w:rsidRPr="00906E06">
        <w:rPr>
          <w:szCs w:val="22"/>
          <w:lang w:eastAsia="en-US"/>
        </w:rPr>
        <w:tab/>
        <w:t>javno dostupno mjesto za punjenje ili opskrbu: mjesto za punjenje ili opskrbu na kojem se pruža opskrba alternativnim gorivom i koje korisnicima omogućuje nediskriminirajući pristup. Nediskriminirajući pristup može uključivati različite mogućnosti autentifikacije, uporabe i plaćanja</w:t>
      </w:r>
    </w:p>
    <w:p w14:paraId="0B424DB1" w14:textId="77777777" w:rsidR="00AC728B" w:rsidRPr="00906E06" w:rsidRDefault="00AC728B" w:rsidP="00906E06">
      <w:pPr>
        <w:widowControl w:val="0"/>
        <w:tabs>
          <w:tab w:val="left" w:pos="1081"/>
        </w:tabs>
        <w:autoSpaceDE w:val="0"/>
        <w:autoSpaceDN w:val="0"/>
        <w:ind w:left="684" w:right="113"/>
        <w:jc w:val="both"/>
        <w:rPr>
          <w:szCs w:val="22"/>
          <w:lang w:eastAsia="en-US"/>
        </w:rPr>
      </w:pPr>
    </w:p>
    <w:p w14:paraId="09AB40A4" w14:textId="77777777" w:rsidR="00AC728B" w:rsidRPr="00906E06" w:rsidRDefault="00AC728B" w:rsidP="00906E06">
      <w:pPr>
        <w:widowControl w:val="0"/>
        <w:tabs>
          <w:tab w:val="left" w:pos="1081"/>
        </w:tabs>
        <w:autoSpaceDE w:val="0"/>
        <w:autoSpaceDN w:val="0"/>
        <w:ind w:left="684" w:right="113"/>
        <w:jc w:val="both"/>
        <w:rPr>
          <w:szCs w:val="22"/>
          <w:lang w:eastAsia="en-US"/>
        </w:rPr>
      </w:pPr>
      <w:r w:rsidRPr="00906E06">
        <w:rPr>
          <w:szCs w:val="22"/>
          <w:lang w:eastAsia="en-US"/>
        </w:rPr>
        <w:t>4.</w:t>
      </w:r>
      <w:r w:rsidRPr="00906E06">
        <w:rPr>
          <w:szCs w:val="22"/>
          <w:lang w:eastAsia="en-US"/>
        </w:rPr>
        <w:tab/>
        <w:t>mjesto za opskrbu: objekt za opskrbu bilo kojim gorivom, uz iznimku UPP-a, putem fiksne ili mobilne instalacije</w:t>
      </w:r>
    </w:p>
    <w:p w14:paraId="09DB960B" w14:textId="77777777" w:rsidR="00AC728B" w:rsidRPr="00906E06" w:rsidRDefault="00AC728B" w:rsidP="00906E06">
      <w:pPr>
        <w:widowControl w:val="0"/>
        <w:tabs>
          <w:tab w:val="left" w:pos="1081"/>
        </w:tabs>
        <w:autoSpaceDE w:val="0"/>
        <w:autoSpaceDN w:val="0"/>
        <w:ind w:left="684" w:right="113"/>
        <w:jc w:val="both"/>
        <w:rPr>
          <w:szCs w:val="22"/>
          <w:lang w:eastAsia="en-US"/>
        </w:rPr>
      </w:pPr>
    </w:p>
    <w:p w14:paraId="4817DBE4" w14:textId="77777777" w:rsidR="00AC728B" w:rsidRPr="00906E06" w:rsidRDefault="00AC728B" w:rsidP="00906E06">
      <w:pPr>
        <w:widowControl w:val="0"/>
        <w:tabs>
          <w:tab w:val="left" w:pos="1081"/>
        </w:tabs>
        <w:autoSpaceDE w:val="0"/>
        <w:autoSpaceDN w:val="0"/>
        <w:ind w:left="684" w:right="113"/>
        <w:jc w:val="both"/>
        <w:rPr>
          <w:szCs w:val="22"/>
          <w:lang w:eastAsia="en-US"/>
        </w:rPr>
      </w:pPr>
      <w:r w:rsidRPr="00906E06">
        <w:rPr>
          <w:szCs w:val="22"/>
          <w:lang w:eastAsia="en-US"/>
        </w:rPr>
        <w:t>5.</w:t>
      </w:r>
      <w:r w:rsidRPr="00906E06">
        <w:rPr>
          <w:szCs w:val="22"/>
          <w:lang w:eastAsia="en-US"/>
        </w:rPr>
        <w:tab/>
        <w:t>mjesto za opskrbu UPP-om: objekt za opskrbu UPP-om koji se sastoji bilo od fiksnog ili mobilnog objekta, objekta na moru ili drugih sustava</w:t>
      </w:r>
    </w:p>
    <w:p w14:paraId="565BA6FF" w14:textId="77777777" w:rsidR="00AC728B" w:rsidRPr="00906E06" w:rsidRDefault="00AC728B" w:rsidP="00906E06">
      <w:pPr>
        <w:widowControl w:val="0"/>
        <w:tabs>
          <w:tab w:val="left" w:pos="1081"/>
        </w:tabs>
        <w:autoSpaceDE w:val="0"/>
        <w:autoSpaceDN w:val="0"/>
        <w:ind w:left="684" w:right="113"/>
        <w:jc w:val="both"/>
        <w:rPr>
          <w:szCs w:val="22"/>
          <w:lang w:eastAsia="en-US"/>
        </w:rPr>
      </w:pPr>
    </w:p>
    <w:p w14:paraId="1522776E" w14:textId="77777777" w:rsidR="00AC728B" w:rsidRPr="00906E06" w:rsidRDefault="00AC728B" w:rsidP="00906E06">
      <w:pPr>
        <w:widowControl w:val="0"/>
        <w:tabs>
          <w:tab w:val="left" w:pos="1081"/>
        </w:tabs>
        <w:autoSpaceDE w:val="0"/>
        <w:autoSpaceDN w:val="0"/>
        <w:ind w:left="684" w:right="113"/>
        <w:jc w:val="both"/>
        <w:rPr>
          <w:szCs w:val="22"/>
          <w:lang w:eastAsia="en-US"/>
        </w:rPr>
      </w:pPr>
      <w:r w:rsidRPr="00906E06">
        <w:rPr>
          <w:szCs w:val="22"/>
          <w:lang w:eastAsia="en-US"/>
        </w:rPr>
        <w:t>6.</w:t>
      </w:r>
      <w:r w:rsidRPr="00906E06">
        <w:rPr>
          <w:szCs w:val="22"/>
          <w:lang w:eastAsia="en-US"/>
        </w:rPr>
        <w:tab/>
        <w:t>mjesto za punjenje: sučelje putem kojeg je u danom trenutku moguće puniti jedno električno vozilo ili zamijeniti bateriju jednog električnog vozila</w:t>
      </w:r>
    </w:p>
    <w:p w14:paraId="664C74ED" w14:textId="77777777" w:rsidR="00AC728B" w:rsidRPr="00906E06" w:rsidRDefault="00AC728B" w:rsidP="00906E06">
      <w:pPr>
        <w:widowControl w:val="0"/>
        <w:tabs>
          <w:tab w:val="left" w:pos="1081"/>
        </w:tabs>
        <w:autoSpaceDE w:val="0"/>
        <w:autoSpaceDN w:val="0"/>
        <w:ind w:left="684" w:right="113"/>
        <w:jc w:val="both"/>
        <w:rPr>
          <w:szCs w:val="22"/>
          <w:lang w:eastAsia="en-US"/>
        </w:rPr>
      </w:pPr>
    </w:p>
    <w:p w14:paraId="1E2E8A42" w14:textId="77777777" w:rsidR="00AC728B" w:rsidRPr="00906E06" w:rsidRDefault="00AC728B" w:rsidP="00906E06">
      <w:pPr>
        <w:widowControl w:val="0"/>
        <w:tabs>
          <w:tab w:val="left" w:pos="1081"/>
        </w:tabs>
        <w:autoSpaceDE w:val="0"/>
        <w:autoSpaceDN w:val="0"/>
        <w:ind w:left="684" w:right="113"/>
        <w:jc w:val="both"/>
        <w:rPr>
          <w:szCs w:val="22"/>
          <w:lang w:eastAsia="en-US"/>
        </w:rPr>
      </w:pPr>
      <w:r w:rsidRPr="00906E06">
        <w:rPr>
          <w:szCs w:val="22"/>
          <w:lang w:eastAsia="en-US"/>
        </w:rPr>
        <w:t>7.</w:t>
      </w:r>
      <w:r w:rsidRPr="00906E06">
        <w:rPr>
          <w:szCs w:val="22"/>
          <w:lang w:eastAsia="en-US"/>
        </w:rPr>
        <w:tab/>
        <w:t>mjesto za punjenje male snage: mjesto za punjenje koja omogućuje transfer električne energije na električno vozilo snage jednake ili manje od 22 kW, osim uređaja snage manje ili jednake 3,7 kW koji su instalirani u privatnim kućanstvima ili čija primarna namjena nije punjenje električnih vozila te koji nisu dostupni javnosti</w:t>
      </w:r>
    </w:p>
    <w:p w14:paraId="7A7AB780" w14:textId="77777777" w:rsidR="00AC728B" w:rsidRPr="00906E06" w:rsidRDefault="00AC728B" w:rsidP="00906E06">
      <w:pPr>
        <w:widowControl w:val="0"/>
        <w:tabs>
          <w:tab w:val="left" w:pos="1081"/>
        </w:tabs>
        <w:autoSpaceDE w:val="0"/>
        <w:autoSpaceDN w:val="0"/>
        <w:ind w:left="684" w:right="113"/>
        <w:jc w:val="both"/>
        <w:rPr>
          <w:szCs w:val="22"/>
          <w:lang w:eastAsia="en-US"/>
        </w:rPr>
      </w:pPr>
    </w:p>
    <w:p w14:paraId="50DEAC2D" w14:textId="77777777" w:rsidR="00AC728B" w:rsidRPr="00906E06" w:rsidRDefault="00AC728B" w:rsidP="00906E06">
      <w:pPr>
        <w:widowControl w:val="0"/>
        <w:tabs>
          <w:tab w:val="left" w:pos="1081"/>
        </w:tabs>
        <w:autoSpaceDE w:val="0"/>
        <w:autoSpaceDN w:val="0"/>
        <w:ind w:left="684" w:right="113"/>
        <w:jc w:val="both"/>
        <w:rPr>
          <w:szCs w:val="22"/>
          <w:lang w:eastAsia="en-US"/>
        </w:rPr>
      </w:pPr>
      <w:r w:rsidRPr="00906E06">
        <w:rPr>
          <w:szCs w:val="22"/>
          <w:lang w:eastAsia="en-US"/>
        </w:rPr>
        <w:t>8.</w:t>
      </w:r>
      <w:r w:rsidRPr="00906E06">
        <w:rPr>
          <w:szCs w:val="22"/>
          <w:lang w:eastAsia="en-US"/>
        </w:rPr>
        <w:tab/>
        <w:t>mjesto za punjenje visoke snage: mjesto za punjenje koje omogućuje transfer električne energije na električno vozilo snage veće od 22 kW</w:t>
      </w:r>
    </w:p>
    <w:p w14:paraId="09800BCC" w14:textId="77777777" w:rsidR="00AC728B" w:rsidRPr="00906E06" w:rsidRDefault="00AC728B" w:rsidP="00906E06">
      <w:pPr>
        <w:widowControl w:val="0"/>
        <w:tabs>
          <w:tab w:val="left" w:pos="1081"/>
        </w:tabs>
        <w:autoSpaceDE w:val="0"/>
        <w:autoSpaceDN w:val="0"/>
        <w:ind w:left="684" w:right="113"/>
        <w:jc w:val="both"/>
        <w:rPr>
          <w:szCs w:val="22"/>
          <w:lang w:eastAsia="en-US"/>
        </w:rPr>
      </w:pPr>
    </w:p>
    <w:p w14:paraId="10515599" w14:textId="77777777" w:rsidR="00AC728B" w:rsidRPr="00906E06" w:rsidRDefault="00AC728B" w:rsidP="00906E06">
      <w:pPr>
        <w:widowControl w:val="0"/>
        <w:tabs>
          <w:tab w:val="left" w:pos="1081"/>
        </w:tabs>
        <w:autoSpaceDE w:val="0"/>
        <w:autoSpaceDN w:val="0"/>
        <w:ind w:left="684" w:right="113"/>
        <w:jc w:val="both"/>
        <w:rPr>
          <w:szCs w:val="22"/>
          <w:lang w:eastAsia="en-US"/>
        </w:rPr>
      </w:pPr>
      <w:r w:rsidRPr="00906E06">
        <w:rPr>
          <w:szCs w:val="22"/>
          <w:lang w:eastAsia="en-US"/>
        </w:rPr>
        <w:t>9.</w:t>
      </w:r>
      <w:r w:rsidRPr="00906E06">
        <w:rPr>
          <w:szCs w:val="22"/>
          <w:lang w:eastAsia="en-US"/>
        </w:rPr>
        <w:tab/>
        <w:t>opskrba električnom energijom s kopna: opskrba električnom energijom s kopna, putem standardiziranog sučelja, morskog plovila ili plovila unutarnje plovidbe koje se nalazi na privezu</w:t>
      </w:r>
    </w:p>
    <w:p w14:paraId="1B4D82CF" w14:textId="77777777" w:rsidR="00AC728B" w:rsidRPr="00906E06" w:rsidRDefault="00AC728B" w:rsidP="00906E06">
      <w:pPr>
        <w:widowControl w:val="0"/>
        <w:tabs>
          <w:tab w:val="left" w:pos="1081"/>
        </w:tabs>
        <w:autoSpaceDE w:val="0"/>
        <w:autoSpaceDN w:val="0"/>
        <w:ind w:left="684" w:right="113"/>
        <w:jc w:val="both"/>
        <w:rPr>
          <w:szCs w:val="22"/>
          <w:lang w:eastAsia="en-US"/>
        </w:rPr>
      </w:pPr>
    </w:p>
    <w:p w14:paraId="07A009D5" w14:textId="77777777" w:rsidR="00AC728B" w:rsidRPr="00906E06" w:rsidRDefault="00AC728B" w:rsidP="00906E06">
      <w:pPr>
        <w:widowControl w:val="0"/>
        <w:tabs>
          <w:tab w:val="left" w:pos="1081"/>
        </w:tabs>
        <w:autoSpaceDE w:val="0"/>
        <w:autoSpaceDN w:val="0"/>
        <w:ind w:left="684" w:right="113"/>
        <w:jc w:val="both"/>
        <w:rPr>
          <w:szCs w:val="22"/>
          <w:lang w:eastAsia="en-US"/>
        </w:rPr>
      </w:pPr>
      <w:r w:rsidRPr="00906E06">
        <w:rPr>
          <w:szCs w:val="22"/>
          <w:lang w:eastAsia="en-US"/>
        </w:rPr>
        <w:t>10.</w:t>
      </w:r>
      <w:r w:rsidRPr="00906E06">
        <w:rPr>
          <w:szCs w:val="22"/>
          <w:lang w:eastAsia="en-US"/>
        </w:rPr>
        <w:tab/>
        <w:t>osnovna mreža TEN-T: transeuropska prometna mreža cesta, željeznica, morskih luka, zračnih luka i luka unutarnje plovidbe određena kao osnovna TEN-T mreža u skladu s Uredbom (EU) br. 1315/2013 Europskog parlamenta i Vijeća od 11. prosinca 2013. o smjernicama Unije za razvoj transeuropske prometne mreže</w:t>
      </w:r>
    </w:p>
    <w:p w14:paraId="21A5E08F" w14:textId="77777777" w:rsidR="00AC728B" w:rsidRPr="00906E06" w:rsidRDefault="00AC728B" w:rsidP="00906E06">
      <w:pPr>
        <w:widowControl w:val="0"/>
        <w:tabs>
          <w:tab w:val="left" w:pos="1081"/>
        </w:tabs>
        <w:autoSpaceDE w:val="0"/>
        <w:autoSpaceDN w:val="0"/>
        <w:ind w:left="684" w:right="113"/>
        <w:jc w:val="both"/>
        <w:rPr>
          <w:szCs w:val="22"/>
          <w:lang w:eastAsia="en-US"/>
        </w:rPr>
      </w:pPr>
    </w:p>
    <w:p w14:paraId="73A49FEB" w14:textId="77777777" w:rsidR="00AC728B" w:rsidRPr="00906E06" w:rsidRDefault="00AC728B" w:rsidP="00906E06">
      <w:pPr>
        <w:widowControl w:val="0"/>
        <w:tabs>
          <w:tab w:val="left" w:pos="1081"/>
        </w:tabs>
        <w:autoSpaceDE w:val="0"/>
        <w:autoSpaceDN w:val="0"/>
        <w:ind w:left="684" w:right="113"/>
        <w:jc w:val="both"/>
        <w:rPr>
          <w:szCs w:val="22"/>
          <w:lang w:eastAsia="en-US"/>
        </w:rPr>
      </w:pPr>
      <w:r w:rsidRPr="00906E06">
        <w:rPr>
          <w:szCs w:val="22"/>
          <w:lang w:eastAsia="en-US"/>
        </w:rPr>
        <w:t>11.</w:t>
      </w:r>
      <w:r w:rsidRPr="00906E06">
        <w:rPr>
          <w:szCs w:val="22"/>
          <w:lang w:eastAsia="en-US"/>
        </w:rPr>
        <w:tab/>
        <w:t>tijela javnog sektora: tijela koja obuhvaćaju tijela državne uprave i druga državna tijela, tijela jedinice lokalne ili područne (regionalne) samouprave te pravne osobe koje su osnovane za određene svrhe, radi zadovoljavanja potreba od općeg interesa, koje nemaju industrijski ili trgovački značaj i u cijelosti se ili većim dijelom financiraju iz državnog proračuna ili iz proračuna jedinice lokalne ili područne (regionalne) samouprave, ili iz sredstava drugih takvih pravnih osoba, ili nadzor nad poslovanjem tih pravnih osoba obavljaju državna tijela, jedinice lokalne ili područne (regionalne) samouprave ili druge takve pravne osobe, a više od polovice članova nadzornog odbora, uprave ili odgovarajućeg tijela upravljanja i vođenja poslova imenuju državna tijela, jedinice lokalne ili područne (regionalne) samouprave ili druge takve pravne osobe.</w:t>
      </w:r>
    </w:p>
    <w:p w14:paraId="0D97EFA3" w14:textId="77777777" w:rsidR="00AC728B" w:rsidRPr="00906E06" w:rsidRDefault="00AC728B" w:rsidP="00906E06">
      <w:pPr>
        <w:widowControl w:val="0"/>
        <w:tabs>
          <w:tab w:val="left" w:pos="1081"/>
        </w:tabs>
        <w:autoSpaceDE w:val="0"/>
        <w:autoSpaceDN w:val="0"/>
        <w:ind w:right="113"/>
        <w:jc w:val="both"/>
        <w:rPr>
          <w:szCs w:val="22"/>
          <w:lang w:eastAsia="en-US"/>
        </w:rPr>
      </w:pPr>
    </w:p>
    <w:p w14:paraId="18D0FE09" w14:textId="77777777" w:rsidR="00AC728B" w:rsidRPr="009A4E16" w:rsidRDefault="00AC728B" w:rsidP="00906E06">
      <w:pPr>
        <w:widowControl w:val="0"/>
        <w:tabs>
          <w:tab w:val="left" w:pos="1081"/>
        </w:tabs>
        <w:autoSpaceDE w:val="0"/>
        <w:autoSpaceDN w:val="0"/>
        <w:ind w:right="113"/>
        <w:jc w:val="both"/>
        <w:rPr>
          <w:szCs w:val="22"/>
          <w:lang w:eastAsia="en-US"/>
        </w:rPr>
      </w:pPr>
      <w:r w:rsidRPr="00906E06">
        <w:rPr>
          <w:szCs w:val="22"/>
          <w:lang w:eastAsia="en-US"/>
        </w:rPr>
        <w:t>(2) U smislu ovoga Zakona pojedini pojmovi, koji nisu utvrđeni ovim Zakonom, imaju značenje propisano posebnim zakonima kojima je uređeno područje prostornog uređenja</w:t>
      </w:r>
      <w:r w:rsidRPr="009A4E16">
        <w:rPr>
          <w:szCs w:val="22"/>
          <w:lang w:eastAsia="en-US"/>
        </w:rPr>
        <w:t xml:space="preserve">, područje energetike, područje prometne </w:t>
      </w:r>
      <w:r w:rsidRPr="009A4E16">
        <w:rPr>
          <w:szCs w:val="22"/>
          <w:lang w:eastAsia="en-US"/>
        </w:rPr>
        <w:lastRenderedPageBreak/>
        <w:t>infrastrukture, područje gradnje, područje zaštite okoliša, područje poreza, područje državnih potpora, te zakonima kojima su osnovani i koji određuju djelokrug Fonda za zaštitu okoliša i energetsku učinkovitost i Centra za praćenje poslovanja energetskog sektora i investicija.</w:t>
      </w:r>
    </w:p>
    <w:p w14:paraId="24AE4D21" w14:textId="77777777" w:rsidR="00AC728B" w:rsidRPr="009A4E16" w:rsidRDefault="00AC728B" w:rsidP="00906E06">
      <w:pPr>
        <w:widowControl w:val="0"/>
        <w:tabs>
          <w:tab w:val="left" w:pos="1081"/>
        </w:tabs>
        <w:autoSpaceDE w:val="0"/>
        <w:autoSpaceDN w:val="0"/>
        <w:ind w:left="684" w:right="113"/>
        <w:jc w:val="both"/>
        <w:rPr>
          <w:szCs w:val="22"/>
          <w:lang w:eastAsia="en-US"/>
        </w:rPr>
      </w:pPr>
    </w:p>
    <w:p w14:paraId="4DD1A4C2" w14:textId="0B5C2261" w:rsidR="00AC728B" w:rsidRDefault="00AC728B" w:rsidP="00906E06">
      <w:pPr>
        <w:widowControl w:val="0"/>
        <w:tabs>
          <w:tab w:val="left" w:pos="1081"/>
        </w:tabs>
        <w:autoSpaceDE w:val="0"/>
        <w:autoSpaceDN w:val="0"/>
        <w:ind w:right="113"/>
        <w:jc w:val="both"/>
        <w:rPr>
          <w:szCs w:val="22"/>
          <w:lang w:val="en-US" w:eastAsia="en-US"/>
        </w:rPr>
      </w:pPr>
      <w:r>
        <w:rPr>
          <w:szCs w:val="22"/>
          <w:lang w:val="en-US" w:eastAsia="en-US"/>
        </w:rPr>
        <w:t xml:space="preserve">(3) </w:t>
      </w:r>
      <w:r w:rsidRPr="002109C8">
        <w:rPr>
          <w:szCs w:val="22"/>
          <w:lang w:val="en-US" w:eastAsia="en-US"/>
        </w:rPr>
        <w:t>Izrazi koji se koriste u ovom Zakonu, a imaju rodno značenje, odnose se jednako na muški i ženski rod.</w:t>
      </w:r>
    </w:p>
    <w:p w14:paraId="689F9F68" w14:textId="77777777" w:rsidR="00906E06" w:rsidRPr="002109C8" w:rsidRDefault="00906E06" w:rsidP="00906E06">
      <w:pPr>
        <w:widowControl w:val="0"/>
        <w:tabs>
          <w:tab w:val="left" w:pos="1081"/>
        </w:tabs>
        <w:autoSpaceDE w:val="0"/>
        <w:autoSpaceDN w:val="0"/>
        <w:ind w:right="113"/>
        <w:jc w:val="both"/>
        <w:rPr>
          <w:szCs w:val="22"/>
          <w:lang w:val="en-US" w:eastAsia="en-US"/>
        </w:rPr>
      </w:pPr>
    </w:p>
    <w:p w14:paraId="693A26CB" w14:textId="77777777" w:rsidR="00D556A1" w:rsidRPr="00D556A1" w:rsidRDefault="00D556A1" w:rsidP="00906E06">
      <w:pPr>
        <w:pStyle w:val="box453034"/>
        <w:shd w:val="clear" w:color="auto" w:fill="FFFFFF"/>
        <w:spacing w:before="0" w:beforeAutospacing="0" w:after="0" w:afterAutospacing="0"/>
        <w:jc w:val="center"/>
        <w:textAlignment w:val="baseline"/>
        <w:rPr>
          <w:color w:val="231F20"/>
        </w:rPr>
      </w:pPr>
      <w:r w:rsidRPr="00D556A1">
        <w:rPr>
          <w:color w:val="231F20"/>
        </w:rPr>
        <w:t>II. ZAJEDNIČKI OKVIR MJERA ZA RAZVOJ TRŽIŠTA U POGLEDU ALTERNATIVNIH GORIVA U PROMETNOM SEKTORU I ZA POSTAVLJANJE ODGOVARAJUĆE INFRASTRUKTURE</w:t>
      </w:r>
    </w:p>
    <w:p w14:paraId="618DBA36" w14:textId="77777777" w:rsidR="00D556A1" w:rsidRDefault="00D556A1" w:rsidP="00906E06">
      <w:pPr>
        <w:pStyle w:val="box453034"/>
        <w:shd w:val="clear" w:color="auto" w:fill="FFFFFF"/>
        <w:spacing w:before="0" w:beforeAutospacing="0" w:after="0" w:afterAutospacing="0"/>
        <w:jc w:val="center"/>
        <w:textAlignment w:val="baseline"/>
        <w:rPr>
          <w:iCs/>
          <w:color w:val="231F20"/>
        </w:rPr>
      </w:pPr>
    </w:p>
    <w:p w14:paraId="76EF3932" w14:textId="152D9A63" w:rsidR="00D556A1" w:rsidRDefault="00D556A1" w:rsidP="00906E06">
      <w:pPr>
        <w:pStyle w:val="box453034"/>
        <w:shd w:val="clear" w:color="auto" w:fill="FFFFFF"/>
        <w:spacing w:before="0" w:beforeAutospacing="0" w:after="0" w:afterAutospacing="0"/>
        <w:jc w:val="center"/>
        <w:textAlignment w:val="baseline"/>
        <w:rPr>
          <w:iCs/>
          <w:color w:val="231F20"/>
        </w:rPr>
      </w:pPr>
      <w:r w:rsidRPr="00D556A1">
        <w:rPr>
          <w:iCs/>
          <w:color w:val="231F20"/>
        </w:rPr>
        <w:t>Nacionalni okvir politike</w:t>
      </w:r>
    </w:p>
    <w:p w14:paraId="1188899B" w14:textId="77777777" w:rsidR="00D556A1" w:rsidRPr="00D556A1" w:rsidRDefault="00D556A1" w:rsidP="00906E06">
      <w:pPr>
        <w:pStyle w:val="box453034"/>
        <w:shd w:val="clear" w:color="auto" w:fill="FFFFFF"/>
        <w:spacing w:before="0" w:beforeAutospacing="0" w:after="0" w:afterAutospacing="0"/>
        <w:jc w:val="center"/>
        <w:textAlignment w:val="baseline"/>
        <w:rPr>
          <w:iCs/>
          <w:color w:val="231F20"/>
        </w:rPr>
      </w:pPr>
    </w:p>
    <w:p w14:paraId="5272323E" w14:textId="3E13B748" w:rsidR="00D556A1" w:rsidRDefault="00D556A1" w:rsidP="00906E06">
      <w:pPr>
        <w:pStyle w:val="box453034"/>
        <w:shd w:val="clear" w:color="auto" w:fill="FFFFFF"/>
        <w:spacing w:before="0" w:beforeAutospacing="0" w:after="0" w:afterAutospacing="0"/>
        <w:jc w:val="center"/>
        <w:textAlignment w:val="baseline"/>
        <w:rPr>
          <w:color w:val="231F20"/>
        </w:rPr>
      </w:pPr>
      <w:r>
        <w:rPr>
          <w:color w:val="231F20"/>
        </w:rPr>
        <w:t>Članak 4.</w:t>
      </w:r>
    </w:p>
    <w:p w14:paraId="3A010CDD" w14:textId="77777777" w:rsidR="00906E06" w:rsidRPr="00906E06" w:rsidRDefault="00906E06" w:rsidP="00906E06">
      <w:pPr>
        <w:pStyle w:val="box453034"/>
        <w:shd w:val="clear" w:color="auto" w:fill="FFFFFF"/>
        <w:spacing w:before="0" w:beforeAutospacing="0" w:after="0" w:afterAutospacing="0"/>
        <w:jc w:val="both"/>
        <w:textAlignment w:val="baseline"/>
        <w:rPr>
          <w:color w:val="231F20"/>
          <w:lang w:val="hr-HR"/>
        </w:rPr>
      </w:pPr>
    </w:p>
    <w:p w14:paraId="01FE50C4" w14:textId="1C606B4C" w:rsidR="00D556A1" w:rsidRPr="00906E06" w:rsidRDefault="00D556A1" w:rsidP="00906E06">
      <w:pPr>
        <w:pStyle w:val="box453034"/>
        <w:shd w:val="clear" w:color="auto" w:fill="FFFFFF"/>
        <w:spacing w:before="0" w:beforeAutospacing="0" w:after="0" w:afterAutospacing="0"/>
        <w:jc w:val="both"/>
        <w:textAlignment w:val="baseline"/>
        <w:rPr>
          <w:color w:val="231F20"/>
          <w:lang w:val="hr-HR"/>
        </w:rPr>
      </w:pPr>
      <w:r w:rsidRPr="00906E06">
        <w:rPr>
          <w:color w:val="231F20"/>
          <w:lang w:val="hr-HR"/>
        </w:rPr>
        <w:t>(1) Zajednički okvir mjera za razvoj tržišta u pogledu alternativnih goriva u prometnom sektoru i za postavljanje odgovarajuće infrastrukture određuje se Nacionalnim okvirom politike (u daljnjem tekstu: NOP), koji se donosi za razdoblje nakon 2016. godine do ispunjenja ciljeva za razvoj tržišta u pogledu alternativnih goriva u prometnom sektoru i za postavljanje odgovarajuće infrastrukture.</w:t>
      </w:r>
    </w:p>
    <w:p w14:paraId="124BC0E9" w14:textId="77777777" w:rsidR="00906E06" w:rsidRPr="00906E06" w:rsidRDefault="00906E06" w:rsidP="00906E06">
      <w:pPr>
        <w:pStyle w:val="box453034"/>
        <w:shd w:val="clear" w:color="auto" w:fill="FFFFFF"/>
        <w:spacing w:before="0" w:beforeAutospacing="0" w:after="0" w:afterAutospacing="0"/>
        <w:jc w:val="both"/>
        <w:textAlignment w:val="baseline"/>
        <w:rPr>
          <w:color w:val="231F20"/>
          <w:lang w:val="hr-HR"/>
        </w:rPr>
      </w:pPr>
    </w:p>
    <w:p w14:paraId="146D1352" w14:textId="4B4A69AA" w:rsidR="00D556A1" w:rsidRPr="00906E06" w:rsidRDefault="00D556A1" w:rsidP="00906E06">
      <w:pPr>
        <w:pStyle w:val="box453034"/>
        <w:shd w:val="clear" w:color="auto" w:fill="FFFFFF"/>
        <w:spacing w:before="0" w:beforeAutospacing="0" w:after="0" w:afterAutospacing="0"/>
        <w:jc w:val="both"/>
        <w:textAlignment w:val="baseline"/>
        <w:rPr>
          <w:color w:val="231F20"/>
          <w:lang w:val="hr-HR"/>
        </w:rPr>
      </w:pPr>
      <w:r w:rsidRPr="00906E06">
        <w:rPr>
          <w:color w:val="231F20"/>
          <w:lang w:val="hr-HR"/>
        </w:rPr>
        <w:t>(2) NOP je akt planiranja koji se sastoji od:</w:t>
      </w:r>
    </w:p>
    <w:p w14:paraId="00C47228" w14:textId="77777777" w:rsidR="00906E06" w:rsidRPr="00906E06" w:rsidRDefault="00906E06" w:rsidP="00906E06">
      <w:pPr>
        <w:pStyle w:val="box453034"/>
        <w:shd w:val="clear" w:color="auto" w:fill="FFFFFF"/>
        <w:spacing w:before="0" w:beforeAutospacing="0" w:after="0" w:afterAutospacing="0"/>
        <w:jc w:val="both"/>
        <w:textAlignment w:val="baseline"/>
        <w:rPr>
          <w:color w:val="231F20"/>
          <w:lang w:val="hr-HR"/>
        </w:rPr>
      </w:pPr>
    </w:p>
    <w:p w14:paraId="378AF966" w14:textId="112162F3" w:rsidR="00D556A1" w:rsidRDefault="00D556A1" w:rsidP="00906E06">
      <w:pPr>
        <w:pStyle w:val="box453034"/>
        <w:shd w:val="clear" w:color="auto" w:fill="FFFFFF"/>
        <w:spacing w:before="0" w:beforeAutospacing="0" w:after="0" w:afterAutospacing="0"/>
        <w:ind w:firstLine="408"/>
        <w:jc w:val="both"/>
        <w:textAlignment w:val="baseline"/>
        <w:rPr>
          <w:color w:val="231F20"/>
          <w:lang w:val="hr-HR"/>
        </w:rPr>
      </w:pPr>
      <w:r w:rsidRPr="00906E06">
        <w:rPr>
          <w:color w:val="231F20"/>
          <w:lang w:val="hr-HR"/>
        </w:rPr>
        <w:t>1. procjene trenutačnog stanja i budućeg razvoja tržišta alternativnih goriva u prometnom sektoru, uključujući njihovu moguću istodobnu i kombiniranu uporabu te razvoj infrastrukture za alternativna goriva, uzimajući pritom u obzir, kada je to moguće, neprekinutu prekograničnu pokrivenost</w:t>
      </w:r>
    </w:p>
    <w:p w14:paraId="48DDB175" w14:textId="77777777" w:rsidR="00196CD6" w:rsidRPr="00906E06" w:rsidRDefault="00196CD6" w:rsidP="00906E06">
      <w:pPr>
        <w:pStyle w:val="box453034"/>
        <w:shd w:val="clear" w:color="auto" w:fill="FFFFFF"/>
        <w:spacing w:before="0" w:beforeAutospacing="0" w:after="0" w:afterAutospacing="0"/>
        <w:ind w:firstLine="408"/>
        <w:jc w:val="both"/>
        <w:textAlignment w:val="baseline"/>
        <w:rPr>
          <w:color w:val="231F20"/>
          <w:lang w:val="hr-HR"/>
        </w:rPr>
      </w:pPr>
    </w:p>
    <w:p w14:paraId="698E88E8" w14:textId="086D7CFE" w:rsidR="00D556A1" w:rsidRDefault="00D556A1" w:rsidP="00906E06">
      <w:pPr>
        <w:pStyle w:val="box453034"/>
        <w:shd w:val="clear" w:color="auto" w:fill="FFFFFF"/>
        <w:spacing w:before="0" w:beforeAutospacing="0" w:after="0" w:afterAutospacing="0"/>
        <w:ind w:firstLine="408"/>
        <w:jc w:val="both"/>
        <w:textAlignment w:val="baseline"/>
        <w:rPr>
          <w:color w:val="231F20"/>
          <w:lang w:val="hr-HR"/>
        </w:rPr>
      </w:pPr>
      <w:r w:rsidRPr="00906E06">
        <w:rPr>
          <w:color w:val="231F20"/>
          <w:lang w:val="hr-HR"/>
        </w:rPr>
        <w:t>2. nacionalnih pojedinačnih i skupnih ciljeva za postavljanje infrastrukture za alternativna goriva, koji se mogu revidirati na temelju procjene potražnje, pri čemu je potrebno osigurati usklađenost s minimalnim infrastrukturnim zahtjevima</w:t>
      </w:r>
    </w:p>
    <w:p w14:paraId="6B60D824" w14:textId="77777777" w:rsidR="00196CD6" w:rsidRPr="00906E06" w:rsidRDefault="00196CD6" w:rsidP="00906E06">
      <w:pPr>
        <w:pStyle w:val="box453034"/>
        <w:shd w:val="clear" w:color="auto" w:fill="FFFFFF"/>
        <w:spacing w:before="0" w:beforeAutospacing="0" w:after="0" w:afterAutospacing="0"/>
        <w:ind w:firstLine="408"/>
        <w:jc w:val="both"/>
        <w:textAlignment w:val="baseline"/>
        <w:rPr>
          <w:color w:val="231F20"/>
          <w:lang w:val="hr-HR"/>
        </w:rPr>
      </w:pPr>
    </w:p>
    <w:p w14:paraId="1C2717BB" w14:textId="7D50BBEF" w:rsidR="00D556A1" w:rsidRDefault="00D556A1" w:rsidP="00906E06">
      <w:pPr>
        <w:pStyle w:val="box453034"/>
        <w:shd w:val="clear" w:color="auto" w:fill="FFFFFF"/>
        <w:spacing w:before="0" w:beforeAutospacing="0" w:after="0" w:afterAutospacing="0"/>
        <w:ind w:firstLine="408"/>
        <w:jc w:val="both"/>
        <w:textAlignment w:val="baseline"/>
        <w:rPr>
          <w:color w:val="231F20"/>
          <w:lang w:val="hr-HR"/>
        </w:rPr>
      </w:pPr>
      <w:r w:rsidRPr="00906E06">
        <w:rPr>
          <w:color w:val="231F20"/>
          <w:lang w:val="hr-HR"/>
        </w:rPr>
        <w:t>3. mjera potrebnih za ostvarivanje nacionalnih pojedinačnih i skupnih ciljeva iz točke 2. ovog stavka, uključujući mjere za poticanje i olakšavanje postavljanja mjesta za punjenje koja nisu dostupna javnosti</w:t>
      </w:r>
    </w:p>
    <w:p w14:paraId="1D46BE88" w14:textId="77777777" w:rsidR="00196CD6" w:rsidRPr="00906E06" w:rsidRDefault="00196CD6" w:rsidP="00906E06">
      <w:pPr>
        <w:pStyle w:val="box453034"/>
        <w:shd w:val="clear" w:color="auto" w:fill="FFFFFF"/>
        <w:spacing w:before="0" w:beforeAutospacing="0" w:after="0" w:afterAutospacing="0"/>
        <w:ind w:firstLine="408"/>
        <w:jc w:val="both"/>
        <w:textAlignment w:val="baseline"/>
        <w:rPr>
          <w:color w:val="231F20"/>
          <w:lang w:val="hr-HR"/>
        </w:rPr>
      </w:pPr>
    </w:p>
    <w:p w14:paraId="22C6268B" w14:textId="3E0820E0" w:rsidR="00D556A1" w:rsidRDefault="00D556A1" w:rsidP="00906E06">
      <w:pPr>
        <w:pStyle w:val="box453034"/>
        <w:shd w:val="clear" w:color="auto" w:fill="FFFFFF"/>
        <w:spacing w:before="0" w:beforeAutospacing="0" w:after="0" w:afterAutospacing="0"/>
        <w:ind w:firstLine="408"/>
        <w:jc w:val="both"/>
        <w:textAlignment w:val="baseline"/>
        <w:rPr>
          <w:color w:val="231F20"/>
          <w:lang w:val="hr-HR"/>
        </w:rPr>
      </w:pPr>
      <w:r w:rsidRPr="00906E06">
        <w:rPr>
          <w:color w:val="231F20"/>
          <w:lang w:val="hr-HR"/>
        </w:rPr>
        <w:t>4. mjera kojima se može promicati postavljanje infrastrukture za alternativna goriva u sklopu usluga javnoga prijevoza</w:t>
      </w:r>
    </w:p>
    <w:p w14:paraId="58E2176D" w14:textId="77777777" w:rsidR="00196CD6" w:rsidRPr="00906E06" w:rsidRDefault="00196CD6" w:rsidP="00906E06">
      <w:pPr>
        <w:pStyle w:val="box453034"/>
        <w:shd w:val="clear" w:color="auto" w:fill="FFFFFF"/>
        <w:spacing w:before="0" w:beforeAutospacing="0" w:after="0" w:afterAutospacing="0"/>
        <w:ind w:firstLine="408"/>
        <w:jc w:val="both"/>
        <w:textAlignment w:val="baseline"/>
        <w:rPr>
          <w:color w:val="231F20"/>
          <w:lang w:val="hr-HR"/>
        </w:rPr>
      </w:pPr>
    </w:p>
    <w:p w14:paraId="26C17285" w14:textId="74A99992" w:rsidR="00D556A1" w:rsidRDefault="00D556A1" w:rsidP="00906E06">
      <w:pPr>
        <w:pStyle w:val="box453034"/>
        <w:shd w:val="clear" w:color="auto" w:fill="FFFFFF"/>
        <w:spacing w:before="0" w:beforeAutospacing="0" w:after="0" w:afterAutospacing="0"/>
        <w:ind w:firstLine="408"/>
        <w:jc w:val="both"/>
        <w:textAlignment w:val="baseline"/>
        <w:rPr>
          <w:color w:val="231F20"/>
          <w:lang w:val="hr-HR"/>
        </w:rPr>
      </w:pPr>
      <w:r w:rsidRPr="00906E06">
        <w:rPr>
          <w:color w:val="231F20"/>
          <w:lang w:val="hr-HR"/>
        </w:rPr>
        <w:t>5. određivanja naselja, građevinskih područja naselja, odnosno gradskih/prigradskih aglomeracija, drugih gusto naseljenih područja i mreža koje će, u skladu s potrebama tržišta, biti opremljene javno dostupnim mjestima za punjenje u skladu s člankom 6. stavkom 1. ovog Zakona</w:t>
      </w:r>
    </w:p>
    <w:p w14:paraId="2975623D" w14:textId="77777777" w:rsidR="00196CD6" w:rsidRPr="00906E06" w:rsidRDefault="00196CD6" w:rsidP="00906E06">
      <w:pPr>
        <w:pStyle w:val="box453034"/>
        <w:shd w:val="clear" w:color="auto" w:fill="FFFFFF"/>
        <w:spacing w:before="0" w:beforeAutospacing="0" w:after="0" w:afterAutospacing="0"/>
        <w:ind w:firstLine="408"/>
        <w:jc w:val="both"/>
        <w:textAlignment w:val="baseline"/>
        <w:rPr>
          <w:color w:val="231F20"/>
          <w:lang w:val="hr-HR"/>
        </w:rPr>
      </w:pPr>
    </w:p>
    <w:p w14:paraId="665331DB" w14:textId="17467CBA" w:rsidR="00D556A1" w:rsidRDefault="00D556A1" w:rsidP="00906E06">
      <w:pPr>
        <w:pStyle w:val="box453034"/>
        <w:shd w:val="clear" w:color="auto" w:fill="FFFFFF"/>
        <w:spacing w:before="0" w:beforeAutospacing="0" w:after="0" w:afterAutospacing="0"/>
        <w:ind w:firstLine="408"/>
        <w:jc w:val="both"/>
        <w:textAlignment w:val="baseline"/>
        <w:rPr>
          <w:color w:val="231F20"/>
          <w:lang w:val="hr-HR"/>
        </w:rPr>
      </w:pPr>
      <w:r w:rsidRPr="00906E06">
        <w:rPr>
          <w:color w:val="231F20"/>
          <w:lang w:val="hr-HR"/>
        </w:rPr>
        <w:t>6. određivanja naselja, građevinskih područja naselja, odnosno gradskih/prigradskih aglomeracija, drugih gusto naseljenih područja i mreža koje, u skladu s potrebama tržišta, trebaju biti opremljene mjestima za opskrbu SPP-om u skladu s člankom 8. stavkom 10. ovog Zakona</w:t>
      </w:r>
    </w:p>
    <w:p w14:paraId="062BB8C0" w14:textId="77777777" w:rsidR="00196CD6" w:rsidRPr="00906E06" w:rsidRDefault="00196CD6" w:rsidP="00906E06">
      <w:pPr>
        <w:pStyle w:val="box453034"/>
        <w:shd w:val="clear" w:color="auto" w:fill="FFFFFF"/>
        <w:spacing w:before="0" w:beforeAutospacing="0" w:after="0" w:afterAutospacing="0"/>
        <w:ind w:firstLine="408"/>
        <w:jc w:val="both"/>
        <w:textAlignment w:val="baseline"/>
        <w:rPr>
          <w:color w:val="231F20"/>
          <w:lang w:val="hr-HR"/>
        </w:rPr>
      </w:pPr>
    </w:p>
    <w:p w14:paraId="20AC7AB9" w14:textId="565B54AC" w:rsidR="00D556A1" w:rsidRDefault="00D556A1" w:rsidP="00906E06">
      <w:pPr>
        <w:pStyle w:val="box453034"/>
        <w:shd w:val="clear" w:color="auto" w:fill="FFFFFF"/>
        <w:spacing w:before="0" w:beforeAutospacing="0" w:after="0" w:afterAutospacing="0"/>
        <w:ind w:firstLine="408"/>
        <w:jc w:val="both"/>
        <w:textAlignment w:val="baseline"/>
        <w:rPr>
          <w:color w:val="231F20"/>
          <w:lang w:val="hr-HR"/>
        </w:rPr>
      </w:pPr>
      <w:r w:rsidRPr="00906E06">
        <w:rPr>
          <w:color w:val="231F20"/>
          <w:lang w:val="hr-HR"/>
        </w:rPr>
        <w:t>7. procjene potreba za instaliranjem mjesta za opskrbu UPP-om u lukama izvan osnovne mreže TEN-T</w:t>
      </w:r>
    </w:p>
    <w:p w14:paraId="08CC29CC" w14:textId="77777777" w:rsidR="00196CD6" w:rsidRPr="00906E06" w:rsidRDefault="00196CD6" w:rsidP="00906E06">
      <w:pPr>
        <w:pStyle w:val="box453034"/>
        <w:shd w:val="clear" w:color="auto" w:fill="FFFFFF"/>
        <w:spacing w:before="0" w:beforeAutospacing="0" w:after="0" w:afterAutospacing="0"/>
        <w:ind w:firstLine="408"/>
        <w:jc w:val="both"/>
        <w:textAlignment w:val="baseline"/>
        <w:rPr>
          <w:color w:val="231F20"/>
          <w:lang w:val="hr-HR"/>
        </w:rPr>
      </w:pPr>
    </w:p>
    <w:p w14:paraId="13ECCEB8" w14:textId="77777777" w:rsidR="00D556A1" w:rsidRPr="00906E06" w:rsidRDefault="00D556A1" w:rsidP="00906E06">
      <w:pPr>
        <w:pStyle w:val="box453034"/>
        <w:shd w:val="clear" w:color="auto" w:fill="FFFFFF"/>
        <w:spacing w:before="0" w:beforeAutospacing="0" w:after="0" w:afterAutospacing="0"/>
        <w:ind w:firstLine="408"/>
        <w:jc w:val="both"/>
        <w:textAlignment w:val="baseline"/>
        <w:rPr>
          <w:color w:val="231F20"/>
          <w:lang w:val="hr-HR"/>
        </w:rPr>
      </w:pPr>
      <w:r w:rsidRPr="00906E06">
        <w:rPr>
          <w:color w:val="231F20"/>
          <w:lang w:val="hr-HR"/>
        </w:rPr>
        <w:lastRenderedPageBreak/>
        <w:t>8. razmatranja potrebe za uvođenjem opskrbe električnom energijom u zračnim lukama za avione u mirovanju.</w:t>
      </w:r>
    </w:p>
    <w:p w14:paraId="1ADFD0D6" w14:textId="77777777" w:rsidR="00906E06" w:rsidRPr="00906E06" w:rsidRDefault="00906E06" w:rsidP="00906E06">
      <w:pPr>
        <w:pStyle w:val="box453034"/>
        <w:shd w:val="clear" w:color="auto" w:fill="FFFFFF"/>
        <w:spacing w:before="0" w:beforeAutospacing="0" w:after="0" w:afterAutospacing="0"/>
        <w:jc w:val="both"/>
        <w:textAlignment w:val="baseline"/>
        <w:rPr>
          <w:color w:val="231F20"/>
          <w:lang w:val="hr-HR"/>
        </w:rPr>
      </w:pPr>
    </w:p>
    <w:p w14:paraId="7EC33591" w14:textId="7F3477AB" w:rsidR="00D556A1" w:rsidRPr="00906E06" w:rsidRDefault="00D556A1" w:rsidP="00906E06">
      <w:pPr>
        <w:pStyle w:val="box453034"/>
        <w:shd w:val="clear" w:color="auto" w:fill="FFFFFF"/>
        <w:spacing w:before="0" w:beforeAutospacing="0" w:after="0" w:afterAutospacing="0"/>
        <w:jc w:val="both"/>
        <w:textAlignment w:val="baseline"/>
        <w:rPr>
          <w:color w:val="231F20"/>
          <w:lang w:val="hr-HR"/>
        </w:rPr>
      </w:pPr>
      <w:r w:rsidRPr="00906E06">
        <w:rPr>
          <w:color w:val="231F20"/>
          <w:lang w:val="hr-HR"/>
        </w:rPr>
        <w:t>(3) NOP omogućuje zadovoljenje potreba različitih vrsta prometa koje postoje u Republici Hrvatskoj, uključujući one za koje postoji ograničena raspoloživost alternativa fosilnim gorivima.</w:t>
      </w:r>
    </w:p>
    <w:p w14:paraId="27F1FF39" w14:textId="77777777" w:rsidR="00906E06" w:rsidRPr="00906E06" w:rsidRDefault="00906E06" w:rsidP="00906E06">
      <w:pPr>
        <w:pStyle w:val="box453034"/>
        <w:shd w:val="clear" w:color="auto" w:fill="FFFFFF"/>
        <w:spacing w:before="0" w:beforeAutospacing="0" w:after="0" w:afterAutospacing="0"/>
        <w:jc w:val="both"/>
        <w:textAlignment w:val="baseline"/>
        <w:rPr>
          <w:color w:val="231F20"/>
          <w:lang w:val="hr-HR"/>
        </w:rPr>
      </w:pPr>
    </w:p>
    <w:p w14:paraId="21EAFBE1" w14:textId="175B6302" w:rsidR="00D556A1" w:rsidRPr="00906E06" w:rsidRDefault="00D556A1" w:rsidP="00906E06">
      <w:pPr>
        <w:pStyle w:val="box453034"/>
        <w:shd w:val="clear" w:color="auto" w:fill="FFFFFF"/>
        <w:spacing w:before="0" w:beforeAutospacing="0" w:after="0" w:afterAutospacing="0"/>
        <w:jc w:val="both"/>
        <w:textAlignment w:val="baseline"/>
        <w:rPr>
          <w:color w:val="231F20"/>
          <w:lang w:val="hr-HR"/>
        </w:rPr>
      </w:pPr>
      <w:r w:rsidRPr="00906E06">
        <w:rPr>
          <w:color w:val="231F20"/>
          <w:lang w:val="hr-HR"/>
        </w:rPr>
        <w:t>(4) NOP se usklađuje s aktima planiranja u području prometa, energetike, prostornog uređenja i zaštite okoliša.</w:t>
      </w:r>
    </w:p>
    <w:p w14:paraId="618B4B00" w14:textId="77777777" w:rsidR="00906E06" w:rsidRDefault="00906E06" w:rsidP="00906E06">
      <w:pPr>
        <w:pStyle w:val="box453034"/>
        <w:shd w:val="clear" w:color="auto" w:fill="FFFFFF"/>
        <w:spacing w:before="0" w:beforeAutospacing="0" w:after="0" w:afterAutospacing="0"/>
        <w:jc w:val="both"/>
        <w:textAlignment w:val="baseline"/>
        <w:rPr>
          <w:color w:val="231F20"/>
        </w:rPr>
      </w:pPr>
    </w:p>
    <w:p w14:paraId="4ECDB87C" w14:textId="37C93550" w:rsidR="00D556A1" w:rsidRDefault="00D556A1" w:rsidP="00906E06">
      <w:pPr>
        <w:pStyle w:val="box453034"/>
        <w:shd w:val="clear" w:color="auto" w:fill="FFFFFF"/>
        <w:spacing w:before="0" w:beforeAutospacing="0" w:after="0" w:afterAutospacing="0"/>
        <w:jc w:val="both"/>
        <w:textAlignment w:val="baseline"/>
        <w:rPr>
          <w:color w:val="231F20"/>
        </w:rPr>
      </w:pPr>
      <w:r>
        <w:rPr>
          <w:color w:val="231F20"/>
        </w:rPr>
        <w:t>(5) NOP prema potrebi omogućuje zadovoljenje interesa tijela javnog sektora, kao i interesa zainteresiranih dionika.</w:t>
      </w:r>
    </w:p>
    <w:p w14:paraId="199FC772" w14:textId="77777777" w:rsidR="00906E06" w:rsidRDefault="00906E06" w:rsidP="00906E06">
      <w:pPr>
        <w:pStyle w:val="box453034"/>
        <w:shd w:val="clear" w:color="auto" w:fill="FFFFFF"/>
        <w:spacing w:before="0" w:beforeAutospacing="0" w:after="0" w:afterAutospacing="0"/>
        <w:jc w:val="both"/>
        <w:textAlignment w:val="baseline"/>
        <w:rPr>
          <w:color w:val="231F20"/>
        </w:rPr>
      </w:pPr>
    </w:p>
    <w:p w14:paraId="452B4D68" w14:textId="7AFEBCD9" w:rsidR="00D556A1" w:rsidRPr="00906E06" w:rsidRDefault="00D556A1" w:rsidP="00906E06">
      <w:pPr>
        <w:pStyle w:val="box453034"/>
        <w:shd w:val="clear" w:color="auto" w:fill="FFFFFF"/>
        <w:spacing w:before="0" w:beforeAutospacing="0" w:after="0" w:afterAutospacing="0"/>
        <w:jc w:val="both"/>
        <w:textAlignment w:val="baseline"/>
        <w:rPr>
          <w:color w:val="231F20"/>
          <w:lang w:val="hr-HR"/>
        </w:rPr>
      </w:pPr>
      <w:r w:rsidRPr="00906E06">
        <w:rPr>
          <w:color w:val="231F20"/>
          <w:lang w:val="hr-HR"/>
        </w:rPr>
        <w:t>(6) NOP omogućuje korištenje rezultata međunarodne suradnje i međunarodnu suradnju, putem savjetovanja ili zajedničkih okvira politika, kako bi se osigurala dosljednost i usklađenost mjera.</w:t>
      </w:r>
    </w:p>
    <w:p w14:paraId="71283FCE" w14:textId="77777777" w:rsidR="00906E06" w:rsidRPr="00906E06" w:rsidRDefault="00906E06" w:rsidP="00906E06">
      <w:pPr>
        <w:pStyle w:val="box453034"/>
        <w:shd w:val="clear" w:color="auto" w:fill="FFFFFF"/>
        <w:spacing w:before="0" w:beforeAutospacing="0" w:after="0" w:afterAutospacing="0"/>
        <w:jc w:val="both"/>
        <w:textAlignment w:val="baseline"/>
        <w:rPr>
          <w:color w:val="231F20"/>
          <w:lang w:val="hr-HR"/>
        </w:rPr>
      </w:pPr>
    </w:p>
    <w:p w14:paraId="294558E3" w14:textId="21B32892" w:rsidR="00D556A1" w:rsidRPr="00906E06" w:rsidRDefault="00D556A1" w:rsidP="00906E06">
      <w:pPr>
        <w:pStyle w:val="box453034"/>
        <w:shd w:val="clear" w:color="auto" w:fill="FFFFFF"/>
        <w:spacing w:before="0" w:beforeAutospacing="0" w:after="0" w:afterAutospacing="0"/>
        <w:jc w:val="both"/>
        <w:textAlignment w:val="baseline"/>
        <w:rPr>
          <w:color w:val="231F20"/>
          <w:lang w:val="hr-HR"/>
        </w:rPr>
      </w:pPr>
      <w:r w:rsidRPr="00906E06">
        <w:rPr>
          <w:color w:val="231F20"/>
          <w:lang w:val="hr-HR"/>
        </w:rPr>
        <w:t>(7) NOP priprema ministarstvo nadležno za promet uz suradnju s drugim tijelima javnog sektora i nacionalnim koordinacijskim tijelom iz članka 10. stavka 2. ovoga Zakona.</w:t>
      </w:r>
    </w:p>
    <w:p w14:paraId="09693718" w14:textId="77777777" w:rsidR="00906E06" w:rsidRPr="00906E06" w:rsidRDefault="00906E06" w:rsidP="00906E06">
      <w:pPr>
        <w:pStyle w:val="box453034"/>
        <w:shd w:val="clear" w:color="auto" w:fill="FFFFFF"/>
        <w:spacing w:before="0" w:beforeAutospacing="0" w:after="0" w:afterAutospacing="0"/>
        <w:jc w:val="both"/>
        <w:textAlignment w:val="baseline"/>
        <w:rPr>
          <w:color w:val="231F20"/>
          <w:lang w:val="hr-HR"/>
        </w:rPr>
      </w:pPr>
    </w:p>
    <w:p w14:paraId="646FC897" w14:textId="3024A8B7" w:rsidR="00D556A1" w:rsidRPr="00906E06" w:rsidRDefault="00D556A1" w:rsidP="00906E06">
      <w:pPr>
        <w:pStyle w:val="box453034"/>
        <w:shd w:val="clear" w:color="auto" w:fill="FFFFFF"/>
        <w:spacing w:before="0" w:beforeAutospacing="0" w:after="0" w:afterAutospacing="0"/>
        <w:jc w:val="both"/>
        <w:textAlignment w:val="baseline"/>
        <w:rPr>
          <w:color w:val="231F20"/>
          <w:lang w:val="hr-HR"/>
        </w:rPr>
      </w:pPr>
      <w:r w:rsidRPr="00906E06">
        <w:rPr>
          <w:color w:val="231F20"/>
          <w:lang w:val="hr-HR"/>
        </w:rPr>
        <w:t>(8) Odluku o donošenju NOP-a na prijedlog ministarstva nadležnog za promet donosi Vlada Republike Hrvatske.</w:t>
      </w:r>
    </w:p>
    <w:p w14:paraId="783F5B26" w14:textId="77777777" w:rsidR="00906E06" w:rsidRPr="00906E06" w:rsidRDefault="00906E06" w:rsidP="00906E06">
      <w:pPr>
        <w:pStyle w:val="box453034"/>
        <w:shd w:val="clear" w:color="auto" w:fill="FFFFFF"/>
        <w:spacing w:before="0" w:beforeAutospacing="0" w:after="0" w:afterAutospacing="0"/>
        <w:jc w:val="both"/>
        <w:textAlignment w:val="baseline"/>
        <w:rPr>
          <w:color w:val="231F20"/>
          <w:lang w:val="hr-HR"/>
        </w:rPr>
      </w:pPr>
    </w:p>
    <w:p w14:paraId="2F6F37AD" w14:textId="2473598E" w:rsidR="00D556A1" w:rsidRPr="00906E06" w:rsidRDefault="00D556A1" w:rsidP="00906E06">
      <w:pPr>
        <w:pStyle w:val="box453034"/>
        <w:shd w:val="clear" w:color="auto" w:fill="FFFFFF"/>
        <w:spacing w:before="0" w:beforeAutospacing="0" w:after="0" w:afterAutospacing="0"/>
        <w:jc w:val="both"/>
        <w:textAlignment w:val="baseline"/>
        <w:rPr>
          <w:color w:val="231F20"/>
          <w:lang w:val="hr-HR"/>
        </w:rPr>
      </w:pPr>
      <w:r w:rsidRPr="00906E06">
        <w:rPr>
          <w:color w:val="231F20"/>
          <w:lang w:val="hr-HR"/>
        </w:rPr>
        <w:t>(9) Ministarstvo nadležno za promet uz suradnju s drugim javnim tijelima, na prijedlog nacionalnog koordinacijskog tijela, dostavlja Vladi Republike Hrvatske i Europskoj komisiji izvješće o provedbi NOP-a do 18. studenoga 2019. i potom svake tri godine.</w:t>
      </w:r>
    </w:p>
    <w:p w14:paraId="4A4B7167" w14:textId="77777777" w:rsidR="00906E06" w:rsidRPr="00906E06" w:rsidRDefault="00906E06" w:rsidP="00906E06">
      <w:pPr>
        <w:pStyle w:val="box453034"/>
        <w:shd w:val="clear" w:color="auto" w:fill="FFFFFF"/>
        <w:spacing w:before="0" w:beforeAutospacing="0" w:after="0" w:afterAutospacing="0"/>
        <w:jc w:val="both"/>
        <w:textAlignment w:val="baseline"/>
        <w:rPr>
          <w:color w:val="231F20"/>
          <w:lang w:val="hr-HR"/>
        </w:rPr>
      </w:pPr>
    </w:p>
    <w:p w14:paraId="58B7B420" w14:textId="3198B458" w:rsidR="00D556A1" w:rsidRPr="00906E06" w:rsidRDefault="00D556A1" w:rsidP="00906E06">
      <w:pPr>
        <w:pStyle w:val="box453034"/>
        <w:shd w:val="clear" w:color="auto" w:fill="FFFFFF"/>
        <w:spacing w:before="0" w:beforeAutospacing="0" w:after="0" w:afterAutospacing="0"/>
        <w:jc w:val="both"/>
        <w:textAlignment w:val="baseline"/>
        <w:rPr>
          <w:color w:val="231F20"/>
          <w:lang w:val="hr-HR"/>
        </w:rPr>
      </w:pPr>
      <w:r w:rsidRPr="00906E06">
        <w:rPr>
          <w:color w:val="231F20"/>
          <w:lang w:val="hr-HR"/>
        </w:rPr>
        <w:t>(10) Izvješće o provedbi NOP-a sadržava opis mjera poduzetih kao potpora izgradnji infrastrukture za alternativna goriva u skladu s člankom 5. ovoga Zakona, a izrađuje ga nacionalno koordinacijsko tijelo u skladu s člankom 11. stavkom 2. ovoga Zakona.</w:t>
      </w:r>
    </w:p>
    <w:p w14:paraId="7EAA8209" w14:textId="77777777" w:rsidR="00AC728B" w:rsidRPr="009A4E16" w:rsidRDefault="00AC728B" w:rsidP="00906E06"/>
    <w:p w14:paraId="6E4B921F" w14:textId="77777777" w:rsidR="00AC728B" w:rsidRPr="00906E06" w:rsidRDefault="00AC728B" w:rsidP="00906E06">
      <w:pPr>
        <w:widowControl w:val="0"/>
        <w:tabs>
          <w:tab w:val="left" w:pos="1895"/>
        </w:tabs>
        <w:autoSpaceDE w:val="0"/>
        <w:autoSpaceDN w:val="0"/>
        <w:ind w:right="1510"/>
        <w:jc w:val="center"/>
        <w:rPr>
          <w:szCs w:val="22"/>
          <w:lang w:eastAsia="en-US"/>
        </w:rPr>
      </w:pPr>
      <w:r w:rsidRPr="00906E06">
        <w:rPr>
          <w:szCs w:val="22"/>
          <w:lang w:eastAsia="en-US"/>
        </w:rPr>
        <w:t>IV. OPSKRBA PROMETA ELEKTRIČNOM ENERGIJOM</w:t>
      </w:r>
    </w:p>
    <w:p w14:paraId="64319D08" w14:textId="77777777" w:rsidR="00AC728B" w:rsidRPr="00906E06" w:rsidRDefault="00AC728B" w:rsidP="00906E06">
      <w:pPr>
        <w:widowControl w:val="0"/>
        <w:tabs>
          <w:tab w:val="left" w:pos="1895"/>
        </w:tabs>
        <w:autoSpaceDE w:val="0"/>
        <w:autoSpaceDN w:val="0"/>
        <w:ind w:left="1080" w:right="1510"/>
        <w:jc w:val="center"/>
        <w:rPr>
          <w:szCs w:val="22"/>
          <w:lang w:eastAsia="en-US"/>
        </w:rPr>
      </w:pPr>
    </w:p>
    <w:p w14:paraId="5E6219CA" w14:textId="77777777" w:rsidR="00AC728B" w:rsidRPr="00906E06" w:rsidRDefault="00AC728B" w:rsidP="00906E06">
      <w:pPr>
        <w:widowControl w:val="0"/>
        <w:tabs>
          <w:tab w:val="left" w:pos="1895"/>
        </w:tabs>
        <w:autoSpaceDE w:val="0"/>
        <w:autoSpaceDN w:val="0"/>
        <w:ind w:left="1080" w:right="1510"/>
        <w:jc w:val="center"/>
        <w:rPr>
          <w:szCs w:val="22"/>
          <w:lang w:eastAsia="en-US"/>
        </w:rPr>
      </w:pPr>
      <w:r w:rsidRPr="00906E06">
        <w:rPr>
          <w:szCs w:val="22"/>
          <w:lang w:eastAsia="en-US"/>
        </w:rPr>
        <w:t>Članak</w:t>
      </w:r>
      <w:r w:rsidRPr="00906E06">
        <w:rPr>
          <w:spacing w:val="1"/>
          <w:szCs w:val="22"/>
          <w:lang w:eastAsia="en-US"/>
        </w:rPr>
        <w:t xml:space="preserve"> </w:t>
      </w:r>
      <w:r w:rsidRPr="00906E06">
        <w:rPr>
          <w:szCs w:val="22"/>
          <w:lang w:eastAsia="en-US"/>
        </w:rPr>
        <w:t>6.</w:t>
      </w:r>
    </w:p>
    <w:p w14:paraId="74844B12" w14:textId="77777777" w:rsidR="00AC728B" w:rsidRPr="00906E06" w:rsidRDefault="00AC728B" w:rsidP="00906E06">
      <w:pPr>
        <w:widowControl w:val="0"/>
        <w:tabs>
          <w:tab w:val="left" w:pos="642"/>
        </w:tabs>
        <w:autoSpaceDE w:val="0"/>
        <w:autoSpaceDN w:val="0"/>
        <w:ind w:left="168" w:right="111"/>
        <w:jc w:val="both"/>
        <w:rPr>
          <w:szCs w:val="22"/>
          <w:lang w:eastAsia="en-US"/>
        </w:rPr>
      </w:pPr>
    </w:p>
    <w:p w14:paraId="1240F8F0" w14:textId="77777777" w:rsidR="00AC728B" w:rsidRPr="00906E06" w:rsidRDefault="00AC728B" w:rsidP="00906E06">
      <w:pPr>
        <w:widowControl w:val="0"/>
        <w:tabs>
          <w:tab w:val="left" w:pos="642"/>
        </w:tabs>
        <w:autoSpaceDE w:val="0"/>
        <w:autoSpaceDN w:val="0"/>
        <w:ind w:right="111"/>
        <w:jc w:val="both"/>
        <w:rPr>
          <w:szCs w:val="22"/>
          <w:lang w:eastAsia="en-US"/>
        </w:rPr>
      </w:pPr>
      <w:r w:rsidRPr="00906E06">
        <w:rPr>
          <w:szCs w:val="22"/>
          <w:lang w:eastAsia="en-US"/>
        </w:rPr>
        <w:t>(1) U skladu s procjenom tržišta određenom NOP-om, a u skladu s tehničkim specifikacijama</w:t>
      </w:r>
      <w:r w:rsidRPr="00906E06">
        <w:rPr>
          <w:sz w:val="22"/>
          <w:szCs w:val="22"/>
          <w:lang w:eastAsia="en-US"/>
        </w:rPr>
        <w:t xml:space="preserve">, </w:t>
      </w:r>
      <w:r w:rsidRPr="00906E06">
        <w:rPr>
          <w:szCs w:val="22"/>
          <w:lang w:eastAsia="en-US"/>
        </w:rPr>
        <w:t>uspostavit će se primjereni broj javno dostupnih mjesta za punjenje električnom energijom</w:t>
      </w:r>
      <w:r w:rsidRPr="00906E06">
        <w:rPr>
          <w:sz w:val="22"/>
          <w:szCs w:val="22"/>
          <w:lang w:eastAsia="en-US"/>
        </w:rPr>
        <w:t xml:space="preserve">, </w:t>
      </w:r>
      <w:r w:rsidRPr="00906E06">
        <w:rPr>
          <w:szCs w:val="22"/>
          <w:lang w:eastAsia="en-US"/>
        </w:rPr>
        <w:t>kako bi se osiguralo da električna vozila mogu prometovati barem u gradskim/prigradskim aglomeracijama i drugim gusto naseljenim područjima te u okviru osnovne TEN-T mreže. Broj takvih mjesta za punjenje utvrđuje se uzimajući u obzir, između ostalog, procjenu broja do kraja 2020. registriranih električnih vozila, kako je naznačeno NOP-om te najboljom praksom i preporukama koje izdaje Europska komisija. U obzir se, prema potrebi, uzimaju posebne potrebe u vezi s instaliranjem javno dostupnih mjesta za punjenje na postajama javnog</w:t>
      </w:r>
      <w:r w:rsidRPr="00906E06">
        <w:rPr>
          <w:spacing w:val="-5"/>
          <w:szCs w:val="22"/>
          <w:lang w:eastAsia="en-US"/>
        </w:rPr>
        <w:t xml:space="preserve"> </w:t>
      </w:r>
      <w:r w:rsidRPr="00906E06">
        <w:rPr>
          <w:szCs w:val="22"/>
          <w:lang w:eastAsia="en-US"/>
        </w:rPr>
        <w:t>prijevoza.</w:t>
      </w:r>
    </w:p>
    <w:p w14:paraId="619ACB5A" w14:textId="77777777" w:rsidR="00AC728B" w:rsidRPr="00906E06" w:rsidRDefault="00AC728B" w:rsidP="00906E06">
      <w:pPr>
        <w:widowControl w:val="0"/>
        <w:autoSpaceDE w:val="0"/>
        <w:autoSpaceDN w:val="0"/>
        <w:rPr>
          <w:rFonts w:eastAsia="Arial"/>
          <w:sz w:val="23"/>
          <w:szCs w:val="18"/>
          <w:lang w:eastAsia="en-US"/>
        </w:rPr>
      </w:pPr>
    </w:p>
    <w:p w14:paraId="0A78366E" w14:textId="77777777" w:rsidR="00AC728B" w:rsidRPr="00906E06" w:rsidRDefault="00AC728B" w:rsidP="00906E06">
      <w:pPr>
        <w:widowControl w:val="0"/>
        <w:tabs>
          <w:tab w:val="left" w:pos="642"/>
        </w:tabs>
        <w:autoSpaceDE w:val="0"/>
        <w:autoSpaceDN w:val="0"/>
        <w:ind w:right="111"/>
        <w:jc w:val="both"/>
        <w:rPr>
          <w:szCs w:val="22"/>
          <w:lang w:eastAsia="en-US"/>
        </w:rPr>
      </w:pPr>
      <w:r w:rsidRPr="00906E06">
        <w:rPr>
          <w:szCs w:val="22"/>
          <w:lang w:eastAsia="en-US"/>
        </w:rPr>
        <w:t xml:space="preserve">(2) Mjesta za punjenje male snage za električna vozila, s iznimkom bežičnih ili indukcijskih jedinica, postavljena ili obnovljena od 18. studenog 2017. ispunjavaju barem slijedeće tehničke specifikacije: mjesta za punjenje motornih vozila izmjeničnom strujom (AC) male snage su zbog interoperabilnosti opremljene najmanje utičnicama ili priključcima za vozila tipa 2 sukladno normi HRN EN 62196-2, a te utičnice moguće je opremiti dodatnim elementima kao što su mehanički zatvarači pri čemu se zadržava kompatibilnost s tipom 2., kao i </w:t>
      </w:r>
      <w:r w:rsidRPr="00906E06">
        <w:rPr>
          <w:szCs w:val="22"/>
          <w:lang w:eastAsia="en-US"/>
        </w:rPr>
        <w:lastRenderedPageBreak/>
        <w:t>posebne sigurnosne zahtjeve koji su na snazi u Republici Hrvatskoj.</w:t>
      </w:r>
    </w:p>
    <w:p w14:paraId="40CCE1AB" w14:textId="77777777" w:rsidR="00AC728B" w:rsidRPr="00906E06" w:rsidRDefault="00AC728B" w:rsidP="00906E06">
      <w:pPr>
        <w:widowControl w:val="0"/>
        <w:tabs>
          <w:tab w:val="left" w:pos="642"/>
        </w:tabs>
        <w:autoSpaceDE w:val="0"/>
        <w:autoSpaceDN w:val="0"/>
        <w:ind w:left="168" w:right="111"/>
        <w:jc w:val="both"/>
        <w:rPr>
          <w:szCs w:val="22"/>
          <w:lang w:eastAsia="en-US"/>
        </w:rPr>
      </w:pPr>
    </w:p>
    <w:p w14:paraId="0EFA3072" w14:textId="77777777" w:rsidR="00AC728B" w:rsidRPr="00906E06" w:rsidRDefault="00AC728B" w:rsidP="00906E06">
      <w:pPr>
        <w:widowControl w:val="0"/>
        <w:tabs>
          <w:tab w:val="left" w:pos="642"/>
        </w:tabs>
        <w:autoSpaceDE w:val="0"/>
        <w:autoSpaceDN w:val="0"/>
        <w:ind w:right="111"/>
        <w:jc w:val="both"/>
        <w:rPr>
          <w:szCs w:val="22"/>
          <w:lang w:eastAsia="en-US"/>
        </w:rPr>
      </w:pPr>
      <w:r w:rsidRPr="00906E06">
        <w:rPr>
          <w:szCs w:val="22"/>
          <w:lang w:eastAsia="en-US"/>
        </w:rPr>
        <w:t>(3) Mjesta za punjenje visoke snage za električna vozila, s iznimkom bežičnih ili indukcijskih jedinica, postavljena ili obnovljena od 18. studenog 2017. ispunjavaju barem slijedeće tehničke specifikacije:</w:t>
      </w:r>
    </w:p>
    <w:p w14:paraId="2F21384B" w14:textId="77777777" w:rsidR="00AC728B" w:rsidRPr="00906E06" w:rsidRDefault="00AC728B" w:rsidP="00906E06">
      <w:pPr>
        <w:widowControl w:val="0"/>
        <w:autoSpaceDE w:val="0"/>
        <w:autoSpaceDN w:val="0"/>
        <w:rPr>
          <w:rFonts w:eastAsia="Arial"/>
          <w:szCs w:val="18"/>
          <w:lang w:eastAsia="en-US"/>
        </w:rPr>
      </w:pPr>
    </w:p>
    <w:p w14:paraId="28795589" w14:textId="77777777" w:rsidR="00AC728B" w:rsidRPr="00906E06" w:rsidRDefault="00AC728B" w:rsidP="00906E06">
      <w:pPr>
        <w:widowControl w:val="0"/>
        <w:numPr>
          <w:ilvl w:val="1"/>
          <w:numId w:val="11"/>
        </w:numPr>
        <w:tabs>
          <w:tab w:val="left" w:pos="937"/>
        </w:tabs>
        <w:autoSpaceDE w:val="0"/>
        <w:autoSpaceDN w:val="0"/>
        <w:ind w:right="115"/>
        <w:jc w:val="both"/>
        <w:rPr>
          <w:szCs w:val="22"/>
          <w:lang w:eastAsia="en-US"/>
        </w:rPr>
      </w:pPr>
      <w:r w:rsidRPr="00906E06">
        <w:rPr>
          <w:szCs w:val="22"/>
          <w:lang w:eastAsia="en-US"/>
        </w:rPr>
        <w:t>mjesta za punjenje motornih vozila izmjeničnom strujom (AC) visoke snage su zbog interoperabilnosti opremljene barem utičnicama ili priključcima za vozila tipa 2 sukladno normi HRN EN</w:t>
      </w:r>
      <w:r w:rsidRPr="00906E06">
        <w:rPr>
          <w:spacing w:val="-3"/>
          <w:szCs w:val="22"/>
          <w:lang w:eastAsia="en-US"/>
        </w:rPr>
        <w:t xml:space="preserve"> </w:t>
      </w:r>
      <w:r w:rsidRPr="00906E06">
        <w:rPr>
          <w:szCs w:val="22"/>
          <w:lang w:eastAsia="en-US"/>
        </w:rPr>
        <w:t>62196-2</w:t>
      </w:r>
    </w:p>
    <w:p w14:paraId="51D33CC3" w14:textId="77777777" w:rsidR="00AC728B" w:rsidRPr="00906E06" w:rsidRDefault="00AC728B" w:rsidP="00906E06">
      <w:pPr>
        <w:widowControl w:val="0"/>
        <w:autoSpaceDE w:val="0"/>
        <w:autoSpaceDN w:val="0"/>
        <w:rPr>
          <w:rFonts w:eastAsia="Arial"/>
          <w:szCs w:val="18"/>
          <w:lang w:eastAsia="en-US"/>
        </w:rPr>
      </w:pPr>
    </w:p>
    <w:p w14:paraId="2FCEF66F" w14:textId="77777777" w:rsidR="00AC728B" w:rsidRPr="00906E06" w:rsidRDefault="00AC728B" w:rsidP="00906E06">
      <w:pPr>
        <w:widowControl w:val="0"/>
        <w:numPr>
          <w:ilvl w:val="1"/>
          <w:numId w:val="11"/>
        </w:numPr>
        <w:tabs>
          <w:tab w:val="left" w:pos="932"/>
        </w:tabs>
        <w:autoSpaceDE w:val="0"/>
        <w:autoSpaceDN w:val="0"/>
        <w:ind w:right="112"/>
        <w:jc w:val="both"/>
        <w:rPr>
          <w:szCs w:val="22"/>
          <w:lang w:eastAsia="en-US"/>
        </w:rPr>
      </w:pPr>
      <w:r w:rsidRPr="00906E06">
        <w:rPr>
          <w:szCs w:val="22"/>
          <w:lang w:eastAsia="en-US"/>
        </w:rPr>
        <w:t>mjesta za punjenje motornih vozila istosmjernom strujom (DC) visoke snage su zbog interoperabilnosti opremljene najmanje priključcima kombiniranog sustava za punjenje sukladno normi HRN EN</w:t>
      </w:r>
      <w:r w:rsidRPr="00906E06">
        <w:rPr>
          <w:spacing w:val="-3"/>
          <w:szCs w:val="22"/>
          <w:lang w:eastAsia="en-US"/>
        </w:rPr>
        <w:t xml:space="preserve"> </w:t>
      </w:r>
      <w:r w:rsidRPr="00906E06">
        <w:rPr>
          <w:szCs w:val="22"/>
          <w:lang w:eastAsia="en-US"/>
        </w:rPr>
        <w:t>62196-3.</w:t>
      </w:r>
    </w:p>
    <w:p w14:paraId="31D0C1E3" w14:textId="77777777" w:rsidR="00AC728B" w:rsidRPr="00906E06" w:rsidRDefault="00AC728B" w:rsidP="00906E06">
      <w:pPr>
        <w:widowControl w:val="0"/>
        <w:autoSpaceDE w:val="0"/>
        <w:autoSpaceDN w:val="0"/>
        <w:rPr>
          <w:rFonts w:eastAsia="Arial"/>
          <w:szCs w:val="18"/>
          <w:lang w:eastAsia="en-US"/>
        </w:rPr>
      </w:pPr>
    </w:p>
    <w:p w14:paraId="30AAF8D5" w14:textId="77777777" w:rsidR="00AC728B" w:rsidRPr="00906E06" w:rsidRDefault="00AC728B" w:rsidP="00906E06">
      <w:pPr>
        <w:widowControl w:val="0"/>
        <w:tabs>
          <w:tab w:val="left" w:pos="642"/>
        </w:tabs>
        <w:autoSpaceDE w:val="0"/>
        <w:autoSpaceDN w:val="0"/>
        <w:ind w:right="111"/>
        <w:jc w:val="both"/>
        <w:rPr>
          <w:szCs w:val="22"/>
          <w:lang w:eastAsia="en-US"/>
        </w:rPr>
      </w:pPr>
      <w:r w:rsidRPr="00906E06">
        <w:rPr>
          <w:szCs w:val="22"/>
          <w:lang w:eastAsia="en-US"/>
        </w:rPr>
        <w:t>(4) U skladu s procjenom NOP-a uspostavlja se potreban broj punionica za opskrbu električnom energijom s kopna za plovila unutarnje plovidbe i morske brodove u morskim lukama, kao i lukama unutarnjih voda. Uspostava takve opskrbe električnom energijom s kopna u lukama osnovne mreže TEN-T i drugim lukama do 31. prosinca 2025. predstavlja prioritet, osim ako nema potražnje i ako su troškovi nerazmjerni u odnosu na koristi, uključujući koristi za okoliš.</w:t>
      </w:r>
    </w:p>
    <w:p w14:paraId="2A18D547" w14:textId="77777777" w:rsidR="00AC728B" w:rsidRPr="00906E06" w:rsidRDefault="00AC728B" w:rsidP="00906E06">
      <w:pPr>
        <w:widowControl w:val="0"/>
        <w:autoSpaceDE w:val="0"/>
        <w:autoSpaceDN w:val="0"/>
        <w:rPr>
          <w:rFonts w:eastAsia="Arial"/>
          <w:szCs w:val="18"/>
          <w:lang w:eastAsia="en-US"/>
        </w:rPr>
      </w:pPr>
    </w:p>
    <w:p w14:paraId="15BACCBA" w14:textId="77777777" w:rsidR="00AC728B" w:rsidRPr="00906E06" w:rsidRDefault="00AC728B" w:rsidP="00906E06">
      <w:pPr>
        <w:widowControl w:val="0"/>
        <w:tabs>
          <w:tab w:val="left" w:pos="642"/>
        </w:tabs>
        <w:autoSpaceDE w:val="0"/>
        <w:autoSpaceDN w:val="0"/>
        <w:ind w:right="111"/>
        <w:jc w:val="both"/>
        <w:rPr>
          <w:szCs w:val="22"/>
          <w:lang w:eastAsia="en-US"/>
        </w:rPr>
      </w:pPr>
      <w:r w:rsidRPr="00906E06">
        <w:rPr>
          <w:szCs w:val="22"/>
          <w:lang w:eastAsia="en-US"/>
        </w:rPr>
        <w:t>(5) Instalacije za opskrbu električnom energijom s kopna za pomorski promet, postavljene ili obnovljene od 18. studenog 2017. ispunjavaju slijedeće tehničke specifikacije: opskrba električnom energijom s kopna za morske brodove, uključujući dizajn, instaliranje i testiranje sustava, mora biti u skladu s tehničkim specifikacijama norme IEC/ISO/IEEE 80005-1.</w:t>
      </w:r>
    </w:p>
    <w:p w14:paraId="3A4CBD6F" w14:textId="77777777" w:rsidR="00AC728B" w:rsidRPr="00906E06" w:rsidRDefault="00AC728B" w:rsidP="00906E06">
      <w:pPr>
        <w:widowControl w:val="0"/>
        <w:tabs>
          <w:tab w:val="left" w:pos="642"/>
        </w:tabs>
        <w:autoSpaceDE w:val="0"/>
        <w:autoSpaceDN w:val="0"/>
        <w:ind w:left="168" w:right="111"/>
        <w:jc w:val="both"/>
        <w:rPr>
          <w:szCs w:val="22"/>
          <w:lang w:eastAsia="en-US"/>
        </w:rPr>
      </w:pPr>
    </w:p>
    <w:p w14:paraId="2D0C1834" w14:textId="77777777" w:rsidR="00AC728B" w:rsidRPr="00906E06" w:rsidRDefault="00AC728B" w:rsidP="00906E06">
      <w:pPr>
        <w:widowControl w:val="0"/>
        <w:tabs>
          <w:tab w:val="left" w:pos="642"/>
        </w:tabs>
        <w:autoSpaceDE w:val="0"/>
        <w:autoSpaceDN w:val="0"/>
        <w:ind w:right="111"/>
        <w:jc w:val="both"/>
        <w:rPr>
          <w:szCs w:val="22"/>
          <w:lang w:eastAsia="en-US"/>
        </w:rPr>
      </w:pPr>
      <w:r w:rsidRPr="00906E06">
        <w:rPr>
          <w:szCs w:val="22"/>
          <w:lang w:eastAsia="en-US"/>
        </w:rPr>
        <w:t>(6) Pri punjenju električnih vozila na javno dostupnim mjestima za punjenje koriste se, ako je to tehnički izvedivo i gospodarski opravdano, pametni sustavi mjerenja.</w:t>
      </w:r>
    </w:p>
    <w:p w14:paraId="4409444E" w14:textId="77777777" w:rsidR="00AC728B" w:rsidRPr="00906E06" w:rsidRDefault="00AC728B" w:rsidP="00906E06">
      <w:pPr>
        <w:widowControl w:val="0"/>
        <w:tabs>
          <w:tab w:val="left" w:pos="642"/>
        </w:tabs>
        <w:autoSpaceDE w:val="0"/>
        <w:autoSpaceDN w:val="0"/>
        <w:ind w:left="168" w:right="111"/>
        <w:jc w:val="both"/>
        <w:rPr>
          <w:szCs w:val="22"/>
          <w:lang w:eastAsia="en-US"/>
        </w:rPr>
      </w:pPr>
    </w:p>
    <w:p w14:paraId="328E2DC4" w14:textId="77777777" w:rsidR="00AC728B" w:rsidRPr="00906E06" w:rsidRDefault="00AC728B" w:rsidP="00906E06">
      <w:pPr>
        <w:widowControl w:val="0"/>
        <w:tabs>
          <w:tab w:val="left" w:pos="642"/>
        </w:tabs>
        <w:autoSpaceDE w:val="0"/>
        <w:autoSpaceDN w:val="0"/>
        <w:ind w:right="111"/>
        <w:jc w:val="both"/>
        <w:rPr>
          <w:szCs w:val="22"/>
          <w:lang w:eastAsia="en-US"/>
        </w:rPr>
      </w:pPr>
      <w:r w:rsidRPr="00906E06">
        <w:rPr>
          <w:szCs w:val="22"/>
          <w:lang w:eastAsia="en-US"/>
        </w:rPr>
        <w:t>(7) Operatori javno dostupnih mjesta za punjenje, koji su krajnji kupci električne energije, slobodno odabiru svog opskrbljivača električne</w:t>
      </w:r>
      <w:r w:rsidRPr="00906E06">
        <w:rPr>
          <w:spacing w:val="-9"/>
          <w:szCs w:val="22"/>
          <w:lang w:eastAsia="en-US"/>
        </w:rPr>
        <w:t xml:space="preserve"> </w:t>
      </w:r>
      <w:r w:rsidRPr="00906E06">
        <w:rPr>
          <w:szCs w:val="22"/>
          <w:lang w:eastAsia="en-US"/>
        </w:rPr>
        <w:t>energije.</w:t>
      </w:r>
    </w:p>
    <w:p w14:paraId="137E9258" w14:textId="77777777" w:rsidR="00AC728B" w:rsidRPr="00906E06" w:rsidRDefault="00AC728B" w:rsidP="00906E06">
      <w:pPr>
        <w:widowControl w:val="0"/>
        <w:autoSpaceDE w:val="0"/>
        <w:autoSpaceDN w:val="0"/>
        <w:rPr>
          <w:rFonts w:eastAsia="Arial"/>
          <w:szCs w:val="18"/>
          <w:lang w:eastAsia="en-US"/>
        </w:rPr>
      </w:pPr>
    </w:p>
    <w:p w14:paraId="79C10126" w14:textId="77777777" w:rsidR="00AC728B" w:rsidRPr="00906E06" w:rsidRDefault="00AC728B" w:rsidP="00906E06">
      <w:pPr>
        <w:widowControl w:val="0"/>
        <w:tabs>
          <w:tab w:val="left" w:pos="642"/>
        </w:tabs>
        <w:autoSpaceDE w:val="0"/>
        <w:autoSpaceDN w:val="0"/>
        <w:ind w:right="111"/>
        <w:jc w:val="both"/>
        <w:rPr>
          <w:szCs w:val="22"/>
          <w:lang w:eastAsia="en-US"/>
        </w:rPr>
      </w:pPr>
      <w:r w:rsidRPr="00906E06">
        <w:rPr>
          <w:szCs w:val="22"/>
          <w:lang w:eastAsia="en-US"/>
        </w:rPr>
        <w:t>(8) Operatori iz stavka 7. ovoga članka mogu kupcima pružati usluge punjenja električnih vozila na ugovornoj osnovi, uključujući u ime i za račun drugih pružatelja usluga.</w:t>
      </w:r>
    </w:p>
    <w:p w14:paraId="7C55FE12" w14:textId="77777777" w:rsidR="00AC728B" w:rsidRPr="00906E06" w:rsidRDefault="00AC728B" w:rsidP="00906E06">
      <w:pPr>
        <w:widowControl w:val="0"/>
        <w:tabs>
          <w:tab w:val="left" w:pos="642"/>
        </w:tabs>
        <w:autoSpaceDE w:val="0"/>
        <w:autoSpaceDN w:val="0"/>
        <w:ind w:left="168" w:right="111"/>
        <w:jc w:val="both"/>
        <w:rPr>
          <w:szCs w:val="22"/>
          <w:lang w:eastAsia="en-US"/>
        </w:rPr>
      </w:pPr>
    </w:p>
    <w:p w14:paraId="0A00EEB4" w14:textId="77777777" w:rsidR="00AC728B" w:rsidRPr="00906E06" w:rsidRDefault="00AC728B" w:rsidP="00906E06">
      <w:pPr>
        <w:widowControl w:val="0"/>
        <w:tabs>
          <w:tab w:val="left" w:pos="642"/>
        </w:tabs>
        <w:autoSpaceDE w:val="0"/>
        <w:autoSpaceDN w:val="0"/>
        <w:ind w:right="111"/>
        <w:jc w:val="both"/>
        <w:rPr>
          <w:szCs w:val="22"/>
          <w:lang w:eastAsia="en-US"/>
        </w:rPr>
      </w:pPr>
      <w:r w:rsidRPr="00906E06">
        <w:rPr>
          <w:szCs w:val="22"/>
          <w:lang w:eastAsia="en-US"/>
        </w:rPr>
        <w:t>(9) Sva javno dostupna mjesta za punjenje korisnicima električnih vozila također pružaju mogućnost punjenja na ad hoc osnovi bez sklapanja ugovora s dotičnim opskrbljivačem električnom energijom ili operatorom.</w:t>
      </w:r>
    </w:p>
    <w:p w14:paraId="60D23419" w14:textId="77777777" w:rsidR="00AC728B" w:rsidRPr="00906E06" w:rsidRDefault="00AC728B" w:rsidP="00906E06">
      <w:pPr>
        <w:widowControl w:val="0"/>
        <w:tabs>
          <w:tab w:val="left" w:pos="642"/>
        </w:tabs>
        <w:autoSpaceDE w:val="0"/>
        <w:autoSpaceDN w:val="0"/>
        <w:ind w:left="168" w:right="111"/>
        <w:jc w:val="both"/>
        <w:rPr>
          <w:szCs w:val="22"/>
          <w:lang w:eastAsia="en-US"/>
        </w:rPr>
      </w:pPr>
    </w:p>
    <w:p w14:paraId="7B259292" w14:textId="77777777" w:rsidR="00AC728B" w:rsidRPr="00906E06" w:rsidRDefault="00AC728B" w:rsidP="00906E06">
      <w:pPr>
        <w:widowControl w:val="0"/>
        <w:tabs>
          <w:tab w:val="left" w:pos="642"/>
        </w:tabs>
        <w:autoSpaceDE w:val="0"/>
        <w:autoSpaceDN w:val="0"/>
        <w:ind w:right="111"/>
        <w:jc w:val="both"/>
        <w:rPr>
          <w:szCs w:val="22"/>
          <w:lang w:eastAsia="en-US"/>
        </w:rPr>
      </w:pPr>
      <w:r w:rsidRPr="00906E06">
        <w:rPr>
          <w:szCs w:val="22"/>
          <w:lang w:eastAsia="en-US"/>
        </w:rPr>
        <w:t>(10) Cijene koje naplaćuju operatori iz stavka 7. ovoga članka moraju biti opravdane, lako i jasno usporedive, pregledne i nediskriminirajuće.</w:t>
      </w:r>
    </w:p>
    <w:p w14:paraId="6B74F607" w14:textId="77777777" w:rsidR="00AC728B" w:rsidRPr="00906E06" w:rsidRDefault="00AC728B" w:rsidP="00906E06">
      <w:pPr>
        <w:widowControl w:val="0"/>
        <w:tabs>
          <w:tab w:val="left" w:pos="642"/>
        </w:tabs>
        <w:autoSpaceDE w:val="0"/>
        <w:autoSpaceDN w:val="0"/>
        <w:ind w:left="168" w:right="111"/>
        <w:jc w:val="both"/>
        <w:rPr>
          <w:szCs w:val="22"/>
          <w:lang w:eastAsia="en-US"/>
        </w:rPr>
      </w:pPr>
    </w:p>
    <w:p w14:paraId="010F68A7" w14:textId="77777777" w:rsidR="00AC728B" w:rsidRPr="00906E06" w:rsidRDefault="00AC728B" w:rsidP="00906E06">
      <w:pPr>
        <w:widowControl w:val="0"/>
        <w:tabs>
          <w:tab w:val="left" w:pos="642"/>
        </w:tabs>
        <w:autoSpaceDE w:val="0"/>
        <w:autoSpaceDN w:val="0"/>
        <w:ind w:right="111"/>
        <w:jc w:val="both"/>
        <w:rPr>
          <w:szCs w:val="22"/>
          <w:lang w:eastAsia="en-US"/>
        </w:rPr>
      </w:pPr>
      <w:r w:rsidRPr="00906E06">
        <w:rPr>
          <w:szCs w:val="22"/>
          <w:lang w:eastAsia="en-US"/>
        </w:rPr>
        <w:t>(11) Operatori distribucijskog sustava na nediskriminirajućoj osnovi moraju surađivati sa svakom osobom koja postavlja ili upravlja javno dostupnim mjestima za punjenje.</w:t>
      </w:r>
    </w:p>
    <w:p w14:paraId="472E76C1" w14:textId="77777777" w:rsidR="00AC728B" w:rsidRPr="00906E06" w:rsidRDefault="00AC728B" w:rsidP="00906E06">
      <w:pPr>
        <w:widowControl w:val="0"/>
        <w:tabs>
          <w:tab w:val="left" w:pos="642"/>
        </w:tabs>
        <w:autoSpaceDE w:val="0"/>
        <w:autoSpaceDN w:val="0"/>
        <w:ind w:left="168" w:right="111"/>
        <w:jc w:val="both"/>
        <w:rPr>
          <w:szCs w:val="22"/>
          <w:lang w:eastAsia="en-US"/>
        </w:rPr>
      </w:pPr>
    </w:p>
    <w:p w14:paraId="5C8EAAC5" w14:textId="77777777" w:rsidR="00AC728B" w:rsidRPr="00906E06" w:rsidRDefault="00AC728B" w:rsidP="00906E06">
      <w:pPr>
        <w:widowControl w:val="0"/>
        <w:tabs>
          <w:tab w:val="left" w:pos="642"/>
        </w:tabs>
        <w:autoSpaceDE w:val="0"/>
        <w:autoSpaceDN w:val="0"/>
        <w:ind w:right="111"/>
        <w:jc w:val="both"/>
        <w:rPr>
          <w:szCs w:val="22"/>
          <w:lang w:eastAsia="en-US"/>
        </w:rPr>
      </w:pPr>
      <w:r w:rsidRPr="00906E06">
        <w:rPr>
          <w:szCs w:val="22"/>
          <w:lang w:eastAsia="en-US"/>
        </w:rPr>
        <w:t>(12) Operator javno dostupnog mjesta za punjenje koji se priključuje na energetsku infrastrukturu krajnjeg kupca električne energije, a osigurao je svoje obračunsko mjerno mjesto u skladu s općim uvjetima za korištenje mreže i opskrbu električnom energijom, slobodno odabire svog opskrbljivača električne energije.</w:t>
      </w:r>
    </w:p>
    <w:p w14:paraId="683A3901" w14:textId="77777777" w:rsidR="00AC728B" w:rsidRPr="00906E06" w:rsidRDefault="00AC728B" w:rsidP="00906E06">
      <w:pPr>
        <w:widowControl w:val="0"/>
        <w:tabs>
          <w:tab w:val="left" w:pos="642"/>
        </w:tabs>
        <w:autoSpaceDE w:val="0"/>
        <w:autoSpaceDN w:val="0"/>
        <w:ind w:left="168" w:right="111"/>
        <w:jc w:val="both"/>
        <w:rPr>
          <w:szCs w:val="22"/>
          <w:lang w:eastAsia="en-US"/>
        </w:rPr>
      </w:pPr>
    </w:p>
    <w:p w14:paraId="1CA9DBB8" w14:textId="77777777" w:rsidR="00AC728B" w:rsidRPr="00906E06" w:rsidRDefault="00AC728B" w:rsidP="00906E06">
      <w:pPr>
        <w:widowControl w:val="0"/>
        <w:tabs>
          <w:tab w:val="left" w:pos="635"/>
        </w:tabs>
        <w:autoSpaceDE w:val="0"/>
        <w:autoSpaceDN w:val="0"/>
        <w:ind w:right="111"/>
        <w:jc w:val="both"/>
        <w:rPr>
          <w:szCs w:val="22"/>
          <w:lang w:eastAsia="en-US"/>
        </w:rPr>
      </w:pPr>
      <w:r w:rsidRPr="00906E06">
        <w:rPr>
          <w:szCs w:val="22"/>
          <w:lang w:eastAsia="en-US"/>
        </w:rPr>
        <w:lastRenderedPageBreak/>
        <w:t>(13) NOP također može predvidjeti mjere poticanja i olakšavanja postavljanja mjesta za punjenje koja nisu dostupna javnosti.</w:t>
      </w:r>
    </w:p>
    <w:p w14:paraId="3B5EDB17" w14:textId="77777777" w:rsidR="00AC728B" w:rsidRPr="00906E06" w:rsidRDefault="00AC728B" w:rsidP="00906E06">
      <w:pPr>
        <w:widowControl w:val="0"/>
        <w:autoSpaceDE w:val="0"/>
        <w:autoSpaceDN w:val="0"/>
        <w:ind w:left="1770" w:right="1771"/>
        <w:jc w:val="center"/>
        <w:rPr>
          <w:rFonts w:eastAsia="Arial"/>
          <w:szCs w:val="22"/>
          <w:lang w:eastAsia="en-US"/>
        </w:rPr>
      </w:pPr>
    </w:p>
    <w:p w14:paraId="4107D281" w14:textId="77777777" w:rsidR="00AC728B" w:rsidRPr="00906E06" w:rsidRDefault="00AC728B" w:rsidP="00906E06">
      <w:pPr>
        <w:widowControl w:val="0"/>
        <w:tabs>
          <w:tab w:val="left" w:pos="2932"/>
        </w:tabs>
        <w:autoSpaceDE w:val="0"/>
        <w:autoSpaceDN w:val="0"/>
        <w:jc w:val="center"/>
        <w:rPr>
          <w:szCs w:val="22"/>
          <w:lang w:eastAsia="en-US"/>
        </w:rPr>
      </w:pPr>
      <w:r w:rsidRPr="00906E06">
        <w:rPr>
          <w:szCs w:val="22"/>
          <w:lang w:eastAsia="en-US"/>
        </w:rPr>
        <w:t>V. OPSKRBA PROMETA VODIKOM</w:t>
      </w:r>
    </w:p>
    <w:p w14:paraId="64236DD6" w14:textId="77777777" w:rsidR="00AC728B" w:rsidRPr="00906E06" w:rsidRDefault="00AC728B" w:rsidP="00906E06">
      <w:pPr>
        <w:widowControl w:val="0"/>
        <w:tabs>
          <w:tab w:val="left" w:pos="2932"/>
        </w:tabs>
        <w:autoSpaceDE w:val="0"/>
        <w:autoSpaceDN w:val="0"/>
        <w:ind w:right="-2"/>
        <w:jc w:val="center"/>
        <w:rPr>
          <w:szCs w:val="22"/>
          <w:lang w:eastAsia="en-US"/>
        </w:rPr>
      </w:pPr>
    </w:p>
    <w:p w14:paraId="3E3995D1" w14:textId="77777777" w:rsidR="00AC728B" w:rsidRPr="00906E06" w:rsidRDefault="00AC728B" w:rsidP="00906E06">
      <w:pPr>
        <w:widowControl w:val="0"/>
        <w:tabs>
          <w:tab w:val="left" w:pos="2932"/>
        </w:tabs>
        <w:autoSpaceDE w:val="0"/>
        <w:autoSpaceDN w:val="0"/>
        <w:ind w:right="-2"/>
        <w:jc w:val="center"/>
        <w:rPr>
          <w:szCs w:val="22"/>
          <w:lang w:eastAsia="en-US"/>
        </w:rPr>
      </w:pPr>
      <w:r w:rsidRPr="00906E06">
        <w:rPr>
          <w:szCs w:val="22"/>
          <w:lang w:eastAsia="en-US"/>
        </w:rPr>
        <w:t>Članak</w:t>
      </w:r>
      <w:r w:rsidRPr="00906E06">
        <w:rPr>
          <w:spacing w:val="1"/>
          <w:szCs w:val="22"/>
          <w:lang w:eastAsia="en-US"/>
        </w:rPr>
        <w:t xml:space="preserve"> </w:t>
      </w:r>
      <w:r w:rsidRPr="00906E06">
        <w:rPr>
          <w:szCs w:val="22"/>
          <w:lang w:eastAsia="en-US"/>
        </w:rPr>
        <w:t>7.</w:t>
      </w:r>
    </w:p>
    <w:p w14:paraId="42353C0E" w14:textId="77777777" w:rsidR="00AC728B" w:rsidRPr="00906E06" w:rsidRDefault="00AC728B" w:rsidP="00906E06">
      <w:pPr>
        <w:widowControl w:val="0"/>
        <w:tabs>
          <w:tab w:val="left" w:pos="635"/>
        </w:tabs>
        <w:autoSpaceDE w:val="0"/>
        <w:autoSpaceDN w:val="0"/>
        <w:ind w:left="168" w:right="111"/>
        <w:jc w:val="both"/>
        <w:rPr>
          <w:szCs w:val="22"/>
          <w:lang w:eastAsia="en-US"/>
        </w:rPr>
      </w:pPr>
    </w:p>
    <w:p w14:paraId="0F4DC9B8" w14:textId="77777777" w:rsidR="00AC728B" w:rsidRPr="00906E06" w:rsidRDefault="00AC728B" w:rsidP="00906E06">
      <w:pPr>
        <w:widowControl w:val="0"/>
        <w:tabs>
          <w:tab w:val="left" w:pos="635"/>
        </w:tabs>
        <w:autoSpaceDE w:val="0"/>
        <w:autoSpaceDN w:val="0"/>
        <w:ind w:right="111"/>
        <w:jc w:val="both"/>
        <w:rPr>
          <w:szCs w:val="22"/>
          <w:lang w:eastAsia="en-US"/>
        </w:rPr>
      </w:pPr>
      <w:r w:rsidRPr="00906E06">
        <w:rPr>
          <w:szCs w:val="22"/>
          <w:lang w:eastAsia="en-US"/>
        </w:rPr>
        <w:t>(1) U skladu s procjenom tržišta određenom NOP-om, uspostavit će se primjereni broj javno dostupnih mjesta za punjenje vodikom.</w:t>
      </w:r>
    </w:p>
    <w:p w14:paraId="36404926" w14:textId="77777777" w:rsidR="00AC728B" w:rsidRPr="00906E06" w:rsidRDefault="00AC728B" w:rsidP="00906E06">
      <w:pPr>
        <w:widowControl w:val="0"/>
        <w:autoSpaceDE w:val="0"/>
        <w:autoSpaceDN w:val="0"/>
        <w:rPr>
          <w:rFonts w:eastAsia="Arial"/>
          <w:szCs w:val="18"/>
          <w:lang w:eastAsia="en-US"/>
        </w:rPr>
      </w:pPr>
    </w:p>
    <w:p w14:paraId="5B42FE36" w14:textId="77777777" w:rsidR="00AC728B" w:rsidRPr="00906E06" w:rsidRDefault="00AC728B" w:rsidP="00906E06">
      <w:pPr>
        <w:widowControl w:val="0"/>
        <w:tabs>
          <w:tab w:val="left" w:pos="635"/>
        </w:tabs>
        <w:autoSpaceDE w:val="0"/>
        <w:autoSpaceDN w:val="0"/>
        <w:ind w:right="111"/>
        <w:jc w:val="both"/>
        <w:rPr>
          <w:szCs w:val="22"/>
          <w:lang w:eastAsia="en-US"/>
        </w:rPr>
      </w:pPr>
      <w:r w:rsidRPr="00906E06">
        <w:rPr>
          <w:szCs w:val="22"/>
          <w:lang w:eastAsia="en-US"/>
        </w:rPr>
        <w:t>(2) Tehničke specifikacije za mjesta za opskrbu motornih vozila vodikom su slijedeće:</w:t>
      </w:r>
    </w:p>
    <w:p w14:paraId="341F3B6E" w14:textId="77777777" w:rsidR="00AC728B" w:rsidRPr="00906E06" w:rsidRDefault="00AC728B" w:rsidP="00906E06">
      <w:pPr>
        <w:widowControl w:val="0"/>
        <w:autoSpaceDE w:val="0"/>
        <w:autoSpaceDN w:val="0"/>
        <w:rPr>
          <w:rFonts w:eastAsia="Arial"/>
          <w:szCs w:val="18"/>
          <w:lang w:eastAsia="en-US"/>
        </w:rPr>
      </w:pPr>
    </w:p>
    <w:p w14:paraId="2D37AE53" w14:textId="77777777" w:rsidR="00AC728B" w:rsidRPr="00906E06" w:rsidRDefault="00AC728B" w:rsidP="00906E06">
      <w:pPr>
        <w:widowControl w:val="0"/>
        <w:numPr>
          <w:ilvl w:val="1"/>
          <w:numId w:val="10"/>
        </w:numPr>
        <w:tabs>
          <w:tab w:val="left" w:pos="935"/>
        </w:tabs>
        <w:autoSpaceDE w:val="0"/>
        <w:autoSpaceDN w:val="0"/>
        <w:ind w:right="112"/>
        <w:jc w:val="both"/>
        <w:rPr>
          <w:szCs w:val="22"/>
          <w:lang w:eastAsia="en-US"/>
        </w:rPr>
      </w:pPr>
      <w:r w:rsidRPr="00906E06">
        <w:rPr>
          <w:szCs w:val="22"/>
          <w:lang w:eastAsia="en-US"/>
        </w:rPr>
        <w:t>Vanjska mjesta za opskrbu plinovitim vodikom koji se koristi kao gorivo za motorna vozila moraju biti u skladu s tehničkim specifikacijama ISO/TS 20100 za opskrbu plinovitim</w:t>
      </w:r>
      <w:r w:rsidRPr="00906E06">
        <w:rPr>
          <w:spacing w:val="1"/>
          <w:szCs w:val="22"/>
          <w:lang w:eastAsia="en-US"/>
        </w:rPr>
        <w:t xml:space="preserve"> </w:t>
      </w:r>
      <w:r w:rsidRPr="00906E06">
        <w:rPr>
          <w:szCs w:val="22"/>
          <w:lang w:eastAsia="en-US"/>
        </w:rPr>
        <w:t>vodikom.</w:t>
      </w:r>
    </w:p>
    <w:p w14:paraId="4C2764F1" w14:textId="77777777" w:rsidR="00AC728B" w:rsidRPr="00906E06" w:rsidRDefault="00AC728B" w:rsidP="00906E06">
      <w:pPr>
        <w:widowControl w:val="0"/>
        <w:autoSpaceDE w:val="0"/>
        <w:autoSpaceDN w:val="0"/>
        <w:rPr>
          <w:rFonts w:eastAsia="Arial"/>
          <w:szCs w:val="18"/>
          <w:lang w:eastAsia="en-US"/>
        </w:rPr>
      </w:pPr>
    </w:p>
    <w:p w14:paraId="1E5853A2" w14:textId="77777777" w:rsidR="00AC728B" w:rsidRPr="00906E06" w:rsidRDefault="00AC728B" w:rsidP="00906E06">
      <w:pPr>
        <w:widowControl w:val="0"/>
        <w:numPr>
          <w:ilvl w:val="1"/>
          <w:numId w:val="10"/>
        </w:numPr>
        <w:tabs>
          <w:tab w:val="left" w:pos="968"/>
        </w:tabs>
        <w:autoSpaceDE w:val="0"/>
        <w:autoSpaceDN w:val="0"/>
        <w:ind w:right="116"/>
        <w:jc w:val="both"/>
        <w:rPr>
          <w:szCs w:val="22"/>
          <w:lang w:eastAsia="en-US"/>
        </w:rPr>
      </w:pPr>
      <w:r w:rsidRPr="00906E06">
        <w:rPr>
          <w:szCs w:val="22"/>
          <w:lang w:eastAsia="en-US"/>
        </w:rPr>
        <w:t>Čistoća vodika dostupnog na mjestima za opskrbu vodikom mora biti u skladu s tehničkim specifikacijama iz norme HRN EN ISO</w:t>
      </w:r>
      <w:r w:rsidRPr="00906E06">
        <w:rPr>
          <w:spacing w:val="-1"/>
          <w:szCs w:val="22"/>
          <w:lang w:eastAsia="en-US"/>
        </w:rPr>
        <w:t xml:space="preserve"> </w:t>
      </w:r>
      <w:r w:rsidRPr="00906E06">
        <w:rPr>
          <w:szCs w:val="22"/>
          <w:lang w:eastAsia="en-US"/>
        </w:rPr>
        <w:t>14687-2.</w:t>
      </w:r>
    </w:p>
    <w:p w14:paraId="3D8D3EC6" w14:textId="77777777" w:rsidR="00AC728B" w:rsidRPr="00906E06" w:rsidRDefault="00AC728B" w:rsidP="00906E06">
      <w:pPr>
        <w:widowControl w:val="0"/>
        <w:autoSpaceDE w:val="0"/>
        <w:autoSpaceDN w:val="0"/>
        <w:rPr>
          <w:rFonts w:eastAsia="Arial"/>
          <w:szCs w:val="18"/>
          <w:lang w:eastAsia="en-US"/>
        </w:rPr>
      </w:pPr>
    </w:p>
    <w:p w14:paraId="6EAE125C" w14:textId="77777777" w:rsidR="00AC728B" w:rsidRPr="00906E06" w:rsidRDefault="00AC728B" w:rsidP="00906E06">
      <w:pPr>
        <w:widowControl w:val="0"/>
        <w:numPr>
          <w:ilvl w:val="1"/>
          <w:numId w:val="10"/>
        </w:numPr>
        <w:tabs>
          <w:tab w:val="left" w:pos="932"/>
        </w:tabs>
        <w:autoSpaceDE w:val="0"/>
        <w:autoSpaceDN w:val="0"/>
        <w:ind w:right="113"/>
        <w:jc w:val="both"/>
        <w:rPr>
          <w:szCs w:val="22"/>
          <w:lang w:eastAsia="en-US"/>
        </w:rPr>
      </w:pPr>
      <w:r w:rsidRPr="00906E06">
        <w:rPr>
          <w:szCs w:val="22"/>
          <w:lang w:eastAsia="en-US"/>
        </w:rPr>
        <w:t>Mjesta za opskrbu vodikom koriste algoritme i opremu za punjenje koji moraju biti u skladu sa specifikacijom ISO/TS 20100 za opskrbu plinovitim</w:t>
      </w:r>
      <w:r w:rsidRPr="00906E06">
        <w:rPr>
          <w:spacing w:val="-4"/>
          <w:szCs w:val="22"/>
          <w:lang w:eastAsia="en-US"/>
        </w:rPr>
        <w:t xml:space="preserve"> </w:t>
      </w:r>
      <w:r w:rsidRPr="00906E06">
        <w:rPr>
          <w:szCs w:val="22"/>
          <w:lang w:eastAsia="en-US"/>
        </w:rPr>
        <w:t>vodikom.</w:t>
      </w:r>
    </w:p>
    <w:p w14:paraId="27034ADC" w14:textId="77777777" w:rsidR="00AC728B" w:rsidRPr="00906E06" w:rsidRDefault="00AC728B" w:rsidP="00906E06">
      <w:pPr>
        <w:widowControl w:val="0"/>
        <w:autoSpaceDE w:val="0"/>
        <w:autoSpaceDN w:val="0"/>
        <w:rPr>
          <w:rFonts w:eastAsia="Arial"/>
          <w:szCs w:val="18"/>
          <w:lang w:eastAsia="en-US"/>
        </w:rPr>
      </w:pPr>
    </w:p>
    <w:p w14:paraId="445BA214" w14:textId="77777777" w:rsidR="00AC728B" w:rsidRPr="00906E06" w:rsidRDefault="00AC728B" w:rsidP="00906E06">
      <w:pPr>
        <w:widowControl w:val="0"/>
        <w:numPr>
          <w:ilvl w:val="1"/>
          <w:numId w:val="10"/>
        </w:numPr>
        <w:tabs>
          <w:tab w:val="left" w:pos="968"/>
        </w:tabs>
        <w:autoSpaceDE w:val="0"/>
        <w:autoSpaceDN w:val="0"/>
        <w:ind w:right="113"/>
        <w:jc w:val="both"/>
        <w:rPr>
          <w:szCs w:val="22"/>
          <w:lang w:eastAsia="en-US"/>
        </w:rPr>
      </w:pPr>
      <w:r w:rsidRPr="00906E06">
        <w:rPr>
          <w:szCs w:val="22"/>
          <w:lang w:eastAsia="en-US"/>
        </w:rPr>
        <w:t>Priključci za opskrbu motornih vozila plinovitim vodikom moraju biti u skladu s normom HRN EN ISO 17268 za priključke za opskrbu motornih vozila plinovitim vodikom.</w:t>
      </w:r>
    </w:p>
    <w:p w14:paraId="0A65B009" w14:textId="77777777" w:rsidR="00AC728B" w:rsidRPr="00906E06" w:rsidRDefault="00AC728B" w:rsidP="00906E06">
      <w:pPr>
        <w:widowControl w:val="0"/>
        <w:autoSpaceDE w:val="0"/>
        <w:autoSpaceDN w:val="0"/>
        <w:rPr>
          <w:rFonts w:eastAsia="Arial"/>
          <w:szCs w:val="18"/>
          <w:lang w:eastAsia="en-US"/>
        </w:rPr>
      </w:pPr>
    </w:p>
    <w:p w14:paraId="7A1F09C8" w14:textId="77777777" w:rsidR="00AC728B" w:rsidRPr="00906E06" w:rsidRDefault="00AC728B" w:rsidP="00906E06">
      <w:pPr>
        <w:widowControl w:val="0"/>
        <w:autoSpaceDE w:val="0"/>
        <w:autoSpaceDN w:val="0"/>
        <w:jc w:val="center"/>
        <w:rPr>
          <w:szCs w:val="22"/>
          <w:lang w:eastAsia="en-US"/>
        </w:rPr>
      </w:pPr>
      <w:r w:rsidRPr="00906E06">
        <w:rPr>
          <w:szCs w:val="22"/>
          <w:lang w:eastAsia="en-US"/>
        </w:rPr>
        <w:t>VI. OPSKRBA PROMETA PRIRODNIM PLINOM</w:t>
      </w:r>
    </w:p>
    <w:p w14:paraId="13C7268F" w14:textId="77777777" w:rsidR="00AC728B" w:rsidRPr="00906E06" w:rsidRDefault="00AC728B" w:rsidP="00906E06">
      <w:pPr>
        <w:widowControl w:val="0"/>
        <w:tabs>
          <w:tab w:val="left" w:pos="2351"/>
        </w:tabs>
        <w:autoSpaceDE w:val="0"/>
        <w:autoSpaceDN w:val="0"/>
        <w:ind w:left="4160" w:right="1961"/>
        <w:rPr>
          <w:szCs w:val="22"/>
          <w:lang w:eastAsia="en-US"/>
        </w:rPr>
      </w:pPr>
    </w:p>
    <w:p w14:paraId="5A1EFAD0" w14:textId="4EB338A7" w:rsidR="00AC728B" w:rsidRDefault="00AC728B" w:rsidP="00906E06">
      <w:pPr>
        <w:widowControl w:val="0"/>
        <w:tabs>
          <w:tab w:val="left" w:pos="2351"/>
        </w:tabs>
        <w:autoSpaceDE w:val="0"/>
        <w:autoSpaceDN w:val="0"/>
        <w:ind w:left="4160" w:right="1961"/>
        <w:rPr>
          <w:szCs w:val="22"/>
          <w:lang w:eastAsia="en-US"/>
        </w:rPr>
      </w:pPr>
      <w:r w:rsidRPr="00906E06">
        <w:rPr>
          <w:szCs w:val="22"/>
          <w:lang w:eastAsia="en-US"/>
        </w:rPr>
        <w:t>Članak</w:t>
      </w:r>
      <w:r w:rsidRPr="00906E06">
        <w:rPr>
          <w:spacing w:val="1"/>
          <w:szCs w:val="22"/>
          <w:lang w:eastAsia="en-US"/>
        </w:rPr>
        <w:t xml:space="preserve"> </w:t>
      </w:r>
      <w:r w:rsidRPr="00906E06">
        <w:rPr>
          <w:szCs w:val="22"/>
          <w:lang w:eastAsia="en-US"/>
        </w:rPr>
        <w:t>8.</w:t>
      </w:r>
    </w:p>
    <w:p w14:paraId="4C9134FC" w14:textId="77777777" w:rsidR="00906E06" w:rsidRPr="00906E06" w:rsidRDefault="00906E06" w:rsidP="00906E06">
      <w:pPr>
        <w:widowControl w:val="0"/>
        <w:tabs>
          <w:tab w:val="left" w:pos="2351"/>
        </w:tabs>
        <w:autoSpaceDE w:val="0"/>
        <w:autoSpaceDN w:val="0"/>
        <w:ind w:left="4160" w:right="1961"/>
        <w:rPr>
          <w:szCs w:val="22"/>
          <w:lang w:eastAsia="en-US"/>
        </w:rPr>
      </w:pPr>
    </w:p>
    <w:p w14:paraId="7188E69C" w14:textId="77777777" w:rsidR="00AC728B" w:rsidRPr="00906E06" w:rsidRDefault="00AC728B" w:rsidP="00906E06">
      <w:pPr>
        <w:widowControl w:val="0"/>
        <w:autoSpaceDE w:val="0"/>
        <w:autoSpaceDN w:val="0"/>
        <w:ind w:right="114"/>
        <w:jc w:val="both"/>
        <w:rPr>
          <w:szCs w:val="22"/>
          <w:lang w:eastAsia="en-US"/>
        </w:rPr>
      </w:pPr>
      <w:r w:rsidRPr="00906E06">
        <w:rPr>
          <w:szCs w:val="22"/>
          <w:lang w:eastAsia="en-US"/>
        </w:rPr>
        <w:t>(1) U skladu s procjenom tržišta NOP-a, uspostavit će se u morskim lukama i lukama unutarnjih voda, odgovarajući broj mjesta za opskrbu UPP-om kako bi se morskim brodovima i plovilima unutarnje plovidbe omogućilo prometovanje u cijeloj osnovnoj mreži</w:t>
      </w:r>
      <w:r w:rsidRPr="00906E06">
        <w:rPr>
          <w:spacing w:val="-5"/>
          <w:szCs w:val="22"/>
          <w:lang w:eastAsia="en-US"/>
        </w:rPr>
        <w:t xml:space="preserve"> </w:t>
      </w:r>
      <w:r w:rsidRPr="00906E06">
        <w:rPr>
          <w:szCs w:val="22"/>
          <w:lang w:eastAsia="en-US"/>
        </w:rPr>
        <w:t>TEN-T.</w:t>
      </w:r>
    </w:p>
    <w:p w14:paraId="2C03E1D7" w14:textId="77777777" w:rsidR="00AC728B" w:rsidRPr="00906E06" w:rsidRDefault="00AC728B" w:rsidP="00906E06">
      <w:pPr>
        <w:widowControl w:val="0"/>
        <w:autoSpaceDE w:val="0"/>
        <w:autoSpaceDN w:val="0"/>
        <w:rPr>
          <w:rFonts w:eastAsia="Arial"/>
          <w:sz w:val="23"/>
          <w:szCs w:val="18"/>
          <w:lang w:eastAsia="en-US"/>
        </w:rPr>
      </w:pPr>
    </w:p>
    <w:p w14:paraId="2BFBAFA0" w14:textId="77777777" w:rsidR="00AC728B" w:rsidRPr="00906E06" w:rsidRDefault="00AC728B" w:rsidP="00906E06">
      <w:pPr>
        <w:widowControl w:val="0"/>
        <w:autoSpaceDE w:val="0"/>
        <w:autoSpaceDN w:val="0"/>
        <w:ind w:right="114"/>
        <w:jc w:val="both"/>
        <w:rPr>
          <w:szCs w:val="22"/>
          <w:lang w:eastAsia="en-US"/>
        </w:rPr>
      </w:pPr>
      <w:r w:rsidRPr="00906E06">
        <w:rPr>
          <w:szCs w:val="22"/>
          <w:lang w:eastAsia="en-US"/>
        </w:rPr>
        <w:t>(2) Prema potrebi, nadležna tijela za morske luke i nadležna tijela za unutarnje plovne putove surađuju sa susjednim državama kako bi se osigurala odgovarajuća pokrivenost osnovne mreže TEN-T.</w:t>
      </w:r>
    </w:p>
    <w:p w14:paraId="718D61A4" w14:textId="77777777" w:rsidR="00AC728B" w:rsidRPr="00906E06" w:rsidRDefault="00AC728B" w:rsidP="00906E06">
      <w:pPr>
        <w:widowControl w:val="0"/>
        <w:autoSpaceDE w:val="0"/>
        <w:autoSpaceDN w:val="0"/>
        <w:rPr>
          <w:rFonts w:eastAsia="Arial"/>
          <w:szCs w:val="18"/>
          <w:lang w:eastAsia="en-US"/>
        </w:rPr>
      </w:pPr>
    </w:p>
    <w:p w14:paraId="57E7CC95" w14:textId="77777777" w:rsidR="00AC728B" w:rsidRPr="00906E06" w:rsidRDefault="00AC728B" w:rsidP="00906E06">
      <w:pPr>
        <w:widowControl w:val="0"/>
        <w:autoSpaceDE w:val="0"/>
        <w:autoSpaceDN w:val="0"/>
        <w:ind w:right="114"/>
        <w:jc w:val="both"/>
        <w:rPr>
          <w:szCs w:val="22"/>
          <w:lang w:eastAsia="en-US"/>
        </w:rPr>
      </w:pPr>
      <w:r w:rsidRPr="00906E06">
        <w:rPr>
          <w:szCs w:val="22"/>
          <w:lang w:eastAsia="en-US"/>
        </w:rPr>
        <w:t>(3) U skladu s procjenom tržišta, NOP određuje morske luke i luke unutarnjih voda koje trebaju osigurati pristup mjestima za opskrbu UPP-om iz stavka 1. ovoga članka pri čemu se također uzimaju u obzir stvarne potrebe tržišta.</w:t>
      </w:r>
    </w:p>
    <w:p w14:paraId="72A061A4" w14:textId="77777777" w:rsidR="00AC728B" w:rsidRPr="00906E06" w:rsidRDefault="00AC728B" w:rsidP="00906E06">
      <w:pPr>
        <w:widowControl w:val="0"/>
        <w:autoSpaceDE w:val="0"/>
        <w:autoSpaceDN w:val="0"/>
        <w:ind w:right="114"/>
        <w:jc w:val="both"/>
        <w:rPr>
          <w:szCs w:val="22"/>
          <w:lang w:eastAsia="en-US"/>
        </w:rPr>
      </w:pPr>
    </w:p>
    <w:p w14:paraId="0DCED7E7" w14:textId="77777777" w:rsidR="00AC728B" w:rsidRPr="00906E06" w:rsidRDefault="00AC728B" w:rsidP="00906E06">
      <w:pPr>
        <w:widowControl w:val="0"/>
        <w:autoSpaceDE w:val="0"/>
        <w:autoSpaceDN w:val="0"/>
        <w:ind w:right="114"/>
        <w:jc w:val="both"/>
        <w:rPr>
          <w:szCs w:val="22"/>
          <w:lang w:eastAsia="en-US"/>
        </w:rPr>
      </w:pPr>
      <w:r w:rsidRPr="00906E06">
        <w:rPr>
          <w:szCs w:val="22"/>
          <w:lang w:eastAsia="en-US"/>
        </w:rPr>
        <w:t>(4) U skladu s procjenom tržišta NOP-a uspostavit će se odgovarajući broj mjesta za opskrbu UPP-om dostupnih javnosti, barem uzduž postojeće osnovne mreže TEN-T, kako bi se osiguralo da teška motorna vozila na UPP mogu nesmetano prometovati ako postoji potražnja i osim ako troškovi nisu nerazmjerni u odnosu na koristi, uključujući koristi za okoliš.</w:t>
      </w:r>
    </w:p>
    <w:p w14:paraId="533D6E31" w14:textId="77777777" w:rsidR="00AC728B" w:rsidRPr="00906E06" w:rsidRDefault="00AC728B" w:rsidP="00906E06">
      <w:pPr>
        <w:widowControl w:val="0"/>
        <w:autoSpaceDE w:val="0"/>
        <w:autoSpaceDN w:val="0"/>
        <w:ind w:right="114"/>
        <w:jc w:val="both"/>
        <w:rPr>
          <w:szCs w:val="22"/>
          <w:lang w:eastAsia="en-US"/>
        </w:rPr>
      </w:pPr>
    </w:p>
    <w:p w14:paraId="76B92D42" w14:textId="77777777" w:rsidR="00AC728B" w:rsidRPr="00906E06" w:rsidRDefault="00AC728B" w:rsidP="00906E06">
      <w:pPr>
        <w:widowControl w:val="0"/>
        <w:autoSpaceDE w:val="0"/>
        <w:autoSpaceDN w:val="0"/>
        <w:ind w:right="114"/>
        <w:jc w:val="both"/>
        <w:rPr>
          <w:szCs w:val="22"/>
          <w:lang w:eastAsia="en-US"/>
        </w:rPr>
      </w:pPr>
      <w:r w:rsidRPr="00906E06">
        <w:rPr>
          <w:szCs w:val="22"/>
          <w:lang w:eastAsia="en-US"/>
        </w:rPr>
        <w:lastRenderedPageBreak/>
        <w:t>(5) Na prometnoj mreži Republike Hrvatske biti će raspoloživ primjeren distribucijski sustav za UPP, uključujući objekte za pretovar tereta iz cisterni s UPP-om, kako bi se opskrbljivala mjesta za opskrbu iz stavaka 1., 3. i 4. ovoga članka.</w:t>
      </w:r>
    </w:p>
    <w:p w14:paraId="390A268D" w14:textId="77777777" w:rsidR="00AC728B" w:rsidRPr="00906E06" w:rsidRDefault="00AC728B" w:rsidP="00906E06">
      <w:pPr>
        <w:widowControl w:val="0"/>
        <w:autoSpaceDE w:val="0"/>
        <w:autoSpaceDN w:val="0"/>
        <w:ind w:right="114"/>
        <w:jc w:val="both"/>
        <w:rPr>
          <w:szCs w:val="22"/>
          <w:lang w:eastAsia="en-US"/>
        </w:rPr>
      </w:pPr>
    </w:p>
    <w:p w14:paraId="5575C683" w14:textId="77777777" w:rsidR="00AC728B" w:rsidRPr="00906E06" w:rsidRDefault="00AC728B" w:rsidP="00906E06">
      <w:pPr>
        <w:widowControl w:val="0"/>
        <w:autoSpaceDE w:val="0"/>
        <w:autoSpaceDN w:val="0"/>
        <w:ind w:right="114"/>
        <w:jc w:val="both"/>
        <w:rPr>
          <w:szCs w:val="22"/>
          <w:lang w:eastAsia="en-US"/>
        </w:rPr>
      </w:pPr>
      <w:r w:rsidRPr="00906E06">
        <w:rPr>
          <w:szCs w:val="22"/>
          <w:lang w:eastAsia="en-US"/>
        </w:rPr>
        <w:t>(6) Iznimno od stavka 5. ovoga članka, moguće je udružiti kapacitete sa susjednim zemljama u svrhu ispunjavanja zahtjeva odgovarajuće pokrivenosti prometne mreže.</w:t>
      </w:r>
    </w:p>
    <w:p w14:paraId="224D80E2" w14:textId="77777777" w:rsidR="00AC728B" w:rsidRPr="00906E06" w:rsidRDefault="00AC728B" w:rsidP="00906E06">
      <w:pPr>
        <w:widowControl w:val="0"/>
        <w:autoSpaceDE w:val="0"/>
        <w:autoSpaceDN w:val="0"/>
        <w:ind w:right="114"/>
        <w:jc w:val="both"/>
        <w:rPr>
          <w:szCs w:val="22"/>
          <w:lang w:eastAsia="en-US"/>
        </w:rPr>
      </w:pPr>
    </w:p>
    <w:p w14:paraId="12562A28" w14:textId="77777777" w:rsidR="00AC728B" w:rsidRPr="00906E06" w:rsidRDefault="00AC728B" w:rsidP="00906E06">
      <w:pPr>
        <w:widowControl w:val="0"/>
        <w:autoSpaceDE w:val="0"/>
        <w:autoSpaceDN w:val="0"/>
        <w:ind w:right="114"/>
        <w:jc w:val="both"/>
        <w:rPr>
          <w:szCs w:val="22"/>
          <w:lang w:eastAsia="en-US"/>
        </w:rPr>
      </w:pPr>
      <w:r w:rsidRPr="00906E06">
        <w:rPr>
          <w:szCs w:val="22"/>
          <w:lang w:eastAsia="en-US"/>
        </w:rPr>
        <w:t>(7) Sporazumi o udruživanju kapaciteta podliježu obvezama izvješćivanja od strane ministarstva nadležnog za promet.</w:t>
      </w:r>
    </w:p>
    <w:p w14:paraId="0E9C0206" w14:textId="77777777" w:rsidR="00AC728B" w:rsidRPr="00906E06" w:rsidRDefault="00AC728B" w:rsidP="00906E06">
      <w:pPr>
        <w:widowControl w:val="0"/>
        <w:autoSpaceDE w:val="0"/>
        <w:autoSpaceDN w:val="0"/>
        <w:ind w:right="114"/>
        <w:jc w:val="both"/>
        <w:rPr>
          <w:szCs w:val="22"/>
          <w:lang w:eastAsia="en-US"/>
        </w:rPr>
      </w:pPr>
    </w:p>
    <w:p w14:paraId="12064A38" w14:textId="77777777" w:rsidR="00AC728B" w:rsidRPr="00906E06" w:rsidRDefault="00AC728B" w:rsidP="00906E06">
      <w:pPr>
        <w:widowControl w:val="0"/>
        <w:autoSpaceDE w:val="0"/>
        <w:autoSpaceDN w:val="0"/>
        <w:ind w:right="114"/>
        <w:jc w:val="both"/>
        <w:rPr>
          <w:szCs w:val="22"/>
          <w:lang w:eastAsia="en-US"/>
        </w:rPr>
      </w:pPr>
      <w:r w:rsidRPr="00906E06">
        <w:rPr>
          <w:szCs w:val="22"/>
          <w:lang w:eastAsia="en-US"/>
        </w:rPr>
        <w:t>(8) U okviru mreža koje će biti određene NOP-om uspostavit će se primjeren broj javno dostupnih mjesta za punjenje SPP-om kako bi se osiguralo da motorna vozila na SPP mogu prometovati barem u naseljima, građevinskim područjima, odnosno gradskim/prigradskim aglomeracijama i drugim gusto naseljenim područjima.</w:t>
      </w:r>
    </w:p>
    <w:p w14:paraId="1659F600" w14:textId="77777777" w:rsidR="00AC728B" w:rsidRPr="00906E06" w:rsidRDefault="00AC728B" w:rsidP="00906E06">
      <w:pPr>
        <w:widowControl w:val="0"/>
        <w:autoSpaceDE w:val="0"/>
        <w:autoSpaceDN w:val="0"/>
        <w:ind w:right="114"/>
        <w:jc w:val="both"/>
        <w:rPr>
          <w:szCs w:val="22"/>
          <w:lang w:eastAsia="en-US"/>
        </w:rPr>
      </w:pPr>
    </w:p>
    <w:p w14:paraId="143F258F" w14:textId="77777777" w:rsidR="00AC728B" w:rsidRPr="00906E06" w:rsidRDefault="00AC728B" w:rsidP="00906E06">
      <w:pPr>
        <w:widowControl w:val="0"/>
        <w:autoSpaceDE w:val="0"/>
        <w:autoSpaceDN w:val="0"/>
        <w:ind w:right="114"/>
        <w:jc w:val="both"/>
        <w:rPr>
          <w:szCs w:val="22"/>
          <w:lang w:eastAsia="en-US"/>
        </w:rPr>
      </w:pPr>
      <w:r w:rsidRPr="00906E06">
        <w:rPr>
          <w:szCs w:val="22"/>
          <w:lang w:eastAsia="en-US"/>
        </w:rPr>
        <w:t>(9) U okviru mreža koje će biti određene NOP-om uspostavit će se primjeren broj javno dostupnih mjesta za opskrbu SPP-om, barem uzduž postojeće osnovne mreže TEN-T, kako bi se osiguralo da motorna vozila na SPP mogu nesmetano prometovati.</w:t>
      </w:r>
    </w:p>
    <w:p w14:paraId="5590A455" w14:textId="77777777" w:rsidR="00AC728B" w:rsidRPr="00906E06" w:rsidRDefault="00AC728B" w:rsidP="00906E06">
      <w:pPr>
        <w:widowControl w:val="0"/>
        <w:autoSpaceDE w:val="0"/>
        <w:autoSpaceDN w:val="0"/>
        <w:ind w:right="114"/>
        <w:jc w:val="both"/>
        <w:rPr>
          <w:szCs w:val="22"/>
          <w:lang w:eastAsia="en-US"/>
        </w:rPr>
      </w:pPr>
    </w:p>
    <w:p w14:paraId="28FD325D" w14:textId="77777777" w:rsidR="00AC728B" w:rsidRPr="00906E06" w:rsidRDefault="00AC728B" w:rsidP="00906E06">
      <w:pPr>
        <w:widowControl w:val="0"/>
        <w:autoSpaceDE w:val="0"/>
        <w:autoSpaceDN w:val="0"/>
        <w:ind w:right="114"/>
        <w:jc w:val="both"/>
        <w:rPr>
          <w:szCs w:val="22"/>
          <w:lang w:eastAsia="en-US"/>
        </w:rPr>
      </w:pPr>
      <w:r w:rsidRPr="00906E06">
        <w:rPr>
          <w:szCs w:val="22"/>
          <w:lang w:eastAsia="en-US"/>
        </w:rPr>
        <w:t>(10) Mjesta za opskrbu motornih vozila SPP-om, koja su postavljena ili obnovljena od 18. studenoga 2017., ispunjavaju tehničke specifikacije Pravilnika iz članka 6. stavka 1. ovoga Zakona.</w:t>
      </w:r>
    </w:p>
    <w:p w14:paraId="1481D954" w14:textId="77777777" w:rsidR="00AC728B" w:rsidRPr="00906E06" w:rsidRDefault="00AC728B" w:rsidP="00906E06">
      <w:pPr>
        <w:widowControl w:val="0"/>
        <w:autoSpaceDE w:val="0"/>
        <w:autoSpaceDN w:val="0"/>
        <w:ind w:right="114"/>
        <w:jc w:val="both"/>
        <w:rPr>
          <w:szCs w:val="22"/>
          <w:lang w:eastAsia="en-US"/>
        </w:rPr>
      </w:pPr>
    </w:p>
    <w:p w14:paraId="547B2030" w14:textId="77777777" w:rsidR="00AC728B" w:rsidRPr="00906E06" w:rsidRDefault="00AC728B" w:rsidP="00906E06">
      <w:pPr>
        <w:widowControl w:val="0"/>
        <w:autoSpaceDE w:val="0"/>
        <w:autoSpaceDN w:val="0"/>
        <w:ind w:right="114"/>
        <w:jc w:val="both"/>
        <w:rPr>
          <w:szCs w:val="22"/>
          <w:lang w:eastAsia="en-US"/>
        </w:rPr>
      </w:pPr>
      <w:r w:rsidRPr="00906E06">
        <w:rPr>
          <w:szCs w:val="22"/>
          <w:lang w:eastAsia="en-US"/>
        </w:rPr>
        <w:t>(11) Priključci i posude za SPP moraju biti u skladu s UN ECE Uredbom br. 110 (u vezi s ISO 14469, dio I. i dio II.).</w:t>
      </w:r>
    </w:p>
    <w:p w14:paraId="128EC5E1" w14:textId="77777777" w:rsidR="00AC728B" w:rsidRPr="00906E06" w:rsidRDefault="00AC728B" w:rsidP="00906E06">
      <w:pPr>
        <w:widowControl w:val="0"/>
        <w:autoSpaceDE w:val="0"/>
        <w:autoSpaceDN w:val="0"/>
        <w:rPr>
          <w:rFonts w:eastAsia="Arial"/>
          <w:szCs w:val="18"/>
          <w:lang w:eastAsia="en-US"/>
        </w:rPr>
      </w:pPr>
    </w:p>
    <w:p w14:paraId="0A4A068F" w14:textId="77777777" w:rsidR="00AC728B" w:rsidRPr="00906E06" w:rsidRDefault="00AC728B" w:rsidP="00906E06">
      <w:pPr>
        <w:widowControl w:val="0"/>
        <w:autoSpaceDE w:val="0"/>
        <w:autoSpaceDN w:val="0"/>
        <w:jc w:val="center"/>
        <w:rPr>
          <w:szCs w:val="22"/>
          <w:lang w:eastAsia="en-US"/>
        </w:rPr>
      </w:pPr>
      <w:r w:rsidRPr="00906E06">
        <w:rPr>
          <w:szCs w:val="22"/>
          <w:lang w:eastAsia="en-US"/>
        </w:rPr>
        <w:t>VII. INFORMACIJE ZA KORISNIKE</w:t>
      </w:r>
    </w:p>
    <w:p w14:paraId="54EA49CE" w14:textId="77777777" w:rsidR="00AC728B" w:rsidRPr="00906E06" w:rsidRDefault="00AC728B" w:rsidP="00906E06">
      <w:pPr>
        <w:widowControl w:val="0"/>
        <w:tabs>
          <w:tab w:val="left" w:pos="3114"/>
        </w:tabs>
        <w:autoSpaceDE w:val="0"/>
        <w:autoSpaceDN w:val="0"/>
        <w:ind w:left="4160" w:right="2634"/>
        <w:rPr>
          <w:szCs w:val="22"/>
          <w:lang w:eastAsia="en-US"/>
        </w:rPr>
      </w:pPr>
    </w:p>
    <w:p w14:paraId="3B1E43F8" w14:textId="77777777" w:rsidR="00AC728B" w:rsidRPr="00906E06" w:rsidRDefault="00AC728B" w:rsidP="00906E06">
      <w:pPr>
        <w:widowControl w:val="0"/>
        <w:tabs>
          <w:tab w:val="left" w:pos="3114"/>
        </w:tabs>
        <w:autoSpaceDE w:val="0"/>
        <w:autoSpaceDN w:val="0"/>
        <w:ind w:left="4160" w:right="2634"/>
        <w:rPr>
          <w:szCs w:val="22"/>
          <w:lang w:eastAsia="en-US"/>
        </w:rPr>
      </w:pPr>
      <w:r w:rsidRPr="00906E06">
        <w:rPr>
          <w:szCs w:val="22"/>
          <w:lang w:eastAsia="en-US"/>
        </w:rPr>
        <w:t>Članak</w:t>
      </w:r>
      <w:r w:rsidRPr="00906E06">
        <w:rPr>
          <w:spacing w:val="1"/>
          <w:szCs w:val="22"/>
          <w:lang w:eastAsia="en-US"/>
        </w:rPr>
        <w:t xml:space="preserve"> </w:t>
      </w:r>
      <w:r w:rsidRPr="00906E06">
        <w:rPr>
          <w:szCs w:val="22"/>
          <w:lang w:eastAsia="en-US"/>
        </w:rPr>
        <w:t>9.</w:t>
      </w:r>
    </w:p>
    <w:p w14:paraId="13225CA9" w14:textId="77777777" w:rsidR="00AC728B" w:rsidRPr="00906E06" w:rsidRDefault="00AC728B" w:rsidP="00906E06">
      <w:pPr>
        <w:widowControl w:val="0"/>
        <w:autoSpaceDE w:val="0"/>
        <w:autoSpaceDN w:val="0"/>
        <w:ind w:right="114"/>
        <w:jc w:val="both"/>
        <w:rPr>
          <w:szCs w:val="22"/>
          <w:lang w:eastAsia="en-US"/>
        </w:rPr>
      </w:pPr>
    </w:p>
    <w:p w14:paraId="28497186" w14:textId="77777777" w:rsidR="00AC728B" w:rsidRPr="00906E06" w:rsidRDefault="00AC728B" w:rsidP="00906E06">
      <w:pPr>
        <w:widowControl w:val="0"/>
        <w:autoSpaceDE w:val="0"/>
        <w:autoSpaceDN w:val="0"/>
        <w:ind w:right="114"/>
        <w:jc w:val="both"/>
        <w:rPr>
          <w:szCs w:val="22"/>
          <w:lang w:eastAsia="en-US"/>
        </w:rPr>
      </w:pPr>
      <w:r w:rsidRPr="00906E06">
        <w:rPr>
          <w:szCs w:val="22"/>
          <w:lang w:eastAsia="en-US"/>
        </w:rPr>
        <w:t>(1) Korisnicima motornih vozila na alternativna goriva omogućuje se pristup odgovarajućim, dosljednim i jasnim informacijama o onim motornim vozilima koja je moguće redovito puniti individualnim vrstama goriva uvedenima na tržište ili ih napuniti na mjestima za punjenje.</w:t>
      </w:r>
    </w:p>
    <w:p w14:paraId="2494E903" w14:textId="77777777" w:rsidR="00AC728B" w:rsidRPr="00906E06" w:rsidRDefault="00AC728B" w:rsidP="00906E06">
      <w:pPr>
        <w:widowControl w:val="0"/>
        <w:autoSpaceDE w:val="0"/>
        <w:autoSpaceDN w:val="0"/>
        <w:ind w:right="114"/>
        <w:jc w:val="both"/>
        <w:rPr>
          <w:szCs w:val="22"/>
          <w:lang w:eastAsia="en-US"/>
        </w:rPr>
      </w:pPr>
    </w:p>
    <w:p w14:paraId="7FBBEEEE" w14:textId="77777777" w:rsidR="00AC728B" w:rsidRPr="00906E06" w:rsidRDefault="00AC728B" w:rsidP="00906E06">
      <w:pPr>
        <w:widowControl w:val="0"/>
        <w:autoSpaceDE w:val="0"/>
        <w:autoSpaceDN w:val="0"/>
        <w:ind w:right="114"/>
        <w:jc w:val="both"/>
        <w:rPr>
          <w:szCs w:val="22"/>
          <w:lang w:eastAsia="en-US"/>
        </w:rPr>
      </w:pPr>
      <w:r w:rsidRPr="00906E06">
        <w:rPr>
          <w:szCs w:val="22"/>
          <w:lang w:eastAsia="en-US"/>
        </w:rPr>
        <w:t>(2) Informacije iz stavka 1. ovoga članka stavljaju se na raspolaganje u sklopu uputa za uporabu motornih vozila, na mjestima za punjenje i opskrbu, na motornim vozilima i u zastupstvima za motorna vozila na području Republike</w:t>
      </w:r>
      <w:r w:rsidRPr="00906E06">
        <w:rPr>
          <w:spacing w:val="-5"/>
          <w:szCs w:val="22"/>
          <w:lang w:eastAsia="en-US"/>
        </w:rPr>
        <w:t xml:space="preserve"> </w:t>
      </w:r>
      <w:r w:rsidRPr="00906E06">
        <w:rPr>
          <w:szCs w:val="22"/>
          <w:lang w:eastAsia="en-US"/>
        </w:rPr>
        <w:t>Hrvatske.</w:t>
      </w:r>
    </w:p>
    <w:p w14:paraId="67CA0E4E" w14:textId="77777777" w:rsidR="00AC728B" w:rsidRPr="00906E06" w:rsidRDefault="00AC728B" w:rsidP="00906E06">
      <w:pPr>
        <w:widowControl w:val="0"/>
        <w:autoSpaceDE w:val="0"/>
        <w:autoSpaceDN w:val="0"/>
        <w:rPr>
          <w:rFonts w:eastAsia="Arial"/>
          <w:szCs w:val="18"/>
          <w:lang w:eastAsia="en-US"/>
        </w:rPr>
      </w:pPr>
    </w:p>
    <w:p w14:paraId="4D93AB44" w14:textId="77777777" w:rsidR="00AC728B" w:rsidRPr="00906E06" w:rsidRDefault="00AC728B" w:rsidP="00906E06">
      <w:pPr>
        <w:widowControl w:val="0"/>
        <w:autoSpaceDE w:val="0"/>
        <w:autoSpaceDN w:val="0"/>
        <w:ind w:right="114"/>
        <w:jc w:val="both"/>
        <w:rPr>
          <w:szCs w:val="22"/>
          <w:lang w:eastAsia="en-US"/>
        </w:rPr>
      </w:pPr>
      <w:r w:rsidRPr="00906E06">
        <w:rPr>
          <w:szCs w:val="22"/>
          <w:lang w:eastAsia="en-US"/>
        </w:rPr>
        <w:t>(3) Pružanje informacija iz stavka 1. ovoga članka temelji se na odredbama o označivanju usklađenosti goriva s usklađenim hrvatskim normama koje utvrđuju tehničke specifikacije za goriva.</w:t>
      </w:r>
    </w:p>
    <w:p w14:paraId="351E1CE1" w14:textId="77777777" w:rsidR="00AC728B" w:rsidRPr="00906E06" w:rsidRDefault="00AC728B" w:rsidP="00906E06">
      <w:pPr>
        <w:widowControl w:val="0"/>
        <w:autoSpaceDE w:val="0"/>
        <w:autoSpaceDN w:val="0"/>
        <w:ind w:right="114"/>
        <w:jc w:val="both"/>
        <w:rPr>
          <w:szCs w:val="22"/>
          <w:lang w:eastAsia="en-US"/>
        </w:rPr>
      </w:pPr>
    </w:p>
    <w:p w14:paraId="5F46C106" w14:textId="77777777" w:rsidR="00AC728B" w:rsidRPr="00906E06" w:rsidRDefault="00AC728B" w:rsidP="00906E06">
      <w:pPr>
        <w:widowControl w:val="0"/>
        <w:autoSpaceDE w:val="0"/>
        <w:autoSpaceDN w:val="0"/>
        <w:ind w:right="114"/>
        <w:jc w:val="both"/>
        <w:rPr>
          <w:szCs w:val="22"/>
          <w:lang w:eastAsia="en-US"/>
        </w:rPr>
      </w:pPr>
      <w:r w:rsidRPr="00906E06">
        <w:rPr>
          <w:szCs w:val="22"/>
          <w:lang w:eastAsia="en-US"/>
        </w:rPr>
        <w:t>(4) Kada se norme iz stavka 3. ovoga članka odnose na grafički prikaz, uključujući shemu kodiranja bojom, grafički prikaz je jednostavan, lako razumljiv i postavljen na jasno vidljiv način:</w:t>
      </w:r>
    </w:p>
    <w:p w14:paraId="3867E27D" w14:textId="77777777" w:rsidR="00AC728B" w:rsidRPr="00906E06" w:rsidRDefault="00AC728B" w:rsidP="00906E06">
      <w:pPr>
        <w:widowControl w:val="0"/>
        <w:autoSpaceDE w:val="0"/>
        <w:autoSpaceDN w:val="0"/>
        <w:rPr>
          <w:rFonts w:eastAsia="Arial"/>
          <w:szCs w:val="18"/>
          <w:lang w:eastAsia="en-US"/>
        </w:rPr>
      </w:pPr>
    </w:p>
    <w:p w14:paraId="0468B10D" w14:textId="77777777" w:rsidR="00AC728B" w:rsidRPr="00906E06" w:rsidRDefault="00AC728B" w:rsidP="00906E06">
      <w:pPr>
        <w:widowControl w:val="0"/>
        <w:numPr>
          <w:ilvl w:val="1"/>
          <w:numId w:val="13"/>
        </w:numPr>
        <w:tabs>
          <w:tab w:val="left" w:pos="940"/>
        </w:tabs>
        <w:autoSpaceDE w:val="0"/>
        <w:autoSpaceDN w:val="0"/>
        <w:ind w:right="113"/>
        <w:jc w:val="both"/>
        <w:rPr>
          <w:szCs w:val="22"/>
          <w:lang w:eastAsia="en-US"/>
        </w:rPr>
      </w:pPr>
      <w:r w:rsidRPr="00906E06">
        <w:rPr>
          <w:szCs w:val="22"/>
          <w:lang w:eastAsia="en-US"/>
        </w:rPr>
        <w:t>na odgovarajućim crpkama i njihovim mlaznicama na svim mjestima za opskrbu, od datuma uvođenja goriva na</w:t>
      </w:r>
      <w:r w:rsidRPr="00906E06">
        <w:rPr>
          <w:spacing w:val="1"/>
          <w:szCs w:val="22"/>
          <w:lang w:eastAsia="en-US"/>
        </w:rPr>
        <w:t xml:space="preserve"> </w:t>
      </w:r>
      <w:r w:rsidRPr="00906E06">
        <w:rPr>
          <w:szCs w:val="22"/>
          <w:lang w:eastAsia="en-US"/>
        </w:rPr>
        <w:t>tržište</w:t>
      </w:r>
    </w:p>
    <w:p w14:paraId="3F5CF8D2" w14:textId="77777777" w:rsidR="00AC728B" w:rsidRPr="00906E06" w:rsidRDefault="00AC728B" w:rsidP="00906E06">
      <w:pPr>
        <w:widowControl w:val="0"/>
        <w:autoSpaceDE w:val="0"/>
        <w:autoSpaceDN w:val="0"/>
        <w:rPr>
          <w:rFonts w:eastAsia="Arial"/>
          <w:szCs w:val="18"/>
          <w:lang w:eastAsia="en-US"/>
        </w:rPr>
      </w:pPr>
    </w:p>
    <w:p w14:paraId="6CC2537F" w14:textId="77777777" w:rsidR="00AC728B" w:rsidRPr="00906E06" w:rsidRDefault="00AC728B" w:rsidP="00906E06">
      <w:pPr>
        <w:widowControl w:val="0"/>
        <w:numPr>
          <w:ilvl w:val="1"/>
          <w:numId w:val="13"/>
        </w:numPr>
        <w:tabs>
          <w:tab w:val="left" w:pos="976"/>
        </w:tabs>
        <w:autoSpaceDE w:val="0"/>
        <w:autoSpaceDN w:val="0"/>
        <w:ind w:right="113"/>
        <w:jc w:val="both"/>
        <w:rPr>
          <w:szCs w:val="22"/>
          <w:lang w:eastAsia="en-US"/>
        </w:rPr>
      </w:pPr>
      <w:r w:rsidRPr="00906E06">
        <w:rPr>
          <w:szCs w:val="22"/>
          <w:lang w:eastAsia="en-US"/>
        </w:rPr>
        <w:lastRenderedPageBreak/>
        <w:t>na poklopcima spremnika za gorivo motornih vozila za koja je određeno gorivo preporučeno i prikladno ili u neposrednoj blizini poklopaca spremnika za goriva te u uputama za uporabu motornih vozila, kada se takva motorna vozila uvode na tržište nakon 18. studenog</w:t>
      </w:r>
      <w:r w:rsidRPr="00906E06">
        <w:rPr>
          <w:spacing w:val="-4"/>
          <w:szCs w:val="22"/>
          <w:lang w:eastAsia="en-US"/>
        </w:rPr>
        <w:t xml:space="preserve"> </w:t>
      </w:r>
      <w:r w:rsidRPr="00906E06">
        <w:rPr>
          <w:szCs w:val="22"/>
          <w:lang w:eastAsia="en-US"/>
        </w:rPr>
        <w:t>2016.</w:t>
      </w:r>
    </w:p>
    <w:p w14:paraId="760A2CB7" w14:textId="77777777" w:rsidR="00AC728B" w:rsidRPr="00906E06" w:rsidRDefault="00AC728B" w:rsidP="00906E06">
      <w:pPr>
        <w:widowControl w:val="0"/>
        <w:autoSpaceDE w:val="0"/>
        <w:autoSpaceDN w:val="0"/>
        <w:rPr>
          <w:rFonts w:eastAsia="Arial"/>
          <w:szCs w:val="18"/>
          <w:lang w:eastAsia="en-US"/>
        </w:rPr>
      </w:pPr>
    </w:p>
    <w:p w14:paraId="7F6252CD" w14:textId="77777777" w:rsidR="00AC728B" w:rsidRPr="00906E06" w:rsidRDefault="00AC728B" w:rsidP="00906E06">
      <w:pPr>
        <w:widowControl w:val="0"/>
        <w:autoSpaceDE w:val="0"/>
        <w:autoSpaceDN w:val="0"/>
        <w:ind w:right="114"/>
        <w:jc w:val="both"/>
        <w:rPr>
          <w:szCs w:val="22"/>
          <w:lang w:eastAsia="en-US"/>
        </w:rPr>
      </w:pPr>
      <w:r w:rsidRPr="00906E06">
        <w:rPr>
          <w:szCs w:val="22"/>
          <w:lang w:eastAsia="en-US"/>
        </w:rPr>
        <w:t>(5) Pri iskazivanju cijena goriva na postaji za opskrbu gorivom, a posebno kada se radi o prirodnom plinu i vodiku, prema potrebi se u informativne svrhe iskazuje usporedba između odgovarajućih jediničnih cijena, vodeći računa da takva informacija ne smije zavarati ili zbuniti korisnika.</w:t>
      </w:r>
    </w:p>
    <w:p w14:paraId="7A0F7915" w14:textId="77777777" w:rsidR="00AC728B" w:rsidRPr="00906E06" w:rsidRDefault="00AC728B" w:rsidP="00906E06">
      <w:pPr>
        <w:widowControl w:val="0"/>
        <w:autoSpaceDE w:val="0"/>
        <w:autoSpaceDN w:val="0"/>
        <w:ind w:right="114"/>
        <w:jc w:val="both"/>
        <w:rPr>
          <w:szCs w:val="22"/>
          <w:lang w:eastAsia="en-US"/>
        </w:rPr>
      </w:pPr>
    </w:p>
    <w:p w14:paraId="3EA50926" w14:textId="77777777" w:rsidR="00AC728B" w:rsidRPr="00906E06" w:rsidRDefault="00AC728B" w:rsidP="00906E06">
      <w:pPr>
        <w:widowControl w:val="0"/>
        <w:autoSpaceDE w:val="0"/>
        <w:autoSpaceDN w:val="0"/>
        <w:ind w:right="114"/>
        <w:jc w:val="both"/>
        <w:rPr>
          <w:szCs w:val="22"/>
          <w:lang w:eastAsia="en-US"/>
        </w:rPr>
      </w:pPr>
      <w:r w:rsidRPr="00906E06">
        <w:rPr>
          <w:szCs w:val="22"/>
          <w:lang w:eastAsia="en-US"/>
        </w:rPr>
        <w:t>(6) Ako su raspoloživi podaci u kojima je naznačena lokacija javno dostupnih mjesta za opskrbu i punjenje alternativnim gorivima obuhvaćenim odredbama ovoga Zakona, osigurava se svim korisnicima pristup tim podacima na otvorenoj i nediskriminirajućoj osnovi.</w:t>
      </w:r>
    </w:p>
    <w:p w14:paraId="5C5CCDA5" w14:textId="77777777" w:rsidR="00AC728B" w:rsidRPr="00906E06" w:rsidRDefault="00AC728B" w:rsidP="00906E06">
      <w:pPr>
        <w:widowControl w:val="0"/>
        <w:autoSpaceDE w:val="0"/>
        <w:autoSpaceDN w:val="0"/>
        <w:ind w:right="114"/>
        <w:jc w:val="both"/>
        <w:rPr>
          <w:szCs w:val="22"/>
          <w:lang w:eastAsia="en-US"/>
        </w:rPr>
      </w:pPr>
    </w:p>
    <w:p w14:paraId="6F4A20C9" w14:textId="77777777" w:rsidR="00AC728B" w:rsidRPr="00906E06" w:rsidRDefault="00AC728B" w:rsidP="00906E06">
      <w:pPr>
        <w:widowControl w:val="0"/>
        <w:autoSpaceDE w:val="0"/>
        <w:autoSpaceDN w:val="0"/>
        <w:ind w:right="114"/>
        <w:jc w:val="both"/>
        <w:rPr>
          <w:szCs w:val="22"/>
          <w:lang w:eastAsia="en-US"/>
        </w:rPr>
      </w:pPr>
      <w:r w:rsidRPr="00906E06">
        <w:rPr>
          <w:szCs w:val="22"/>
          <w:lang w:eastAsia="en-US"/>
        </w:rPr>
        <w:t>(7) Takvi podaci o mjestima za punjenje mogu, ako su raspoloživi, uključivati informacije o raspoloživosti u stvarnom vremenu, kao i informacije o prethodno obavljenim punjenjima, te informacije o punjenju u stvarnom vremenu.</w:t>
      </w:r>
    </w:p>
    <w:p w14:paraId="09D8A3CD" w14:textId="77777777" w:rsidR="00AC728B" w:rsidRPr="00906E06" w:rsidRDefault="00AC728B" w:rsidP="00906E06">
      <w:pPr>
        <w:widowControl w:val="0"/>
        <w:autoSpaceDE w:val="0"/>
        <w:autoSpaceDN w:val="0"/>
        <w:rPr>
          <w:rFonts w:eastAsia="Arial"/>
          <w:szCs w:val="18"/>
          <w:lang w:eastAsia="en-US"/>
        </w:rPr>
      </w:pPr>
    </w:p>
    <w:p w14:paraId="5710AEC9" w14:textId="77777777" w:rsidR="00AC728B" w:rsidRPr="00906E06" w:rsidRDefault="00AC728B" w:rsidP="00906E06">
      <w:pPr>
        <w:widowControl w:val="0"/>
        <w:tabs>
          <w:tab w:val="left" w:pos="3123"/>
        </w:tabs>
        <w:autoSpaceDE w:val="0"/>
        <w:autoSpaceDN w:val="0"/>
        <w:ind w:right="-2"/>
        <w:jc w:val="center"/>
        <w:rPr>
          <w:szCs w:val="22"/>
          <w:lang w:eastAsia="en-US"/>
        </w:rPr>
      </w:pPr>
      <w:r w:rsidRPr="00906E06">
        <w:rPr>
          <w:szCs w:val="22"/>
          <w:lang w:eastAsia="en-US"/>
        </w:rPr>
        <w:t>VIII. OVLAŠTENJA I NADLEŽNOSTI</w:t>
      </w:r>
    </w:p>
    <w:p w14:paraId="5158C565" w14:textId="77777777" w:rsidR="00196CD6" w:rsidRDefault="00196CD6" w:rsidP="00906E06">
      <w:pPr>
        <w:widowControl w:val="0"/>
        <w:autoSpaceDE w:val="0"/>
        <w:autoSpaceDN w:val="0"/>
        <w:ind w:right="-2"/>
        <w:jc w:val="center"/>
        <w:rPr>
          <w:szCs w:val="22"/>
          <w:lang w:eastAsia="en-US"/>
        </w:rPr>
      </w:pPr>
    </w:p>
    <w:p w14:paraId="360E4184" w14:textId="43B6A806" w:rsidR="00AC728B" w:rsidRDefault="00AC728B" w:rsidP="00906E06">
      <w:pPr>
        <w:widowControl w:val="0"/>
        <w:autoSpaceDE w:val="0"/>
        <w:autoSpaceDN w:val="0"/>
        <w:ind w:right="-2"/>
        <w:jc w:val="center"/>
        <w:rPr>
          <w:szCs w:val="22"/>
          <w:lang w:eastAsia="en-US"/>
        </w:rPr>
      </w:pPr>
      <w:r w:rsidRPr="00906E06">
        <w:rPr>
          <w:szCs w:val="22"/>
          <w:lang w:eastAsia="en-US"/>
        </w:rPr>
        <w:t>Članak 10.</w:t>
      </w:r>
    </w:p>
    <w:p w14:paraId="1FEF8B10" w14:textId="77777777" w:rsidR="00196CD6" w:rsidRPr="00906E06" w:rsidRDefault="00196CD6" w:rsidP="00906E06">
      <w:pPr>
        <w:widowControl w:val="0"/>
        <w:autoSpaceDE w:val="0"/>
        <w:autoSpaceDN w:val="0"/>
        <w:ind w:right="-2"/>
        <w:jc w:val="center"/>
        <w:rPr>
          <w:szCs w:val="22"/>
          <w:lang w:eastAsia="en-US"/>
        </w:rPr>
      </w:pPr>
    </w:p>
    <w:p w14:paraId="5BF43F64" w14:textId="77777777" w:rsidR="00AC728B" w:rsidRPr="00906E06" w:rsidRDefault="00AC728B" w:rsidP="00906E06">
      <w:pPr>
        <w:widowControl w:val="0"/>
        <w:autoSpaceDE w:val="0"/>
        <w:autoSpaceDN w:val="0"/>
        <w:ind w:right="114"/>
        <w:jc w:val="both"/>
        <w:rPr>
          <w:szCs w:val="22"/>
          <w:lang w:eastAsia="en-US"/>
        </w:rPr>
      </w:pPr>
      <w:r w:rsidRPr="00906E06">
        <w:rPr>
          <w:szCs w:val="22"/>
          <w:lang w:eastAsia="en-US"/>
        </w:rPr>
        <w:t>(1) Ministarstvo nadležno za promet:</w:t>
      </w:r>
    </w:p>
    <w:p w14:paraId="4430C262" w14:textId="77777777" w:rsidR="00AC728B" w:rsidRPr="00906E06" w:rsidRDefault="00AC728B" w:rsidP="00906E06">
      <w:pPr>
        <w:widowControl w:val="0"/>
        <w:autoSpaceDE w:val="0"/>
        <w:autoSpaceDN w:val="0"/>
        <w:rPr>
          <w:rFonts w:eastAsia="Arial"/>
          <w:szCs w:val="18"/>
          <w:lang w:eastAsia="en-US"/>
        </w:rPr>
      </w:pPr>
    </w:p>
    <w:p w14:paraId="1D9E0863" w14:textId="77777777" w:rsidR="00AC728B" w:rsidRPr="00906E06" w:rsidRDefault="00AC728B" w:rsidP="00906E06">
      <w:pPr>
        <w:widowControl w:val="0"/>
        <w:numPr>
          <w:ilvl w:val="1"/>
          <w:numId w:val="12"/>
        </w:numPr>
        <w:tabs>
          <w:tab w:val="left" w:pos="961"/>
        </w:tabs>
        <w:autoSpaceDE w:val="0"/>
        <w:autoSpaceDN w:val="0"/>
        <w:ind w:right="116"/>
        <w:jc w:val="both"/>
        <w:rPr>
          <w:szCs w:val="22"/>
          <w:lang w:eastAsia="en-US"/>
        </w:rPr>
      </w:pPr>
      <w:r w:rsidRPr="00906E06">
        <w:rPr>
          <w:szCs w:val="22"/>
          <w:lang w:eastAsia="en-US"/>
        </w:rPr>
        <w:t>provodi politiku Vlade Republike Hrvatske u području uspostave infrastrukture za alternativna goriva</w:t>
      </w:r>
    </w:p>
    <w:p w14:paraId="52B48F30" w14:textId="77777777" w:rsidR="00AC728B" w:rsidRPr="00906E06" w:rsidRDefault="00AC728B" w:rsidP="00906E06">
      <w:pPr>
        <w:widowControl w:val="0"/>
        <w:numPr>
          <w:ilvl w:val="1"/>
          <w:numId w:val="12"/>
        </w:numPr>
        <w:tabs>
          <w:tab w:val="left" w:pos="1024"/>
        </w:tabs>
        <w:autoSpaceDE w:val="0"/>
        <w:autoSpaceDN w:val="0"/>
        <w:ind w:right="113"/>
        <w:jc w:val="both"/>
        <w:rPr>
          <w:szCs w:val="22"/>
          <w:lang w:eastAsia="en-US"/>
        </w:rPr>
      </w:pPr>
      <w:r w:rsidRPr="00906E06">
        <w:rPr>
          <w:szCs w:val="22"/>
          <w:lang w:eastAsia="en-US"/>
        </w:rPr>
        <w:t>izvješćuje Vladu Republike Hrvatske i Europsku komisiju o provedbi mjera uspostave infrastrukture za alternativna</w:t>
      </w:r>
      <w:r w:rsidRPr="00906E06">
        <w:rPr>
          <w:spacing w:val="2"/>
          <w:szCs w:val="22"/>
          <w:lang w:eastAsia="en-US"/>
        </w:rPr>
        <w:t xml:space="preserve"> </w:t>
      </w:r>
      <w:r w:rsidRPr="00906E06">
        <w:rPr>
          <w:szCs w:val="22"/>
          <w:lang w:eastAsia="en-US"/>
        </w:rPr>
        <w:t>goriva</w:t>
      </w:r>
    </w:p>
    <w:p w14:paraId="73E5FA61" w14:textId="77777777" w:rsidR="00AC728B" w:rsidRPr="00906E06" w:rsidRDefault="00AC728B" w:rsidP="00906E06">
      <w:pPr>
        <w:widowControl w:val="0"/>
        <w:numPr>
          <w:ilvl w:val="1"/>
          <w:numId w:val="12"/>
        </w:numPr>
        <w:tabs>
          <w:tab w:val="left" w:pos="1055"/>
        </w:tabs>
        <w:autoSpaceDE w:val="0"/>
        <w:autoSpaceDN w:val="0"/>
        <w:ind w:right="116"/>
        <w:jc w:val="both"/>
        <w:rPr>
          <w:szCs w:val="22"/>
          <w:lang w:eastAsia="en-US"/>
        </w:rPr>
      </w:pPr>
      <w:r w:rsidRPr="00906E06">
        <w:rPr>
          <w:szCs w:val="22"/>
          <w:lang w:eastAsia="en-US"/>
        </w:rPr>
        <w:t>ostvaruje međunarodnu suradnju Republike Hrvatske u području uspostave infrastrukture za alternativna</w:t>
      </w:r>
      <w:r w:rsidRPr="00906E06">
        <w:rPr>
          <w:spacing w:val="-2"/>
          <w:szCs w:val="22"/>
          <w:lang w:eastAsia="en-US"/>
        </w:rPr>
        <w:t xml:space="preserve"> </w:t>
      </w:r>
      <w:r w:rsidRPr="00906E06">
        <w:rPr>
          <w:szCs w:val="22"/>
          <w:lang w:eastAsia="en-US"/>
        </w:rPr>
        <w:t>goriva</w:t>
      </w:r>
    </w:p>
    <w:p w14:paraId="58C34230" w14:textId="77777777" w:rsidR="00AC728B" w:rsidRPr="00906E06" w:rsidRDefault="00AC728B" w:rsidP="00906E06">
      <w:pPr>
        <w:widowControl w:val="0"/>
        <w:numPr>
          <w:ilvl w:val="1"/>
          <w:numId w:val="12"/>
        </w:numPr>
        <w:tabs>
          <w:tab w:val="left" w:pos="980"/>
        </w:tabs>
        <w:autoSpaceDE w:val="0"/>
        <w:autoSpaceDN w:val="0"/>
        <w:ind w:right="114"/>
        <w:jc w:val="both"/>
        <w:rPr>
          <w:szCs w:val="22"/>
          <w:lang w:eastAsia="en-US"/>
        </w:rPr>
      </w:pPr>
      <w:r w:rsidRPr="00906E06">
        <w:rPr>
          <w:szCs w:val="22"/>
          <w:lang w:eastAsia="en-US"/>
        </w:rPr>
        <w:t>sudjeluje u radu tijela Europske komisije u području uspostave infrastrukture za alternativna goriva</w:t>
      </w:r>
    </w:p>
    <w:p w14:paraId="55CF1B74" w14:textId="77777777" w:rsidR="00AC728B" w:rsidRPr="00906E06" w:rsidRDefault="00AC728B" w:rsidP="00906E06">
      <w:pPr>
        <w:widowControl w:val="0"/>
        <w:autoSpaceDE w:val="0"/>
        <w:autoSpaceDN w:val="0"/>
        <w:rPr>
          <w:rFonts w:eastAsia="Arial"/>
          <w:szCs w:val="18"/>
          <w:lang w:eastAsia="en-US"/>
        </w:rPr>
      </w:pPr>
    </w:p>
    <w:p w14:paraId="055D2030" w14:textId="77777777" w:rsidR="00AC728B" w:rsidRPr="00906E06" w:rsidRDefault="00AC728B" w:rsidP="00906E06">
      <w:pPr>
        <w:widowControl w:val="0"/>
        <w:autoSpaceDE w:val="0"/>
        <w:autoSpaceDN w:val="0"/>
        <w:ind w:right="114"/>
        <w:jc w:val="both"/>
        <w:rPr>
          <w:szCs w:val="22"/>
          <w:lang w:eastAsia="en-US"/>
        </w:rPr>
      </w:pPr>
      <w:r w:rsidRPr="00906E06">
        <w:rPr>
          <w:szCs w:val="22"/>
          <w:lang w:eastAsia="en-US"/>
        </w:rPr>
        <w:t>(2) Za nacionalno koordinacijsko tijelo određuje se Centar za praćenje poslovanja energetskog sektora i investicija i:</w:t>
      </w:r>
    </w:p>
    <w:p w14:paraId="60A88C41" w14:textId="77777777" w:rsidR="00AC728B" w:rsidRPr="00906E06" w:rsidRDefault="00AC728B" w:rsidP="00906E06">
      <w:pPr>
        <w:widowControl w:val="0"/>
        <w:autoSpaceDE w:val="0"/>
        <w:autoSpaceDN w:val="0"/>
        <w:rPr>
          <w:rFonts w:eastAsia="Arial"/>
          <w:szCs w:val="18"/>
          <w:lang w:eastAsia="en-US"/>
        </w:rPr>
      </w:pPr>
    </w:p>
    <w:p w14:paraId="3D198A02" w14:textId="77777777" w:rsidR="00AC728B" w:rsidRPr="00906E06" w:rsidRDefault="00AC728B" w:rsidP="00906E06">
      <w:pPr>
        <w:widowControl w:val="0"/>
        <w:numPr>
          <w:ilvl w:val="1"/>
          <w:numId w:val="12"/>
        </w:numPr>
        <w:tabs>
          <w:tab w:val="left" w:pos="990"/>
        </w:tabs>
        <w:autoSpaceDE w:val="0"/>
        <w:autoSpaceDN w:val="0"/>
        <w:ind w:right="117"/>
        <w:jc w:val="both"/>
        <w:rPr>
          <w:szCs w:val="22"/>
          <w:lang w:eastAsia="en-US"/>
        </w:rPr>
      </w:pPr>
      <w:r w:rsidRPr="00906E06">
        <w:rPr>
          <w:szCs w:val="22"/>
          <w:lang w:eastAsia="en-US"/>
        </w:rPr>
        <w:t>pruža potporu provedbi politike alternativnih goriva utvrđenu odredbama ovoga Zakona</w:t>
      </w:r>
    </w:p>
    <w:p w14:paraId="17D033E3" w14:textId="77777777" w:rsidR="00AC728B" w:rsidRPr="00906E06" w:rsidRDefault="00AC728B" w:rsidP="00906E06">
      <w:pPr>
        <w:widowControl w:val="0"/>
        <w:numPr>
          <w:ilvl w:val="1"/>
          <w:numId w:val="12"/>
        </w:numPr>
        <w:tabs>
          <w:tab w:val="left" w:pos="947"/>
        </w:tabs>
        <w:autoSpaceDE w:val="0"/>
        <w:autoSpaceDN w:val="0"/>
        <w:ind w:right="115"/>
        <w:jc w:val="both"/>
        <w:rPr>
          <w:szCs w:val="22"/>
          <w:lang w:eastAsia="en-US"/>
        </w:rPr>
      </w:pPr>
      <w:r w:rsidRPr="00906E06">
        <w:rPr>
          <w:szCs w:val="22"/>
          <w:lang w:eastAsia="en-US"/>
        </w:rPr>
        <w:t>izrađuje i provodi sustav praćenja mjera za unaprjeđenje infrastrukture alternativnih goriva</w:t>
      </w:r>
    </w:p>
    <w:p w14:paraId="2963580B" w14:textId="77777777" w:rsidR="00AC728B" w:rsidRPr="00906E06" w:rsidRDefault="00AC728B" w:rsidP="00906E06">
      <w:pPr>
        <w:widowControl w:val="0"/>
        <w:numPr>
          <w:ilvl w:val="1"/>
          <w:numId w:val="12"/>
        </w:numPr>
        <w:tabs>
          <w:tab w:val="left" w:pos="932"/>
        </w:tabs>
        <w:autoSpaceDE w:val="0"/>
        <w:autoSpaceDN w:val="0"/>
        <w:ind w:right="114"/>
        <w:jc w:val="both"/>
        <w:rPr>
          <w:szCs w:val="22"/>
          <w:lang w:eastAsia="en-US"/>
        </w:rPr>
      </w:pPr>
      <w:r w:rsidRPr="00906E06">
        <w:rPr>
          <w:szCs w:val="22"/>
          <w:lang w:eastAsia="en-US"/>
        </w:rPr>
        <w:t>za ministarstvo nadležno za promet priprema i prilagođava provedbu okvira mjera za razvoj tržišta alternativnih goriva u prometu, u skladu s člankom 4. stavkom 1. ovog Zakona, te njihovu provedbu prati u sklopu Nacionalnog akcijskog plana za energetsku učinkovitost, te osigurava sustavno planiranje za provedbu politike infrastrukture alternativnih goriva u Republici</w:t>
      </w:r>
      <w:r w:rsidRPr="00906E06">
        <w:rPr>
          <w:spacing w:val="-1"/>
          <w:szCs w:val="22"/>
          <w:lang w:eastAsia="en-US"/>
        </w:rPr>
        <w:t xml:space="preserve"> </w:t>
      </w:r>
      <w:r w:rsidRPr="00906E06">
        <w:rPr>
          <w:szCs w:val="22"/>
          <w:lang w:eastAsia="en-US"/>
        </w:rPr>
        <w:t>Hrvatskoj</w:t>
      </w:r>
    </w:p>
    <w:p w14:paraId="633569E6" w14:textId="77777777" w:rsidR="00AC728B" w:rsidRPr="00906E06" w:rsidRDefault="00AC728B" w:rsidP="00906E06">
      <w:pPr>
        <w:widowControl w:val="0"/>
        <w:numPr>
          <w:ilvl w:val="1"/>
          <w:numId w:val="12"/>
        </w:numPr>
        <w:tabs>
          <w:tab w:val="left" w:pos="947"/>
        </w:tabs>
        <w:autoSpaceDE w:val="0"/>
        <w:autoSpaceDN w:val="0"/>
        <w:ind w:right="116"/>
        <w:jc w:val="both"/>
        <w:rPr>
          <w:szCs w:val="22"/>
          <w:lang w:eastAsia="en-US"/>
        </w:rPr>
      </w:pPr>
      <w:r w:rsidRPr="00906E06">
        <w:rPr>
          <w:szCs w:val="22"/>
          <w:lang w:eastAsia="en-US"/>
        </w:rPr>
        <w:t>priprema Izvješće o provedbi NOP-a koje sadrži opis mjera poduzetih kao potpora izgradnji infrastrukture za alternativna goriva u skladu s člankom 5. ovoga</w:t>
      </w:r>
      <w:r w:rsidRPr="00906E06">
        <w:rPr>
          <w:spacing w:val="-5"/>
          <w:szCs w:val="22"/>
          <w:lang w:eastAsia="en-US"/>
        </w:rPr>
        <w:t xml:space="preserve"> </w:t>
      </w:r>
      <w:r w:rsidRPr="00906E06">
        <w:rPr>
          <w:szCs w:val="22"/>
          <w:lang w:eastAsia="en-US"/>
        </w:rPr>
        <w:t>Zakona</w:t>
      </w:r>
    </w:p>
    <w:p w14:paraId="132C7679" w14:textId="77777777" w:rsidR="00AC728B" w:rsidRPr="00906E06" w:rsidRDefault="00AC728B" w:rsidP="00906E06">
      <w:pPr>
        <w:widowControl w:val="0"/>
        <w:numPr>
          <w:ilvl w:val="1"/>
          <w:numId w:val="12"/>
        </w:numPr>
        <w:tabs>
          <w:tab w:val="left" w:pos="964"/>
        </w:tabs>
        <w:autoSpaceDE w:val="0"/>
        <w:autoSpaceDN w:val="0"/>
        <w:ind w:right="115"/>
        <w:jc w:val="both"/>
        <w:rPr>
          <w:szCs w:val="22"/>
          <w:lang w:eastAsia="en-US"/>
        </w:rPr>
      </w:pPr>
      <w:r w:rsidRPr="00906E06">
        <w:rPr>
          <w:szCs w:val="22"/>
          <w:lang w:eastAsia="en-US"/>
        </w:rPr>
        <w:t>na svojim mrežnim stranicama objavljuje i redovito ažurira informacije definirane člankom 5. i člankom 9. stavcima 6. i 7. ovoga</w:t>
      </w:r>
      <w:r w:rsidRPr="00906E06">
        <w:rPr>
          <w:spacing w:val="-1"/>
          <w:szCs w:val="22"/>
          <w:lang w:eastAsia="en-US"/>
        </w:rPr>
        <w:t xml:space="preserve"> </w:t>
      </w:r>
      <w:r w:rsidRPr="00906E06">
        <w:rPr>
          <w:szCs w:val="22"/>
          <w:lang w:eastAsia="en-US"/>
        </w:rPr>
        <w:t>Zakona.</w:t>
      </w:r>
    </w:p>
    <w:p w14:paraId="2BC9B23C" w14:textId="77777777" w:rsidR="00AC728B" w:rsidRPr="00906E06" w:rsidRDefault="00AC728B" w:rsidP="00906E06">
      <w:pPr>
        <w:widowControl w:val="0"/>
        <w:autoSpaceDE w:val="0"/>
        <w:autoSpaceDN w:val="0"/>
        <w:ind w:left="1774" w:right="1771"/>
        <w:jc w:val="center"/>
        <w:rPr>
          <w:rFonts w:eastAsia="Arial"/>
          <w:b/>
          <w:szCs w:val="22"/>
          <w:lang w:eastAsia="en-US"/>
        </w:rPr>
      </w:pPr>
    </w:p>
    <w:p w14:paraId="73C77D10" w14:textId="77777777" w:rsidR="00AC728B" w:rsidRPr="00906E06" w:rsidRDefault="00AC728B" w:rsidP="00906E06">
      <w:pPr>
        <w:widowControl w:val="0"/>
        <w:autoSpaceDE w:val="0"/>
        <w:autoSpaceDN w:val="0"/>
        <w:ind w:left="1774" w:right="1771"/>
        <w:jc w:val="center"/>
        <w:rPr>
          <w:rFonts w:eastAsia="Arial"/>
          <w:szCs w:val="22"/>
          <w:lang w:eastAsia="en-US"/>
        </w:rPr>
      </w:pPr>
      <w:r w:rsidRPr="00906E06">
        <w:rPr>
          <w:rFonts w:eastAsia="Arial"/>
          <w:szCs w:val="22"/>
          <w:lang w:eastAsia="en-US"/>
        </w:rPr>
        <w:t>Članak 11.</w:t>
      </w:r>
    </w:p>
    <w:p w14:paraId="4715C3C7" w14:textId="77777777" w:rsidR="00AC728B" w:rsidRPr="00906E06" w:rsidRDefault="00AC728B" w:rsidP="00906E06">
      <w:pPr>
        <w:widowControl w:val="0"/>
        <w:autoSpaceDE w:val="0"/>
        <w:autoSpaceDN w:val="0"/>
        <w:rPr>
          <w:rFonts w:eastAsia="Arial"/>
          <w:b/>
          <w:sz w:val="23"/>
          <w:szCs w:val="18"/>
          <w:lang w:eastAsia="en-US"/>
        </w:rPr>
      </w:pPr>
    </w:p>
    <w:p w14:paraId="2904719A" w14:textId="77777777" w:rsidR="00AC728B" w:rsidRPr="00906E06" w:rsidRDefault="00AC728B" w:rsidP="00906E06">
      <w:pPr>
        <w:widowControl w:val="0"/>
        <w:autoSpaceDE w:val="0"/>
        <w:autoSpaceDN w:val="0"/>
        <w:ind w:left="118"/>
        <w:rPr>
          <w:rFonts w:eastAsia="Arial"/>
          <w:szCs w:val="22"/>
          <w:lang w:eastAsia="en-US"/>
        </w:rPr>
      </w:pPr>
      <w:r w:rsidRPr="00906E06">
        <w:rPr>
          <w:rFonts w:eastAsia="Arial"/>
          <w:szCs w:val="22"/>
          <w:lang w:eastAsia="en-US"/>
        </w:rPr>
        <w:lastRenderedPageBreak/>
        <w:t>Ministarstvo nadležno za energetiku provodi upravni nadzor nad provedbom ovoga Zakona.</w:t>
      </w:r>
    </w:p>
    <w:p w14:paraId="2A86DF4A" w14:textId="77777777" w:rsidR="00AC728B" w:rsidRPr="00906E06" w:rsidRDefault="00AC728B" w:rsidP="00906E06">
      <w:pPr>
        <w:widowControl w:val="0"/>
        <w:tabs>
          <w:tab w:val="left" w:pos="2783"/>
        </w:tabs>
        <w:autoSpaceDE w:val="0"/>
        <w:autoSpaceDN w:val="0"/>
        <w:ind w:right="2394"/>
        <w:rPr>
          <w:b/>
          <w:szCs w:val="22"/>
          <w:lang w:eastAsia="en-US"/>
        </w:rPr>
      </w:pPr>
    </w:p>
    <w:p w14:paraId="1330D228" w14:textId="77777777" w:rsidR="00F845D8" w:rsidRPr="00906E06" w:rsidRDefault="00F845D8" w:rsidP="00906E06">
      <w:pPr>
        <w:widowControl w:val="0"/>
        <w:tabs>
          <w:tab w:val="left" w:pos="2783"/>
        </w:tabs>
        <w:autoSpaceDE w:val="0"/>
        <w:autoSpaceDN w:val="0"/>
        <w:ind w:right="2394"/>
        <w:rPr>
          <w:b/>
          <w:szCs w:val="22"/>
          <w:lang w:eastAsia="en-US"/>
        </w:rPr>
      </w:pPr>
    </w:p>
    <w:p w14:paraId="52FB0BD1" w14:textId="77777777" w:rsidR="00B64737" w:rsidRPr="002109C8" w:rsidRDefault="00B64737" w:rsidP="00906E06">
      <w:pPr>
        <w:widowControl w:val="0"/>
        <w:tabs>
          <w:tab w:val="left" w:pos="2783"/>
        </w:tabs>
        <w:autoSpaceDE w:val="0"/>
        <w:autoSpaceDN w:val="0"/>
        <w:ind w:right="2394"/>
        <w:rPr>
          <w:b/>
          <w:szCs w:val="22"/>
          <w:lang w:val="en-US" w:eastAsia="en-US"/>
        </w:rPr>
      </w:pPr>
    </w:p>
    <w:p w14:paraId="10A9B958" w14:textId="77777777" w:rsidR="00F845D8" w:rsidRDefault="00F845D8" w:rsidP="00906E06">
      <w:pPr>
        <w:jc w:val="both"/>
      </w:pPr>
    </w:p>
    <w:p w14:paraId="5A3810A7" w14:textId="77777777" w:rsidR="00300353" w:rsidRPr="00001EFA" w:rsidRDefault="00300353" w:rsidP="00906E06">
      <w:pPr>
        <w:suppressAutoHyphens/>
        <w:jc w:val="center"/>
        <w:rPr>
          <w:color w:val="000000"/>
        </w:rPr>
      </w:pPr>
    </w:p>
    <w:sectPr w:rsidR="00300353" w:rsidRPr="00001EFA" w:rsidSect="00300353">
      <w:headerReference w:type="even" r:id="rId15"/>
      <w:headerReference w:type="default" r:id="rId16"/>
      <w:footerReference w:type="even" r:id="rId17"/>
      <w:footerReference w:type="default" r:id="rId18"/>
      <w:headerReference w:type="first" r:id="rId19"/>
      <w:footerReference w:type="first" r:id="rId20"/>
      <w:pgSz w:w="11906" w:h="16838" w:code="9"/>
      <w:pgMar w:top="1134" w:right="1418" w:bottom="1247" w:left="1418" w:header="709" w:footer="709" w:gutter="0"/>
      <w:paperSrc w:first="1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38C36" w14:textId="77777777" w:rsidR="007A7A65" w:rsidRDefault="007A7A65">
      <w:r>
        <w:separator/>
      </w:r>
    </w:p>
  </w:endnote>
  <w:endnote w:type="continuationSeparator" w:id="0">
    <w:p w14:paraId="228F4359" w14:textId="77777777" w:rsidR="007A7A65" w:rsidRDefault="007A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44E22" w14:textId="77777777" w:rsidR="00F124A7" w:rsidRPr="003D263A" w:rsidRDefault="00F124A7" w:rsidP="00F70616">
    <w:pPr>
      <w:pStyle w:val="Footer"/>
      <w:pBdr>
        <w:top w:val="single" w:sz="4" w:space="1" w:color="404040"/>
      </w:pBdr>
      <w:jc w:val="center"/>
      <w:rPr>
        <w:color w:val="404040"/>
        <w:spacing w:val="20"/>
        <w:sz w:val="20"/>
      </w:rPr>
    </w:pPr>
    <w:r w:rsidRPr="003D263A">
      <w:rPr>
        <w:color w:val="404040"/>
        <w:spacing w:val="20"/>
        <w:sz w:val="20"/>
      </w:rPr>
      <w:t>B</w:t>
    </w:r>
    <w:r>
      <w:rPr>
        <w:color w:val="404040"/>
        <w:spacing w:val="20"/>
        <w:sz w:val="20"/>
      </w:rPr>
      <w:t>anski dvori | Trg Sv. Marka 2</w:t>
    </w:r>
    <w:r w:rsidRPr="003D263A">
      <w:rPr>
        <w:color w:val="404040"/>
        <w:spacing w:val="20"/>
        <w:sz w:val="20"/>
      </w:rPr>
      <w:t xml:space="preserve">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B4203" w14:textId="77777777" w:rsidR="00F124A7" w:rsidRPr="0026681E" w:rsidRDefault="00F124A7" w:rsidP="00F706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06F68" w14:textId="77777777" w:rsidR="00F124A7" w:rsidRDefault="00F124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811FB" w14:textId="77777777" w:rsidR="00F124A7" w:rsidRDefault="00F124A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01479" w14:textId="77777777" w:rsidR="00F124A7" w:rsidRDefault="00F12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E976F" w14:textId="77777777" w:rsidR="007A7A65" w:rsidRDefault="007A7A65">
      <w:r>
        <w:separator/>
      </w:r>
    </w:p>
  </w:footnote>
  <w:footnote w:type="continuationSeparator" w:id="0">
    <w:p w14:paraId="7578AFA6" w14:textId="77777777" w:rsidR="007A7A65" w:rsidRDefault="007A7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CE6F9" w14:textId="77777777" w:rsidR="00F124A7" w:rsidRDefault="00F124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B90E6" w14:textId="77777777" w:rsidR="00F124A7" w:rsidRDefault="00F124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0D5CC" w14:textId="77777777" w:rsidR="00F124A7" w:rsidRPr="002D01D3" w:rsidRDefault="00F124A7" w:rsidP="003003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32"/>
    <w:multiLevelType w:val="hybridMultilevel"/>
    <w:tmpl w:val="7E5281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54282E"/>
    <w:multiLevelType w:val="hybridMultilevel"/>
    <w:tmpl w:val="6A78ED50"/>
    <w:lvl w:ilvl="0" w:tplc="9946AB50">
      <w:start w:val="1"/>
      <w:numFmt w:val="decimal"/>
      <w:lvlText w:val="(%1)"/>
      <w:lvlJc w:val="left"/>
      <w:pPr>
        <w:ind w:left="118" w:hanging="406"/>
      </w:pPr>
      <w:rPr>
        <w:rFonts w:hint="default"/>
        <w:spacing w:val="-3"/>
        <w:w w:val="100"/>
      </w:rPr>
    </w:lvl>
    <w:lvl w:ilvl="1" w:tplc="CA62C818">
      <w:numFmt w:val="bullet"/>
      <w:lvlText w:val="•"/>
      <w:lvlJc w:val="left"/>
      <w:pPr>
        <w:ind w:left="1038" w:hanging="406"/>
      </w:pPr>
      <w:rPr>
        <w:rFonts w:hint="default"/>
      </w:rPr>
    </w:lvl>
    <w:lvl w:ilvl="2" w:tplc="C248BFEE">
      <w:numFmt w:val="bullet"/>
      <w:lvlText w:val="•"/>
      <w:lvlJc w:val="left"/>
      <w:pPr>
        <w:ind w:left="1957" w:hanging="406"/>
      </w:pPr>
      <w:rPr>
        <w:rFonts w:hint="default"/>
      </w:rPr>
    </w:lvl>
    <w:lvl w:ilvl="3" w:tplc="A5E48984">
      <w:numFmt w:val="bullet"/>
      <w:lvlText w:val="•"/>
      <w:lvlJc w:val="left"/>
      <w:pPr>
        <w:ind w:left="2875" w:hanging="406"/>
      </w:pPr>
      <w:rPr>
        <w:rFonts w:hint="default"/>
      </w:rPr>
    </w:lvl>
    <w:lvl w:ilvl="4" w:tplc="2B6ACF46">
      <w:numFmt w:val="bullet"/>
      <w:lvlText w:val="•"/>
      <w:lvlJc w:val="left"/>
      <w:pPr>
        <w:ind w:left="3794" w:hanging="406"/>
      </w:pPr>
      <w:rPr>
        <w:rFonts w:hint="default"/>
      </w:rPr>
    </w:lvl>
    <w:lvl w:ilvl="5" w:tplc="4EDEF542">
      <w:numFmt w:val="bullet"/>
      <w:lvlText w:val="•"/>
      <w:lvlJc w:val="left"/>
      <w:pPr>
        <w:ind w:left="4712" w:hanging="406"/>
      </w:pPr>
      <w:rPr>
        <w:rFonts w:hint="default"/>
      </w:rPr>
    </w:lvl>
    <w:lvl w:ilvl="6" w:tplc="67B898A4">
      <w:numFmt w:val="bullet"/>
      <w:lvlText w:val="•"/>
      <w:lvlJc w:val="left"/>
      <w:pPr>
        <w:ind w:left="5631" w:hanging="406"/>
      </w:pPr>
      <w:rPr>
        <w:rFonts w:hint="default"/>
      </w:rPr>
    </w:lvl>
    <w:lvl w:ilvl="7" w:tplc="4B42ADC4">
      <w:numFmt w:val="bullet"/>
      <w:lvlText w:val="•"/>
      <w:lvlJc w:val="left"/>
      <w:pPr>
        <w:ind w:left="6549" w:hanging="406"/>
      </w:pPr>
      <w:rPr>
        <w:rFonts w:hint="default"/>
      </w:rPr>
    </w:lvl>
    <w:lvl w:ilvl="8" w:tplc="DA6048FA">
      <w:numFmt w:val="bullet"/>
      <w:lvlText w:val="•"/>
      <w:lvlJc w:val="left"/>
      <w:pPr>
        <w:ind w:left="7468" w:hanging="406"/>
      </w:pPr>
      <w:rPr>
        <w:rFonts w:hint="default"/>
      </w:rPr>
    </w:lvl>
  </w:abstractNum>
  <w:abstractNum w:abstractNumId="2" w15:restartNumberingAfterBreak="0">
    <w:nsid w:val="09467334"/>
    <w:multiLevelType w:val="hybridMultilevel"/>
    <w:tmpl w:val="21CA93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AE86075"/>
    <w:multiLevelType w:val="hybridMultilevel"/>
    <w:tmpl w:val="6B10AF7E"/>
    <w:lvl w:ilvl="0" w:tplc="217884BA">
      <w:start w:val="1"/>
      <w:numFmt w:val="decimal"/>
      <w:lvlText w:val="(%1)"/>
      <w:lvlJc w:val="left"/>
      <w:pPr>
        <w:ind w:left="118" w:hanging="353"/>
      </w:pPr>
      <w:rPr>
        <w:rFonts w:ascii="Times New Roman" w:eastAsia="Times New Roman" w:hAnsi="Times New Roman" w:cs="Times New Roman" w:hint="default"/>
        <w:w w:val="100"/>
        <w:sz w:val="24"/>
        <w:szCs w:val="24"/>
      </w:rPr>
    </w:lvl>
    <w:lvl w:ilvl="1" w:tplc="6ED41B74">
      <w:start w:val="1"/>
      <w:numFmt w:val="decimal"/>
      <w:lvlText w:val="%2."/>
      <w:lvlJc w:val="left"/>
      <w:pPr>
        <w:ind w:left="684" w:hanging="250"/>
      </w:pPr>
      <w:rPr>
        <w:rFonts w:ascii="Times New Roman" w:eastAsia="Times New Roman" w:hAnsi="Times New Roman" w:cs="Times New Roman" w:hint="default"/>
        <w:w w:val="100"/>
        <w:sz w:val="24"/>
        <w:szCs w:val="24"/>
      </w:rPr>
    </w:lvl>
    <w:lvl w:ilvl="2" w:tplc="8B88769E">
      <w:numFmt w:val="bullet"/>
      <w:lvlText w:val="•"/>
      <w:lvlJc w:val="left"/>
      <w:pPr>
        <w:ind w:left="1638" w:hanging="250"/>
      </w:pPr>
      <w:rPr>
        <w:rFonts w:hint="default"/>
      </w:rPr>
    </w:lvl>
    <w:lvl w:ilvl="3" w:tplc="0A941156">
      <w:numFmt w:val="bullet"/>
      <w:lvlText w:val="•"/>
      <w:lvlJc w:val="left"/>
      <w:pPr>
        <w:ind w:left="2596" w:hanging="250"/>
      </w:pPr>
      <w:rPr>
        <w:rFonts w:hint="default"/>
      </w:rPr>
    </w:lvl>
    <w:lvl w:ilvl="4" w:tplc="8AF8F01E">
      <w:numFmt w:val="bullet"/>
      <w:lvlText w:val="•"/>
      <w:lvlJc w:val="left"/>
      <w:pPr>
        <w:ind w:left="3555" w:hanging="250"/>
      </w:pPr>
      <w:rPr>
        <w:rFonts w:hint="default"/>
      </w:rPr>
    </w:lvl>
    <w:lvl w:ilvl="5" w:tplc="44AE29EA">
      <w:numFmt w:val="bullet"/>
      <w:lvlText w:val="•"/>
      <w:lvlJc w:val="left"/>
      <w:pPr>
        <w:ind w:left="4513" w:hanging="250"/>
      </w:pPr>
      <w:rPr>
        <w:rFonts w:hint="default"/>
      </w:rPr>
    </w:lvl>
    <w:lvl w:ilvl="6" w:tplc="46965CBA">
      <w:numFmt w:val="bullet"/>
      <w:lvlText w:val="•"/>
      <w:lvlJc w:val="left"/>
      <w:pPr>
        <w:ind w:left="5471" w:hanging="250"/>
      </w:pPr>
      <w:rPr>
        <w:rFonts w:hint="default"/>
      </w:rPr>
    </w:lvl>
    <w:lvl w:ilvl="7" w:tplc="C9EE50B4">
      <w:numFmt w:val="bullet"/>
      <w:lvlText w:val="•"/>
      <w:lvlJc w:val="left"/>
      <w:pPr>
        <w:ind w:left="6430" w:hanging="250"/>
      </w:pPr>
      <w:rPr>
        <w:rFonts w:hint="default"/>
      </w:rPr>
    </w:lvl>
    <w:lvl w:ilvl="8" w:tplc="5A1C5112">
      <w:numFmt w:val="bullet"/>
      <w:lvlText w:val="•"/>
      <w:lvlJc w:val="left"/>
      <w:pPr>
        <w:ind w:left="7388" w:hanging="250"/>
      </w:pPr>
      <w:rPr>
        <w:rFonts w:hint="default"/>
      </w:rPr>
    </w:lvl>
  </w:abstractNum>
  <w:abstractNum w:abstractNumId="4" w15:restartNumberingAfterBreak="0">
    <w:nsid w:val="1B7E62A2"/>
    <w:multiLevelType w:val="hybridMultilevel"/>
    <w:tmpl w:val="3BC8D70E"/>
    <w:lvl w:ilvl="0" w:tplc="F550A9CC">
      <w:start w:val="1"/>
      <w:numFmt w:val="decimal"/>
      <w:lvlText w:val="(%1)"/>
      <w:lvlJc w:val="left"/>
      <w:pPr>
        <w:ind w:left="118" w:hanging="387"/>
      </w:pPr>
      <w:rPr>
        <w:rFonts w:ascii="Times New Roman" w:eastAsia="Times New Roman" w:hAnsi="Times New Roman" w:cs="Times New Roman" w:hint="default"/>
        <w:spacing w:val="-14"/>
        <w:w w:val="100"/>
        <w:sz w:val="24"/>
        <w:szCs w:val="24"/>
      </w:rPr>
    </w:lvl>
    <w:lvl w:ilvl="1" w:tplc="A5765072">
      <w:numFmt w:val="bullet"/>
      <w:lvlText w:val="•"/>
      <w:lvlJc w:val="left"/>
      <w:pPr>
        <w:ind w:left="1038" w:hanging="387"/>
      </w:pPr>
      <w:rPr>
        <w:rFonts w:hint="default"/>
      </w:rPr>
    </w:lvl>
    <w:lvl w:ilvl="2" w:tplc="9BC8C000">
      <w:numFmt w:val="bullet"/>
      <w:lvlText w:val="•"/>
      <w:lvlJc w:val="left"/>
      <w:pPr>
        <w:ind w:left="1957" w:hanging="387"/>
      </w:pPr>
      <w:rPr>
        <w:rFonts w:hint="default"/>
      </w:rPr>
    </w:lvl>
    <w:lvl w:ilvl="3" w:tplc="5C882784">
      <w:numFmt w:val="bullet"/>
      <w:lvlText w:val="•"/>
      <w:lvlJc w:val="left"/>
      <w:pPr>
        <w:ind w:left="2875" w:hanging="387"/>
      </w:pPr>
      <w:rPr>
        <w:rFonts w:hint="default"/>
      </w:rPr>
    </w:lvl>
    <w:lvl w:ilvl="4" w:tplc="3E6636A8">
      <w:numFmt w:val="bullet"/>
      <w:lvlText w:val="•"/>
      <w:lvlJc w:val="left"/>
      <w:pPr>
        <w:ind w:left="3794" w:hanging="387"/>
      </w:pPr>
      <w:rPr>
        <w:rFonts w:hint="default"/>
      </w:rPr>
    </w:lvl>
    <w:lvl w:ilvl="5" w:tplc="40D0D372">
      <w:numFmt w:val="bullet"/>
      <w:lvlText w:val="•"/>
      <w:lvlJc w:val="left"/>
      <w:pPr>
        <w:ind w:left="4712" w:hanging="387"/>
      </w:pPr>
      <w:rPr>
        <w:rFonts w:hint="default"/>
      </w:rPr>
    </w:lvl>
    <w:lvl w:ilvl="6" w:tplc="5E4E6DEE">
      <w:numFmt w:val="bullet"/>
      <w:lvlText w:val="•"/>
      <w:lvlJc w:val="left"/>
      <w:pPr>
        <w:ind w:left="5631" w:hanging="387"/>
      </w:pPr>
      <w:rPr>
        <w:rFonts w:hint="default"/>
      </w:rPr>
    </w:lvl>
    <w:lvl w:ilvl="7" w:tplc="CEE479E2">
      <w:numFmt w:val="bullet"/>
      <w:lvlText w:val="•"/>
      <w:lvlJc w:val="left"/>
      <w:pPr>
        <w:ind w:left="6549" w:hanging="387"/>
      </w:pPr>
      <w:rPr>
        <w:rFonts w:hint="default"/>
      </w:rPr>
    </w:lvl>
    <w:lvl w:ilvl="8" w:tplc="457C30AE">
      <w:numFmt w:val="bullet"/>
      <w:lvlText w:val="•"/>
      <w:lvlJc w:val="left"/>
      <w:pPr>
        <w:ind w:left="7468" w:hanging="387"/>
      </w:pPr>
      <w:rPr>
        <w:rFonts w:hint="default"/>
      </w:rPr>
    </w:lvl>
  </w:abstractNum>
  <w:abstractNum w:abstractNumId="5" w15:restartNumberingAfterBreak="0">
    <w:nsid w:val="2E6E63C4"/>
    <w:multiLevelType w:val="hybridMultilevel"/>
    <w:tmpl w:val="8B2CACC4"/>
    <w:lvl w:ilvl="0" w:tplc="0FE66E92">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E7A387A"/>
    <w:multiLevelType w:val="hybridMultilevel"/>
    <w:tmpl w:val="4E7C43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A5A3E21"/>
    <w:multiLevelType w:val="hybridMultilevel"/>
    <w:tmpl w:val="76A6324C"/>
    <w:lvl w:ilvl="0" w:tplc="09347CD0">
      <w:start w:val="1"/>
      <w:numFmt w:val="decimal"/>
      <w:lvlText w:val="(%1)"/>
      <w:lvlJc w:val="left"/>
      <w:pPr>
        <w:ind w:left="118" w:hanging="339"/>
      </w:pPr>
      <w:rPr>
        <w:rFonts w:ascii="Times New Roman" w:eastAsia="Times New Roman" w:hAnsi="Times New Roman" w:cs="Times New Roman" w:hint="default"/>
        <w:w w:val="100"/>
        <w:sz w:val="24"/>
        <w:szCs w:val="24"/>
      </w:rPr>
    </w:lvl>
    <w:lvl w:ilvl="1" w:tplc="CF928B70">
      <w:start w:val="1"/>
      <w:numFmt w:val="decimal"/>
      <w:lvlText w:val="%2."/>
      <w:lvlJc w:val="left"/>
      <w:pPr>
        <w:ind w:left="684" w:hanging="255"/>
      </w:pPr>
      <w:rPr>
        <w:rFonts w:ascii="Times New Roman" w:eastAsia="Times New Roman" w:hAnsi="Times New Roman" w:cs="Times New Roman" w:hint="default"/>
        <w:w w:val="100"/>
        <w:sz w:val="24"/>
        <w:szCs w:val="24"/>
      </w:rPr>
    </w:lvl>
    <w:lvl w:ilvl="2" w:tplc="E5044746">
      <w:numFmt w:val="bullet"/>
      <w:lvlText w:val="•"/>
      <w:lvlJc w:val="left"/>
      <w:pPr>
        <w:ind w:left="1638" w:hanging="255"/>
      </w:pPr>
      <w:rPr>
        <w:rFonts w:hint="default"/>
      </w:rPr>
    </w:lvl>
    <w:lvl w:ilvl="3" w:tplc="AA529B86">
      <w:numFmt w:val="bullet"/>
      <w:lvlText w:val="•"/>
      <w:lvlJc w:val="left"/>
      <w:pPr>
        <w:ind w:left="2596" w:hanging="255"/>
      </w:pPr>
      <w:rPr>
        <w:rFonts w:hint="default"/>
      </w:rPr>
    </w:lvl>
    <w:lvl w:ilvl="4" w:tplc="F1700C08">
      <w:numFmt w:val="bullet"/>
      <w:lvlText w:val="•"/>
      <w:lvlJc w:val="left"/>
      <w:pPr>
        <w:ind w:left="3555" w:hanging="255"/>
      </w:pPr>
      <w:rPr>
        <w:rFonts w:hint="default"/>
      </w:rPr>
    </w:lvl>
    <w:lvl w:ilvl="5" w:tplc="F000DDA0">
      <w:numFmt w:val="bullet"/>
      <w:lvlText w:val="•"/>
      <w:lvlJc w:val="left"/>
      <w:pPr>
        <w:ind w:left="4513" w:hanging="255"/>
      </w:pPr>
      <w:rPr>
        <w:rFonts w:hint="default"/>
      </w:rPr>
    </w:lvl>
    <w:lvl w:ilvl="6" w:tplc="01289F4E">
      <w:numFmt w:val="bullet"/>
      <w:lvlText w:val="•"/>
      <w:lvlJc w:val="left"/>
      <w:pPr>
        <w:ind w:left="5471" w:hanging="255"/>
      </w:pPr>
      <w:rPr>
        <w:rFonts w:hint="default"/>
      </w:rPr>
    </w:lvl>
    <w:lvl w:ilvl="7" w:tplc="068094B6">
      <w:numFmt w:val="bullet"/>
      <w:lvlText w:val="•"/>
      <w:lvlJc w:val="left"/>
      <w:pPr>
        <w:ind w:left="6430" w:hanging="255"/>
      </w:pPr>
      <w:rPr>
        <w:rFonts w:hint="default"/>
      </w:rPr>
    </w:lvl>
    <w:lvl w:ilvl="8" w:tplc="9AA8B002">
      <w:numFmt w:val="bullet"/>
      <w:lvlText w:val="•"/>
      <w:lvlJc w:val="left"/>
      <w:pPr>
        <w:ind w:left="7388" w:hanging="255"/>
      </w:pPr>
      <w:rPr>
        <w:rFonts w:hint="default"/>
      </w:rPr>
    </w:lvl>
  </w:abstractNum>
  <w:abstractNum w:abstractNumId="8" w15:restartNumberingAfterBreak="0">
    <w:nsid w:val="3F7F381B"/>
    <w:multiLevelType w:val="hybridMultilevel"/>
    <w:tmpl w:val="4E2C6222"/>
    <w:lvl w:ilvl="0" w:tplc="386880AA">
      <w:start w:val="1"/>
      <w:numFmt w:val="decimal"/>
      <w:lvlText w:val="(%1)"/>
      <w:lvlJc w:val="left"/>
      <w:pPr>
        <w:ind w:left="118" w:hanging="473"/>
      </w:pPr>
      <w:rPr>
        <w:rFonts w:ascii="Times New Roman" w:eastAsia="Times New Roman" w:hAnsi="Times New Roman" w:cs="Times New Roman" w:hint="default"/>
        <w:spacing w:val="-24"/>
        <w:w w:val="100"/>
        <w:sz w:val="24"/>
        <w:szCs w:val="24"/>
      </w:rPr>
    </w:lvl>
    <w:lvl w:ilvl="1" w:tplc="5B2C142E">
      <w:start w:val="1"/>
      <w:numFmt w:val="decimal"/>
      <w:lvlText w:val="%2."/>
      <w:lvlJc w:val="left"/>
      <w:pPr>
        <w:ind w:left="684" w:hanging="252"/>
      </w:pPr>
      <w:rPr>
        <w:rFonts w:ascii="Times New Roman" w:eastAsia="Times New Roman" w:hAnsi="Times New Roman" w:cs="Times New Roman" w:hint="default"/>
        <w:w w:val="100"/>
        <w:sz w:val="24"/>
        <w:szCs w:val="24"/>
      </w:rPr>
    </w:lvl>
    <w:lvl w:ilvl="2" w:tplc="64FC7464">
      <w:numFmt w:val="bullet"/>
      <w:lvlText w:val="•"/>
      <w:lvlJc w:val="left"/>
      <w:pPr>
        <w:ind w:left="1638" w:hanging="252"/>
      </w:pPr>
      <w:rPr>
        <w:rFonts w:hint="default"/>
      </w:rPr>
    </w:lvl>
    <w:lvl w:ilvl="3" w:tplc="82EC12F8">
      <w:numFmt w:val="bullet"/>
      <w:lvlText w:val="•"/>
      <w:lvlJc w:val="left"/>
      <w:pPr>
        <w:ind w:left="2596" w:hanging="252"/>
      </w:pPr>
      <w:rPr>
        <w:rFonts w:hint="default"/>
      </w:rPr>
    </w:lvl>
    <w:lvl w:ilvl="4" w:tplc="1B3E7060">
      <w:numFmt w:val="bullet"/>
      <w:lvlText w:val="•"/>
      <w:lvlJc w:val="left"/>
      <w:pPr>
        <w:ind w:left="3555" w:hanging="252"/>
      </w:pPr>
      <w:rPr>
        <w:rFonts w:hint="default"/>
      </w:rPr>
    </w:lvl>
    <w:lvl w:ilvl="5" w:tplc="920C3A3C">
      <w:numFmt w:val="bullet"/>
      <w:lvlText w:val="•"/>
      <w:lvlJc w:val="left"/>
      <w:pPr>
        <w:ind w:left="4513" w:hanging="252"/>
      </w:pPr>
      <w:rPr>
        <w:rFonts w:hint="default"/>
      </w:rPr>
    </w:lvl>
    <w:lvl w:ilvl="6" w:tplc="909C394A">
      <w:numFmt w:val="bullet"/>
      <w:lvlText w:val="•"/>
      <w:lvlJc w:val="left"/>
      <w:pPr>
        <w:ind w:left="5471" w:hanging="252"/>
      </w:pPr>
      <w:rPr>
        <w:rFonts w:hint="default"/>
      </w:rPr>
    </w:lvl>
    <w:lvl w:ilvl="7" w:tplc="239EB8B2">
      <w:numFmt w:val="bullet"/>
      <w:lvlText w:val="•"/>
      <w:lvlJc w:val="left"/>
      <w:pPr>
        <w:ind w:left="6430" w:hanging="252"/>
      </w:pPr>
      <w:rPr>
        <w:rFonts w:hint="default"/>
      </w:rPr>
    </w:lvl>
    <w:lvl w:ilvl="8" w:tplc="393E85DA">
      <w:numFmt w:val="bullet"/>
      <w:lvlText w:val="•"/>
      <w:lvlJc w:val="left"/>
      <w:pPr>
        <w:ind w:left="7388" w:hanging="252"/>
      </w:pPr>
      <w:rPr>
        <w:rFonts w:hint="default"/>
      </w:rPr>
    </w:lvl>
  </w:abstractNum>
  <w:abstractNum w:abstractNumId="9" w15:restartNumberingAfterBreak="0">
    <w:nsid w:val="3F9D372B"/>
    <w:multiLevelType w:val="hybridMultilevel"/>
    <w:tmpl w:val="AA96B7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25503D7"/>
    <w:multiLevelType w:val="hybridMultilevel"/>
    <w:tmpl w:val="5F48B566"/>
    <w:lvl w:ilvl="0" w:tplc="D09C9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023BF4"/>
    <w:multiLevelType w:val="hybridMultilevel"/>
    <w:tmpl w:val="66787CA6"/>
    <w:lvl w:ilvl="0" w:tplc="73EE0042">
      <w:numFmt w:val="bullet"/>
      <w:lvlText w:val="-"/>
      <w:lvlJc w:val="left"/>
      <w:pPr>
        <w:ind w:left="1065" w:hanging="360"/>
      </w:pPr>
      <w:rPr>
        <w:rFonts w:ascii="Times New Roman" w:eastAsia="Calibri"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2" w15:restartNumberingAfterBreak="0">
    <w:nsid w:val="50191394"/>
    <w:multiLevelType w:val="hybridMultilevel"/>
    <w:tmpl w:val="4546D9B6"/>
    <w:lvl w:ilvl="0" w:tplc="69D46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6261F4"/>
    <w:multiLevelType w:val="hybridMultilevel"/>
    <w:tmpl w:val="BA665FDA"/>
    <w:lvl w:ilvl="0" w:tplc="4EBAB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1A31AB"/>
    <w:multiLevelType w:val="hybridMultilevel"/>
    <w:tmpl w:val="0A7208D2"/>
    <w:lvl w:ilvl="0" w:tplc="BF7C8B18">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5D026DF5"/>
    <w:multiLevelType w:val="hybridMultilevel"/>
    <w:tmpl w:val="1A6CED62"/>
    <w:lvl w:ilvl="0" w:tplc="693EEF10">
      <w:start w:val="1"/>
      <w:numFmt w:val="decimal"/>
      <w:lvlText w:val="(%1)"/>
      <w:lvlJc w:val="left"/>
      <w:pPr>
        <w:ind w:left="118" w:hanging="459"/>
      </w:pPr>
      <w:rPr>
        <w:rFonts w:ascii="Times New Roman" w:eastAsia="Times New Roman" w:hAnsi="Times New Roman" w:cs="Times New Roman" w:hint="default"/>
        <w:spacing w:val="-5"/>
        <w:w w:val="100"/>
        <w:sz w:val="24"/>
        <w:szCs w:val="24"/>
      </w:rPr>
    </w:lvl>
    <w:lvl w:ilvl="1" w:tplc="F06CFC66">
      <w:numFmt w:val="bullet"/>
      <w:lvlText w:val="•"/>
      <w:lvlJc w:val="left"/>
      <w:pPr>
        <w:ind w:left="1038" w:hanging="459"/>
      </w:pPr>
      <w:rPr>
        <w:rFonts w:hint="default"/>
      </w:rPr>
    </w:lvl>
    <w:lvl w:ilvl="2" w:tplc="5F34C870">
      <w:numFmt w:val="bullet"/>
      <w:lvlText w:val="•"/>
      <w:lvlJc w:val="left"/>
      <w:pPr>
        <w:ind w:left="1957" w:hanging="459"/>
      </w:pPr>
      <w:rPr>
        <w:rFonts w:hint="default"/>
      </w:rPr>
    </w:lvl>
    <w:lvl w:ilvl="3" w:tplc="E55EDDEA">
      <w:numFmt w:val="bullet"/>
      <w:lvlText w:val="•"/>
      <w:lvlJc w:val="left"/>
      <w:pPr>
        <w:ind w:left="2875" w:hanging="459"/>
      </w:pPr>
      <w:rPr>
        <w:rFonts w:hint="default"/>
      </w:rPr>
    </w:lvl>
    <w:lvl w:ilvl="4" w:tplc="F6F6FC44">
      <w:numFmt w:val="bullet"/>
      <w:lvlText w:val="•"/>
      <w:lvlJc w:val="left"/>
      <w:pPr>
        <w:ind w:left="3794" w:hanging="459"/>
      </w:pPr>
      <w:rPr>
        <w:rFonts w:hint="default"/>
      </w:rPr>
    </w:lvl>
    <w:lvl w:ilvl="5" w:tplc="66D466BC">
      <w:numFmt w:val="bullet"/>
      <w:lvlText w:val="•"/>
      <w:lvlJc w:val="left"/>
      <w:pPr>
        <w:ind w:left="4712" w:hanging="459"/>
      </w:pPr>
      <w:rPr>
        <w:rFonts w:hint="default"/>
      </w:rPr>
    </w:lvl>
    <w:lvl w:ilvl="6" w:tplc="96CEFE1A">
      <w:numFmt w:val="bullet"/>
      <w:lvlText w:val="•"/>
      <w:lvlJc w:val="left"/>
      <w:pPr>
        <w:ind w:left="5631" w:hanging="459"/>
      </w:pPr>
      <w:rPr>
        <w:rFonts w:hint="default"/>
      </w:rPr>
    </w:lvl>
    <w:lvl w:ilvl="7" w:tplc="B4B64134">
      <w:numFmt w:val="bullet"/>
      <w:lvlText w:val="•"/>
      <w:lvlJc w:val="left"/>
      <w:pPr>
        <w:ind w:left="6549" w:hanging="459"/>
      </w:pPr>
      <w:rPr>
        <w:rFonts w:hint="default"/>
      </w:rPr>
    </w:lvl>
    <w:lvl w:ilvl="8" w:tplc="DE2A809A">
      <w:numFmt w:val="bullet"/>
      <w:lvlText w:val="•"/>
      <w:lvlJc w:val="left"/>
      <w:pPr>
        <w:ind w:left="7468" w:hanging="459"/>
      </w:pPr>
      <w:rPr>
        <w:rFonts w:hint="default"/>
      </w:rPr>
    </w:lvl>
  </w:abstractNum>
  <w:abstractNum w:abstractNumId="16" w15:restartNumberingAfterBreak="0">
    <w:nsid w:val="605D07BA"/>
    <w:multiLevelType w:val="hybridMultilevel"/>
    <w:tmpl w:val="2D22F53E"/>
    <w:lvl w:ilvl="0" w:tplc="E126F990">
      <w:start w:val="1"/>
      <w:numFmt w:val="decimal"/>
      <w:lvlText w:val="(%1)"/>
      <w:lvlJc w:val="left"/>
      <w:pPr>
        <w:ind w:left="456" w:hanging="339"/>
      </w:pPr>
      <w:rPr>
        <w:rFonts w:ascii="Times New Roman" w:eastAsia="Times New Roman" w:hAnsi="Times New Roman" w:cs="Times New Roman" w:hint="default"/>
        <w:w w:val="100"/>
        <w:sz w:val="24"/>
        <w:szCs w:val="24"/>
      </w:rPr>
    </w:lvl>
    <w:lvl w:ilvl="1" w:tplc="AFB8B81E">
      <w:start w:val="1"/>
      <w:numFmt w:val="decimal"/>
      <w:lvlText w:val="%2."/>
      <w:lvlJc w:val="left"/>
      <w:pPr>
        <w:ind w:left="684" w:hanging="396"/>
      </w:pPr>
      <w:rPr>
        <w:rFonts w:ascii="Times New Roman" w:eastAsia="Times New Roman" w:hAnsi="Times New Roman" w:cs="Times New Roman" w:hint="default"/>
        <w:spacing w:val="-30"/>
        <w:w w:val="100"/>
        <w:sz w:val="24"/>
        <w:szCs w:val="24"/>
      </w:rPr>
    </w:lvl>
    <w:lvl w:ilvl="2" w:tplc="CEBEC5A6">
      <w:numFmt w:val="bullet"/>
      <w:lvlText w:val="•"/>
      <w:lvlJc w:val="left"/>
      <w:pPr>
        <w:ind w:left="1638" w:hanging="396"/>
      </w:pPr>
      <w:rPr>
        <w:rFonts w:hint="default"/>
      </w:rPr>
    </w:lvl>
    <w:lvl w:ilvl="3" w:tplc="1D385A78">
      <w:numFmt w:val="bullet"/>
      <w:lvlText w:val="•"/>
      <w:lvlJc w:val="left"/>
      <w:pPr>
        <w:ind w:left="2596" w:hanging="396"/>
      </w:pPr>
      <w:rPr>
        <w:rFonts w:hint="default"/>
      </w:rPr>
    </w:lvl>
    <w:lvl w:ilvl="4" w:tplc="1C845BE4">
      <w:numFmt w:val="bullet"/>
      <w:lvlText w:val="•"/>
      <w:lvlJc w:val="left"/>
      <w:pPr>
        <w:ind w:left="3555" w:hanging="396"/>
      </w:pPr>
      <w:rPr>
        <w:rFonts w:hint="default"/>
      </w:rPr>
    </w:lvl>
    <w:lvl w:ilvl="5" w:tplc="92AA034E">
      <w:numFmt w:val="bullet"/>
      <w:lvlText w:val="•"/>
      <w:lvlJc w:val="left"/>
      <w:pPr>
        <w:ind w:left="4513" w:hanging="396"/>
      </w:pPr>
      <w:rPr>
        <w:rFonts w:hint="default"/>
      </w:rPr>
    </w:lvl>
    <w:lvl w:ilvl="6" w:tplc="02141016">
      <w:numFmt w:val="bullet"/>
      <w:lvlText w:val="•"/>
      <w:lvlJc w:val="left"/>
      <w:pPr>
        <w:ind w:left="5471" w:hanging="396"/>
      </w:pPr>
      <w:rPr>
        <w:rFonts w:hint="default"/>
      </w:rPr>
    </w:lvl>
    <w:lvl w:ilvl="7" w:tplc="6616B5A6">
      <w:numFmt w:val="bullet"/>
      <w:lvlText w:val="•"/>
      <w:lvlJc w:val="left"/>
      <w:pPr>
        <w:ind w:left="6430" w:hanging="396"/>
      </w:pPr>
      <w:rPr>
        <w:rFonts w:hint="default"/>
      </w:rPr>
    </w:lvl>
    <w:lvl w:ilvl="8" w:tplc="4DD411C0">
      <w:numFmt w:val="bullet"/>
      <w:lvlText w:val="•"/>
      <w:lvlJc w:val="left"/>
      <w:pPr>
        <w:ind w:left="7388" w:hanging="396"/>
      </w:pPr>
      <w:rPr>
        <w:rFonts w:hint="default"/>
      </w:rPr>
    </w:lvl>
  </w:abstractNum>
  <w:abstractNum w:abstractNumId="17" w15:restartNumberingAfterBreak="0">
    <w:nsid w:val="621E5C26"/>
    <w:multiLevelType w:val="hybridMultilevel"/>
    <w:tmpl w:val="F4920DB6"/>
    <w:lvl w:ilvl="0" w:tplc="8CDA06DE">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42106F5"/>
    <w:multiLevelType w:val="hybridMultilevel"/>
    <w:tmpl w:val="2A601580"/>
    <w:lvl w:ilvl="0" w:tplc="263E7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B11415"/>
    <w:multiLevelType w:val="hybridMultilevel"/>
    <w:tmpl w:val="4DB20E0E"/>
    <w:lvl w:ilvl="0" w:tplc="09BA8148">
      <w:start w:val="2"/>
      <w:numFmt w:val="bullet"/>
      <w:lvlText w:val="-"/>
      <w:lvlJc w:val="left"/>
      <w:pPr>
        <w:tabs>
          <w:tab w:val="num" w:pos="720"/>
        </w:tabs>
        <w:ind w:left="720" w:hanging="360"/>
      </w:pPr>
      <w:rPr>
        <w:rFonts w:ascii="TimesNewRomanPS-BoldMT" w:eastAsia="Times New Roman" w:hAnsi="TimesNewRomanPS-BoldMT" w:cs="TimesNewRomanPS-BoldMT" w:hint="default"/>
        <w:color w:val="00000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51057F"/>
    <w:multiLevelType w:val="hybridMultilevel"/>
    <w:tmpl w:val="F4086410"/>
    <w:lvl w:ilvl="0" w:tplc="4D7633B4">
      <w:start w:val="1"/>
      <w:numFmt w:val="decimal"/>
      <w:lvlText w:val="(%1)"/>
      <w:lvlJc w:val="left"/>
      <w:pPr>
        <w:ind w:left="516" w:hanging="339"/>
      </w:pPr>
      <w:rPr>
        <w:rFonts w:ascii="Times New Roman" w:eastAsia="Times New Roman" w:hAnsi="Times New Roman" w:cs="Times New Roman" w:hint="default"/>
        <w:spacing w:val="-1"/>
        <w:w w:val="100"/>
        <w:sz w:val="24"/>
        <w:szCs w:val="24"/>
      </w:rPr>
    </w:lvl>
    <w:lvl w:ilvl="1" w:tplc="0C209668">
      <w:start w:val="1"/>
      <w:numFmt w:val="decimal"/>
      <w:lvlText w:val="%2."/>
      <w:lvlJc w:val="left"/>
      <w:pPr>
        <w:ind w:left="684" w:hanging="276"/>
      </w:pPr>
      <w:rPr>
        <w:rFonts w:ascii="Times New Roman" w:eastAsia="Times New Roman" w:hAnsi="Times New Roman" w:cs="Times New Roman" w:hint="default"/>
        <w:spacing w:val="-27"/>
        <w:w w:val="100"/>
        <w:sz w:val="24"/>
        <w:szCs w:val="24"/>
      </w:rPr>
    </w:lvl>
    <w:lvl w:ilvl="2" w:tplc="9300D666">
      <w:numFmt w:val="bullet"/>
      <w:lvlText w:val="•"/>
      <w:lvlJc w:val="left"/>
      <w:pPr>
        <w:ind w:left="1638" w:hanging="276"/>
      </w:pPr>
      <w:rPr>
        <w:rFonts w:hint="default"/>
      </w:rPr>
    </w:lvl>
    <w:lvl w:ilvl="3" w:tplc="C228EBB6">
      <w:numFmt w:val="bullet"/>
      <w:lvlText w:val="•"/>
      <w:lvlJc w:val="left"/>
      <w:pPr>
        <w:ind w:left="2596" w:hanging="276"/>
      </w:pPr>
      <w:rPr>
        <w:rFonts w:hint="default"/>
      </w:rPr>
    </w:lvl>
    <w:lvl w:ilvl="4" w:tplc="59662FAC">
      <w:numFmt w:val="bullet"/>
      <w:lvlText w:val="•"/>
      <w:lvlJc w:val="left"/>
      <w:pPr>
        <w:ind w:left="3555" w:hanging="276"/>
      </w:pPr>
      <w:rPr>
        <w:rFonts w:hint="default"/>
      </w:rPr>
    </w:lvl>
    <w:lvl w:ilvl="5" w:tplc="5300997C">
      <w:numFmt w:val="bullet"/>
      <w:lvlText w:val="•"/>
      <w:lvlJc w:val="left"/>
      <w:pPr>
        <w:ind w:left="4513" w:hanging="276"/>
      </w:pPr>
      <w:rPr>
        <w:rFonts w:hint="default"/>
      </w:rPr>
    </w:lvl>
    <w:lvl w:ilvl="6" w:tplc="C14280C2">
      <w:numFmt w:val="bullet"/>
      <w:lvlText w:val="•"/>
      <w:lvlJc w:val="left"/>
      <w:pPr>
        <w:ind w:left="5471" w:hanging="276"/>
      </w:pPr>
      <w:rPr>
        <w:rFonts w:hint="default"/>
      </w:rPr>
    </w:lvl>
    <w:lvl w:ilvl="7" w:tplc="254C1764">
      <w:numFmt w:val="bullet"/>
      <w:lvlText w:val="•"/>
      <w:lvlJc w:val="left"/>
      <w:pPr>
        <w:ind w:left="6430" w:hanging="276"/>
      </w:pPr>
      <w:rPr>
        <w:rFonts w:hint="default"/>
      </w:rPr>
    </w:lvl>
    <w:lvl w:ilvl="8" w:tplc="A7864160">
      <w:numFmt w:val="bullet"/>
      <w:lvlText w:val="•"/>
      <w:lvlJc w:val="left"/>
      <w:pPr>
        <w:ind w:left="7388" w:hanging="276"/>
      </w:pPr>
      <w:rPr>
        <w:rFonts w:hint="default"/>
      </w:rPr>
    </w:lvl>
  </w:abstractNum>
  <w:num w:numId="1">
    <w:abstractNumId w:val="6"/>
  </w:num>
  <w:num w:numId="2">
    <w:abstractNumId w:val="9"/>
  </w:num>
  <w:num w:numId="3">
    <w:abstractNumId w:val="0"/>
  </w:num>
  <w:num w:numId="4">
    <w:abstractNumId w:val="19"/>
  </w:num>
  <w:num w:numId="5">
    <w:abstractNumId w:val="17"/>
  </w:num>
  <w:num w:numId="6">
    <w:abstractNumId w:val="14"/>
  </w:num>
  <w:num w:numId="7">
    <w:abstractNumId w:val="16"/>
  </w:num>
  <w:num w:numId="8">
    <w:abstractNumId w:val="4"/>
  </w:num>
  <w:num w:numId="9">
    <w:abstractNumId w:val="15"/>
  </w:num>
  <w:num w:numId="10">
    <w:abstractNumId w:val="3"/>
  </w:num>
  <w:num w:numId="11">
    <w:abstractNumId w:val="8"/>
  </w:num>
  <w:num w:numId="12">
    <w:abstractNumId w:val="20"/>
  </w:num>
  <w:num w:numId="13">
    <w:abstractNumId w:val="7"/>
  </w:num>
  <w:num w:numId="14">
    <w:abstractNumId w:val="1"/>
  </w:num>
  <w:num w:numId="15">
    <w:abstractNumId w:val="2"/>
  </w:num>
  <w:num w:numId="16">
    <w:abstractNumId w:val="5"/>
  </w:num>
  <w:num w:numId="17">
    <w:abstractNumId w:val="11"/>
  </w:num>
  <w:num w:numId="18">
    <w:abstractNumId w:val="18"/>
  </w:num>
  <w:num w:numId="19">
    <w:abstractNumId w:val="10"/>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D9"/>
    <w:rsid w:val="00001EFA"/>
    <w:rsid w:val="00067882"/>
    <w:rsid w:val="000A1EC0"/>
    <w:rsid w:val="000B50DE"/>
    <w:rsid w:val="000C3F53"/>
    <w:rsid w:val="000E35CB"/>
    <w:rsid w:val="000E59FD"/>
    <w:rsid w:val="00101BF7"/>
    <w:rsid w:val="00103160"/>
    <w:rsid w:val="001063CD"/>
    <w:rsid w:val="00117777"/>
    <w:rsid w:val="00117D0D"/>
    <w:rsid w:val="00127DE4"/>
    <w:rsid w:val="0013233A"/>
    <w:rsid w:val="001373D9"/>
    <w:rsid w:val="00153FB8"/>
    <w:rsid w:val="001615D8"/>
    <w:rsid w:val="00174BFA"/>
    <w:rsid w:val="00190891"/>
    <w:rsid w:val="00196CD6"/>
    <w:rsid w:val="001B0DCE"/>
    <w:rsid w:val="001B31EC"/>
    <w:rsid w:val="001B73CF"/>
    <w:rsid w:val="001C193D"/>
    <w:rsid w:val="001C2050"/>
    <w:rsid w:val="001D5929"/>
    <w:rsid w:val="001E7D9E"/>
    <w:rsid w:val="00207F41"/>
    <w:rsid w:val="00222C7B"/>
    <w:rsid w:val="00275E9D"/>
    <w:rsid w:val="002B086A"/>
    <w:rsid w:val="002C0916"/>
    <w:rsid w:val="002C1A18"/>
    <w:rsid w:val="002D2A38"/>
    <w:rsid w:val="002F50F7"/>
    <w:rsid w:val="00300353"/>
    <w:rsid w:val="003215FA"/>
    <w:rsid w:val="00334D97"/>
    <w:rsid w:val="00334E7B"/>
    <w:rsid w:val="00366570"/>
    <w:rsid w:val="00376326"/>
    <w:rsid w:val="00376EA1"/>
    <w:rsid w:val="00377A18"/>
    <w:rsid w:val="00381009"/>
    <w:rsid w:val="0038404B"/>
    <w:rsid w:val="0038420D"/>
    <w:rsid w:val="003A11D9"/>
    <w:rsid w:val="003D30C8"/>
    <w:rsid w:val="003D32CD"/>
    <w:rsid w:val="003E4263"/>
    <w:rsid w:val="003F21B5"/>
    <w:rsid w:val="003F2571"/>
    <w:rsid w:val="003F2C38"/>
    <w:rsid w:val="003F3A2A"/>
    <w:rsid w:val="0042185D"/>
    <w:rsid w:val="004500B7"/>
    <w:rsid w:val="0047466C"/>
    <w:rsid w:val="00496215"/>
    <w:rsid w:val="004A6FC6"/>
    <w:rsid w:val="004E056D"/>
    <w:rsid w:val="004E25D8"/>
    <w:rsid w:val="004E5D15"/>
    <w:rsid w:val="00511107"/>
    <w:rsid w:val="00534432"/>
    <w:rsid w:val="00550492"/>
    <w:rsid w:val="0057012D"/>
    <w:rsid w:val="005738C4"/>
    <w:rsid w:val="00574E93"/>
    <w:rsid w:val="005A5CD9"/>
    <w:rsid w:val="005B1A90"/>
    <w:rsid w:val="005B4949"/>
    <w:rsid w:val="005D3370"/>
    <w:rsid w:val="00607531"/>
    <w:rsid w:val="00627393"/>
    <w:rsid w:val="00627E8A"/>
    <w:rsid w:val="00643877"/>
    <w:rsid w:val="006455F0"/>
    <w:rsid w:val="00665E54"/>
    <w:rsid w:val="0067772E"/>
    <w:rsid w:val="00683EED"/>
    <w:rsid w:val="00687C90"/>
    <w:rsid w:val="006A0015"/>
    <w:rsid w:val="006A3872"/>
    <w:rsid w:val="006B420C"/>
    <w:rsid w:val="006E6C19"/>
    <w:rsid w:val="00706DDA"/>
    <w:rsid w:val="00706F67"/>
    <w:rsid w:val="007249D5"/>
    <w:rsid w:val="00773C8B"/>
    <w:rsid w:val="007753F8"/>
    <w:rsid w:val="007943B6"/>
    <w:rsid w:val="00797F45"/>
    <w:rsid w:val="007A1A9B"/>
    <w:rsid w:val="007A295B"/>
    <w:rsid w:val="007A7A65"/>
    <w:rsid w:val="007E4314"/>
    <w:rsid w:val="007F3713"/>
    <w:rsid w:val="007F760D"/>
    <w:rsid w:val="00801C7E"/>
    <w:rsid w:val="00836B7B"/>
    <w:rsid w:val="0084296F"/>
    <w:rsid w:val="008439D2"/>
    <w:rsid w:val="00855FD5"/>
    <w:rsid w:val="0089338F"/>
    <w:rsid w:val="00895BAE"/>
    <w:rsid w:val="00896174"/>
    <w:rsid w:val="008976F4"/>
    <w:rsid w:val="00897C84"/>
    <w:rsid w:val="008A2C13"/>
    <w:rsid w:val="008A2D57"/>
    <w:rsid w:val="008A53EC"/>
    <w:rsid w:val="008B31FD"/>
    <w:rsid w:val="008C4E72"/>
    <w:rsid w:val="008D511A"/>
    <w:rsid w:val="008D7845"/>
    <w:rsid w:val="00904CE3"/>
    <w:rsid w:val="00906E06"/>
    <w:rsid w:val="00926FBC"/>
    <w:rsid w:val="009442CF"/>
    <w:rsid w:val="009537CB"/>
    <w:rsid w:val="00975662"/>
    <w:rsid w:val="00976EF4"/>
    <w:rsid w:val="00981CED"/>
    <w:rsid w:val="00987E3E"/>
    <w:rsid w:val="00992B2F"/>
    <w:rsid w:val="009949DC"/>
    <w:rsid w:val="00996396"/>
    <w:rsid w:val="009A0702"/>
    <w:rsid w:val="009B5946"/>
    <w:rsid w:val="009C239F"/>
    <w:rsid w:val="009C7C91"/>
    <w:rsid w:val="009F6054"/>
    <w:rsid w:val="00A17A60"/>
    <w:rsid w:val="00A53805"/>
    <w:rsid w:val="00A5692E"/>
    <w:rsid w:val="00A60872"/>
    <w:rsid w:val="00A6146D"/>
    <w:rsid w:val="00A7474A"/>
    <w:rsid w:val="00A967ED"/>
    <w:rsid w:val="00AC728B"/>
    <w:rsid w:val="00B40CED"/>
    <w:rsid w:val="00B4560E"/>
    <w:rsid w:val="00B60A7C"/>
    <w:rsid w:val="00B6268B"/>
    <w:rsid w:val="00B64737"/>
    <w:rsid w:val="00BD1542"/>
    <w:rsid w:val="00BD1AE8"/>
    <w:rsid w:val="00BD4A31"/>
    <w:rsid w:val="00BD681A"/>
    <w:rsid w:val="00BD6D68"/>
    <w:rsid w:val="00BE4DD2"/>
    <w:rsid w:val="00BE61EE"/>
    <w:rsid w:val="00BE79CB"/>
    <w:rsid w:val="00C032D3"/>
    <w:rsid w:val="00C30147"/>
    <w:rsid w:val="00C44438"/>
    <w:rsid w:val="00C44714"/>
    <w:rsid w:val="00C464C8"/>
    <w:rsid w:val="00C93053"/>
    <w:rsid w:val="00CC754E"/>
    <w:rsid w:val="00CD0A3B"/>
    <w:rsid w:val="00CE24BF"/>
    <w:rsid w:val="00D17A07"/>
    <w:rsid w:val="00D2065F"/>
    <w:rsid w:val="00D227A3"/>
    <w:rsid w:val="00D230D7"/>
    <w:rsid w:val="00D556A1"/>
    <w:rsid w:val="00D6275B"/>
    <w:rsid w:val="00D7242A"/>
    <w:rsid w:val="00D75B51"/>
    <w:rsid w:val="00D8655C"/>
    <w:rsid w:val="00D91EBE"/>
    <w:rsid w:val="00DA5059"/>
    <w:rsid w:val="00DB54A9"/>
    <w:rsid w:val="00DB6EB9"/>
    <w:rsid w:val="00DE671A"/>
    <w:rsid w:val="00E006C4"/>
    <w:rsid w:val="00E23FB4"/>
    <w:rsid w:val="00E3296B"/>
    <w:rsid w:val="00E461BB"/>
    <w:rsid w:val="00E6062B"/>
    <w:rsid w:val="00E93AA8"/>
    <w:rsid w:val="00EA2BBD"/>
    <w:rsid w:val="00EA34E1"/>
    <w:rsid w:val="00EA41EB"/>
    <w:rsid w:val="00EB38A4"/>
    <w:rsid w:val="00ED09D7"/>
    <w:rsid w:val="00ED4821"/>
    <w:rsid w:val="00ED735A"/>
    <w:rsid w:val="00ED75C2"/>
    <w:rsid w:val="00EE5DF1"/>
    <w:rsid w:val="00F11648"/>
    <w:rsid w:val="00F124A7"/>
    <w:rsid w:val="00F15B77"/>
    <w:rsid w:val="00F25858"/>
    <w:rsid w:val="00F32B03"/>
    <w:rsid w:val="00F43991"/>
    <w:rsid w:val="00F647E8"/>
    <w:rsid w:val="00F70616"/>
    <w:rsid w:val="00F7599E"/>
    <w:rsid w:val="00F845D8"/>
    <w:rsid w:val="00FB5ED1"/>
    <w:rsid w:val="00FC2393"/>
    <w:rsid w:val="00FC3D71"/>
    <w:rsid w:val="00FD011B"/>
    <w:rsid w:val="00FD3CF8"/>
    <w:rsid w:val="00FE7A4E"/>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1D5D5"/>
  <w15:docId w15:val="{C9BD2A6B-3CF0-49B9-9B25-74D57E58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891"/>
    <w:rPr>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85DAD"/>
    <w:pPr>
      <w:tabs>
        <w:tab w:val="center" w:pos="4536"/>
        <w:tab w:val="right" w:pos="9072"/>
      </w:tabs>
    </w:pPr>
  </w:style>
  <w:style w:type="character" w:customStyle="1" w:styleId="HeaderChar">
    <w:name w:val="Header Char"/>
    <w:link w:val="Header"/>
    <w:rsid w:val="00985DAD"/>
    <w:rPr>
      <w:sz w:val="24"/>
      <w:szCs w:val="24"/>
    </w:rPr>
  </w:style>
  <w:style w:type="paragraph" w:styleId="Footer">
    <w:name w:val="footer"/>
    <w:basedOn w:val="Normal"/>
    <w:link w:val="FooterChar"/>
    <w:rsid w:val="00985DAD"/>
    <w:pPr>
      <w:tabs>
        <w:tab w:val="center" w:pos="4536"/>
        <w:tab w:val="right" w:pos="9072"/>
      </w:tabs>
    </w:pPr>
  </w:style>
  <w:style w:type="character" w:customStyle="1" w:styleId="FooterChar">
    <w:name w:val="Footer Char"/>
    <w:link w:val="Footer"/>
    <w:rsid w:val="00985DAD"/>
    <w:rPr>
      <w:sz w:val="24"/>
      <w:szCs w:val="24"/>
    </w:rPr>
  </w:style>
  <w:style w:type="paragraph" w:styleId="ListParagraph">
    <w:name w:val="List Paragraph"/>
    <w:basedOn w:val="Normal"/>
    <w:uiPriority w:val="34"/>
    <w:qFormat/>
    <w:rsid w:val="00001EFA"/>
    <w:pPr>
      <w:ind w:left="720"/>
      <w:contextualSpacing/>
    </w:pPr>
  </w:style>
  <w:style w:type="character" w:styleId="CommentReference">
    <w:name w:val="annotation reference"/>
    <w:rsid w:val="00FC2393"/>
    <w:rPr>
      <w:sz w:val="16"/>
      <w:szCs w:val="16"/>
    </w:rPr>
  </w:style>
  <w:style w:type="paragraph" w:styleId="CommentText">
    <w:name w:val="annotation text"/>
    <w:basedOn w:val="Normal"/>
    <w:link w:val="CommentTextChar"/>
    <w:rsid w:val="00FC2393"/>
    <w:rPr>
      <w:sz w:val="20"/>
      <w:szCs w:val="20"/>
    </w:rPr>
  </w:style>
  <w:style w:type="character" w:customStyle="1" w:styleId="CommentTextChar">
    <w:name w:val="Comment Text Char"/>
    <w:link w:val="CommentText"/>
    <w:rsid w:val="00FC2393"/>
    <w:rPr>
      <w:lang w:val="hr-HR" w:eastAsia="hr-HR"/>
    </w:rPr>
  </w:style>
  <w:style w:type="paragraph" w:styleId="BalloonText">
    <w:name w:val="Balloon Text"/>
    <w:basedOn w:val="Normal"/>
    <w:link w:val="BalloonTextChar"/>
    <w:rsid w:val="00FC2393"/>
    <w:rPr>
      <w:rFonts w:ascii="Segoe UI" w:hAnsi="Segoe UI" w:cs="Segoe UI"/>
      <w:sz w:val="18"/>
      <w:szCs w:val="18"/>
    </w:rPr>
  </w:style>
  <w:style w:type="character" w:customStyle="1" w:styleId="BalloonTextChar">
    <w:name w:val="Balloon Text Char"/>
    <w:link w:val="BalloonText"/>
    <w:rsid w:val="00FC2393"/>
    <w:rPr>
      <w:rFonts w:ascii="Segoe UI" w:hAnsi="Segoe UI" w:cs="Segoe UI"/>
      <w:sz w:val="18"/>
      <w:szCs w:val="18"/>
      <w:lang w:val="hr-HR" w:eastAsia="hr-HR"/>
    </w:rPr>
  </w:style>
  <w:style w:type="paragraph" w:styleId="CommentSubject">
    <w:name w:val="annotation subject"/>
    <w:basedOn w:val="CommentText"/>
    <w:next w:val="CommentText"/>
    <w:link w:val="CommentSubjectChar"/>
    <w:rsid w:val="000E59FD"/>
    <w:rPr>
      <w:b/>
      <w:bCs/>
    </w:rPr>
  </w:style>
  <w:style w:type="character" w:customStyle="1" w:styleId="CommentSubjectChar">
    <w:name w:val="Comment Subject Char"/>
    <w:link w:val="CommentSubject"/>
    <w:rsid w:val="000E59FD"/>
    <w:rPr>
      <w:b/>
      <w:bCs/>
      <w:lang w:val="hr-HR" w:eastAsia="hr-HR"/>
    </w:rPr>
  </w:style>
  <w:style w:type="paragraph" w:customStyle="1" w:styleId="box453034">
    <w:name w:val="box_453034"/>
    <w:basedOn w:val="Normal"/>
    <w:rsid w:val="00D556A1"/>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418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AZJMDCZ6QSYZ-1849078857-15492</_dlc_DocId>
    <_dlc_DocIdUrl xmlns="a494813a-d0d8-4dad-94cb-0d196f36ba15">
      <Url>https://ekoordinacije.vlada.hr/koordinacija-gospodarstvo/_layouts/15/DocIdRedir.aspx?ID=AZJMDCZ6QSYZ-1849078857-15492</Url>
      <Description>AZJMDCZ6QSYZ-1849078857-15492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0D6EE-B4BE-44AD-8973-BF7E02F23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00463D-2E89-4127-A6C6-6E959A06501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4E14A9C-DE4A-469D-BCE8-D2243F7F895E}">
  <ds:schemaRefs>
    <ds:schemaRef ds:uri="http://schemas.microsoft.com/sharepoint/events"/>
  </ds:schemaRefs>
</ds:datastoreItem>
</file>

<file path=customXml/itemProps4.xml><?xml version="1.0" encoding="utf-8"?>
<ds:datastoreItem xmlns:ds="http://schemas.openxmlformats.org/officeDocument/2006/customXml" ds:itemID="{C1D81F8C-82C3-4861-97C2-49F4A5C6BD5F}">
  <ds:schemaRefs>
    <ds:schemaRef ds:uri="http://schemas.microsoft.com/sharepoint/v3/contenttype/forms"/>
  </ds:schemaRefs>
</ds:datastoreItem>
</file>

<file path=customXml/itemProps5.xml><?xml version="1.0" encoding="utf-8"?>
<ds:datastoreItem xmlns:ds="http://schemas.openxmlformats.org/officeDocument/2006/customXml" ds:itemID="{5CDEC135-0C74-4FDF-962A-CEEF7F30A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24</Pages>
  <Words>8763</Words>
  <Characters>49954</Characters>
  <Application>Microsoft Office Word</Application>
  <DocSecurity>0</DocSecurity>
  <Lines>416</Lines>
  <Paragraphs>117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Predlozak</vt:lpstr>
      <vt:lpstr>Predlozak</vt:lpstr>
    </vt:vector>
  </TitlesOfParts>
  <Company>RH-TDU</Company>
  <LinksUpToDate>false</LinksUpToDate>
  <CharactersWithSpaces>58600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Anita Rubić</dc:creator>
  <cp:lastModifiedBy>Sunčica Marini</cp:lastModifiedBy>
  <cp:revision>34</cp:revision>
  <cp:lastPrinted>2022-04-14T12:03:00Z</cp:lastPrinted>
  <dcterms:created xsi:type="dcterms:W3CDTF">2022-04-13T07:00:00Z</dcterms:created>
  <dcterms:modified xsi:type="dcterms:W3CDTF">2022-04-20T15:24:00Z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5a3983d5-ffc5-455c-a15a-2e8e2916f098</vt:lpwstr>
  </property>
</Properties>
</file>