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6BFD" w14:textId="77777777" w:rsidR="00507845" w:rsidRPr="00507845" w:rsidRDefault="00507845" w:rsidP="00507845">
      <w:pPr>
        <w:ind w:firstLine="425"/>
        <w:jc w:val="center"/>
        <w:rPr>
          <w:color w:val="FF0000"/>
        </w:rPr>
      </w:pPr>
      <w:r w:rsidRPr="00507845">
        <w:rPr>
          <w:noProof/>
          <w:color w:val="FF0000"/>
        </w:rPr>
        <w:drawing>
          <wp:inline distT="0" distB="0" distL="0" distR="0" wp14:anchorId="5F0DB278" wp14:editId="2B849264">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07845">
        <w:rPr>
          <w:color w:val="FF0000"/>
        </w:rPr>
        <w:fldChar w:fldCharType="begin"/>
      </w:r>
      <w:r w:rsidRPr="00507845">
        <w:rPr>
          <w:color w:val="FF0000"/>
        </w:rPr>
        <w:instrText xml:space="preserve"> INCLUDEPICTURE "http://www.inet.hr/~box/images/grb-rh.gif" \* MERGEFORMATINET </w:instrText>
      </w:r>
      <w:r w:rsidRPr="00507845">
        <w:rPr>
          <w:color w:val="FF0000"/>
        </w:rPr>
        <w:fldChar w:fldCharType="end"/>
      </w:r>
    </w:p>
    <w:p w14:paraId="4BE56D66" w14:textId="77777777" w:rsidR="00507845" w:rsidRPr="00507845" w:rsidRDefault="00507845" w:rsidP="00507845">
      <w:pPr>
        <w:spacing w:before="60" w:after="1680"/>
        <w:ind w:firstLine="425"/>
        <w:jc w:val="center"/>
        <w:rPr>
          <w:sz w:val="28"/>
          <w:szCs w:val="28"/>
        </w:rPr>
      </w:pPr>
      <w:r w:rsidRPr="00507845">
        <w:rPr>
          <w:sz w:val="28"/>
          <w:szCs w:val="28"/>
        </w:rPr>
        <w:t>VLADA REPUBLIKE HRVATSKE</w:t>
      </w:r>
    </w:p>
    <w:p w14:paraId="3BA2CD81" w14:textId="1A73A23C" w:rsidR="00507845" w:rsidRPr="00507845" w:rsidRDefault="00121004" w:rsidP="00507845">
      <w:pPr>
        <w:spacing w:after="2400"/>
        <w:ind w:firstLine="425"/>
        <w:jc w:val="right"/>
      </w:pPr>
      <w:r>
        <w:t>Zagreb, 28</w:t>
      </w:r>
      <w:r w:rsidR="00507845" w:rsidRPr="00507845">
        <w:t>. lipnja 2023.</w:t>
      </w:r>
    </w:p>
    <w:tbl>
      <w:tblPr>
        <w:tblStyle w:val="Reetkatablic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71"/>
        <w:gridCol w:w="6901"/>
      </w:tblGrid>
      <w:tr w:rsidR="00507845" w:rsidRPr="00507845" w14:paraId="43F26EB9" w14:textId="77777777" w:rsidTr="004567E8">
        <w:tc>
          <w:tcPr>
            <w:tcW w:w="1951" w:type="dxa"/>
          </w:tcPr>
          <w:p w14:paraId="6FB29378" w14:textId="77777777" w:rsidR="00507845" w:rsidRPr="00507845" w:rsidRDefault="00507845" w:rsidP="00507845">
            <w:pPr>
              <w:spacing w:line="360" w:lineRule="auto"/>
              <w:ind w:firstLine="425"/>
              <w:jc w:val="right"/>
            </w:pPr>
            <w:r w:rsidRPr="00507845">
              <w:rPr>
                <w:smallCaps/>
              </w:rPr>
              <w:t>Predlagatelj</w:t>
            </w:r>
            <w:r w:rsidRPr="00507845">
              <w:t>:</w:t>
            </w:r>
          </w:p>
        </w:tc>
        <w:tc>
          <w:tcPr>
            <w:tcW w:w="7229" w:type="dxa"/>
          </w:tcPr>
          <w:p w14:paraId="30D058FB" w14:textId="77777777" w:rsidR="00507845" w:rsidRPr="00507845" w:rsidRDefault="00507845" w:rsidP="00507845">
            <w:pPr>
              <w:spacing w:line="360" w:lineRule="auto"/>
            </w:pPr>
            <w:r w:rsidRPr="00507845">
              <w:t>Ministarstvo gospodarstva i održivog razvoja</w:t>
            </w:r>
          </w:p>
        </w:tc>
      </w:tr>
      <w:tr w:rsidR="00507845" w:rsidRPr="00507845" w14:paraId="4D66D5E8" w14:textId="77777777" w:rsidTr="004567E8">
        <w:tc>
          <w:tcPr>
            <w:tcW w:w="1951" w:type="dxa"/>
          </w:tcPr>
          <w:p w14:paraId="468E8B5E" w14:textId="77777777" w:rsidR="00507845" w:rsidRPr="00507845" w:rsidRDefault="00507845" w:rsidP="00507845">
            <w:pPr>
              <w:spacing w:line="360" w:lineRule="auto"/>
              <w:ind w:firstLine="425"/>
              <w:jc w:val="right"/>
            </w:pPr>
            <w:r w:rsidRPr="00507845">
              <w:rPr>
                <w:smallCaps/>
              </w:rPr>
              <w:t>Predmet</w:t>
            </w:r>
            <w:r w:rsidRPr="00507845">
              <w:t>:</w:t>
            </w:r>
          </w:p>
        </w:tc>
        <w:tc>
          <w:tcPr>
            <w:tcW w:w="7229" w:type="dxa"/>
          </w:tcPr>
          <w:p w14:paraId="65857F05" w14:textId="5EDA6681" w:rsidR="00507845" w:rsidRPr="00507845" w:rsidRDefault="00121004" w:rsidP="00507845">
            <w:pPr>
              <w:spacing w:line="360" w:lineRule="auto"/>
              <w:jc w:val="both"/>
              <w:rPr>
                <w:rFonts w:eastAsiaTheme="minorEastAsia"/>
              </w:rPr>
            </w:pPr>
            <w:r>
              <w:rPr>
                <w:rFonts w:eastAsiaTheme="minorEastAsia"/>
              </w:rPr>
              <w:t>Prijedlog u</w:t>
            </w:r>
            <w:bookmarkStart w:id="0" w:name="_GoBack"/>
            <w:bookmarkEnd w:id="0"/>
            <w:r w:rsidR="00507845" w:rsidRPr="00507845">
              <w:rPr>
                <w:rFonts w:eastAsiaTheme="minorEastAsia"/>
              </w:rPr>
              <w:t xml:space="preserve">redbe o </w:t>
            </w:r>
            <w:r w:rsidR="00507845">
              <w:rPr>
                <w:rFonts w:eastAsiaTheme="minorEastAsia"/>
              </w:rPr>
              <w:t xml:space="preserve">vrednovanju učinkovitosti poslovanja isporučitelja </w:t>
            </w:r>
            <w:r w:rsidR="00507845" w:rsidRPr="00507845">
              <w:rPr>
                <w:rFonts w:eastAsiaTheme="minorEastAsia"/>
              </w:rPr>
              <w:t>vodnih usluga</w:t>
            </w:r>
          </w:p>
        </w:tc>
      </w:tr>
    </w:tbl>
    <w:p w14:paraId="7D28FF1E" w14:textId="77777777" w:rsidR="00507845" w:rsidRPr="00507845" w:rsidRDefault="00507845" w:rsidP="00507845">
      <w:pPr>
        <w:ind w:firstLine="425"/>
      </w:pPr>
    </w:p>
    <w:p w14:paraId="28D019EF" w14:textId="77777777" w:rsidR="00507845" w:rsidRPr="00507845" w:rsidRDefault="00507845" w:rsidP="00507845">
      <w:pPr>
        <w:ind w:firstLine="425"/>
      </w:pPr>
    </w:p>
    <w:p w14:paraId="527FBF5D" w14:textId="77777777" w:rsidR="00507845" w:rsidRPr="00507845" w:rsidRDefault="00507845" w:rsidP="00507845">
      <w:pPr>
        <w:ind w:firstLine="425"/>
      </w:pPr>
    </w:p>
    <w:p w14:paraId="09DD2EF3" w14:textId="77777777" w:rsidR="00507845" w:rsidRPr="00507845" w:rsidRDefault="00507845" w:rsidP="00507845">
      <w:pPr>
        <w:ind w:firstLine="425"/>
      </w:pPr>
    </w:p>
    <w:p w14:paraId="055EE3CB" w14:textId="77777777" w:rsidR="00507845" w:rsidRPr="00507845" w:rsidRDefault="00507845" w:rsidP="00507845">
      <w:pPr>
        <w:ind w:firstLine="425"/>
      </w:pPr>
    </w:p>
    <w:p w14:paraId="2455891D" w14:textId="77777777" w:rsidR="00507845" w:rsidRPr="00507845" w:rsidRDefault="00507845" w:rsidP="00507845">
      <w:pPr>
        <w:ind w:firstLine="425"/>
      </w:pPr>
    </w:p>
    <w:p w14:paraId="0079D104" w14:textId="77777777" w:rsidR="00507845" w:rsidRPr="00507845" w:rsidRDefault="00507845" w:rsidP="00507845">
      <w:pPr>
        <w:ind w:firstLine="425"/>
      </w:pPr>
    </w:p>
    <w:p w14:paraId="5C5431C3" w14:textId="77777777" w:rsidR="00507845" w:rsidRPr="00507845" w:rsidRDefault="00507845" w:rsidP="00507845">
      <w:pPr>
        <w:ind w:firstLine="425"/>
      </w:pPr>
    </w:p>
    <w:p w14:paraId="2505DF3C" w14:textId="77777777" w:rsidR="00507845" w:rsidRPr="00507845" w:rsidRDefault="00507845" w:rsidP="00507845">
      <w:pPr>
        <w:ind w:firstLine="425"/>
      </w:pPr>
    </w:p>
    <w:p w14:paraId="6D51B41F" w14:textId="77777777" w:rsidR="00507845" w:rsidRPr="00507845" w:rsidRDefault="00507845" w:rsidP="00507845">
      <w:pPr>
        <w:spacing w:line="360" w:lineRule="auto"/>
        <w:ind w:firstLine="425"/>
        <w:jc w:val="both"/>
        <w:rPr>
          <w:rFonts w:ascii="Arial" w:hAnsi="Arial" w:cs="Arial"/>
        </w:rPr>
      </w:pPr>
    </w:p>
    <w:p w14:paraId="7277F35C" w14:textId="77777777" w:rsidR="00507845" w:rsidRPr="00507845" w:rsidRDefault="00507845" w:rsidP="00507845">
      <w:pPr>
        <w:ind w:firstLine="425"/>
        <w:jc w:val="both"/>
        <w:rPr>
          <w:rFonts w:ascii="Arial" w:hAnsi="Arial" w:cs="Arial"/>
          <w:sz w:val="32"/>
          <w:szCs w:val="32"/>
        </w:rPr>
      </w:pPr>
    </w:p>
    <w:p w14:paraId="7EBFF20D" w14:textId="77777777" w:rsidR="00507845" w:rsidRPr="00507845" w:rsidRDefault="00507845" w:rsidP="00507845">
      <w:pPr>
        <w:ind w:firstLine="425"/>
        <w:jc w:val="both"/>
        <w:rPr>
          <w:rFonts w:ascii="Arial" w:hAnsi="Arial" w:cs="Arial"/>
          <w:sz w:val="32"/>
          <w:szCs w:val="32"/>
        </w:rPr>
      </w:pPr>
    </w:p>
    <w:p w14:paraId="24B5D0A4" w14:textId="77777777" w:rsidR="00507845" w:rsidRPr="00507845" w:rsidRDefault="00507845" w:rsidP="00507845">
      <w:pPr>
        <w:ind w:firstLine="425"/>
        <w:jc w:val="both"/>
      </w:pPr>
    </w:p>
    <w:p w14:paraId="6E11D70D" w14:textId="77777777" w:rsidR="00507845" w:rsidRPr="00507845" w:rsidRDefault="00507845" w:rsidP="00507845">
      <w:pPr>
        <w:ind w:firstLine="425"/>
        <w:jc w:val="both"/>
      </w:pPr>
    </w:p>
    <w:p w14:paraId="3D7405C2" w14:textId="77777777" w:rsidR="00507845" w:rsidRPr="00507845" w:rsidRDefault="00507845" w:rsidP="00507845">
      <w:pPr>
        <w:ind w:firstLine="425"/>
        <w:jc w:val="both"/>
      </w:pPr>
    </w:p>
    <w:p w14:paraId="270DBD05" w14:textId="77777777" w:rsidR="00507845" w:rsidRPr="00507845" w:rsidRDefault="00507845" w:rsidP="00507845">
      <w:pPr>
        <w:ind w:firstLine="425"/>
        <w:jc w:val="both"/>
      </w:pPr>
    </w:p>
    <w:p w14:paraId="55191E9D" w14:textId="77777777" w:rsidR="00507845" w:rsidRPr="00507845" w:rsidRDefault="00507845" w:rsidP="00507845">
      <w:pPr>
        <w:ind w:firstLine="425"/>
        <w:jc w:val="both"/>
      </w:pPr>
    </w:p>
    <w:p w14:paraId="3FB856E9" w14:textId="77777777" w:rsidR="00507845" w:rsidRPr="00507845" w:rsidRDefault="00507845" w:rsidP="00507845">
      <w:pPr>
        <w:ind w:firstLine="425"/>
        <w:jc w:val="both"/>
      </w:pPr>
    </w:p>
    <w:p w14:paraId="1DEAF560" w14:textId="77777777" w:rsidR="00507845" w:rsidRPr="00507845" w:rsidRDefault="00507845" w:rsidP="00507845">
      <w:pPr>
        <w:ind w:firstLine="425"/>
        <w:jc w:val="both"/>
      </w:pPr>
    </w:p>
    <w:p w14:paraId="59D41759" w14:textId="77777777" w:rsidR="00507845" w:rsidRPr="00507845" w:rsidRDefault="00507845" w:rsidP="00507845">
      <w:pPr>
        <w:ind w:firstLine="425"/>
        <w:jc w:val="both"/>
      </w:pPr>
    </w:p>
    <w:p w14:paraId="3890A95E" w14:textId="77777777" w:rsidR="00507845" w:rsidRPr="00507845" w:rsidRDefault="00507845" w:rsidP="00507845">
      <w:pPr>
        <w:ind w:firstLine="425"/>
      </w:pPr>
    </w:p>
    <w:p w14:paraId="20BE548A" w14:textId="77777777" w:rsidR="00507845" w:rsidRPr="00507845" w:rsidRDefault="00507845" w:rsidP="00507845">
      <w:pPr>
        <w:pBdr>
          <w:top w:val="single" w:sz="4" w:space="1" w:color="404040" w:themeColor="text1" w:themeTint="BF"/>
        </w:pBdr>
        <w:tabs>
          <w:tab w:val="center" w:pos="4536"/>
          <w:tab w:val="right" w:pos="9072"/>
        </w:tabs>
        <w:ind w:firstLine="425"/>
        <w:jc w:val="center"/>
        <w:rPr>
          <w:color w:val="404040" w:themeColor="text1" w:themeTint="BF"/>
          <w:spacing w:val="20"/>
          <w:sz w:val="20"/>
        </w:rPr>
      </w:pPr>
      <w:r w:rsidRPr="00507845">
        <w:rPr>
          <w:color w:val="404040" w:themeColor="text1" w:themeTint="BF"/>
          <w:spacing w:val="20"/>
          <w:sz w:val="20"/>
        </w:rPr>
        <w:lastRenderedPageBreak/>
        <w:t>Banski dvori | Trg Sv. Marka 2  | 10000 Zagreb | tel. 01 4569 222 | vlada.gov.hr</w:t>
      </w:r>
    </w:p>
    <w:p w14:paraId="40BE005C" w14:textId="77777777" w:rsidR="00507845" w:rsidRDefault="00B6001B" w:rsidP="00BA50EA">
      <w:pPr>
        <w:spacing w:before="240" w:after="240"/>
        <w:ind w:firstLine="425"/>
        <w:jc w:val="center"/>
        <w:rPr>
          <w:rFonts w:eastAsiaTheme="minorHAnsi"/>
          <w:lang w:eastAsia="en-US"/>
        </w:rPr>
      </w:pPr>
      <w:r>
        <w:rPr>
          <w:rFonts w:eastAsiaTheme="minorHAnsi"/>
          <w:lang w:eastAsia="en-US"/>
        </w:rPr>
        <w:t xml:space="preserve">                                                                                                         </w:t>
      </w:r>
    </w:p>
    <w:p w14:paraId="5420952C" w14:textId="77777777" w:rsidR="00B6001B" w:rsidRPr="00B6001B" w:rsidRDefault="00B6001B" w:rsidP="00A02E79">
      <w:pPr>
        <w:spacing w:before="240" w:after="240"/>
        <w:ind w:left="7080" w:firstLine="708"/>
        <w:jc w:val="center"/>
        <w:rPr>
          <w:rFonts w:eastAsiaTheme="minorHAnsi"/>
          <w:u w:val="single"/>
          <w:lang w:eastAsia="en-US"/>
        </w:rPr>
      </w:pPr>
      <w:r w:rsidRPr="00B6001B">
        <w:rPr>
          <w:rFonts w:eastAsiaTheme="minorHAnsi"/>
          <w:u w:val="single"/>
          <w:lang w:eastAsia="en-US"/>
        </w:rPr>
        <w:t>PRIJEDLOG</w:t>
      </w:r>
    </w:p>
    <w:p w14:paraId="0107AB54" w14:textId="77777777" w:rsidR="00B6001B" w:rsidRPr="00B6001B" w:rsidRDefault="00B6001B" w:rsidP="00BA50EA">
      <w:pPr>
        <w:spacing w:before="240" w:after="240"/>
        <w:ind w:firstLine="425"/>
        <w:jc w:val="center"/>
        <w:rPr>
          <w:rFonts w:eastAsiaTheme="minorHAnsi"/>
          <w:b/>
          <w:sz w:val="32"/>
          <w:szCs w:val="32"/>
          <w:lang w:eastAsia="en-US"/>
        </w:rPr>
      </w:pPr>
    </w:p>
    <w:p w14:paraId="1E447009" w14:textId="77777777" w:rsidR="00BA50EA" w:rsidRPr="00BA50EA" w:rsidRDefault="00BA50EA" w:rsidP="00BA50EA">
      <w:pPr>
        <w:spacing w:before="120" w:after="120"/>
        <w:ind w:firstLine="425"/>
        <w:jc w:val="both"/>
        <w:rPr>
          <w:rFonts w:eastAsiaTheme="minorHAnsi"/>
          <w:lang w:eastAsia="en-US"/>
        </w:rPr>
      </w:pPr>
      <w:r w:rsidRPr="00BA50EA">
        <w:rPr>
          <w:rFonts w:eastAsiaTheme="minorHAnsi"/>
          <w:lang w:eastAsia="en-US"/>
        </w:rPr>
        <w:t>Na temelju članka 35. stavka 3. Zakona o vodnim uslugama („Narodne novine“, broj 66/19.), Vlada Republike Hrvatske je na sjednici održanoj …………202</w:t>
      </w:r>
      <w:r w:rsidR="00067420">
        <w:rPr>
          <w:rFonts w:eastAsiaTheme="minorHAnsi"/>
          <w:lang w:eastAsia="en-US"/>
        </w:rPr>
        <w:t>3</w:t>
      </w:r>
      <w:r w:rsidRPr="00BA50EA">
        <w:rPr>
          <w:rFonts w:eastAsiaTheme="minorHAnsi"/>
          <w:lang w:eastAsia="en-US"/>
        </w:rPr>
        <w:t>. donijela</w:t>
      </w:r>
    </w:p>
    <w:p w14:paraId="428ADDCA" w14:textId="77777777" w:rsidR="00BA50EA" w:rsidRPr="00BA50EA" w:rsidRDefault="00BA50EA" w:rsidP="00BA50EA">
      <w:pPr>
        <w:spacing w:before="120" w:after="120"/>
        <w:ind w:firstLine="425"/>
        <w:jc w:val="both"/>
        <w:rPr>
          <w:rFonts w:eastAsiaTheme="minorHAnsi"/>
          <w:lang w:eastAsia="en-US"/>
        </w:rPr>
      </w:pPr>
    </w:p>
    <w:p w14:paraId="646B6F87" w14:textId="77777777" w:rsidR="00BA50EA" w:rsidRPr="00BA50EA" w:rsidRDefault="00BA50EA" w:rsidP="00BA50EA">
      <w:pPr>
        <w:shd w:val="clear" w:color="auto" w:fill="FFFFFF"/>
        <w:spacing w:before="240" w:after="240"/>
        <w:ind w:firstLine="425"/>
        <w:jc w:val="center"/>
        <w:textAlignment w:val="baseline"/>
        <w:rPr>
          <w:b/>
          <w:bCs/>
          <w:color w:val="000000"/>
          <w:sz w:val="28"/>
          <w:szCs w:val="28"/>
        </w:rPr>
      </w:pPr>
      <w:r w:rsidRPr="00BA50EA">
        <w:rPr>
          <w:b/>
          <w:bCs/>
          <w:color w:val="000000"/>
          <w:sz w:val="28"/>
          <w:szCs w:val="28"/>
        </w:rPr>
        <w:t>UREDBU</w:t>
      </w:r>
    </w:p>
    <w:p w14:paraId="08A267D0" w14:textId="77777777" w:rsidR="00BA50EA" w:rsidRDefault="00BA50EA" w:rsidP="00BA50EA">
      <w:pPr>
        <w:shd w:val="clear" w:color="auto" w:fill="FFFFFF"/>
        <w:spacing w:before="240" w:after="240"/>
        <w:ind w:firstLine="425"/>
        <w:jc w:val="center"/>
        <w:textAlignment w:val="baseline"/>
        <w:rPr>
          <w:b/>
          <w:bCs/>
          <w:color w:val="000000"/>
        </w:rPr>
      </w:pPr>
      <w:r w:rsidRPr="00BA50EA">
        <w:rPr>
          <w:b/>
          <w:bCs/>
          <w:color w:val="000000"/>
        </w:rPr>
        <w:t>O VREDNOVANJU UČINKOVITOSTI POSLOVANJA ISPORUČITELJA VODNIH USLUGA</w:t>
      </w:r>
    </w:p>
    <w:p w14:paraId="59753AE7" w14:textId="77777777" w:rsidR="00E047B0" w:rsidRPr="00BA50EA" w:rsidRDefault="00E047B0" w:rsidP="00BA50EA">
      <w:pPr>
        <w:shd w:val="clear" w:color="auto" w:fill="FFFFFF"/>
        <w:spacing w:before="240" w:after="240"/>
        <w:ind w:firstLine="425"/>
        <w:jc w:val="center"/>
        <w:textAlignment w:val="baseline"/>
        <w:rPr>
          <w:b/>
          <w:bCs/>
          <w:color w:val="000000"/>
        </w:rPr>
      </w:pPr>
    </w:p>
    <w:p w14:paraId="01618D6F" w14:textId="77777777" w:rsidR="00BA50EA" w:rsidRPr="00BA50EA" w:rsidRDefault="00BA50EA" w:rsidP="00BA50EA">
      <w:pPr>
        <w:pStyle w:val="Heading1"/>
      </w:pPr>
      <w:r w:rsidRPr="00BA50EA">
        <w:t xml:space="preserve"> OPĆE ODREDBE</w:t>
      </w:r>
    </w:p>
    <w:p w14:paraId="167B82D0" w14:textId="77777777" w:rsidR="00BA50EA" w:rsidRPr="00BA50EA" w:rsidRDefault="00BA50EA" w:rsidP="00BA50EA">
      <w:pPr>
        <w:keepNext/>
        <w:keepLines/>
        <w:spacing w:before="360" w:after="360"/>
        <w:ind w:firstLine="425"/>
        <w:jc w:val="center"/>
        <w:outlineLvl w:val="1"/>
        <w:rPr>
          <w:rFonts w:cstheme="majorBidi"/>
          <w:i/>
          <w:szCs w:val="26"/>
        </w:rPr>
      </w:pPr>
      <w:r w:rsidRPr="00BA50EA">
        <w:rPr>
          <w:rFonts w:eastAsiaTheme="majorEastAsia" w:cstheme="majorBidi"/>
          <w:i/>
          <w:szCs w:val="26"/>
          <w:lang w:eastAsia="en-US"/>
        </w:rPr>
        <w:t>Predmet</w:t>
      </w:r>
      <w:r w:rsidRPr="00BA50EA">
        <w:rPr>
          <w:rFonts w:cstheme="majorBidi"/>
          <w:i/>
          <w:szCs w:val="26"/>
        </w:rPr>
        <w:t xml:space="preserve"> uređivanja</w:t>
      </w:r>
    </w:p>
    <w:p w14:paraId="1B5634D7" w14:textId="77777777" w:rsidR="00BA50EA" w:rsidRPr="00BA50EA" w:rsidRDefault="00BA50EA" w:rsidP="00BA50EA">
      <w:pPr>
        <w:pStyle w:val="Heading3"/>
        <w:numPr>
          <w:ilvl w:val="0"/>
          <w:numId w:val="0"/>
        </w:numPr>
      </w:pPr>
      <w:r w:rsidRPr="00BA50EA">
        <w:t>Članak 1.</w:t>
      </w:r>
    </w:p>
    <w:p w14:paraId="5535E1D3" w14:textId="77777777" w:rsidR="00BA50EA" w:rsidRPr="00BA50EA" w:rsidRDefault="00BA50EA" w:rsidP="00BA50EA">
      <w:pPr>
        <w:shd w:val="clear" w:color="auto" w:fill="FFFFFF"/>
        <w:spacing w:before="120" w:after="225"/>
        <w:ind w:firstLine="426"/>
        <w:jc w:val="both"/>
        <w:textAlignment w:val="baseline"/>
        <w:rPr>
          <w:rFonts w:eastAsiaTheme="minorHAnsi"/>
          <w:color w:val="231F20"/>
          <w:shd w:val="clear" w:color="auto" w:fill="FFFFFF"/>
          <w:lang w:eastAsia="en-US"/>
        </w:rPr>
      </w:pPr>
      <w:r w:rsidRPr="00BA50EA">
        <w:rPr>
          <w:color w:val="000000"/>
        </w:rPr>
        <w:t xml:space="preserve">Ovom Uredbom propisuju se ključni </w:t>
      </w:r>
      <w:r w:rsidRPr="00BA50EA">
        <w:rPr>
          <w:rFonts w:eastAsiaTheme="minorHAnsi"/>
          <w:color w:val="231F20"/>
          <w:shd w:val="clear" w:color="auto" w:fill="FFFFFF"/>
          <w:lang w:eastAsia="en-US"/>
        </w:rPr>
        <w:t xml:space="preserve">pokazatelji i mjerila učinkovitosti poslovanja, </w:t>
      </w:r>
      <w:r w:rsidR="00F52C9F">
        <w:rPr>
          <w:color w:val="231F20"/>
          <w:shd w:val="clear" w:color="auto" w:fill="FFFFFF"/>
          <w:lang w:eastAsia="en-US"/>
        </w:rPr>
        <w:t xml:space="preserve">provedba obveze </w:t>
      </w:r>
      <w:r w:rsidR="00974A16">
        <w:rPr>
          <w:color w:val="231F20"/>
          <w:shd w:val="clear" w:color="auto" w:fill="FFFFFF"/>
          <w:lang w:eastAsia="en-US"/>
        </w:rPr>
        <w:t xml:space="preserve">i načina </w:t>
      </w:r>
      <w:r w:rsidR="00F52C9F" w:rsidRPr="008F6FD7">
        <w:rPr>
          <w:color w:val="231F20"/>
          <w:shd w:val="clear" w:color="auto" w:fill="FFFFFF"/>
          <w:lang w:eastAsia="en-US"/>
        </w:rPr>
        <w:t>prikupljanja i dostave podataka za izračun ključnih pokazatelja</w:t>
      </w:r>
      <w:r w:rsidRPr="00BA50EA">
        <w:rPr>
          <w:rFonts w:eastAsiaTheme="minorHAnsi"/>
          <w:color w:val="231F20"/>
          <w:shd w:val="clear" w:color="auto" w:fill="FFFFFF"/>
          <w:lang w:eastAsia="en-US"/>
        </w:rPr>
        <w:t xml:space="preserve">, način mjerenja, vrednovanja i izvještavanja o učinkovitosti poslovanja, vođenje zbirke podataka i način objave rezultata usporedbe i vrednovanja učinkovitosti poslovanja isporučitelja vodnih usluga. </w:t>
      </w:r>
    </w:p>
    <w:p w14:paraId="0F254950" w14:textId="77777777" w:rsidR="00BA50EA" w:rsidRPr="00BA50EA" w:rsidRDefault="00BA50EA" w:rsidP="00BA50EA">
      <w:pPr>
        <w:keepNext/>
        <w:keepLines/>
        <w:spacing w:before="360" w:after="360"/>
        <w:ind w:firstLine="425"/>
        <w:jc w:val="center"/>
        <w:outlineLvl w:val="1"/>
        <w:rPr>
          <w:rFonts w:cstheme="majorBidi"/>
          <w:i/>
          <w:szCs w:val="26"/>
        </w:rPr>
      </w:pPr>
      <w:r w:rsidRPr="00BA50EA">
        <w:rPr>
          <w:rFonts w:cstheme="majorBidi"/>
          <w:i/>
          <w:szCs w:val="26"/>
        </w:rPr>
        <w:t>Značenje pojmova</w:t>
      </w:r>
    </w:p>
    <w:p w14:paraId="247A4234" w14:textId="77777777" w:rsidR="00BA50EA" w:rsidRPr="00BA50EA" w:rsidRDefault="00BA50EA" w:rsidP="00BA50EA">
      <w:pPr>
        <w:keepNext/>
        <w:keepLines/>
        <w:spacing w:before="120" w:after="120"/>
        <w:jc w:val="center"/>
        <w:outlineLvl w:val="2"/>
        <w:rPr>
          <w:rFonts w:cstheme="majorBidi"/>
        </w:rPr>
      </w:pPr>
      <w:r w:rsidRPr="00BA50EA">
        <w:rPr>
          <w:rFonts w:cstheme="majorBidi"/>
        </w:rPr>
        <w:t>Članak 2.</w:t>
      </w:r>
    </w:p>
    <w:p w14:paraId="014A8AF4" w14:textId="77777777" w:rsidR="00BA50EA" w:rsidRPr="00BA50EA" w:rsidRDefault="00BA50EA" w:rsidP="00BA50EA">
      <w:pPr>
        <w:shd w:val="clear" w:color="auto" w:fill="FFFFFF"/>
        <w:spacing w:before="120" w:after="225"/>
        <w:ind w:firstLine="426"/>
        <w:jc w:val="both"/>
        <w:textAlignment w:val="baseline"/>
        <w:rPr>
          <w:color w:val="000000"/>
        </w:rPr>
      </w:pPr>
      <w:r w:rsidRPr="00BA50EA">
        <w:rPr>
          <w:color w:val="000000"/>
        </w:rPr>
        <w:t>Pojedini pojmovi, u smislu ove Uredbe, imaju sljedeća značenja:</w:t>
      </w:r>
    </w:p>
    <w:p w14:paraId="23C15FC0" w14:textId="77777777" w:rsidR="00BA50EA" w:rsidRPr="00BA50EA" w:rsidRDefault="00BA50EA" w:rsidP="00BA50EA">
      <w:pPr>
        <w:shd w:val="clear" w:color="auto" w:fill="FFFFFF"/>
        <w:spacing w:before="120" w:after="225"/>
        <w:ind w:firstLine="426"/>
        <w:jc w:val="both"/>
        <w:textAlignment w:val="baseline"/>
        <w:rPr>
          <w:color w:val="000000"/>
        </w:rPr>
      </w:pPr>
      <w:r w:rsidRPr="00BA50EA">
        <w:rPr>
          <w:color w:val="000000"/>
        </w:rPr>
        <w:t>1</w:t>
      </w:r>
      <w:r w:rsidR="00CF2F6F">
        <w:rPr>
          <w:color w:val="000000"/>
        </w:rPr>
        <w:t>.</w:t>
      </w:r>
      <w:r w:rsidRPr="00BA50EA">
        <w:rPr>
          <w:color w:val="000000"/>
        </w:rPr>
        <w:t xml:space="preserve"> </w:t>
      </w:r>
      <w:r w:rsidRPr="00632160">
        <w:rPr>
          <w:i/>
          <w:color w:val="000000"/>
        </w:rPr>
        <w:t>mjerilo</w:t>
      </w:r>
      <w:r w:rsidRPr="00BA50EA">
        <w:rPr>
          <w:color w:val="000000"/>
        </w:rPr>
        <w:t xml:space="preserve"> je odnos između dvije mjerne jedinice, u određenom vremenu ili izvan njega ili iskaz mjer</w:t>
      </w:r>
      <w:r>
        <w:rPr>
          <w:color w:val="000000"/>
        </w:rPr>
        <w:t>ne jedinice u određenom vremenu</w:t>
      </w:r>
    </w:p>
    <w:p w14:paraId="4C830990" w14:textId="77777777" w:rsidR="00BA50EA" w:rsidRPr="00BA50EA" w:rsidRDefault="00BA50EA" w:rsidP="00BA50EA">
      <w:pPr>
        <w:shd w:val="clear" w:color="auto" w:fill="FFFFFF"/>
        <w:spacing w:before="120" w:after="225"/>
        <w:ind w:firstLine="426"/>
        <w:jc w:val="both"/>
        <w:textAlignment w:val="baseline"/>
        <w:rPr>
          <w:color w:val="000000"/>
        </w:rPr>
      </w:pPr>
      <w:r w:rsidRPr="00BA50EA">
        <w:rPr>
          <w:color w:val="000000"/>
        </w:rPr>
        <w:t>2</w:t>
      </w:r>
      <w:r w:rsidR="00CF2F6F">
        <w:rPr>
          <w:color w:val="000000"/>
        </w:rPr>
        <w:t>.</w:t>
      </w:r>
      <w:r w:rsidRPr="00BA50EA">
        <w:rPr>
          <w:color w:val="000000"/>
        </w:rPr>
        <w:t xml:space="preserve"> </w:t>
      </w:r>
      <w:r w:rsidRPr="00632160">
        <w:rPr>
          <w:i/>
          <w:color w:val="000000"/>
        </w:rPr>
        <w:t>ključni pokazatelj</w:t>
      </w:r>
      <w:r w:rsidRPr="00BA50EA">
        <w:rPr>
          <w:color w:val="000000"/>
        </w:rPr>
        <w:t xml:space="preserve"> je odnos između najmanje dva podatka (varijable), u određenom vremenu ili izvan njega i izražava se u određenom mjerilu</w:t>
      </w:r>
    </w:p>
    <w:p w14:paraId="5A12C339" w14:textId="77777777" w:rsidR="00BA50EA" w:rsidRPr="00BA50EA" w:rsidRDefault="00BA50EA" w:rsidP="00BA50EA">
      <w:pPr>
        <w:shd w:val="clear" w:color="auto" w:fill="FFFFFF"/>
        <w:spacing w:before="120" w:after="225"/>
        <w:ind w:firstLine="426"/>
        <w:jc w:val="both"/>
        <w:textAlignment w:val="baseline"/>
        <w:rPr>
          <w:color w:val="000000"/>
        </w:rPr>
      </w:pPr>
      <w:r w:rsidRPr="00BA50EA">
        <w:rPr>
          <w:color w:val="000000"/>
        </w:rPr>
        <w:lastRenderedPageBreak/>
        <w:t>3</w:t>
      </w:r>
      <w:r w:rsidR="00CF2F6F">
        <w:rPr>
          <w:color w:val="000000"/>
        </w:rPr>
        <w:t>.</w:t>
      </w:r>
      <w:r w:rsidRPr="00BA50EA">
        <w:rPr>
          <w:color w:val="000000"/>
        </w:rPr>
        <w:t xml:space="preserve"> </w:t>
      </w:r>
      <w:r w:rsidRPr="00632160">
        <w:rPr>
          <w:i/>
          <w:color w:val="000000"/>
        </w:rPr>
        <w:t>referentna vrijednost ključnog pokazatelja</w:t>
      </w:r>
      <w:r w:rsidRPr="00BA50EA">
        <w:rPr>
          <w:color w:val="000000"/>
        </w:rPr>
        <w:t xml:space="preserve"> je vrijednost pojedinog pokazatelja iz Priloga</w:t>
      </w:r>
      <w:r w:rsidR="00CE76EB">
        <w:rPr>
          <w:color w:val="000000"/>
        </w:rPr>
        <w:t xml:space="preserve"> 1.</w:t>
      </w:r>
      <w:r w:rsidRPr="00BA50EA">
        <w:rPr>
          <w:color w:val="000000"/>
        </w:rPr>
        <w:t xml:space="preserve"> </w:t>
      </w:r>
      <w:r w:rsidR="00E047B0">
        <w:rPr>
          <w:color w:val="000000"/>
        </w:rPr>
        <w:t>koji je sastavni dio</w:t>
      </w:r>
      <w:r w:rsidR="00081107">
        <w:rPr>
          <w:color w:val="000000"/>
        </w:rPr>
        <w:t xml:space="preserve"> ove</w:t>
      </w:r>
      <w:r w:rsidRPr="00BA50EA">
        <w:rPr>
          <w:color w:val="000000"/>
        </w:rPr>
        <w:t xml:space="preserve"> Uredbe izračunata u skladu sa smjernicom Vijeća za vodne usluge iz članka 4. stavka 1. ove Uredbe</w:t>
      </w:r>
    </w:p>
    <w:p w14:paraId="1CD84510" w14:textId="77777777" w:rsidR="00BA50EA" w:rsidRPr="00BA50EA" w:rsidRDefault="00BA50EA" w:rsidP="00BA50EA">
      <w:pPr>
        <w:shd w:val="clear" w:color="auto" w:fill="FFFFFF"/>
        <w:spacing w:before="120" w:after="225"/>
        <w:ind w:firstLine="426"/>
        <w:jc w:val="both"/>
        <w:textAlignment w:val="baseline"/>
        <w:rPr>
          <w:color w:val="000000"/>
        </w:rPr>
      </w:pPr>
      <w:r w:rsidRPr="00BA50EA">
        <w:rPr>
          <w:color w:val="000000"/>
        </w:rPr>
        <w:t>4</w:t>
      </w:r>
      <w:r w:rsidR="00774B5C">
        <w:rPr>
          <w:color w:val="000000"/>
        </w:rPr>
        <w:t>.</w:t>
      </w:r>
      <w:r w:rsidRPr="00BA50EA">
        <w:rPr>
          <w:color w:val="000000"/>
        </w:rPr>
        <w:t xml:space="preserve"> </w:t>
      </w:r>
      <w:r w:rsidRPr="00632160">
        <w:rPr>
          <w:i/>
          <w:color w:val="000000"/>
        </w:rPr>
        <w:t>podatak (varijabla)</w:t>
      </w:r>
      <w:r w:rsidRPr="00BA50EA">
        <w:rPr>
          <w:color w:val="000000"/>
        </w:rPr>
        <w:t xml:space="preserve"> je podatak o poslovanju isporučitelja vodnih usluga, na temelju kojih se uspostavljaju ključni pokazatelji. </w:t>
      </w:r>
    </w:p>
    <w:p w14:paraId="2FDE4B1C" w14:textId="77777777" w:rsidR="00BA50EA" w:rsidRPr="00BA50EA" w:rsidRDefault="00BA50EA" w:rsidP="00BA50EA">
      <w:pPr>
        <w:pStyle w:val="Heading1"/>
        <w:rPr>
          <w:color w:val="000000"/>
        </w:rPr>
      </w:pPr>
      <w:r w:rsidRPr="00BA50EA">
        <w:rPr>
          <w:color w:val="000000"/>
        </w:rPr>
        <w:t xml:space="preserve"> KLJUČNI </w:t>
      </w:r>
      <w:r w:rsidRPr="00BA50EA">
        <w:rPr>
          <w:shd w:val="clear" w:color="auto" w:fill="FFFFFF"/>
        </w:rPr>
        <w:t>POKAZATELJI I MJERILA UČINKOVITOSTI POSLOVANJA</w:t>
      </w:r>
    </w:p>
    <w:p w14:paraId="7DF431E8" w14:textId="77777777" w:rsidR="00BA50EA" w:rsidRPr="00BA50EA" w:rsidRDefault="00BA50EA" w:rsidP="00BA50EA">
      <w:pPr>
        <w:keepNext/>
        <w:keepLines/>
        <w:spacing w:before="360" w:after="360"/>
        <w:ind w:firstLine="425"/>
        <w:jc w:val="center"/>
        <w:outlineLvl w:val="1"/>
        <w:rPr>
          <w:rFonts w:cstheme="majorBidi"/>
          <w:i/>
          <w:szCs w:val="26"/>
        </w:rPr>
      </w:pPr>
      <w:r w:rsidRPr="00BA50EA">
        <w:rPr>
          <w:i/>
          <w:color w:val="000000"/>
        </w:rPr>
        <w:t>Ključni</w:t>
      </w:r>
      <w:r w:rsidRPr="00BA50EA">
        <w:rPr>
          <w:rFonts w:cstheme="majorBidi"/>
          <w:i/>
          <w:szCs w:val="26"/>
        </w:rPr>
        <w:t xml:space="preserve"> pokazatelji i mjerila</w:t>
      </w:r>
    </w:p>
    <w:p w14:paraId="1C2B8F17" w14:textId="77777777" w:rsidR="00BA50EA" w:rsidRPr="00BA50EA" w:rsidRDefault="00BA50EA" w:rsidP="00BA50EA">
      <w:pPr>
        <w:keepNext/>
        <w:keepLines/>
        <w:spacing w:before="120" w:after="120"/>
        <w:jc w:val="center"/>
        <w:outlineLvl w:val="2"/>
        <w:rPr>
          <w:rFonts w:cstheme="majorBidi"/>
        </w:rPr>
      </w:pPr>
      <w:r w:rsidRPr="00BA50EA">
        <w:rPr>
          <w:rFonts w:cstheme="majorBidi"/>
        </w:rPr>
        <w:t>Članak 3.</w:t>
      </w:r>
    </w:p>
    <w:p w14:paraId="4E1D17EE" w14:textId="6088A97A" w:rsidR="00BA50EA" w:rsidRPr="00BA50EA" w:rsidRDefault="00BA50EA" w:rsidP="00BA50EA">
      <w:pPr>
        <w:shd w:val="clear" w:color="auto" w:fill="FFFFFF"/>
        <w:spacing w:before="120" w:after="225"/>
        <w:ind w:firstLine="426"/>
        <w:jc w:val="both"/>
        <w:textAlignment w:val="baseline"/>
        <w:rPr>
          <w:color w:val="000000"/>
        </w:rPr>
      </w:pPr>
      <w:r w:rsidRPr="00BA50EA">
        <w:rPr>
          <w:color w:val="000000"/>
        </w:rPr>
        <w:t xml:space="preserve">(1) Isporučitelji vodnih usluga dužni su prikupljati podatke i dostavljati ih Vijeću za vodne usluge u svrhu </w:t>
      </w:r>
      <w:r w:rsidR="008C1D1B">
        <w:rPr>
          <w:color w:val="000000"/>
        </w:rPr>
        <w:t xml:space="preserve">sustavnog praćenja i vrednovanja </w:t>
      </w:r>
      <w:r w:rsidR="00900033">
        <w:rPr>
          <w:color w:val="000000"/>
        </w:rPr>
        <w:t xml:space="preserve">njihove </w:t>
      </w:r>
      <w:r w:rsidR="008C1D1B">
        <w:rPr>
          <w:color w:val="000000"/>
        </w:rPr>
        <w:t>učinkovitosti</w:t>
      </w:r>
      <w:r w:rsidR="00900033">
        <w:rPr>
          <w:color w:val="000000"/>
        </w:rPr>
        <w:t xml:space="preserve"> poslovanja</w:t>
      </w:r>
      <w:r w:rsidR="008C1D1B">
        <w:rPr>
          <w:color w:val="000000"/>
        </w:rPr>
        <w:t xml:space="preserve"> </w:t>
      </w:r>
      <w:r w:rsidR="009F476D">
        <w:rPr>
          <w:color w:val="000000"/>
        </w:rPr>
        <w:t xml:space="preserve">na </w:t>
      </w:r>
      <w:r w:rsidR="008C1D1B">
        <w:rPr>
          <w:color w:val="000000"/>
        </w:rPr>
        <w:t xml:space="preserve">temelju </w:t>
      </w:r>
      <w:r w:rsidRPr="00BA50EA">
        <w:rPr>
          <w:color w:val="000000"/>
        </w:rPr>
        <w:t xml:space="preserve">izračuna </w:t>
      </w:r>
      <w:r w:rsidR="008C1D1B">
        <w:rPr>
          <w:color w:val="000000"/>
        </w:rPr>
        <w:t xml:space="preserve">i usporedbe </w:t>
      </w:r>
      <w:r w:rsidRPr="00BA50EA">
        <w:rPr>
          <w:color w:val="000000"/>
        </w:rPr>
        <w:t>ključnih pokazatelja učinkovitosti poslovanja</w:t>
      </w:r>
      <w:r w:rsidR="00900033">
        <w:rPr>
          <w:color w:val="000000"/>
        </w:rPr>
        <w:t xml:space="preserve"> </w:t>
      </w:r>
      <w:r w:rsidRPr="00BA50EA">
        <w:rPr>
          <w:color w:val="000000"/>
        </w:rPr>
        <w:t>razvrstanih u skupine iz Priloga</w:t>
      </w:r>
      <w:r w:rsidR="00373F9F">
        <w:rPr>
          <w:color w:val="000000"/>
        </w:rPr>
        <w:t xml:space="preserve"> 1</w:t>
      </w:r>
      <w:r w:rsidR="00FE1DA0">
        <w:rPr>
          <w:color w:val="000000"/>
        </w:rPr>
        <w:t>.</w:t>
      </w:r>
      <w:r w:rsidRPr="00BA50EA">
        <w:rPr>
          <w:color w:val="000000"/>
        </w:rPr>
        <w:t xml:space="preserve"> ove Uredbe.</w:t>
      </w:r>
    </w:p>
    <w:p w14:paraId="4D2BF69A" w14:textId="77777777" w:rsidR="008C1D1B" w:rsidRPr="00BA50EA" w:rsidRDefault="00BA50EA" w:rsidP="008C1D1B">
      <w:pPr>
        <w:shd w:val="clear" w:color="auto" w:fill="FFFFFF"/>
        <w:spacing w:before="120" w:after="225"/>
        <w:ind w:firstLine="426"/>
        <w:jc w:val="both"/>
        <w:textAlignment w:val="baseline"/>
        <w:rPr>
          <w:color w:val="000000"/>
        </w:rPr>
      </w:pPr>
      <w:r w:rsidRPr="00BA50EA">
        <w:rPr>
          <w:color w:val="000000"/>
        </w:rPr>
        <w:t xml:space="preserve">(2) </w:t>
      </w:r>
      <w:r w:rsidR="008C1D1B" w:rsidRPr="00BA50EA">
        <w:rPr>
          <w:color w:val="000000"/>
        </w:rPr>
        <w:t>Vijeće za vodne usluge dužno</w:t>
      </w:r>
      <w:r w:rsidR="008C1D1B">
        <w:rPr>
          <w:color w:val="000000"/>
        </w:rPr>
        <w:t xml:space="preserve"> je</w:t>
      </w:r>
      <w:r w:rsidR="008C1D1B" w:rsidRPr="00BA50EA">
        <w:rPr>
          <w:color w:val="000000"/>
        </w:rPr>
        <w:t xml:space="preserve"> voditi </w:t>
      </w:r>
      <w:r w:rsidR="00992814" w:rsidRPr="00871655">
        <w:rPr>
          <w:color w:val="000000"/>
        </w:rPr>
        <w:t xml:space="preserve">zbirku podataka ključnih pokazatelja iz stavka 1. ovoga članka </w:t>
      </w:r>
      <w:r w:rsidR="008C1D1B">
        <w:rPr>
          <w:color w:val="000000"/>
        </w:rPr>
        <w:t>u elektroničkom obliku (mrežna aplikacija)</w:t>
      </w:r>
      <w:r w:rsidR="00992814">
        <w:rPr>
          <w:color w:val="000000"/>
        </w:rPr>
        <w:t>.</w:t>
      </w:r>
      <w:r w:rsidR="00992814" w:rsidRPr="00992814">
        <w:rPr>
          <w:color w:val="000000"/>
        </w:rPr>
        <w:t xml:space="preserve"> </w:t>
      </w:r>
      <w:r w:rsidR="00992814">
        <w:rPr>
          <w:color w:val="000000"/>
        </w:rPr>
        <w:t xml:space="preserve">Zbirka podataka vodi se </w:t>
      </w:r>
      <w:r w:rsidR="00EF1416">
        <w:rPr>
          <w:color w:val="000000"/>
        </w:rPr>
        <w:t>na razini svakog isporučitelja</w:t>
      </w:r>
      <w:r w:rsidR="00992814" w:rsidRPr="00992814">
        <w:rPr>
          <w:color w:val="000000"/>
        </w:rPr>
        <w:t xml:space="preserve"> </w:t>
      </w:r>
      <w:r w:rsidR="00992814">
        <w:rPr>
          <w:color w:val="000000"/>
        </w:rPr>
        <w:t>vodnih usluga i uključuje njihovu usporednu analizu.</w:t>
      </w:r>
    </w:p>
    <w:p w14:paraId="2AA0566D" w14:textId="77777777" w:rsidR="00BA50EA" w:rsidRPr="00BA50EA" w:rsidRDefault="00BA50EA" w:rsidP="00BA50EA">
      <w:pPr>
        <w:shd w:val="clear" w:color="auto" w:fill="FFFFFF"/>
        <w:spacing w:before="120" w:after="225"/>
        <w:ind w:firstLine="425"/>
        <w:jc w:val="both"/>
        <w:textAlignment w:val="baseline"/>
        <w:rPr>
          <w:color w:val="000000"/>
        </w:rPr>
      </w:pPr>
      <w:r w:rsidRPr="00BA50EA">
        <w:rPr>
          <w:color w:val="000000"/>
        </w:rPr>
        <w:t xml:space="preserve">(3) Vijeće za vodne usluge donosi smjernicu kojom određuje podatke koji se prikupljaju u svrhu utvrđivanja ključnih pokazatelja, njihov obuhvat, način popunjavanja te rokove njihove dostave Vijeću za vodne usluge. Smjernica se objavljuje na </w:t>
      </w:r>
      <w:r w:rsidR="00144F2B">
        <w:rPr>
          <w:color w:val="000000"/>
        </w:rPr>
        <w:t>mrežnoj stranici</w:t>
      </w:r>
      <w:r w:rsidRPr="00BA50EA">
        <w:rPr>
          <w:color w:val="000000"/>
        </w:rPr>
        <w:t xml:space="preserve"> Vijeća za vodne usluge. </w:t>
      </w:r>
    </w:p>
    <w:p w14:paraId="64205D53" w14:textId="77777777" w:rsidR="00BA50EA" w:rsidRPr="00BA50EA" w:rsidRDefault="00BA50EA" w:rsidP="00BA50EA">
      <w:pPr>
        <w:shd w:val="clear" w:color="auto" w:fill="FFFFFF"/>
        <w:spacing w:before="120" w:after="225"/>
        <w:ind w:firstLine="425"/>
        <w:jc w:val="both"/>
        <w:textAlignment w:val="baseline"/>
        <w:rPr>
          <w:color w:val="000000"/>
        </w:rPr>
      </w:pPr>
      <w:r w:rsidRPr="00BA50EA">
        <w:rPr>
          <w:color w:val="000000"/>
        </w:rPr>
        <w:t xml:space="preserve">(4) Isporučitelji vodnih usluga </w:t>
      </w:r>
      <w:r w:rsidR="00A60CD4">
        <w:rPr>
          <w:color w:val="000000"/>
        </w:rPr>
        <w:t>dužni su dostavljati</w:t>
      </w:r>
      <w:r w:rsidRPr="00BA50EA">
        <w:rPr>
          <w:color w:val="000000"/>
        </w:rPr>
        <w:t xml:space="preserve"> podatke </w:t>
      </w:r>
      <w:r w:rsidR="00A60CD4">
        <w:rPr>
          <w:color w:val="000000"/>
        </w:rPr>
        <w:t xml:space="preserve">iz stavka 1. ovoga članka </w:t>
      </w:r>
      <w:r w:rsidRPr="00BA50EA">
        <w:rPr>
          <w:color w:val="000000"/>
        </w:rPr>
        <w:t>Vijeću za vodne usluge samostalnim unosom u mrežnu aplikaciju</w:t>
      </w:r>
      <w:r w:rsidR="004C3FAC">
        <w:rPr>
          <w:color w:val="000000"/>
        </w:rPr>
        <w:t xml:space="preserve"> iz stavka 2. ovoga članka</w:t>
      </w:r>
      <w:r w:rsidRPr="00BA50EA">
        <w:rPr>
          <w:color w:val="000000"/>
        </w:rPr>
        <w:t>.</w:t>
      </w:r>
    </w:p>
    <w:p w14:paraId="48A92F2A" w14:textId="77777777" w:rsidR="00BA50EA" w:rsidRDefault="00BA50EA" w:rsidP="00C47F9D">
      <w:pPr>
        <w:shd w:val="clear" w:color="auto" w:fill="FFFFFF"/>
        <w:spacing w:before="120" w:after="225"/>
        <w:ind w:firstLine="425"/>
        <w:jc w:val="both"/>
        <w:textAlignment w:val="baseline"/>
        <w:rPr>
          <w:color w:val="000000"/>
        </w:rPr>
      </w:pPr>
      <w:r w:rsidRPr="002952F6">
        <w:rPr>
          <w:color w:val="000000"/>
        </w:rPr>
        <w:t>(5)</w:t>
      </w:r>
      <w:r w:rsidR="00F7126E">
        <w:rPr>
          <w:color w:val="000000"/>
        </w:rPr>
        <w:t xml:space="preserve">  </w:t>
      </w:r>
      <w:r w:rsidR="00A27B4B">
        <w:rPr>
          <w:color w:val="000000"/>
        </w:rPr>
        <w:t xml:space="preserve">Vrijednosti ključnih pokazatelja na razini svakog isporučitelja </w:t>
      </w:r>
      <w:r w:rsidR="00AB1871">
        <w:rPr>
          <w:color w:val="000000"/>
        </w:rPr>
        <w:t xml:space="preserve">vodnih usluga </w:t>
      </w:r>
      <w:r w:rsidR="00A27B4B">
        <w:rPr>
          <w:color w:val="000000"/>
        </w:rPr>
        <w:t xml:space="preserve">kao i rezultati usporedne analize </w:t>
      </w:r>
      <w:r w:rsidR="00992814">
        <w:rPr>
          <w:color w:val="000000"/>
        </w:rPr>
        <w:t xml:space="preserve">ključnih pokazatelja iz stavka 2. ovoga članka </w:t>
      </w:r>
      <w:r w:rsidR="00F7126E">
        <w:rPr>
          <w:color w:val="000000"/>
        </w:rPr>
        <w:t>javno su dostupni na</w:t>
      </w:r>
      <w:r w:rsidR="00A27B4B">
        <w:rPr>
          <w:color w:val="000000"/>
        </w:rPr>
        <w:t xml:space="preserve"> </w:t>
      </w:r>
      <w:r w:rsidR="008D1A63">
        <w:rPr>
          <w:color w:val="000000"/>
        </w:rPr>
        <w:t>mrežnoj stranici Vijeća za vodne usluge</w:t>
      </w:r>
      <w:r w:rsidR="00181FAD">
        <w:rPr>
          <w:color w:val="000000"/>
        </w:rPr>
        <w:t>.</w:t>
      </w:r>
    </w:p>
    <w:p w14:paraId="1D833B52" w14:textId="75DA8C8D" w:rsidR="00373F9F" w:rsidRPr="00BA50EA" w:rsidRDefault="00373F9F" w:rsidP="00F7126E">
      <w:pPr>
        <w:shd w:val="clear" w:color="auto" w:fill="FFFFFF"/>
        <w:spacing w:before="120" w:after="225"/>
        <w:ind w:firstLine="425"/>
        <w:jc w:val="both"/>
        <w:textAlignment w:val="baseline"/>
        <w:rPr>
          <w:color w:val="000000"/>
        </w:rPr>
      </w:pPr>
      <w:r>
        <w:rPr>
          <w:color w:val="000000"/>
        </w:rPr>
        <w:t>(6) Vijeće za vodne usluge na svojoj mrežnoj stranici objavljuje sažetke godišnjih revidiranih financijskih izvještaja isporučitelja vodnih usluga koji su izrađeni u skladu s propisima o računovodstvu.</w:t>
      </w:r>
    </w:p>
    <w:p w14:paraId="4E878331" w14:textId="77777777" w:rsidR="00BA50EA" w:rsidRPr="00BA50EA" w:rsidRDefault="00BA50EA" w:rsidP="00BA50EA">
      <w:pPr>
        <w:keepNext/>
        <w:keepLines/>
        <w:spacing w:before="360" w:after="360"/>
        <w:ind w:firstLine="425"/>
        <w:jc w:val="center"/>
        <w:outlineLvl w:val="1"/>
        <w:rPr>
          <w:rFonts w:cstheme="majorBidi"/>
          <w:i/>
          <w:szCs w:val="26"/>
        </w:rPr>
      </w:pPr>
      <w:r w:rsidRPr="00BA50EA">
        <w:rPr>
          <w:rFonts w:cstheme="majorBidi"/>
          <w:i/>
          <w:szCs w:val="26"/>
        </w:rPr>
        <w:lastRenderedPageBreak/>
        <w:t>Način mjerenja, vrednovanja i izvještavanja o učinkovitosti poslovanja</w:t>
      </w:r>
    </w:p>
    <w:p w14:paraId="3FC0D6CD" w14:textId="77777777" w:rsidR="00BA50EA" w:rsidRPr="00BA50EA" w:rsidRDefault="00BA50EA" w:rsidP="00BA50EA">
      <w:pPr>
        <w:keepNext/>
        <w:keepLines/>
        <w:spacing w:before="120" w:after="120"/>
        <w:jc w:val="center"/>
        <w:outlineLvl w:val="2"/>
        <w:rPr>
          <w:rFonts w:cstheme="majorBidi"/>
        </w:rPr>
      </w:pPr>
      <w:r w:rsidRPr="00BA50EA">
        <w:rPr>
          <w:rFonts w:cstheme="majorBidi"/>
        </w:rPr>
        <w:t>Članak 4.</w:t>
      </w:r>
    </w:p>
    <w:p w14:paraId="63FD54CE" w14:textId="5C4EF841" w:rsidR="00BA50EA" w:rsidRPr="00BA50EA" w:rsidRDefault="00BA50EA" w:rsidP="00BA50EA">
      <w:pPr>
        <w:shd w:val="clear" w:color="auto" w:fill="FFFFFF"/>
        <w:spacing w:before="120" w:after="225"/>
        <w:ind w:firstLine="425"/>
        <w:jc w:val="both"/>
        <w:textAlignment w:val="baseline"/>
        <w:rPr>
          <w:color w:val="000000"/>
        </w:rPr>
      </w:pPr>
      <w:r w:rsidRPr="00BA50EA">
        <w:rPr>
          <w:color w:val="000000"/>
        </w:rPr>
        <w:t xml:space="preserve">(1) Na temelju prikupljenih podataka iz članka 3. stavka 1. ove Uredbe Vijeće za vodne usluge jednom godišnje donosi smjernicu o načinu izračuna pojedinog ključnog pokazatelja iz Priloga </w:t>
      </w:r>
      <w:r w:rsidR="00CE76EB">
        <w:rPr>
          <w:color w:val="000000"/>
        </w:rPr>
        <w:t xml:space="preserve">1. </w:t>
      </w:r>
      <w:r w:rsidRPr="00BA50EA">
        <w:rPr>
          <w:color w:val="000000"/>
        </w:rPr>
        <w:t xml:space="preserve">ove Uredbe i referentnim vrijednostima ključnih pokazatelja koju objavljuje na </w:t>
      </w:r>
      <w:r w:rsidR="003340C7">
        <w:rPr>
          <w:color w:val="000000"/>
        </w:rPr>
        <w:t>svojoj mrežnoj stranici</w:t>
      </w:r>
      <w:r w:rsidRPr="00BA50EA">
        <w:rPr>
          <w:color w:val="000000"/>
        </w:rPr>
        <w:t>.</w:t>
      </w:r>
    </w:p>
    <w:p w14:paraId="08AB56FA" w14:textId="5C96B957" w:rsidR="00BA50EA" w:rsidRPr="003472E6" w:rsidRDefault="00BA50EA" w:rsidP="00BA50EA">
      <w:pPr>
        <w:shd w:val="clear" w:color="auto" w:fill="FFFFFF"/>
        <w:spacing w:before="120" w:after="225"/>
        <w:ind w:firstLine="425"/>
        <w:jc w:val="both"/>
        <w:textAlignment w:val="baseline"/>
        <w:rPr>
          <w:color w:val="000000"/>
        </w:rPr>
      </w:pPr>
      <w:r w:rsidRPr="00BA50EA">
        <w:rPr>
          <w:color w:val="000000"/>
        </w:rPr>
        <w:t>(2</w:t>
      </w:r>
      <w:r w:rsidRPr="00E754C9">
        <w:rPr>
          <w:color w:val="000000"/>
        </w:rPr>
        <w:t xml:space="preserve">) Vijeće za vodne usluge na temelju izračunatih ključnih pokazatelja učinkovitosti poslovanja u skladu sa smjernicom iz stavka 1. ovoga članka, uspoređuje i vrednuje isporučitelje vodnih usluga u odnosu na svaku pojedinu skupinu ključnih pokazatelja i u odnosu na sve pokazatelje </w:t>
      </w:r>
      <w:r w:rsidRPr="003472E6">
        <w:rPr>
          <w:color w:val="000000"/>
        </w:rPr>
        <w:t>iz Priloga</w:t>
      </w:r>
      <w:r w:rsidR="00F45CB0" w:rsidRPr="003472E6">
        <w:rPr>
          <w:color w:val="000000"/>
        </w:rPr>
        <w:t xml:space="preserve"> 1</w:t>
      </w:r>
      <w:r w:rsidR="00CE76EB" w:rsidRPr="003472E6">
        <w:rPr>
          <w:color w:val="000000"/>
        </w:rPr>
        <w:t>.</w:t>
      </w:r>
      <w:r w:rsidR="00F45CB0" w:rsidRPr="003472E6">
        <w:rPr>
          <w:color w:val="000000"/>
        </w:rPr>
        <w:t xml:space="preserve"> </w:t>
      </w:r>
      <w:r w:rsidR="00522CD6" w:rsidRPr="003472E6">
        <w:rPr>
          <w:color w:val="000000"/>
        </w:rPr>
        <w:t>ove Uredbe</w:t>
      </w:r>
      <w:r w:rsidRPr="003472E6">
        <w:rPr>
          <w:color w:val="000000"/>
        </w:rPr>
        <w:t>.</w:t>
      </w:r>
      <w:r w:rsidR="00F45CB0" w:rsidRPr="003472E6">
        <w:rPr>
          <w:color w:val="000000"/>
        </w:rPr>
        <w:t xml:space="preserve"> </w:t>
      </w:r>
    </w:p>
    <w:p w14:paraId="30347D21" w14:textId="77777777" w:rsidR="00BA50EA" w:rsidRPr="00BA50EA" w:rsidRDefault="00BA50EA" w:rsidP="00BA50EA">
      <w:pPr>
        <w:shd w:val="clear" w:color="auto" w:fill="FFFFFF"/>
        <w:spacing w:before="120" w:after="225"/>
        <w:ind w:firstLine="425"/>
        <w:jc w:val="both"/>
        <w:textAlignment w:val="baseline"/>
        <w:rPr>
          <w:color w:val="000000"/>
        </w:rPr>
      </w:pPr>
      <w:r w:rsidRPr="003472E6">
        <w:rPr>
          <w:color w:val="000000"/>
        </w:rPr>
        <w:t>(3) O rezultatima usporedbe i vrednovanja učinkovitosti poslovanja isporučitelja vodnih usluga Vijeće za vodne usluge jednom godišnje sastavlja izvješće u okviru izvješća iz članka 65. stavka 6. Zakona o vodnim uslugama (</w:t>
      </w:r>
      <w:r w:rsidR="007863EB" w:rsidRPr="003472E6">
        <w:rPr>
          <w:color w:val="000000"/>
        </w:rPr>
        <w:t>„</w:t>
      </w:r>
      <w:r w:rsidRPr="003472E6">
        <w:rPr>
          <w:color w:val="000000"/>
        </w:rPr>
        <w:t>Narodne novine</w:t>
      </w:r>
      <w:r w:rsidR="007863EB" w:rsidRPr="003472E6">
        <w:rPr>
          <w:color w:val="000000"/>
        </w:rPr>
        <w:t>“</w:t>
      </w:r>
      <w:r w:rsidRPr="003472E6">
        <w:rPr>
          <w:color w:val="000000"/>
        </w:rPr>
        <w:t>, br</w:t>
      </w:r>
      <w:r w:rsidR="007863EB" w:rsidRPr="003472E6">
        <w:rPr>
          <w:color w:val="000000"/>
        </w:rPr>
        <w:t>oj</w:t>
      </w:r>
      <w:r w:rsidRPr="003472E6">
        <w:rPr>
          <w:color w:val="000000"/>
        </w:rPr>
        <w:t xml:space="preserve"> 66/19.).</w:t>
      </w:r>
    </w:p>
    <w:p w14:paraId="68B11954" w14:textId="77777777" w:rsidR="00BA50EA" w:rsidRPr="00BA50EA" w:rsidRDefault="00BA50EA" w:rsidP="00BA50EA">
      <w:pPr>
        <w:keepNext/>
        <w:keepLines/>
        <w:spacing w:before="360" w:after="360"/>
        <w:ind w:firstLine="425"/>
        <w:jc w:val="center"/>
        <w:outlineLvl w:val="1"/>
        <w:rPr>
          <w:rFonts w:cstheme="majorBidi"/>
          <w:i/>
          <w:szCs w:val="26"/>
        </w:rPr>
      </w:pPr>
      <w:r w:rsidRPr="00BA50EA">
        <w:rPr>
          <w:rFonts w:cstheme="majorBidi"/>
          <w:i/>
          <w:szCs w:val="26"/>
        </w:rPr>
        <w:t>Objava rezultata usporedbe i vrednovanja učinkovitosti poslovanja isporučitelja vodnih usluga</w:t>
      </w:r>
    </w:p>
    <w:p w14:paraId="6D258A26" w14:textId="77777777" w:rsidR="00BA50EA" w:rsidRPr="00BA50EA" w:rsidRDefault="00BA50EA" w:rsidP="00BA50EA">
      <w:pPr>
        <w:keepNext/>
        <w:keepLines/>
        <w:spacing w:before="120" w:after="120"/>
        <w:jc w:val="center"/>
        <w:outlineLvl w:val="2"/>
        <w:rPr>
          <w:rFonts w:cstheme="majorBidi"/>
        </w:rPr>
      </w:pPr>
      <w:r w:rsidRPr="00BA50EA">
        <w:rPr>
          <w:rFonts w:cstheme="majorBidi"/>
        </w:rPr>
        <w:t>Članak 5.</w:t>
      </w:r>
    </w:p>
    <w:p w14:paraId="5431BD74" w14:textId="77777777" w:rsidR="00BA50EA" w:rsidRPr="00BA50EA" w:rsidRDefault="00BA50EA" w:rsidP="00BA50EA">
      <w:pPr>
        <w:shd w:val="clear" w:color="auto" w:fill="FFFFFF"/>
        <w:spacing w:before="120" w:after="225"/>
        <w:ind w:firstLine="425"/>
        <w:jc w:val="both"/>
        <w:textAlignment w:val="baseline"/>
        <w:rPr>
          <w:color w:val="000000"/>
        </w:rPr>
      </w:pPr>
      <w:r w:rsidRPr="00BA50EA">
        <w:rPr>
          <w:color w:val="000000"/>
        </w:rPr>
        <w:t xml:space="preserve">Vijeće za vodne usluge </w:t>
      </w:r>
      <w:r w:rsidR="00F52C9F">
        <w:rPr>
          <w:color w:val="000000"/>
        </w:rPr>
        <w:t xml:space="preserve">objavljuje </w:t>
      </w:r>
      <w:r w:rsidRPr="00BA50EA">
        <w:rPr>
          <w:color w:val="000000"/>
        </w:rPr>
        <w:t xml:space="preserve">rezultate provedene usporedbe i vrednovanja učinkovitosti poslovanja isporučitelja vodnih usluga na svojoj mrežnoj stranici u roku od 30 dana od </w:t>
      </w:r>
      <w:r w:rsidR="0057447B">
        <w:rPr>
          <w:color w:val="000000"/>
        </w:rPr>
        <w:t xml:space="preserve">dana </w:t>
      </w:r>
      <w:r w:rsidRPr="00BA50EA">
        <w:rPr>
          <w:color w:val="000000"/>
        </w:rPr>
        <w:t>prihvaćanja izvješća iz članka 4. stavka 3. ove Uredbe od strane Hrvatskog sabora.</w:t>
      </w:r>
    </w:p>
    <w:p w14:paraId="133DE97A" w14:textId="77777777" w:rsidR="00BA50EA" w:rsidRPr="00BA50EA" w:rsidRDefault="00BA50EA" w:rsidP="00BA50EA">
      <w:pPr>
        <w:keepNext/>
        <w:keepLines/>
        <w:numPr>
          <w:ilvl w:val="0"/>
          <w:numId w:val="12"/>
        </w:numPr>
        <w:tabs>
          <w:tab w:val="num" w:pos="360"/>
        </w:tabs>
        <w:spacing w:before="360" w:after="360"/>
        <w:ind w:firstLine="425"/>
        <w:jc w:val="center"/>
        <w:outlineLvl w:val="0"/>
        <w:rPr>
          <w:rFonts w:cstheme="majorBidi"/>
          <w:szCs w:val="32"/>
        </w:rPr>
      </w:pPr>
      <w:r w:rsidRPr="00BA50EA">
        <w:rPr>
          <w:rFonts w:cstheme="majorBidi"/>
          <w:szCs w:val="32"/>
        </w:rPr>
        <w:t>PRIJELAZNE I ZAVRŠNE ODREDBE</w:t>
      </w:r>
    </w:p>
    <w:p w14:paraId="4932BB18" w14:textId="77777777" w:rsidR="00BA50EA" w:rsidRPr="00BA50EA" w:rsidRDefault="00BA50EA" w:rsidP="00BA50EA">
      <w:pPr>
        <w:keepNext/>
        <w:keepLines/>
        <w:spacing w:before="120" w:after="120"/>
        <w:jc w:val="center"/>
        <w:outlineLvl w:val="2"/>
        <w:rPr>
          <w:rFonts w:cstheme="majorBidi"/>
        </w:rPr>
      </w:pPr>
      <w:r w:rsidRPr="00BA50EA">
        <w:rPr>
          <w:rFonts w:cstheme="majorBidi"/>
        </w:rPr>
        <w:t>Članak 6.</w:t>
      </w:r>
    </w:p>
    <w:p w14:paraId="3A407663" w14:textId="1D5135BE" w:rsidR="00BA50EA" w:rsidRPr="00BA50EA" w:rsidRDefault="00BA50EA" w:rsidP="00BA50EA">
      <w:pPr>
        <w:shd w:val="clear" w:color="auto" w:fill="FFFFFF"/>
        <w:spacing w:before="120" w:after="225"/>
        <w:ind w:firstLine="425"/>
        <w:jc w:val="both"/>
        <w:textAlignment w:val="baseline"/>
        <w:rPr>
          <w:color w:val="000000"/>
        </w:rPr>
      </w:pPr>
      <w:r w:rsidRPr="00BA50EA">
        <w:rPr>
          <w:color w:val="000000"/>
        </w:rPr>
        <w:t xml:space="preserve">Mrežnu aplikaciju iz članka 3. stavka </w:t>
      </w:r>
      <w:r w:rsidR="004C3FAC">
        <w:rPr>
          <w:color w:val="000000"/>
        </w:rPr>
        <w:t>2.</w:t>
      </w:r>
      <w:r w:rsidRPr="00BA50EA">
        <w:rPr>
          <w:color w:val="000000"/>
        </w:rPr>
        <w:t xml:space="preserve"> ove Uredbe Vijeće za vodne usluge će uspostaviti u roku od </w:t>
      </w:r>
      <w:r w:rsidR="00992814">
        <w:rPr>
          <w:color w:val="000000"/>
        </w:rPr>
        <w:t xml:space="preserve">osam </w:t>
      </w:r>
      <w:r w:rsidR="00B8372E">
        <w:rPr>
          <w:color w:val="000000"/>
        </w:rPr>
        <w:t>mjeseci</w:t>
      </w:r>
      <w:r w:rsidRPr="00BA50EA">
        <w:rPr>
          <w:color w:val="000000"/>
        </w:rPr>
        <w:t xml:space="preserve"> od </w:t>
      </w:r>
      <w:r w:rsidR="003B349A">
        <w:rPr>
          <w:color w:val="000000"/>
        </w:rPr>
        <w:t xml:space="preserve">dana </w:t>
      </w:r>
      <w:r w:rsidRPr="00BA50EA">
        <w:rPr>
          <w:color w:val="000000"/>
        </w:rPr>
        <w:t>stupanja na snagu ove Uredbe ili će u istom roku odrediti korištenje jedne od postojećih mrežnih aplikacija za pokazatelje učinkovitosti poslovanja.</w:t>
      </w:r>
    </w:p>
    <w:p w14:paraId="6F8FB6C1" w14:textId="77777777" w:rsidR="00BA50EA" w:rsidRPr="00BA50EA" w:rsidRDefault="00BA50EA" w:rsidP="00BA50EA">
      <w:pPr>
        <w:pStyle w:val="Heading3"/>
        <w:numPr>
          <w:ilvl w:val="0"/>
          <w:numId w:val="0"/>
        </w:numPr>
      </w:pPr>
      <w:r w:rsidRPr="00BA50EA">
        <w:t>Članak 7.</w:t>
      </w:r>
    </w:p>
    <w:p w14:paraId="7762F3C2" w14:textId="2E592219" w:rsidR="00A954CD" w:rsidRPr="00E37C3A" w:rsidRDefault="00BA50EA" w:rsidP="00EA5C73">
      <w:pPr>
        <w:pStyle w:val="ListParagraph"/>
        <w:tabs>
          <w:tab w:val="left" w:pos="0"/>
        </w:tabs>
        <w:spacing w:before="120"/>
        <w:ind w:left="0" w:firstLine="426"/>
        <w:jc w:val="both"/>
        <w:rPr>
          <w:rFonts w:cstheme="minorHAnsi"/>
          <w:color w:val="000000" w:themeColor="text1"/>
        </w:rPr>
      </w:pPr>
      <w:r w:rsidRPr="00E37C3A">
        <w:rPr>
          <w:rFonts w:cstheme="minorHAnsi"/>
          <w:color w:val="000000" w:themeColor="text1"/>
        </w:rPr>
        <w:t xml:space="preserve">Vijeće za vodne usluge dužno je smjernicu iz članka 3. stavka 3. ove Uredbe donijeti </w:t>
      </w:r>
      <w:r w:rsidR="00EA5C73">
        <w:rPr>
          <w:rFonts w:cstheme="minorHAnsi"/>
          <w:color w:val="000000" w:themeColor="text1"/>
        </w:rPr>
        <w:t xml:space="preserve">u </w:t>
      </w:r>
      <w:r w:rsidR="00CF27B3" w:rsidRPr="00E37C3A">
        <w:rPr>
          <w:rFonts w:cstheme="minorHAnsi"/>
          <w:color w:val="000000" w:themeColor="text1"/>
        </w:rPr>
        <w:t xml:space="preserve">roku od </w:t>
      </w:r>
      <w:r w:rsidR="00992814" w:rsidRPr="00E37C3A">
        <w:rPr>
          <w:rFonts w:cstheme="minorHAnsi"/>
          <w:color w:val="000000" w:themeColor="text1"/>
        </w:rPr>
        <w:t xml:space="preserve">šest mjeseci </w:t>
      </w:r>
      <w:r w:rsidR="00CF27B3" w:rsidRPr="00E37C3A">
        <w:rPr>
          <w:rFonts w:cstheme="minorHAnsi"/>
          <w:color w:val="000000" w:themeColor="text1"/>
        </w:rPr>
        <w:t>od dana stupanja na snagu ove Uredbe.</w:t>
      </w:r>
    </w:p>
    <w:p w14:paraId="53C41DCD" w14:textId="5C142D29" w:rsidR="00992814" w:rsidRPr="002579DB" w:rsidRDefault="00184FD1" w:rsidP="00150871">
      <w:pPr>
        <w:tabs>
          <w:tab w:val="left" w:pos="426"/>
        </w:tabs>
        <w:spacing w:before="120" w:after="100" w:afterAutospacing="1"/>
        <w:jc w:val="center"/>
        <w:rPr>
          <w:rFonts w:cstheme="majorBidi"/>
        </w:rPr>
      </w:pPr>
      <w:r w:rsidDel="00184FD1">
        <w:rPr>
          <w:rFonts w:cstheme="minorHAnsi"/>
          <w:color w:val="000000" w:themeColor="text1"/>
        </w:rPr>
        <w:t xml:space="preserve"> </w:t>
      </w:r>
      <w:r w:rsidR="00992814" w:rsidRPr="00150871">
        <w:rPr>
          <w:rFonts w:cstheme="majorBidi"/>
        </w:rPr>
        <w:t>Članak 8.</w:t>
      </w:r>
    </w:p>
    <w:p w14:paraId="19212DAA" w14:textId="397BF9CA" w:rsidR="001F1083" w:rsidRPr="00150871" w:rsidRDefault="008B0A8C" w:rsidP="00150871">
      <w:pPr>
        <w:pStyle w:val="ListParagraph"/>
        <w:keepNext/>
        <w:keepLines/>
        <w:numPr>
          <w:ilvl w:val="0"/>
          <w:numId w:val="48"/>
        </w:numPr>
        <w:spacing w:before="120" w:after="120"/>
        <w:ind w:left="0" w:firstLine="426"/>
        <w:jc w:val="both"/>
        <w:outlineLvl w:val="2"/>
        <w:rPr>
          <w:rFonts w:cstheme="majorBidi"/>
        </w:rPr>
      </w:pPr>
      <w:r>
        <w:rPr>
          <w:rFonts w:cstheme="majorBidi"/>
        </w:rPr>
        <w:lastRenderedPageBreak/>
        <w:t xml:space="preserve"> </w:t>
      </w:r>
      <w:r w:rsidR="001F1083" w:rsidRPr="00150871">
        <w:rPr>
          <w:rFonts w:cstheme="majorBidi"/>
        </w:rPr>
        <w:t>Postojeći</w:t>
      </w:r>
      <w:r w:rsidR="004D6296" w:rsidRPr="00150871">
        <w:rPr>
          <w:rFonts w:cstheme="majorBidi"/>
        </w:rPr>
        <w:t xml:space="preserve"> javni isporučitelji vodnih usluga dužni su dostaviti podatke</w:t>
      </w:r>
      <w:r w:rsidR="00A562B0" w:rsidRPr="00150871">
        <w:rPr>
          <w:rFonts w:cstheme="majorBidi"/>
        </w:rPr>
        <w:t xml:space="preserve"> iz Priloga 2. </w:t>
      </w:r>
      <w:r w:rsidR="00CC54E6">
        <w:rPr>
          <w:rFonts w:cstheme="majorBidi"/>
        </w:rPr>
        <w:t xml:space="preserve">koji je sastavni dio </w:t>
      </w:r>
      <w:r w:rsidR="00A562B0" w:rsidRPr="003744F5">
        <w:rPr>
          <w:rFonts w:cstheme="majorBidi"/>
        </w:rPr>
        <w:t xml:space="preserve">ove Uredbe za 2022. </w:t>
      </w:r>
      <w:r w:rsidR="002579DB" w:rsidRPr="003744F5">
        <w:rPr>
          <w:rFonts w:cstheme="majorBidi"/>
        </w:rPr>
        <w:t xml:space="preserve">godinu u roku od tri mjeseca od dana stupanja na snagu ove </w:t>
      </w:r>
      <w:r w:rsidR="002579DB" w:rsidRPr="00E56B0F">
        <w:rPr>
          <w:rFonts w:cstheme="majorBidi"/>
        </w:rPr>
        <w:t xml:space="preserve">Uredbe, a </w:t>
      </w:r>
      <w:r w:rsidR="002579DB" w:rsidRPr="003744F5">
        <w:rPr>
          <w:rFonts w:cstheme="majorBidi"/>
        </w:rPr>
        <w:t>za</w:t>
      </w:r>
      <w:r w:rsidR="00A562B0" w:rsidRPr="003744F5">
        <w:rPr>
          <w:rFonts w:cstheme="majorBidi"/>
        </w:rPr>
        <w:t xml:space="preserve"> 2023. godinu d</w:t>
      </w:r>
      <w:r w:rsidR="00A562B0" w:rsidRPr="00E56B0F">
        <w:rPr>
          <w:rFonts w:cstheme="majorBidi"/>
        </w:rPr>
        <w:t xml:space="preserve">o </w:t>
      </w:r>
      <w:r w:rsidR="002579DB" w:rsidRPr="00150871">
        <w:rPr>
          <w:rFonts w:cstheme="majorBidi"/>
        </w:rPr>
        <w:t xml:space="preserve">30. </w:t>
      </w:r>
      <w:r w:rsidR="00A562B0" w:rsidRPr="00150871">
        <w:rPr>
          <w:rFonts w:cstheme="majorBidi"/>
        </w:rPr>
        <w:t>lipnja 2024., na obrascima objavljenim na mrežnoj stranici Vijeća za vodne usluge.</w:t>
      </w:r>
    </w:p>
    <w:p w14:paraId="72A2C648" w14:textId="77777777" w:rsidR="00977A56" w:rsidRDefault="00977A56" w:rsidP="00150871">
      <w:pPr>
        <w:pStyle w:val="ListParagraph"/>
        <w:keepNext/>
        <w:keepLines/>
        <w:spacing w:before="120" w:after="120"/>
        <w:ind w:left="786"/>
        <w:jc w:val="both"/>
        <w:outlineLvl w:val="2"/>
        <w:rPr>
          <w:rFonts w:cstheme="majorBidi"/>
        </w:rPr>
      </w:pPr>
    </w:p>
    <w:p w14:paraId="51C95C56" w14:textId="0016FA0B" w:rsidR="00A562B0" w:rsidRDefault="008B0A8C" w:rsidP="00150871">
      <w:pPr>
        <w:pStyle w:val="ListParagraph"/>
        <w:keepNext/>
        <w:keepLines/>
        <w:numPr>
          <w:ilvl w:val="0"/>
          <w:numId w:val="48"/>
        </w:numPr>
        <w:spacing w:before="120" w:after="120"/>
        <w:ind w:left="0" w:firstLine="426"/>
        <w:jc w:val="both"/>
        <w:outlineLvl w:val="2"/>
        <w:rPr>
          <w:rFonts w:cstheme="majorBidi"/>
        </w:rPr>
      </w:pPr>
      <w:r>
        <w:rPr>
          <w:rFonts w:cstheme="majorBidi"/>
        </w:rPr>
        <w:t xml:space="preserve"> </w:t>
      </w:r>
      <w:r w:rsidR="00A562B0" w:rsidRPr="00A562B0">
        <w:rPr>
          <w:rFonts w:cstheme="majorBidi"/>
        </w:rPr>
        <w:t>Vijeće za vodne usluge dužno je</w:t>
      </w:r>
      <w:r w:rsidR="00D1008A" w:rsidRPr="00D1008A">
        <w:t xml:space="preserve"> </w:t>
      </w:r>
      <w:r w:rsidR="00D1008A" w:rsidRPr="00D1008A">
        <w:rPr>
          <w:rFonts w:cstheme="majorBidi"/>
        </w:rPr>
        <w:t>na svojoj mrežnoj stranici</w:t>
      </w:r>
      <w:r w:rsidR="00A562B0" w:rsidRPr="00A562B0">
        <w:rPr>
          <w:rFonts w:cstheme="majorBidi"/>
        </w:rPr>
        <w:t xml:space="preserve"> </w:t>
      </w:r>
      <w:r w:rsidR="00A562B0">
        <w:rPr>
          <w:rFonts w:cstheme="majorBidi"/>
        </w:rPr>
        <w:t xml:space="preserve">do </w:t>
      </w:r>
      <w:r w:rsidR="002579DB">
        <w:rPr>
          <w:rFonts w:cstheme="majorBidi"/>
        </w:rPr>
        <w:t>31. prosinca 2023. objaviti</w:t>
      </w:r>
      <w:r w:rsidR="00A01EF9">
        <w:rPr>
          <w:rFonts w:cstheme="majorBidi"/>
        </w:rPr>
        <w:t xml:space="preserve"> </w:t>
      </w:r>
      <w:r w:rsidR="002579DB" w:rsidRPr="002579DB">
        <w:rPr>
          <w:rFonts w:cstheme="majorBidi"/>
        </w:rPr>
        <w:t xml:space="preserve">ključne pokazatelje </w:t>
      </w:r>
      <w:r w:rsidR="00A01EF9">
        <w:rPr>
          <w:rFonts w:cstheme="majorBidi"/>
        </w:rPr>
        <w:t>za 2022. godinu</w:t>
      </w:r>
      <w:r w:rsidR="00D1008A">
        <w:rPr>
          <w:rFonts w:cstheme="majorBidi"/>
        </w:rPr>
        <w:t>, a</w:t>
      </w:r>
      <w:r w:rsidR="002579DB">
        <w:rPr>
          <w:rFonts w:cstheme="majorBidi"/>
        </w:rPr>
        <w:t xml:space="preserve"> </w:t>
      </w:r>
      <w:r w:rsidR="00D1008A">
        <w:rPr>
          <w:rFonts w:cstheme="majorBidi"/>
        </w:rPr>
        <w:t xml:space="preserve">za 2023. godinu </w:t>
      </w:r>
      <w:r w:rsidR="002579DB">
        <w:rPr>
          <w:rFonts w:cstheme="majorBidi"/>
        </w:rPr>
        <w:t xml:space="preserve">do </w:t>
      </w:r>
      <w:r w:rsidR="00A562B0">
        <w:rPr>
          <w:rFonts w:cstheme="majorBidi"/>
        </w:rPr>
        <w:t xml:space="preserve">30. rujna 2024. prema podacima iz stavka 1. ovoga članka </w:t>
      </w:r>
      <w:r w:rsidR="00A01EF9">
        <w:rPr>
          <w:rFonts w:cstheme="majorBidi"/>
        </w:rPr>
        <w:t>te</w:t>
      </w:r>
      <w:r w:rsidR="00A562B0" w:rsidRPr="00A562B0">
        <w:rPr>
          <w:rFonts w:cstheme="majorBidi"/>
        </w:rPr>
        <w:t xml:space="preserve"> omogućiti njihovu usporednu analizu na razini svakog </w:t>
      </w:r>
      <w:r w:rsidR="002579DB">
        <w:rPr>
          <w:rFonts w:cstheme="majorBidi"/>
        </w:rPr>
        <w:t xml:space="preserve">postojećeg </w:t>
      </w:r>
      <w:r w:rsidR="00A562B0" w:rsidRPr="00A562B0">
        <w:rPr>
          <w:rFonts w:cstheme="majorBidi"/>
        </w:rPr>
        <w:t>isporučitelja vodnih usluga.</w:t>
      </w:r>
    </w:p>
    <w:p w14:paraId="56B09637" w14:textId="77777777" w:rsidR="00D1008A" w:rsidRPr="003744F5" w:rsidRDefault="00D1008A" w:rsidP="00150871">
      <w:pPr>
        <w:pStyle w:val="ListParagraph"/>
        <w:rPr>
          <w:rFonts w:cstheme="majorBidi"/>
        </w:rPr>
      </w:pPr>
    </w:p>
    <w:p w14:paraId="23FF5219" w14:textId="77777777" w:rsidR="002617AD" w:rsidRDefault="00347803" w:rsidP="00E21B50">
      <w:pPr>
        <w:keepNext/>
        <w:keepLines/>
        <w:spacing w:before="120" w:after="120"/>
        <w:jc w:val="center"/>
        <w:outlineLvl w:val="2"/>
        <w:rPr>
          <w:rFonts w:cstheme="majorBidi"/>
        </w:rPr>
      </w:pPr>
      <w:r>
        <w:rPr>
          <w:rFonts w:cstheme="majorBidi"/>
        </w:rPr>
        <w:t>Članak 9.</w:t>
      </w:r>
      <w:r w:rsidR="00FE48A8">
        <w:rPr>
          <w:rFonts w:cstheme="majorBidi"/>
        </w:rPr>
        <w:t xml:space="preserve"> </w:t>
      </w:r>
      <w:r w:rsidR="002617AD">
        <w:rPr>
          <w:rFonts w:cstheme="majorBidi"/>
        </w:rPr>
        <w:t xml:space="preserve"> </w:t>
      </w:r>
    </w:p>
    <w:p w14:paraId="14FD48D9" w14:textId="6FE8A731" w:rsidR="002617AD" w:rsidRDefault="00347803" w:rsidP="003A2CD6">
      <w:pPr>
        <w:keepNext/>
        <w:keepLines/>
        <w:spacing w:before="120" w:after="120"/>
        <w:ind w:firstLine="426"/>
        <w:jc w:val="both"/>
        <w:outlineLvl w:val="2"/>
        <w:rPr>
          <w:color w:val="231F20"/>
          <w:shd w:val="clear" w:color="auto" w:fill="FFFFFF"/>
        </w:rPr>
      </w:pPr>
      <w:r>
        <w:rPr>
          <w:color w:val="231F20"/>
          <w:shd w:val="clear" w:color="auto" w:fill="FFFFFF"/>
        </w:rPr>
        <w:t>Danom stupanja na snagu ove Uredbe prestaje važiti Uredba o mjerilima ekonomičnog poslovanja isporučitelja vodnih usluga (</w:t>
      </w:r>
      <w:r w:rsidR="00EB38CE">
        <w:rPr>
          <w:color w:val="231F20"/>
          <w:shd w:val="clear" w:color="auto" w:fill="FFFFFF"/>
        </w:rPr>
        <w:t>„</w:t>
      </w:r>
      <w:r>
        <w:rPr>
          <w:color w:val="231F20"/>
          <w:shd w:val="clear" w:color="auto" w:fill="FFFFFF"/>
        </w:rPr>
        <w:t>Narodne novine</w:t>
      </w:r>
      <w:r w:rsidR="00EB38CE">
        <w:rPr>
          <w:color w:val="231F20"/>
          <w:shd w:val="clear" w:color="auto" w:fill="FFFFFF"/>
        </w:rPr>
        <w:t>“</w:t>
      </w:r>
      <w:r>
        <w:rPr>
          <w:color w:val="231F20"/>
          <w:shd w:val="clear" w:color="auto" w:fill="FFFFFF"/>
        </w:rPr>
        <w:t>, broj 112/10.).</w:t>
      </w:r>
    </w:p>
    <w:p w14:paraId="53E07669" w14:textId="77777777" w:rsidR="00BA50EA" w:rsidRPr="00BA50EA" w:rsidRDefault="00BA50EA" w:rsidP="00BA50EA">
      <w:pPr>
        <w:keepNext/>
        <w:keepLines/>
        <w:spacing w:before="120" w:after="120"/>
        <w:jc w:val="center"/>
        <w:outlineLvl w:val="2"/>
        <w:rPr>
          <w:rFonts w:cstheme="majorBidi"/>
        </w:rPr>
      </w:pPr>
      <w:r w:rsidRPr="00BA50EA">
        <w:rPr>
          <w:rFonts w:cstheme="majorBidi"/>
        </w:rPr>
        <w:t xml:space="preserve">Članak </w:t>
      </w:r>
      <w:r w:rsidR="00347803">
        <w:rPr>
          <w:rFonts w:cstheme="majorBidi"/>
        </w:rPr>
        <w:t>10</w:t>
      </w:r>
      <w:r w:rsidR="00992814">
        <w:rPr>
          <w:rFonts w:cstheme="majorBidi"/>
        </w:rPr>
        <w:t>.</w:t>
      </w:r>
    </w:p>
    <w:p w14:paraId="652B8238" w14:textId="02AE8422" w:rsidR="00BA50EA" w:rsidRDefault="00413926" w:rsidP="00E21B50">
      <w:pPr>
        <w:shd w:val="clear" w:color="auto" w:fill="FFFFFF"/>
        <w:spacing w:before="120" w:after="225"/>
        <w:ind w:firstLine="425"/>
        <w:jc w:val="both"/>
        <w:textAlignment w:val="baseline"/>
        <w:rPr>
          <w:color w:val="000000"/>
        </w:rPr>
      </w:pPr>
      <w:r w:rsidRPr="00413926">
        <w:rPr>
          <w:color w:val="000000"/>
        </w:rPr>
        <w:t>Ova Uredba objavit će se u „Narodnim novinama“, a stupa na snagu 16. srpnja 2023.</w:t>
      </w:r>
    </w:p>
    <w:p w14:paraId="512F83A5" w14:textId="77777777" w:rsidR="00FD649D" w:rsidRDefault="00FD649D" w:rsidP="00FD649D">
      <w:pPr>
        <w:shd w:val="clear" w:color="auto" w:fill="FFFFFF"/>
        <w:jc w:val="both"/>
        <w:textAlignment w:val="baseline"/>
        <w:rPr>
          <w:color w:val="000000"/>
        </w:rPr>
      </w:pPr>
    </w:p>
    <w:p w14:paraId="26DA40F6" w14:textId="77777777" w:rsidR="00BA50EA" w:rsidRPr="00BA50EA" w:rsidRDefault="003B349A" w:rsidP="00FD649D">
      <w:pPr>
        <w:shd w:val="clear" w:color="auto" w:fill="FFFFFF"/>
        <w:jc w:val="both"/>
        <w:textAlignment w:val="baseline"/>
        <w:rPr>
          <w:color w:val="000000"/>
        </w:rPr>
      </w:pPr>
      <w:r w:rsidRPr="00BA50EA">
        <w:rPr>
          <w:color w:val="000000"/>
        </w:rPr>
        <w:t>KLASA</w:t>
      </w:r>
      <w:r w:rsidR="00BA50EA" w:rsidRPr="00BA50EA">
        <w:rPr>
          <w:color w:val="000000"/>
        </w:rPr>
        <w:t xml:space="preserve">: </w:t>
      </w:r>
    </w:p>
    <w:p w14:paraId="1DFAE60D" w14:textId="77777777" w:rsidR="00BA50EA" w:rsidRPr="00BA50EA" w:rsidRDefault="003B349A" w:rsidP="00FD649D">
      <w:pPr>
        <w:shd w:val="clear" w:color="auto" w:fill="FFFFFF"/>
        <w:jc w:val="both"/>
        <w:textAlignment w:val="baseline"/>
        <w:rPr>
          <w:color w:val="000000"/>
        </w:rPr>
      </w:pPr>
      <w:r w:rsidRPr="00BA50EA">
        <w:rPr>
          <w:color w:val="000000"/>
        </w:rPr>
        <w:t>URBROJ:</w:t>
      </w:r>
    </w:p>
    <w:p w14:paraId="3D583B8B" w14:textId="77777777" w:rsidR="00BA50EA" w:rsidRDefault="00BA50EA" w:rsidP="00FD649D">
      <w:pPr>
        <w:shd w:val="clear" w:color="auto" w:fill="FFFFFF"/>
        <w:jc w:val="both"/>
        <w:textAlignment w:val="baseline"/>
        <w:rPr>
          <w:color w:val="000000"/>
        </w:rPr>
      </w:pPr>
      <w:r w:rsidRPr="00BA50EA">
        <w:rPr>
          <w:color w:val="000000"/>
        </w:rPr>
        <w:t xml:space="preserve">Zagreb, </w:t>
      </w:r>
    </w:p>
    <w:p w14:paraId="7CF10D86" w14:textId="77777777" w:rsidR="003340C7" w:rsidRPr="00BA50EA" w:rsidRDefault="003340C7" w:rsidP="00E21B50">
      <w:pPr>
        <w:shd w:val="clear" w:color="auto" w:fill="FFFFFF"/>
        <w:ind w:firstLine="425"/>
        <w:jc w:val="both"/>
        <w:textAlignment w:val="baseline"/>
        <w:rPr>
          <w:color w:val="000000"/>
        </w:rPr>
      </w:pPr>
    </w:p>
    <w:p w14:paraId="46A0B934" w14:textId="77777777" w:rsidR="003B349A" w:rsidRDefault="00BA50EA" w:rsidP="00E21B50">
      <w:pPr>
        <w:shd w:val="clear" w:color="auto" w:fill="FFFFFF"/>
        <w:ind w:left="5954" w:firstLine="425"/>
        <w:jc w:val="center"/>
        <w:textAlignment w:val="baseline"/>
        <w:rPr>
          <w:color w:val="000000"/>
        </w:rPr>
      </w:pPr>
      <w:r w:rsidRPr="00BA50EA">
        <w:rPr>
          <w:color w:val="000000"/>
        </w:rPr>
        <w:t>Predsjednik</w:t>
      </w:r>
    </w:p>
    <w:p w14:paraId="1EEDCC8B" w14:textId="77777777" w:rsidR="00BA50EA" w:rsidRPr="00BA50EA" w:rsidRDefault="00BA50EA" w:rsidP="00E21B50">
      <w:pPr>
        <w:shd w:val="clear" w:color="auto" w:fill="FFFFFF"/>
        <w:ind w:left="5954" w:firstLine="425"/>
        <w:jc w:val="center"/>
        <w:textAlignment w:val="baseline"/>
        <w:rPr>
          <w:color w:val="000000"/>
        </w:rPr>
      </w:pPr>
      <w:r w:rsidRPr="00BA50EA">
        <w:rPr>
          <w:color w:val="000000"/>
        </w:rPr>
        <w:br/>
      </w:r>
      <w:r w:rsidRPr="00BA50EA">
        <w:rPr>
          <w:bCs/>
          <w:color w:val="000000"/>
          <w:bdr w:val="none" w:sz="0" w:space="0" w:color="auto" w:frame="1"/>
        </w:rPr>
        <w:t xml:space="preserve">          mr. sc. Andrej Plenković</w:t>
      </w:r>
      <w:r w:rsidRPr="00BA50EA">
        <w:rPr>
          <w:color w:val="000000"/>
        </w:rPr>
        <w:br w:type="page"/>
      </w:r>
    </w:p>
    <w:p w14:paraId="23CCC35E" w14:textId="77777777" w:rsidR="00BA50EA" w:rsidRPr="004B722B" w:rsidRDefault="00BA50EA" w:rsidP="004B722B">
      <w:pPr>
        <w:pStyle w:val="Heading2"/>
      </w:pPr>
      <w:r w:rsidRPr="004B722B">
        <w:lastRenderedPageBreak/>
        <w:t xml:space="preserve">PRILOG </w:t>
      </w:r>
      <w:r w:rsidR="00992814">
        <w:t>1</w:t>
      </w:r>
      <w:r w:rsidR="00FE1DA0">
        <w:t>.</w:t>
      </w:r>
    </w:p>
    <w:p w14:paraId="016FC2F2" w14:textId="77777777" w:rsidR="00BA50EA" w:rsidRPr="00BA50EA" w:rsidRDefault="00BA50EA" w:rsidP="00BA50EA">
      <w:pPr>
        <w:spacing w:before="120" w:after="120"/>
        <w:ind w:firstLine="425"/>
        <w:jc w:val="center"/>
        <w:rPr>
          <w:rFonts w:eastAsiaTheme="minorHAnsi"/>
          <w:b/>
        </w:rPr>
      </w:pPr>
      <w:r w:rsidRPr="00BA50EA">
        <w:rPr>
          <w:rFonts w:eastAsiaTheme="minorHAnsi"/>
          <w:b/>
        </w:rPr>
        <w:t xml:space="preserve">KLJUČNI POKAZATELJI </w:t>
      </w:r>
      <w:r w:rsidR="00530646">
        <w:rPr>
          <w:rFonts w:eastAsiaTheme="minorHAnsi"/>
          <w:b/>
        </w:rPr>
        <w:t xml:space="preserve"> UČINKOVITOSTI </w:t>
      </w:r>
      <w:r w:rsidRPr="00BA50EA">
        <w:rPr>
          <w:rFonts w:eastAsiaTheme="minorHAnsi"/>
          <w:b/>
        </w:rPr>
        <w:t xml:space="preserve">POSLOVANJA </w:t>
      </w:r>
    </w:p>
    <w:p w14:paraId="37967091" w14:textId="77777777" w:rsidR="00BA50EA" w:rsidRDefault="00BA50EA" w:rsidP="00BA50EA">
      <w:pPr>
        <w:spacing w:before="120" w:after="120"/>
        <w:ind w:firstLine="425"/>
        <w:jc w:val="center"/>
        <w:rPr>
          <w:rFonts w:eastAsiaTheme="minorHAnsi"/>
          <w:b/>
        </w:rPr>
      </w:pPr>
      <w:r w:rsidRPr="00BA50EA">
        <w:rPr>
          <w:rFonts w:eastAsiaTheme="minorHAnsi"/>
          <w:b/>
        </w:rPr>
        <w:t>ISPORUČITELJA VODNIH USLUGA</w:t>
      </w:r>
    </w:p>
    <w:p w14:paraId="21693C6D" w14:textId="77777777" w:rsidR="00992814" w:rsidRPr="00BA50EA" w:rsidRDefault="00992814" w:rsidP="00992814">
      <w:pPr>
        <w:spacing w:before="120" w:after="120"/>
        <w:ind w:firstLine="425"/>
        <w:jc w:val="center"/>
        <w:rPr>
          <w:rFonts w:eastAsiaTheme="minorHAnsi"/>
          <w:b/>
        </w:rPr>
      </w:pPr>
      <w:r>
        <w:rPr>
          <w:rFonts w:eastAsiaTheme="minorHAnsi"/>
          <w:b/>
        </w:rPr>
        <w:t xml:space="preserve">(primjenjivo za jedinstvene javne isporučitelja vodnih usluga na uslužnom području) </w:t>
      </w:r>
    </w:p>
    <w:p w14:paraId="5D3FE70E" w14:textId="77777777" w:rsidR="00BA50EA" w:rsidRPr="00BA50EA" w:rsidRDefault="00BA50EA" w:rsidP="00BA50EA">
      <w:pPr>
        <w:spacing w:before="120" w:after="120"/>
        <w:ind w:firstLine="425"/>
        <w:jc w:val="center"/>
        <w:rPr>
          <w:rFonts w:eastAsiaTheme="minorHAnsi"/>
          <w:b/>
        </w:rPr>
      </w:pPr>
    </w:p>
    <w:p w14:paraId="778FEC88" w14:textId="77777777" w:rsidR="00BA50EA" w:rsidRPr="00BA50EA" w:rsidRDefault="00BA50EA" w:rsidP="004B722B">
      <w:pPr>
        <w:keepNext/>
        <w:keepLines/>
        <w:spacing w:before="120" w:after="120"/>
        <w:jc w:val="center"/>
        <w:outlineLvl w:val="2"/>
        <w:rPr>
          <w:rFonts w:cstheme="majorBidi"/>
        </w:rPr>
      </w:pPr>
      <w:r w:rsidRPr="00BA50EA">
        <w:rPr>
          <w:rFonts w:cstheme="majorBidi"/>
        </w:rPr>
        <w:t xml:space="preserve">Skupina 1. FINANCIJSKI POKAZATELJI </w:t>
      </w:r>
    </w:p>
    <w:tbl>
      <w:tblPr>
        <w:tblW w:w="5000" w:type="pct"/>
        <w:jc w:val="center"/>
        <w:tblLook w:val="04A0" w:firstRow="1" w:lastRow="0" w:firstColumn="1" w:lastColumn="0" w:noHBand="0" w:noVBand="1"/>
      </w:tblPr>
      <w:tblGrid>
        <w:gridCol w:w="683"/>
        <w:gridCol w:w="7250"/>
        <w:gridCol w:w="1129"/>
      </w:tblGrid>
      <w:tr w:rsidR="00BA50EA" w:rsidRPr="00BA50EA" w14:paraId="05FD4F09" w14:textId="77777777" w:rsidTr="00BA50EA">
        <w:trPr>
          <w:trHeight w:val="431"/>
          <w:tblHeader/>
          <w:jc w:val="center"/>
        </w:trPr>
        <w:tc>
          <w:tcPr>
            <w:tcW w:w="377" w:type="pct"/>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6772258D" w14:textId="77777777" w:rsidR="00BA50EA" w:rsidRPr="00BA50EA" w:rsidRDefault="00BA50EA" w:rsidP="00BA50EA">
            <w:pPr>
              <w:spacing w:before="120" w:after="120"/>
              <w:jc w:val="center"/>
              <w:rPr>
                <w:b/>
                <w:bCs/>
              </w:rPr>
            </w:pPr>
            <w:r w:rsidRPr="00BA50EA">
              <w:rPr>
                <w:b/>
                <w:bCs/>
              </w:rPr>
              <w:t>Broj</w:t>
            </w:r>
          </w:p>
        </w:tc>
        <w:tc>
          <w:tcPr>
            <w:tcW w:w="4000" w:type="pct"/>
            <w:tcBorders>
              <w:top w:val="single" w:sz="4" w:space="0" w:color="808080"/>
              <w:left w:val="nil"/>
              <w:bottom w:val="single" w:sz="4" w:space="0" w:color="808080"/>
              <w:right w:val="single" w:sz="4" w:space="0" w:color="808080"/>
            </w:tcBorders>
            <w:shd w:val="clear" w:color="000000" w:fill="D9D9D9"/>
            <w:vAlign w:val="center"/>
            <w:hideMark/>
          </w:tcPr>
          <w:p w14:paraId="21176DB6" w14:textId="77777777" w:rsidR="00BA50EA" w:rsidRPr="00BA50EA" w:rsidRDefault="00BA50EA" w:rsidP="00BA50EA">
            <w:pPr>
              <w:spacing w:before="120" w:after="120"/>
              <w:jc w:val="center"/>
              <w:rPr>
                <w:b/>
                <w:bCs/>
              </w:rPr>
            </w:pPr>
            <w:r w:rsidRPr="00BA50EA">
              <w:rPr>
                <w:b/>
                <w:bCs/>
              </w:rPr>
              <w:t>Ključni pokazatelji</w:t>
            </w:r>
          </w:p>
        </w:tc>
        <w:tc>
          <w:tcPr>
            <w:tcW w:w="623" w:type="pct"/>
            <w:tcBorders>
              <w:top w:val="single" w:sz="4" w:space="0" w:color="808080"/>
              <w:left w:val="nil"/>
              <w:bottom w:val="single" w:sz="4" w:space="0" w:color="808080"/>
              <w:right w:val="single" w:sz="4" w:space="0" w:color="808080"/>
            </w:tcBorders>
            <w:shd w:val="clear" w:color="000000" w:fill="D9D9D9"/>
            <w:vAlign w:val="center"/>
            <w:hideMark/>
          </w:tcPr>
          <w:p w14:paraId="1AD8B0A4" w14:textId="77777777" w:rsidR="00BA50EA" w:rsidRPr="00BA50EA" w:rsidRDefault="00BA50EA" w:rsidP="00BA50EA">
            <w:pPr>
              <w:spacing w:before="120" w:after="120"/>
              <w:jc w:val="center"/>
              <w:rPr>
                <w:b/>
                <w:bCs/>
              </w:rPr>
            </w:pPr>
            <w:r w:rsidRPr="00BA50EA">
              <w:rPr>
                <w:b/>
                <w:bCs/>
              </w:rPr>
              <w:t>Mjerilo</w:t>
            </w:r>
          </w:p>
        </w:tc>
      </w:tr>
      <w:tr w:rsidR="00BA50EA" w:rsidRPr="00BA50EA" w14:paraId="67021934"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1CDBC5F" w14:textId="77777777" w:rsidR="00BA50EA" w:rsidRPr="00BA50EA" w:rsidRDefault="00BA50EA" w:rsidP="00BA50EA">
            <w:pPr>
              <w:spacing w:before="120" w:after="120"/>
              <w:jc w:val="center"/>
              <w:rPr>
                <w:b/>
                <w:bCs/>
              </w:rPr>
            </w:pPr>
            <w:r w:rsidRPr="00BA50EA">
              <w:rPr>
                <w:b/>
                <w:bCs/>
              </w:rPr>
              <w:t>1</w:t>
            </w:r>
          </w:p>
        </w:tc>
        <w:tc>
          <w:tcPr>
            <w:tcW w:w="4000" w:type="pct"/>
            <w:tcBorders>
              <w:top w:val="nil"/>
              <w:left w:val="nil"/>
              <w:bottom w:val="single" w:sz="4" w:space="0" w:color="808080"/>
              <w:right w:val="single" w:sz="4" w:space="0" w:color="808080"/>
            </w:tcBorders>
            <w:shd w:val="clear" w:color="auto" w:fill="auto"/>
            <w:vAlign w:val="center"/>
            <w:hideMark/>
          </w:tcPr>
          <w:p w14:paraId="2CC079E1" w14:textId="77777777" w:rsidR="00BA50EA" w:rsidRPr="00BA50EA" w:rsidRDefault="00BA50EA" w:rsidP="00BA50EA">
            <w:pPr>
              <w:spacing w:before="120" w:after="120"/>
            </w:pPr>
            <w:r w:rsidRPr="00BA50EA">
              <w:t>Ukupni jedinični troškovi poslovanja vezani uz djelatnost vodoopskrbe</w:t>
            </w:r>
          </w:p>
        </w:tc>
        <w:tc>
          <w:tcPr>
            <w:tcW w:w="623" w:type="pct"/>
            <w:tcBorders>
              <w:top w:val="nil"/>
              <w:left w:val="nil"/>
              <w:bottom w:val="single" w:sz="4" w:space="0" w:color="808080"/>
              <w:right w:val="single" w:sz="4" w:space="0" w:color="808080"/>
            </w:tcBorders>
            <w:shd w:val="clear" w:color="auto" w:fill="auto"/>
            <w:vAlign w:val="center"/>
            <w:hideMark/>
          </w:tcPr>
          <w:p w14:paraId="6F107FC2" w14:textId="77777777" w:rsidR="00BA50EA" w:rsidRPr="00BA50EA" w:rsidRDefault="00BA50EA" w:rsidP="00BA50EA">
            <w:pPr>
              <w:spacing w:before="120" w:after="120"/>
              <w:jc w:val="center"/>
            </w:pPr>
            <w:r w:rsidRPr="00BA50EA">
              <w:t>eura/m</w:t>
            </w:r>
            <w:r w:rsidRPr="00BA50EA">
              <w:rPr>
                <w:vertAlign w:val="superscript"/>
              </w:rPr>
              <w:t>3</w:t>
            </w:r>
          </w:p>
        </w:tc>
      </w:tr>
      <w:tr w:rsidR="00BA50EA" w:rsidRPr="00BA50EA" w14:paraId="2607C3BD"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8DD71A" w14:textId="77777777" w:rsidR="00BA50EA" w:rsidRPr="00BA50EA" w:rsidRDefault="00BA50EA" w:rsidP="00BA50EA">
            <w:pPr>
              <w:spacing w:before="120" w:after="120"/>
              <w:jc w:val="center"/>
              <w:rPr>
                <w:b/>
                <w:bCs/>
              </w:rPr>
            </w:pPr>
            <w:r w:rsidRPr="00BA50EA">
              <w:rPr>
                <w:b/>
                <w:bCs/>
              </w:rPr>
              <w:t>2</w:t>
            </w:r>
          </w:p>
        </w:tc>
        <w:tc>
          <w:tcPr>
            <w:tcW w:w="4000" w:type="pct"/>
            <w:tcBorders>
              <w:top w:val="nil"/>
              <w:left w:val="nil"/>
              <w:bottom w:val="single" w:sz="4" w:space="0" w:color="808080"/>
              <w:right w:val="single" w:sz="4" w:space="0" w:color="808080"/>
            </w:tcBorders>
            <w:shd w:val="clear" w:color="auto" w:fill="auto"/>
            <w:vAlign w:val="center"/>
            <w:hideMark/>
          </w:tcPr>
          <w:p w14:paraId="1A81D9EA" w14:textId="77777777" w:rsidR="00BA50EA" w:rsidRPr="00BA50EA" w:rsidRDefault="00BA50EA" w:rsidP="00BA50EA">
            <w:pPr>
              <w:spacing w:before="120" w:after="120"/>
            </w:pPr>
            <w:r w:rsidRPr="00BA50EA">
              <w:t>Ukupni jedinični troškovi poslovanja vezani uz djelatnost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029194D8" w14:textId="77777777" w:rsidR="00BA50EA" w:rsidRPr="00BA50EA" w:rsidRDefault="00BA50EA" w:rsidP="00BA50EA">
            <w:pPr>
              <w:spacing w:before="120" w:after="120"/>
              <w:jc w:val="center"/>
            </w:pPr>
            <w:r w:rsidRPr="00BA50EA">
              <w:t>eura /m</w:t>
            </w:r>
            <w:r w:rsidRPr="00BA50EA">
              <w:rPr>
                <w:vertAlign w:val="superscript"/>
              </w:rPr>
              <w:t>3</w:t>
            </w:r>
          </w:p>
        </w:tc>
      </w:tr>
      <w:tr w:rsidR="00BA50EA" w:rsidRPr="00BA50EA" w14:paraId="2ED2E50A"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2ECF604" w14:textId="77777777" w:rsidR="00BA50EA" w:rsidRPr="00BA50EA" w:rsidRDefault="00BA50EA" w:rsidP="00BA50EA">
            <w:pPr>
              <w:spacing w:before="120" w:after="120"/>
              <w:jc w:val="center"/>
              <w:rPr>
                <w:b/>
                <w:bCs/>
              </w:rPr>
            </w:pPr>
            <w:r w:rsidRPr="00BA50EA">
              <w:rPr>
                <w:b/>
                <w:bCs/>
              </w:rPr>
              <w:t>3</w:t>
            </w:r>
          </w:p>
        </w:tc>
        <w:tc>
          <w:tcPr>
            <w:tcW w:w="4000" w:type="pct"/>
            <w:tcBorders>
              <w:top w:val="nil"/>
              <w:left w:val="nil"/>
              <w:bottom w:val="single" w:sz="4" w:space="0" w:color="808080"/>
              <w:right w:val="single" w:sz="4" w:space="0" w:color="808080"/>
            </w:tcBorders>
            <w:shd w:val="clear" w:color="auto" w:fill="auto"/>
            <w:vAlign w:val="center"/>
            <w:hideMark/>
          </w:tcPr>
          <w:p w14:paraId="27A6C575" w14:textId="77777777" w:rsidR="00BA50EA" w:rsidRPr="00BA50EA" w:rsidRDefault="00BA50EA" w:rsidP="00BA50EA">
            <w:pPr>
              <w:spacing w:before="120" w:after="120"/>
            </w:pPr>
            <w:r w:rsidRPr="00BA50EA">
              <w:t>Ukupni jedinični operativni troškovi vezani uz djelatnost vodoopskrbe</w:t>
            </w:r>
          </w:p>
        </w:tc>
        <w:tc>
          <w:tcPr>
            <w:tcW w:w="623" w:type="pct"/>
            <w:tcBorders>
              <w:top w:val="nil"/>
              <w:left w:val="nil"/>
              <w:bottom w:val="single" w:sz="4" w:space="0" w:color="808080"/>
              <w:right w:val="single" w:sz="4" w:space="0" w:color="808080"/>
            </w:tcBorders>
            <w:shd w:val="clear" w:color="auto" w:fill="auto"/>
            <w:vAlign w:val="center"/>
            <w:hideMark/>
          </w:tcPr>
          <w:p w14:paraId="43F1D05A" w14:textId="77777777" w:rsidR="00BA50EA" w:rsidRPr="00BA50EA" w:rsidRDefault="00BA50EA" w:rsidP="00BA50EA">
            <w:pPr>
              <w:spacing w:before="120" w:after="120"/>
              <w:jc w:val="center"/>
            </w:pPr>
            <w:r w:rsidRPr="00BA50EA">
              <w:t>eura /m</w:t>
            </w:r>
            <w:r w:rsidRPr="00BA50EA">
              <w:rPr>
                <w:vertAlign w:val="superscript"/>
              </w:rPr>
              <w:t>3</w:t>
            </w:r>
          </w:p>
        </w:tc>
      </w:tr>
      <w:tr w:rsidR="00BA50EA" w:rsidRPr="00BA50EA" w14:paraId="1E55B00A"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A96A07" w14:textId="77777777" w:rsidR="00BA50EA" w:rsidRPr="00BA50EA" w:rsidRDefault="00BA50EA" w:rsidP="00BA50EA">
            <w:pPr>
              <w:spacing w:before="120" w:after="120"/>
              <w:jc w:val="center"/>
              <w:rPr>
                <w:b/>
                <w:bCs/>
              </w:rPr>
            </w:pPr>
            <w:r w:rsidRPr="00BA50EA">
              <w:rPr>
                <w:b/>
                <w:bCs/>
              </w:rPr>
              <w:t>4</w:t>
            </w:r>
          </w:p>
        </w:tc>
        <w:tc>
          <w:tcPr>
            <w:tcW w:w="4000" w:type="pct"/>
            <w:tcBorders>
              <w:top w:val="nil"/>
              <w:left w:val="nil"/>
              <w:bottom w:val="single" w:sz="4" w:space="0" w:color="808080"/>
              <w:right w:val="single" w:sz="4" w:space="0" w:color="808080"/>
            </w:tcBorders>
            <w:shd w:val="clear" w:color="auto" w:fill="auto"/>
            <w:vAlign w:val="center"/>
            <w:hideMark/>
          </w:tcPr>
          <w:p w14:paraId="5D556DA0" w14:textId="77777777" w:rsidR="00BA50EA" w:rsidRPr="00BA50EA" w:rsidRDefault="00BA50EA" w:rsidP="00BA50EA">
            <w:pPr>
              <w:spacing w:before="120" w:after="120"/>
            </w:pPr>
            <w:r w:rsidRPr="00BA50EA">
              <w:t>Ukupni jedinični operativni troškovi vezani uz djelatnost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315B804C" w14:textId="77777777" w:rsidR="00BA50EA" w:rsidRPr="00BA50EA" w:rsidRDefault="00BA50EA" w:rsidP="00BA50EA">
            <w:pPr>
              <w:spacing w:before="120" w:after="120"/>
              <w:jc w:val="center"/>
            </w:pPr>
            <w:r w:rsidRPr="00BA50EA">
              <w:t>eura /m</w:t>
            </w:r>
            <w:r w:rsidRPr="00BA50EA">
              <w:rPr>
                <w:vertAlign w:val="superscript"/>
              </w:rPr>
              <w:t>3</w:t>
            </w:r>
          </w:p>
        </w:tc>
      </w:tr>
      <w:tr w:rsidR="00BA50EA" w:rsidRPr="00BA50EA" w14:paraId="70F6A79B"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84F2D99" w14:textId="77777777" w:rsidR="00BA50EA" w:rsidRPr="00BA50EA" w:rsidRDefault="00BA50EA" w:rsidP="00BA50EA">
            <w:pPr>
              <w:spacing w:before="120" w:after="120"/>
              <w:jc w:val="center"/>
              <w:rPr>
                <w:b/>
                <w:bCs/>
              </w:rPr>
            </w:pPr>
            <w:r w:rsidRPr="00BA50EA">
              <w:rPr>
                <w:b/>
                <w:bCs/>
              </w:rPr>
              <w:t>5</w:t>
            </w:r>
          </w:p>
        </w:tc>
        <w:tc>
          <w:tcPr>
            <w:tcW w:w="4000" w:type="pct"/>
            <w:tcBorders>
              <w:top w:val="nil"/>
              <w:left w:val="nil"/>
              <w:bottom w:val="single" w:sz="4" w:space="0" w:color="808080"/>
              <w:right w:val="single" w:sz="4" w:space="0" w:color="808080"/>
            </w:tcBorders>
            <w:shd w:val="clear" w:color="auto" w:fill="auto"/>
            <w:vAlign w:val="center"/>
            <w:hideMark/>
          </w:tcPr>
          <w:p w14:paraId="709528BC" w14:textId="77777777" w:rsidR="00BA50EA" w:rsidRPr="00BA50EA" w:rsidRDefault="00BA50EA" w:rsidP="00BA50EA">
            <w:pPr>
              <w:spacing w:before="120" w:after="120"/>
            </w:pPr>
            <w:r w:rsidRPr="00BA50EA">
              <w:t>Pokrivenost troškova prihodima od vodnih usluga (omjer ukupnih prihoda od vodnih usluga i ukupnih troškova vezanih uz djelatnost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2548B28E" w14:textId="77777777" w:rsidR="00BA50EA" w:rsidRPr="00BA50EA" w:rsidRDefault="00BA50EA" w:rsidP="00BA50EA">
            <w:pPr>
              <w:spacing w:before="120" w:after="120"/>
              <w:jc w:val="center"/>
            </w:pPr>
            <w:r w:rsidRPr="00BA50EA">
              <w:t>%</w:t>
            </w:r>
          </w:p>
        </w:tc>
      </w:tr>
      <w:tr w:rsidR="00BA50EA" w:rsidRPr="00BA50EA" w14:paraId="21771B4F"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88E416" w14:textId="77777777" w:rsidR="00BA50EA" w:rsidRPr="00BA50EA" w:rsidRDefault="00BA50EA" w:rsidP="00BA50EA">
            <w:pPr>
              <w:spacing w:before="120" w:after="120"/>
              <w:jc w:val="center"/>
              <w:rPr>
                <w:b/>
                <w:bCs/>
              </w:rPr>
            </w:pPr>
            <w:r w:rsidRPr="00BA50EA">
              <w:rPr>
                <w:b/>
                <w:bCs/>
              </w:rPr>
              <w:t>6</w:t>
            </w:r>
          </w:p>
        </w:tc>
        <w:tc>
          <w:tcPr>
            <w:tcW w:w="4000" w:type="pct"/>
            <w:tcBorders>
              <w:top w:val="nil"/>
              <w:left w:val="nil"/>
              <w:bottom w:val="single" w:sz="4" w:space="0" w:color="808080"/>
              <w:right w:val="single" w:sz="4" w:space="0" w:color="808080"/>
            </w:tcBorders>
            <w:shd w:val="clear" w:color="auto" w:fill="auto"/>
            <w:vAlign w:val="center"/>
            <w:hideMark/>
          </w:tcPr>
          <w:p w14:paraId="3BA306B8" w14:textId="77777777" w:rsidR="00BA50EA" w:rsidRPr="00BA50EA" w:rsidRDefault="00BA50EA" w:rsidP="00BA50EA">
            <w:pPr>
              <w:spacing w:before="120" w:after="120"/>
            </w:pPr>
            <w:r w:rsidRPr="00BA50EA">
              <w:t>Interni troškovi za zaposlene (udio troškova za zaposlene u operativnim troškovima vezanim uz djelatnost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78459BCE" w14:textId="77777777" w:rsidR="00BA50EA" w:rsidRPr="00BA50EA" w:rsidRDefault="00BA50EA" w:rsidP="00BA50EA">
            <w:pPr>
              <w:spacing w:before="120" w:after="120"/>
              <w:jc w:val="center"/>
            </w:pPr>
            <w:r w:rsidRPr="00BA50EA">
              <w:t>%</w:t>
            </w:r>
          </w:p>
        </w:tc>
      </w:tr>
      <w:tr w:rsidR="00BA50EA" w:rsidRPr="00BA50EA" w14:paraId="26A0E8E4"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15F67B5" w14:textId="77777777" w:rsidR="00BA50EA" w:rsidRPr="00BA50EA" w:rsidRDefault="00BA50EA" w:rsidP="00BA50EA">
            <w:pPr>
              <w:spacing w:before="120" w:after="120"/>
              <w:jc w:val="center"/>
              <w:rPr>
                <w:b/>
                <w:bCs/>
              </w:rPr>
            </w:pPr>
            <w:r w:rsidRPr="00BA50EA">
              <w:rPr>
                <w:b/>
                <w:bCs/>
              </w:rPr>
              <w:t>7</w:t>
            </w:r>
          </w:p>
        </w:tc>
        <w:tc>
          <w:tcPr>
            <w:tcW w:w="4000" w:type="pct"/>
            <w:tcBorders>
              <w:top w:val="nil"/>
              <w:left w:val="nil"/>
              <w:bottom w:val="single" w:sz="4" w:space="0" w:color="808080"/>
              <w:right w:val="single" w:sz="4" w:space="0" w:color="808080"/>
            </w:tcBorders>
            <w:shd w:val="clear" w:color="auto" w:fill="auto"/>
            <w:vAlign w:val="center"/>
            <w:hideMark/>
          </w:tcPr>
          <w:p w14:paraId="741A8BED" w14:textId="77777777" w:rsidR="00BA50EA" w:rsidRPr="00BA50EA" w:rsidRDefault="00BA50EA" w:rsidP="00BA50EA">
            <w:pPr>
              <w:spacing w:before="120" w:after="120"/>
            </w:pPr>
            <w:r w:rsidRPr="00BA50EA">
              <w:t>Troškovi vanjskih usluga (udio troškova vanjskih usluga u operativnim troškovima vezanim uz djelatnost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397708FF" w14:textId="77777777" w:rsidR="00BA50EA" w:rsidRPr="00BA50EA" w:rsidRDefault="00BA50EA" w:rsidP="00BA50EA">
            <w:pPr>
              <w:spacing w:before="120" w:after="120"/>
              <w:jc w:val="center"/>
            </w:pPr>
            <w:r w:rsidRPr="00BA50EA">
              <w:t>%</w:t>
            </w:r>
          </w:p>
        </w:tc>
      </w:tr>
      <w:tr w:rsidR="00BA50EA" w:rsidRPr="00BA50EA" w14:paraId="4749438C"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6134CE5" w14:textId="77777777" w:rsidR="00BA50EA" w:rsidRPr="00BA50EA" w:rsidRDefault="00BA50EA" w:rsidP="00BA50EA">
            <w:pPr>
              <w:spacing w:before="120" w:after="120"/>
              <w:jc w:val="center"/>
              <w:rPr>
                <w:b/>
                <w:bCs/>
              </w:rPr>
            </w:pPr>
            <w:r w:rsidRPr="00BA50EA">
              <w:rPr>
                <w:b/>
                <w:bCs/>
              </w:rPr>
              <w:t>8</w:t>
            </w:r>
          </w:p>
        </w:tc>
        <w:tc>
          <w:tcPr>
            <w:tcW w:w="4000" w:type="pct"/>
            <w:tcBorders>
              <w:top w:val="nil"/>
              <w:left w:val="nil"/>
              <w:bottom w:val="single" w:sz="4" w:space="0" w:color="808080"/>
              <w:right w:val="single" w:sz="4" w:space="0" w:color="808080"/>
            </w:tcBorders>
            <w:shd w:val="clear" w:color="auto" w:fill="auto"/>
            <w:vAlign w:val="center"/>
            <w:hideMark/>
          </w:tcPr>
          <w:p w14:paraId="2D79AD68" w14:textId="77777777" w:rsidR="00BA50EA" w:rsidRPr="00BA50EA" w:rsidRDefault="00BA50EA" w:rsidP="00BA50EA">
            <w:pPr>
              <w:spacing w:before="120" w:after="120"/>
            </w:pPr>
            <w:r w:rsidRPr="00BA50EA">
              <w:t>Troškovi električne energije (udio troškova električne energije u operativnim troškovima vezanim uz djelatnost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2FFE3BCF" w14:textId="77777777" w:rsidR="00BA50EA" w:rsidRPr="00BA50EA" w:rsidRDefault="00BA50EA" w:rsidP="00BA50EA">
            <w:pPr>
              <w:spacing w:before="120" w:after="120"/>
              <w:jc w:val="center"/>
            </w:pPr>
            <w:r w:rsidRPr="00BA50EA">
              <w:t>%</w:t>
            </w:r>
          </w:p>
        </w:tc>
      </w:tr>
      <w:tr w:rsidR="00BA50EA" w:rsidRPr="00BA50EA" w14:paraId="67DD4333"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B13969" w14:textId="77777777" w:rsidR="00BA50EA" w:rsidRPr="00BA50EA" w:rsidRDefault="00BA50EA" w:rsidP="00BA50EA">
            <w:pPr>
              <w:spacing w:before="120" w:after="120"/>
              <w:jc w:val="center"/>
              <w:rPr>
                <w:b/>
                <w:bCs/>
              </w:rPr>
            </w:pPr>
            <w:r w:rsidRPr="00BA50EA">
              <w:rPr>
                <w:b/>
                <w:bCs/>
              </w:rPr>
              <w:t>9</w:t>
            </w:r>
          </w:p>
        </w:tc>
        <w:tc>
          <w:tcPr>
            <w:tcW w:w="4000" w:type="pct"/>
            <w:tcBorders>
              <w:top w:val="nil"/>
              <w:left w:val="nil"/>
              <w:bottom w:val="single" w:sz="4" w:space="0" w:color="808080"/>
              <w:right w:val="single" w:sz="4" w:space="0" w:color="808080"/>
            </w:tcBorders>
            <w:shd w:val="clear" w:color="auto" w:fill="auto"/>
            <w:vAlign w:val="center"/>
            <w:hideMark/>
          </w:tcPr>
          <w:p w14:paraId="09F44C09" w14:textId="77777777" w:rsidR="00BA50EA" w:rsidRPr="00BA50EA" w:rsidRDefault="00BA50EA" w:rsidP="00BA50EA">
            <w:pPr>
              <w:spacing w:before="120" w:after="120"/>
            </w:pPr>
            <w:r w:rsidRPr="00BA50EA">
              <w:t>Troškovi električne energije (udio troškova električne energije u operativnim troškovima vezanim uz djelatnost vodoopskrbe)</w:t>
            </w:r>
          </w:p>
        </w:tc>
        <w:tc>
          <w:tcPr>
            <w:tcW w:w="623" w:type="pct"/>
            <w:tcBorders>
              <w:top w:val="nil"/>
              <w:left w:val="nil"/>
              <w:bottom w:val="single" w:sz="4" w:space="0" w:color="808080"/>
              <w:right w:val="single" w:sz="4" w:space="0" w:color="808080"/>
            </w:tcBorders>
            <w:shd w:val="clear" w:color="auto" w:fill="auto"/>
            <w:vAlign w:val="center"/>
            <w:hideMark/>
          </w:tcPr>
          <w:p w14:paraId="7C15B568" w14:textId="77777777" w:rsidR="00BA50EA" w:rsidRPr="00BA50EA" w:rsidRDefault="00BA50EA" w:rsidP="00BA50EA">
            <w:pPr>
              <w:spacing w:before="120" w:after="120"/>
              <w:jc w:val="center"/>
            </w:pPr>
            <w:r w:rsidRPr="00BA50EA">
              <w:t>%</w:t>
            </w:r>
          </w:p>
        </w:tc>
      </w:tr>
      <w:tr w:rsidR="00BA50EA" w:rsidRPr="00BA50EA" w14:paraId="24F5ED39"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67F570" w14:textId="77777777" w:rsidR="00BA50EA" w:rsidRPr="00BA50EA" w:rsidRDefault="00BA50EA" w:rsidP="00BA50EA">
            <w:pPr>
              <w:spacing w:before="120" w:after="120"/>
              <w:jc w:val="center"/>
              <w:rPr>
                <w:b/>
                <w:bCs/>
              </w:rPr>
            </w:pPr>
            <w:r w:rsidRPr="00BA50EA">
              <w:rPr>
                <w:b/>
                <w:bCs/>
              </w:rPr>
              <w:t>10</w:t>
            </w:r>
          </w:p>
        </w:tc>
        <w:tc>
          <w:tcPr>
            <w:tcW w:w="4000" w:type="pct"/>
            <w:tcBorders>
              <w:top w:val="nil"/>
              <w:left w:val="nil"/>
              <w:bottom w:val="single" w:sz="4" w:space="0" w:color="808080"/>
              <w:right w:val="single" w:sz="4" w:space="0" w:color="808080"/>
            </w:tcBorders>
            <w:shd w:val="clear" w:color="auto" w:fill="auto"/>
            <w:vAlign w:val="center"/>
            <w:hideMark/>
          </w:tcPr>
          <w:p w14:paraId="653F9178" w14:textId="77777777" w:rsidR="00BA50EA" w:rsidRPr="00BA50EA" w:rsidRDefault="00BA50EA" w:rsidP="00BA50EA">
            <w:pPr>
              <w:spacing w:before="120" w:after="120"/>
            </w:pPr>
            <w:r w:rsidRPr="00BA50EA">
              <w:t>Troškovi električne energije (udio troškova električne energije u operativnim troškovima vezanim uz djelatnost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52BC82E2" w14:textId="77777777" w:rsidR="00BA50EA" w:rsidRPr="00BA50EA" w:rsidRDefault="00BA50EA" w:rsidP="00BA50EA">
            <w:pPr>
              <w:spacing w:before="120" w:after="120"/>
              <w:jc w:val="center"/>
            </w:pPr>
            <w:r w:rsidRPr="00BA50EA">
              <w:t>%</w:t>
            </w:r>
          </w:p>
        </w:tc>
      </w:tr>
      <w:tr w:rsidR="00BA50EA" w:rsidRPr="00BA50EA" w14:paraId="6E81CB34"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99A6460" w14:textId="77777777" w:rsidR="00BA50EA" w:rsidRPr="00BA50EA" w:rsidRDefault="00BA50EA" w:rsidP="00BA50EA">
            <w:pPr>
              <w:spacing w:before="120" w:after="120"/>
              <w:jc w:val="center"/>
              <w:rPr>
                <w:b/>
                <w:bCs/>
              </w:rPr>
            </w:pPr>
            <w:r w:rsidRPr="00BA50EA">
              <w:rPr>
                <w:b/>
                <w:bCs/>
              </w:rPr>
              <w:t>11</w:t>
            </w:r>
          </w:p>
        </w:tc>
        <w:tc>
          <w:tcPr>
            <w:tcW w:w="4000" w:type="pct"/>
            <w:tcBorders>
              <w:top w:val="nil"/>
              <w:left w:val="nil"/>
              <w:bottom w:val="single" w:sz="4" w:space="0" w:color="808080"/>
              <w:right w:val="single" w:sz="4" w:space="0" w:color="808080"/>
            </w:tcBorders>
            <w:shd w:val="clear" w:color="auto" w:fill="auto"/>
            <w:vAlign w:val="center"/>
            <w:hideMark/>
          </w:tcPr>
          <w:p w14:paraId="030960FD" w14:textId="77777777" w:rsidR="00BA50EA" w:rsidRPr="00BA50EA" w:rsidRDefault="00BA50EA" w:rsidP="00BA50EA">
            <w:pPr>
              <w:spacing w:before="120" w:after="120"/>
            </w:pPr>
            <w:r w:rsidRPr="00BA50EA">
              <w:t>Pokrivenost ukupnih troškova (omjer ukupnih prihoda od svih dopuštenih djelatnosti i ukupnih troškova vezanih za djelatnost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19DA8089" w14:textId="77777777" w:rsidR="00BA50EA" w:rsidRPr="00BA50EA" w:rsidRDefault="00BA50EA" w:rsidP="00BA50EA">
            <w:pPr>
              <w:spacing w:before="120" w:after="120"/>
              <w:jc w:val="center"/>
            </w:pPr>
            <w:r w:rsidRPr="00BA50EA">
              <w:t>%</w:t>
            </w:r>
          </w:p>
        </w:tc>
      </w:tr>
      <w:tr w:rsidR="00BA50EA" w:rsidRPr="00BA50EA" w14:paraId="4ED8B9C2"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5D8D05" w14:textId="77777777" w:rsidR="00BA50EA" w:rsidRPr="00BA50EA" w:rsidRDefault="00BA50EA" w:rsidP="00BA50EA">
            <w:pPr>
              <w:spacing w:before="120" w:after="120"/>
              <w:jc w:val="center"/>
              <w:rPr>
                <w:b/>
                <w:bCs/>
              </w:rPr>
            </w:pPr>
            <w:r w:rsidRPr="00BA50EA">
              <w:rPr>
                <w:b/>
                <w:bCs/>
              </w:rPr>
              <w:t>12</w:t>
            </w:r>
          </w:p>
        </w:tc>
        <w:tc>
          <w:tcPr>
            <w:tcW w:w="4000" w:type="pct"/>
            <w:tcBorders>
              <w:top w:val="nil"/>
              <w:left w:val="nil"/>
              <w:bottom w:val="single" w:sz="4" w:space="0" w:color="808080"/>
              <w:right w:val="single" w:sz="4" w:space="0" w:color="808080"/>
            </w:tcBorders>
            <w:shd w:val="clear" w:color="auto" w:fill="auto"/>
            <w:vAlign w:val="center"/>
            <w:hideMark/>
          </w:tcPr>
          <w:p w14:paraId="13F7A780" w14:textId="77777777" w:rsidR="00BA50EA" w:rsidRPr="00BA50EA" w:rsidRDefault="00BA50EA" w:rsidP="00BA50EA">
            <w:pPr>
              <w:spacing w:before="120" w:after="120"/>
            </w:pPr>
            <w:r w:rsidRPr="00BA50EA">
              <w:t>Pokrivenost operativnih troškova (omjer ukupnih prihoda i operativnih troškova vezanih uz djelatnost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1EE19332" w14:textId="77777777" w:rsidR="00BA50EA" w:rsidRPr="00BA50EA" w:rsidRDefault="00BA50EA" w:rsidP="00BA50EA">
            <w:pPr>
              <w:spacing w:before="120" w:after="120"/>
              <w:jc w:val="center"/>
            </w:pPr>
            <w:r w:rsidRPr="00BA50EA">
              <w:t>%</w:t>
            </w:r>
          </w:p>
        </w:tc>
      </w:tr>
      <w:tr w:rsidR="00BA50EA" w:rsidRPr="00BA50EA" w14:paraId="5CC9A18E"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5B2416" w14:textId="77777777" w:rsidR="00BA50EA" w:rsidRPr="00BA50EA" w:rsidRDefault="00BA50EA" w:rsidP="00BA50EA">
            <w:pPr>
              <w:spacing w:before="120" w:after="120"/>
              <w:jc w:val="center"/>
              <w:rPr>
                <w:b/>
                <w:bCs/>
              </w:rPr>
            </w:pPr>
            <w:r w:rsidRPr="00BA50EA">
              <w:rPr>
                <w:b/>
                <w:bCs/>
              </w:rPr>
              <w:t>13</w:t>
            </w:r>
          </w:p>
        </w:tc>
        <w:tc>
          <w:tcPr>
            <w:tcW w:w="4000" w:type="pct"/>
            <w:tcBorders>
              <w:top w:val="nil"/>
              <w:left w:val="nil"/>
              <w:bottom w:val="single" w:sz="4" w:space="0" w:color="808080"/>
              <w:right w:val="single" w:sz="4" w:space="0" w:color="808080"/>
            </w:tcBorders>
            <w:shd w:val="clear" w:color="auto" w:fill="auto"/>
            <w:vAlign w:val="center"/>
            <w:hideMark/>
          </w:tcPr>
          <w:p w14:paraId="22844D51" w14:textId="77777777" w:rsidR="00BA50EA" w:rsidRPr="00BA50EA" w:rsidRDefault="00BA50EA" w:rsidP="00BA50EA">
            <w:pPr>
              <w:spacing w:before="120" w:after="120"/>
            </w:pPr>
            <w:r w:rsidRPr="00BA50EA">
              <w:t>Pokrivenost kapitalnih izdataka (omjer ukupnih prihoda i kapitalnih troškova vezanih uz djelatnost vodoopskrbe i odvodnje s pročišćavanjem otpadnih voda)</w:t>
            </w:r>
          </w:p>
        </w:tc>
        <w:tc>
          <w:tcPr>
            <w:tcW w:w="623" w:type="pct"/>
            <w:tcBorders>
              <w:top w:val="nil"/>
              <w:left w:val="nil"/>
              <w:bottom w:val="single" w:sz="4" w:space="0" w:color="808080"/>
              <w:right w:val="single" w:sz="4" w:space="0" w:color="808080"/>
            </w:tcBorders>
            <w:shd w:val="clear" w:color="auto" w:fill="auto"/>
            <w:vAlign w:val="center"/>
            <w:hideMark/>
          </w:tcPr>
          <w:p w14:paraId="4896D080" w14:textId="77777777" w:rsidR="00BA50EA" w:rsidRPr="00BA50EA" w:rsidRDefault="00BA50EA" w:rsidP="00BA50EA">
            <w:pPr>
              <w:spacing w:before="120" w:after="120"/>
              <w:jc w:val="center"/>
            </w:pPr>
            <w:r w:rsidRPr="00BA50EA">
              <w:t>%</w:t>
            </w:r>
          </w:p>
        </w:tc>
      </w:tr>
      <w:tr w:rsidR="00BA50EA" w:rsidRPr="00BA50EA" w14:paraId="0ADC291D"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47A35F" w14:textId="77777777" w:rsidR="00BA50EA" w:rsidRPr="00BA50EA" w:rsidRDefault="00BA50EA" w:rsidP="00BA50EA">
            <w:pPr>
              <w:spacing w:before="120" w:after="120"/>
              <w:jc w:val="center"/>
              <w:rPr>
                <w:b/>
                <w:bCs/>
              </w:rPr>
            </w:pPr>
            <w:r w:rsidRPr="00BA50EA">
              <w:rPr>
                <w:b/>
                <w:bCs/>
              </w:rPr>
              <w:t>14</w:t>
            </w:r>
          </w:p>
        </w:tc>
        <w:tc>
          <w:tcPr>
            <w:tcW w:w="4000" w:type="pct"/>
            <w:tcBorders>
              <w:top w:val="nil"/>
              <w:left w:val="nil"/>
              <w:bottom w:val="single" w:sz="4" w:space="0" w:color="808080"/>
              <w:right w:val="single" w:sz="4" w:space="0" w:color="808080"/>
            </w:tcBorders>
            <w:shd w:val="clear" w:color="auto" w:fill="auto"/>
            <w:vAlign w:val="center"/>
            <w:hideMark/>
          </w:tcPr>
          <w:p w14:paraId="5D5344BC" w14:textId="77777777" w:rsidR="00BA50EA" w:rsidRPr="00BA50EA" w:rsidRDefault="00BA50EA" w:rsidP="00BA50EA">
            <w:pPr>
              <w:spacing w:before="120" w:after="120"/>
            </w:pPr>
            <w:r w:rsidRPr="00BA50EA">
              <w:t>Pokrivenost ukupnih troškova vodoopskrbe (omjer ukupnih prihoda i ukupnih troškova vezanih uz djelatnost vodoopskrbe)</w:t>
            </w:r>
          </w:p>
        </w:tc>
        <w:tc>
          <w:tcPr>
            <w:tcW w:w="623" w:type="pct"/>
            <w:tcBorders>
              <w:top w:val="nil"/>
              <w:left w:val="nil"/>
              <w:bottom w:val="single" w:sz="4" w:space="0" w:color="808080"/>
              <w:right w:val="single" w:sz="4" w:space="0" w:color="808080"/>
            </w:tcBorders>
            <w:shd w:val="clear" w:color="auto" w:fill="auto"/>
            <w:vAlign w:val="center"/>
            <w:hideMark/>
          </w:tcPr>
          <w:p w14:paraId="5E80B63D" w14:textId="77777777" w:rsidR="00BA50EA" w:rsidRPr="00BA50EA" w:rsidRDefault="00BA50EA" w:rsidP="00BA50EA">
            <w:pPr>
              <w:spacing w:before="120" w:after="120"/>
              <w:jc w:val="center"/>
            </w:pPr>
            <w:r w:rsidRPr="00BA50EA">
              <w:t>%</w:t>
            </w:r>
          </w:p>
        </w:tc>
      </w:tr>
      <w:tr w:rsidR="00BA50EA" w:rsidRPr="00BA50EA" w14:paraId="153E6446"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B22070A" w14:textId="77777777" w:rsidR="00BA50EA" w:rsidRPr="00BA50EA" w:rsidRDefault="00BA50EA" w:rsidP="00BA50EA">
            <w:pPr>
              <w:spacing w:before="120" w:after="120"/>
              <w:jc w:val="center"/>
              <w:rPr>
                <w:b/>
                <w:bCs/>
              </w:rPr>
            </w:pPr>
            <w:r w:rsidRPr="00BA50EA">
              <w:rPr>
                <w:b/>
                <w:bCs/>
              </w:rPr>
              <w:t>15</w:t>
            </w:r>
          </w:p>
        </w:tc>
        <w:tc>
          <w:tcPr>
            <w:tcW w:w="4000" w:type="pct"/>
            <w:tcBorders>
              <w:top w:val="nil"/>
              <w:left w:val="nil"/>
              <w:bottom w:val="single" w:sz="4" w:space="0" w:color="808080"/>
              <w:right w:val="single" w:sz="4" w:space="0" w:color="808080"/>
            </w:tcBorders>
            <w:shd w:val="clear" w:color="auto" w:fill="auto"/>
            <w:vAlign w:val="center"/>
            <w:hideMark/>
          </w:tcPr>
          <w:p w14:paraId="2374EBBE" w14:textId="77777777" w:rsidR="00BA50EA" w:rsidRPr="00BA50EA" w:rsidRDefault="00BA50EA" w:rsidP="00BA50EA">
            <w:pPr>
              <w:spacing w:before="120" w:after="120"/>
            </w:pPr>
            <w:r w:rsidRPr="00BA50EA">
              <w:t>Pokrivenost operativnih troškova vodoopskrbe (omjer ukupnih prihoda i operativnih troškova vezanih uz djelatnost vodoopskrbe)</w:t>
            </w:r>
          </w:p>
        </w:tc>
        <w:tc>
          <w:tcPr>
            <w:tcW w:w="623" w:type="pct"/>
            <w:tcBorders>
              <w:top w:val="nil"/>
              <w:left w:val="nil"/>
              <w:bottom w:val="single" w:sz="4" w:space="0" w:color="808080"/>
              <w:right w:val="single" w:sz="4" w:space="0" w:color="808080"/>
            </w:tcBorders>
            <w:shd w:val="clear" w:color="auto" w:fill="auto"/>
            <w:vAlign w:val="center"/>
            <w:hideMark/>
          </w:tcPr>
          <w:p w14:paraId="57849B15" w14:textId="77777777" w:rsidR="00BA50EA" w:rsidRPr="00BA50EA" w:rsidRDefault="00BA50EA" w:rsidP="00BA50EA">
            <w:pPr>
              <w:spacing w:before="120" w:after="120"/>
              <w:jc w:val="center"/>
            </w:pPr>
            <w:r w:rsidRPr="00BA50EA">
              <w:t>%</w:t>
            </w:r>
          </w:p>
        </w:tc>
      </w:tr>
      <w:tr w:rsidR="00BA50EA" w:rsidRPr="00BA50EA" w14:paraId="5D99770B"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5999DA2" w14:textId="77777777" w:rsidR="00BA50EA" w:rsidRPr="00BA50EA" w:rsidRDefault="00BA50EA" w:rsidP="00BA50EA">
            <w:pPr>
              <w:spacing w:before="120" w:after="120"/>
              <w:jc w:val="center"/>
              <w:rPr>
                <w:b/>
                <w:bCs/>
              </w:rPr>
            </w:pPr>
            <w:r w:rsidRPr="00BA50EA">
              <w:rPr>
                <w:b/>
                <w:bCs/>
              </w:rPr>
              <w:t>16</w:t>
            </w:r>
          </w:p>
        </w:tc>
        <w:tc>
          <w:tcPr>
            <w:tcW w:w="4000" w:type="pct"/>
            <w:tcBorders>
              <w:top w:val="nil"/>
              <w:left w:val="nil"/>
              <w:bottom w:val="single" w:sz="4" w:space="0" w:color="808080"/>
              <w:right w:val="single" w:sz="4" w:space="0" w:color="808080"/>
            </w:tcBorders>
            <w:shd w:val="clear" w:color="auto" w:fill="auto"/>
            <w:vAlign w:val="center"/>
            <w:hideMark/>
          </w:tcPr>
          <w:p w14:paraId="41411F47" w14:textId="77777777" w:rsidR="00BA50EA" w:rsidRPr="00BA50EA" w:rsidRDefault="00BA50EA" w:rsidP="00BA50EA">
            <w:pPr>
              <w:spacing w:before="120" w:after="120"/>
            </w:pPr>
            <w:r w:rsidRPr="00BA50EA">
              <w:t>Pokrivenost kapitalnih izdataka vodoopskrbe (omjer ukupnih prihoda i kapitalnih troškova vezanih uz djelatnost vodoopskrbe)</w:t>
            </w:r>
          </w:p>
        </w:tc>
        <w:tc>
          <w:tcPr>
            <w:tcW w:w="623" w:type="pct"/>
            <w:tcBorders>
              <w:top w:val="nil"/>
              <w:left w:val="nil"/>
              <w:bottom w:val="single" w:sz="4" w:space="0" w:color="808080"/>
              <w:right w:val="single" w:sz="4" w:space="0" w:color="808080"/>
            </w:tcBorders>
            <w:shd w:val="clear" w:color="auto" w:fill="auto"/>
            <w:vAlign w:val="center"/>
            <w:hideMark/>
          </w:tcPr>
          <w:p w14:paraId="7A59AEF2" w14:textId="77777777" w:rsidR="00BA50EA" w:rsidRPr="00BA50EA" w:rsidRDefault="00BA50EA" w:rsidP="00BA50EA">
            <w:pPr>
              <w:spacing w:before="120" w:after="120"/>
              <w:jc w:val="center"/>
            </w:pPr>
            <w:r w:rsidRPr="00BA50EA">
              <w:t>%</w:t>
            </w:r>
          </w:p>
        </w:tc>
      </w:tr>
      <w:tr w:rsidR="00BA50EA" w:rsidRPr="00BA50EA" w14:paraId="64593577"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378C805" w14:textId="77777777" w:rsidR="00BA50EA" w:rsidRPr="00BA50EA" w:rsidRDefault="00BA50EA" w:rsidP="00BA50EA">
            <w:pPr>
              <w:spacing w:before="120" w:after="120"/>
              <w:jc w:val="center"/>
              <w:rPr>
                <w:b/>
                <w:bCs/>
              </w:rPr>
            </w:pPr>
            <w:r w:rsidRPr="00BA50EA">
              <w:rPr>
                <w:b/>
                <w:bCs/>
              </w:rPr>
              <w:t>17</w:t>
            </w:r>
          </w:p>
        </w:tc>
        <w:tc>
          <w:tcPr>
            <w:tcW w:w="4000" w:type="pct"/>
            <w:tcBorders>
              <w:top w:val="nil"/>
              <w:left w:val="nil"/>
              <w:bottom w:val="single" w:sz="4" w:space="0" w:color="808080"/>
              <w:right w:val="single" w:sz="4" w:space="0" w:color="808080"/>
            </w:tcBorders>
            <w:shd w:val="clear" w:color="auto" w:fill="auto"/>
            <w:vAlign w:val="center"/>
            <w:hideMark/>
          </w:tcPr>
          <w:p w14:paraId="2B9E5EA7" w14:textId="0454B370" w:rsidR="00BA50EA" w:rsidRPr="00BA50EA" w:rsidRDefault="00BA50EA" w:rsidP="00BA50EA">
            <w:pPr>
              <w:spacing w:before="120" w:after="120"/>
            </w:pPr>
            <w:r w:rsidRPr="00BA50EA">
              <w:t>Pokrivenost ukupnih troškova odvodnje (omjer ukupnih prihoda i ukupnih troškova vezanih uz djelatnost odvodnje i pročišćavanj</w:t>
            </w:r>
            <w:r w:rsidR="00056719">
              <w:t>a</w:t>
            </w:r>
            <w:r w:rsidRPr="00BA50EA">
              <w:t xml:space="preserve"> otpadnih voda)</w:t>
            </w:r>
          </w:p>
        </w:tc>
        <w:tc>
          <w:tcPr>
            <w:tcW w:w="623" w:type="pct"/>
            <w:tcBorders>
              <w:top w:val="nil"/>
              <w:left w:val="nil"/>
              <w:bottom w:val="single" w:sz="4" w:space="0" w:color="808080"/>
              <w:right w:val="single" w:sz="4" w:space="0" w:color="808080"/>
            </w:tcBorders>
            <w:shd w:val="clear" w:color="auto" w:fill="auto"/>
            <w:vAlign w:val="center"/>
            <w:hideMark/>
          </w:tcPr>
          <w:p w14:paraId="75A209A7" w14:textId="77777777" w:rsidR="00BA50EA" w:rsidRPr="00BA50EA" w:rsidRDefault="00BA50EA" w:rsidP="00BA50EA">
            <w:pPr>
              <w:spacing w:before="120" w:after="120"/>
              <w:jc w:val="center"/>
            </w:pPr>
            <w:r w:rsidRPr="00BA50EA">
              <w:t>%</w:t>
            </w:r>
          </w:p>
        </w:tc>
      </w:tr>
      <w:tr w:rsidR="00BA50EA" w:rsidRPr="00BA50EA" w14:paraId="10466D6E"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65025A" w14:textId="77777777" w:rsidR="00BA50EA" w:rsidRPr="00BA50EA" w:rsidRDefault="00BA50EA" w:rsidP="00BA50EA">
            <w:pPr>
              <w:spacing w:before="120" w:after="120"/>
              <w:jc w:val="center"/>
              <w:rPr>
                <w:b/>
                <w:bCs/>
              </w:rPr>
            </w:pPr>
            <w:r w:rsidRPr="00BA50EA">
              <w:rPr>
                <w:b/>
                <w:bCs/>
              </w:rPr>
              <w:t>18</w:t>
            </w:r>
          </w:p>
        </w:tc>
        <w:tc>
          <w:tcPr>
            <w:tcW w:w="4000" w:type="pct"/>
            <w:tcBorders>
              <w:top w:val="nil"/>
              <w:left w:val="nil"/>
              <w:bottom w:val="single" w:sz="4" w:space="0" w:color="808080"/>
              <w:right w:val="single" w:sz="4" w:space="0" w:color="808080"/>
            </w:tcBorders>
            <w:shd w:val="clear" w:color="auto" w:fill="auto"/>
            <w:vAlign w:val="center"/>
            <w:hideMark/>
          </w:tcPr>
          <w:p w14:paraId="371814A8" w14:textId="21D38589" w:rsidR="00BA50EA" w:rsidRPr="00BA50EA" w:rsidRDefault="00BA50EA" w:rsidP="00BA50EA">
            <w:pPr>
              <w:spacing w:before="120" w:after="120"/>
            </w:pPr>
            <w:r w:rsidRPr="00BA50EA">
              <w:t>Pokrivenost operativnih troškova odvodnje (omjer ukupnih prihoda i operativnih troškova vezanih uz dje</w:t>
            </w:r>
            <w:r w:rsidR="00056719">
              <w:t>latnost odvodnje i pročišćavanja</w:t>
            </w:r>
            <w:r w:rsidRPr="00BA50EA">
              <w:t xml:space="preserve"> otpadnih voda)</w:t>
            </w:r>
          </w:p>
        </w:tc>
        <w:tc>
          <w:tcPr>
            <w:tcW w:w="623" w:type="pct"/>
            <w:tcBorders>
              <w:top w:val="nil"/>
              <w:left w:val="nil"/>
              <w:bottom w:val="single" w:sz="4" w:space="0" w:color="808080"/>
              <w:right w:val="single" w:sz="4" w:space="0" w:color="808080"/>
            </w:tcBorders>
            <w:shd w:val="clear" w:color="auto" w:fill="auto"/>
            <w:vAlign w:val="center"/>
            <w:hideMark/>
          </w:tcPr>
          <w:p w14:paraId="31DD4254" w14:textId="77777777" w:rsidR="00BA50EA" w:rsidRPr="00BA50EA" w:rsidRDefault="00BA50EA" w:rsidP="00BA50EA">
            <w:pPr>
              <w:spacing w:before="120" w:after="120"/>
              <w:jc w:val="center"/>
            </w:pPr>
            <w:r w:rsidRPr="00BA50EA">
              <w:t>%</w:t>
            </w:r>
          </w:p>
        </w:tc>
      </w:tr>
      <w:tr w:rsidR="00BA50EA" w:rsidRPr="00BA50EA" w14:paraId="4F43FDDC"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8E0D16D" w14:textId="77777777" w:rsidR="00BA50EA" w:rsidRPr="00BA50EA" w:rsidRDefault="00BA50EA" w:rsidP="00BA50EA">
            <w:pPr>
              <w:spacing w:before="120" w:after="120"/>
              <w:jc w:val="center"/>
              <w:rPr>
                <w:b/>
                <w:bCs/>
              </w:rPr>
            </w:pPr>
            <w:r w:rsidRPr="00BA50EA">
              <w:rPr>
                <w:b/>
                <w:bCs/>
              </w:rPr>
              <w:lastRenderedPageBreak/>
              <w:t>19</w:t>
            </w:r>
          </w:p>
        </w:tc>
        <w:tc>
          <w:tcPr>
            <w:tcW w:w="4000" w:type="pct"/>
            <w:tcBorders>
              <w:top w:val="nil"/>
              <w:left w:val="nil"/>
              <w:bottom w:val="single" w:sz="4" w:space="0" w:color="808080"/>
              <w:right w:val="single" w:sz="4" w:space="0" w:color="808080"/>
            </w:tcBorders>
            <w:shd w:val="clear" w:color="auto" w:fill="auto"/>
            <w:vAlign w:val="center"/>
            <w:hideMark/>
          </w:tcPr>
          <w:p w14:paraId="63CF32D7" w14:textId="1B8414CF" w:rsidR="00BA50EA" w:rsidRPr="00BA50EA" w:rsidRDefault="00BA50EA" w:rsidP="00BA50EA">
            <w:pPr>
              <w:spacing w:before="120" w:after="120"/>
            </w:pPr>
            <w:r w:rsidRPr="00BA50EA">
              <w:t>Pokrivenost kapitalnih izdataka odvodnje (omjer ukupnih prihoda i kapitalnih troškova vezanih uz dje</w:t>
            </w:r>
            <w:r w:rsidR="00056719">
              <w:t>latnost odvodnje i pročišćavanja</w:t>
            </w:r>
            <w:r w:rsidRPr="00BA50EA">
              <w:t xml:space="preserve"> otpadnih voda)</w:t>
            </w:r>
          </w:p>
        </w:tc>
        <w:tc>
          <w:tcPr>
            <w:tcW w:w="623" w:type="pct"/>
            <w:tcBorders>
              <w:top w:val="nil"/>
              <w:left w:val="nil"/>
              <w:bottom w:val="single" w:sz="4" w:space="0" w:color="808080"/>
              <w:right w:val="single" w:sz="4" w:space="0" w:color="808080"/>
            </w:tcBorders>
            <w:shd w:val="clear" w:color="auto" w:fill="auto"/>
            <w:vAlign w:val="center"/>
            <w:hideMark/>
          </w:tcPr>
          <w:p w14:paraId="1EDE3FD8" w14:textId="77777777" w:rsidR="00BA50EA" w:rsidRPr="00BA50EA" w:rsidRDefault="00BA50EA" w:rsidP="00BA50EA">
            <w:pPr>
              <w:spacing w:before="120" w:after="120"/>
              <w:jc w:val="center"/>
            </w:pPr>
            <w:r w:rsidRPr="00BA50EA">
              <w:t>%</w:t>
            </w:r>
          </w:p>
        </w:tc>
      </w:tr>
      <w:tr w:rsidR="00BA50EA" w:rsidRPr="00BA50EA" w14:paraId="0A60C342"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6ECA31" w14:textId="77777777" w:rsidR="00BA50EA" w:rsidRPr="00BA50EA" w:rsidRDefault="00BA50EA" w:rsidP="00BA50EA">
            <w:pPr>
              <w:spacing w:before="120" w:after="120"/>
              <w:jc w:val="center"/>
              <w:rPr>
                <w:b/>
                <w:bCs/>
              </w:rPr>
            </w:pPr>
            <w:r w:rsidRPr="00BA50EA">
              <w:rPr>
                <w:b/>
                <w:bCs/>
              </w:rPr>
              <w:t>20</w:t>
            </w:r>
          </w:p>
        </w:tc>
        <w:tc>
          <w:tcPr>
            <w:tcW w:w="4000" w:type="pct"/>
            <w:tcBorders>
              <w:top w:val="nil"/>
              <w:left w:val="nil"/>
              <w:bottom w:val="single" w:sz="4" w:space="0" w:color="808080"/>
              <w:right w:val="single" w:sz="4" w:space="0" w:color="808080"/>
            </w:tcBorders>
            <w:shd w:val="clear" w:color="auto" w:fill="auto"/>
            <w:vAlign w:val="center"/>
            <w:hideMark/>
          </w:tcPr>
          <w:p w14:paraId="7B4FC1DE" w14:textId="77777777" w:rsidR="00BA50EA" w:rsidRPr="00BA50EA" w:rsidRDefault="00BA50EA" w:rsidP="00BA50EA">
            <w:pPr>
              <w:spacing w:before="120" w:after="120"/>
            </w:pPr>
            <w:r w:rsidRPr="00BA50EA">
              <w:t>Stupanj zaduženosti (omjer ukupne imovine umanjene za vlastiti kapital i ukupne imovine koja služi za obavljanje djelatnosti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3DCD5C75" w14:textId="77777777" w:rsidR="00BA50EA" w:rsidRPr="00BA50EA" w:rsidRDefault="00BA50EA" w:rsidP="00BA50EA">
            <w:pPr>
              <w:spacing w:before="120" w:after="120"/>
              <w:jc w:val="center"/>
            </w:pPr>
            <w:r w:rsidRPr="00BA50EA">
              <w:t>%</w:t>
            </w:r>
          </w:p>
        </w:tc>
      </w:tr>
      <w:tr w:rsidR="00BA50EA" w:rsidRPr="00BA50EA" w14:paraId="6E65A9ED"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2F6AC8" w14:textId="77777777" w:rsidR="00BA50EA" w:rsidRPr="00BA50EA" w:rsidRDefault="00BA50EA" w:rsidP="00BA50EA">
            <w:pPr>
              <w:spacing w:before="120" w:after="120"/>
              <w:jc w:val="center"/>
              <w:rPr>
                <w:b/>
                <w:bCs/>
              </w:rPr>
            </w:pPr>
            <w:r w:rsidRPr="00BA50EA">
              <w:rPr>
                <w:b/>
                <w:bCs/>
              </w:rPr>
              <w:t>21</w:t>
            </w:r>
          </w:p>
        </w:tc>
        <w:tc>
          <w:tcPr>
            <w:tcW w:w="4000" w:type="pct"/>
            <w:tcBorders>
              <w:top w:val="nil"/>
              <w:left w:val="nil"/>
              <w:bottom w:val="single" w:sz="4" w:space="0" w:color="808080"/>
              <w:right w:val="single" w:sz="4" w:space="0" w:color="808080"/>
            </w:tcBorders>
            <w:shd w:val="clear" w:color="auto" w:fill="auto"/>
            <w:vAlign w:val="center"/>
            <w:hideMark/>
          </w:tcPr>
          <w:p w14:paraId="5F205026" w14:textId="77777777" w:rsidR="00BA50EA" w:rsidRPr="00BA50EA" w:rsidRDefault="00BA50EA" w:rsidP="00BA50EA">
            <w:pPr>
              <w:spacing w:before="120" w:after="120"/>
            </w:pPr>
            <w:r w:rsidRPr="00BA50EA">
              <w:t>Koeficijent obrtaja imovine (omjer prihoda od prodaje/isporuke vodnih usluga i ukupne imovine koja služi za obavljanje djelatnosti vodoopskrbe i odvodnje i pročišćavanja otpadnih voda)</w:t>
            </w:r>
          </w:p>
        </w:tc>
        <w:tc>
          <w:tcPr>
            <w:tcW w:w="623" w:type="pct"/>
            <w:tcBorders>
              <w:top w:val="nil"/>
              <w:left w:val="nil"/>
              <w:bottom w:val="single" w:sz="4" w:space="0" w:color="808080"/>
              <w:right w:val="single" w:sz="4" w:space="0" w:color="808080"/>
            </w:tcBorders>
            <w:shd w:val="clear" w:color="auto" w:fill="auto"/>
            <w:vAlign w:val="center"/>
            <w:hideMark/>
          </w:tcPr>
          <w:p w14:paraId="75AFA54E" w14:textId="77777777" w:rsidR="00BA50EA" w:rsidRPr="00BA50EA" w:rsidRDefault="00BA50EA" w:rsidP="00BA50EA">
            <w:pPr>
              <w:spacing w:before="120" w:after="120"/>
              <w:jc w:val="center"/>
            </w:pPr>
            <w:r w:rsidRPr="00BA50EA">
              <w:t>%</w:t>
            </w:r>
          </w:p>
        </w:tc>
      </w:tr>
      <w:tr w:rsidR="00BA50EA" w:rsidRPr="00BA50EA" w14:paraId="637CA9C9"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34EE65" w14:textId="77777777" w:rsidR="00BA50EA" w:rsidRPr="00BA50EA" w:rsidRDefault="00BA50EA" w:rsidP="00BA50EA">
            <w:pPr>
              <w:spacing w:before="120" w:after="120"/>
              <w:jc w:val="center"/>
              <w:rPr>
                <w:b/>
                <w:bCs/>
              </w:rPr>
            </w:pPr>
            <w:r w:rsidRPr="00BA50EA">
              <w:rPr>
                <w:b/>
                <w:bCs/>
              </w:rPr>
              <w:t>22</w:t>
            </w:r>
          </w:p>
        </w:tc>
        <w:tc>
          <w:tcPr>
            <w:tcW w:w="4000" w:type="pct"/>
            <w:tcBorders>
              <w:top w:val="nil"/>
              <w:left w:val="nil"/>
              <w:bottom w:val="single" w:sz="4" w:space="0" w:color="808080"/>
              <w:right w:val="single" w:sz="4" w:space="0" w:color="808080"/>
            </w:tcBorders>
            <w:shd w:val="clear" w:color="auto" w:fill="auto"/>
            <w:vAlign w:val="center"/>
            <w:hideMark/>
          </w:tcPr>
          <w:p w14:paraId="02AA77EE" w14:textId="77777777" w:rsidR="00BA50EA" w:rsidRPr="00BA50EA" w:rsidRDefault="00BA50EA" w:rsidP="00BA50EA">
            <w:pPr>
              <w:spacing w:before="120" w:after="120"/>
            </w:pPr>
            <w:r w:rsidRPr="00BA50EA">
              <w:t>Koeficijent pokrivenosti otplate dugovanja (godišnji omjer novčanoga priljeva i financijskog dugovanja)</w:t>
            </w:r>
          </w:p>
        </w:tc>
        <w:tc>
          <w:tcPr>
            <w:tcW w:w="623" w:type="pct"/>
            <w:tcBorders>
              <w:top w:val="nil"/>
              <w:left w:val="nil"/>
              <w:bottom w:val="single" w:sz="4" w:space="0" w:color="808080"/>
              <w:right w:val="single" w:sz="4" w:space="0" w:color="808080"/>
            </w:tcBorders>
            <w:shd w:val="clear" w:color="auto" w:fill="auto"/>
            <w:vAlign w:val="center"/>
            <w:hideMark/>
          </w:tcPr>
          <w:p w14:paraId="60C793C4" w14:textId="77777777" w:rsidR="00BA50EA" w:rsidRPr="00BA50EA" w:rsidRDefault="00BA50EA" w:rsidP="00BA50EA">
            <w:pPr>
              <w:spacing w:before="120" w:after="120"/>
              <w:jc w:val="center"/>
            </w:pPr>
            <w:r w:rsidRPr="00BA50EA">
              <w:t>%</w:t>
            </w:r>
          </w:p>
        </w:tc>
      </w:tr>
      <w:tr w:rsidR="00BA50EA" w:rsidRPr="00BA50EA" w14:paraId="5E88F0E5" w14:textId="77777777" w:rsidTr="00BA50EA">
        <w:trPr>
          <w:trHeight w:val="20"/>
          <w:jc w:val="center"/>
        </w:trPr>
        <w:tc>
          <w:tcPr>
            <w:tcW w:w="37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8A5DDC" w14:textId="77777777" w:rsidR="00BA50EA" w:rsidRPr="00BA50EA" w:rsidRDefault="00BA50EA" w:rsidP="00BA50EA">
            <w:pPr>
              <w:spacing w:before="120" w:after="120"/>
              <w:jc w:val="center"/>
              <w:rPr>
                <w:b/>
                <w:bCs/>
              </w:rPr>
            </w:pPr>
            <w:r w:rsidRPr="00BA50EA">
              <w:rPr>
                <w:b/>
                <w:bCs/>
              </w:rPr>
              <w:t>23</w:t>
            </w:r>
          </w:p>
        </w:tc>
        <w:tc>
          <w:tcPr>
            <w:tcW w:w="4000" w:type="pct"/>
            <w:tcBorders>
              <w:top w:val="nil"/>
              <w:left w:val="nil"/>
              <w:bottom w:val="single" w:sz="4" w:space="0" w:color="808080"/>
              <w:right w:val="single" w:sz="4" w:space="0" w:color="808080"/>
            </w:tcBorders>
            <w:shd w:val="clear" w:color="auto" w:fill="auto"/>
            <w:vAlign w:val="center"/>
            <w:hideMark/>
          </w:tcPr>
          <w:p w14:paraId="173F9299" w14:textId="77777777" w:rsidR="00BA50EA" w:rsidRPr="00BA50EA" w:rsidRDefault="00BA50EA" w:rsidP="00BA50EA">
            <w:pPr>
              <w:spacing w:before="120" w:after="120"/>
            </w:pPr>
            <w:r w:rsidRPr="00BA50EA">
              <w:t>Postotak naplate prihoda od vodnih usluga (tijekom odabranog perioda analize, npr. godina)</w:t>
            </w:r>
          </w:p>
        </w:tc>
        <w:tc>
          <w:tcPr>
            <w:tcW w:w="623" w:type="pct"/>
            <w:tcBorders>
              <w:top w:val="nil"/>
              <w:left w:val="nil"/>
              <w:bottom w:val="single" w:sz="4" w:space="0" w:color="808080"/>
              <w:right w:val="single" w:sz="4" w:space="0" w:color="808080"/>
            </w:tcBorders>
            <w:shd w:val="clear" w:color="auto" w:fill="auto"/>
            <w:vAlign w:val="center"/>
            <w:hideMark/>
          </w:tcPr>
          <w:p w14:paraId="7CE7AA9B" w14:textId="77777777" w:rsidR="00BA50EA" w:rsidRPr="00BA50EA" w:rsidRDefault="00BA50EA" w:rsidP="00BA50EA">
            <w:pPr>
              <w:spacing w:before="120" w:after="120"/>
              <w:jc w:val="center"/>
            </w:pPr>
            <w:r w:rsidRPr="00BA50EA">
              <w:t>%</w:t>
            </w:r>
          </w:p>
        </w:tc>
      </w:tr>
    </w:tbl>
    <w:p w14:paraId="468E734F" w14:textId="77777777" w:rsidR="00BA50EA" w:rsidRPr="00BA50EA" w:rsidRDefault="00BA50EA" w:rsidP="00BA50EA">
      <w:pPr>
        <w:spacing w:before="120" w:after="120"/>
        <w:ind w:firstLine="425"/>
        <w:jc w:val="both"/>
        <w:rPr>
          <w:color w:val="000000"/>
        </w:rPr>
      </w:pPr>
    </w:p>
    <w:p w14:paraId="61EA69AD" w14:textId="77777777" w:rsidR="00BA50EA" w:rsidRPr="00BA50EA" w:rsidRDefault="00BA50EA" w:rsidP="004B722B">
      <w:pPr>
        <w:keepNext/>
        <w:keepLines/>
        <w:spacing w:before="120" w:after="120"/>
        <w:jc w:val="center"/>
        <w:outlineLvl w:val="2"/>
        <w:rPr>
          <w:rFonts w:cstheme="majorBidi"/>
        </w:rPr>
      </w:pPr>
      <w:r w:rsidRPr="00BA50EA">
        <w:rPr>
          <w:rFonts w:cstheme="majorBidi"/>
        </w:rPr>
        <w:t>Skupina 2. POKAZATELJI VEZANI UZ ZAPOŠLJAVANJE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84"/>
        <w:gridCol w:w="5975"/>
        <w:gridCol w:w="2403"/>
      </w:tblGrid>
      <w:tr w:rsidR="00BA50EA" w:rsidRPr="00BA50EA" w14:paraId="42DCC91A" w14:textId="77777777" w:rsidTr="00BA50EA">
        <w:trPr>
          <w:trHeight w:val="20"/>
          <w:tblHeader/>
        </w:trPr>
        <w:tc>
          <w:tcPr>
            <w:tcW w:w="377" w:type="pct"/>
            <w:shd w:val="clear" w:color="000000" w:fill="D9D9D9"/>
            <w:noWrap/>
            <w:vAlign w:val="center"/>
          </w:tcPr>
          <w:p w14:paraId="78E4F2BA" w14:textId="77777777" w:rsidR="00BA50EA" w:rsidRPr="00BA50EA" w:rsidRDefault="00BA50EA" w:rsidP="00BA50EA">
            <w:pPr>
              <w:spacing w:before="120" w:after="120"/>
              <w:jc w:val="center"/>
              <w:rPr>
                <w:b/>
                <w:bCs/>
              </w:rPr>
            </w:pPr>
            <w:r w:rsidRPr="00BA50EA">
              <w:rPr>
                <w:b/>
                <w:bCs/>
              </w:rPr>
              <w:t>Broj</w:t>
            </w:r>
          </w:p>
        </w:tc>
        <w:tc>
          <w:tcPr>
            <w:tcW w:w="3297" w:type="pct"/>
            <w:shd w:val="clear" w:color="000000" w:fill="D9D9D9"/>
            <w:vAlign w:val="center"/>
          </w:tcPr>
          <w:p w14:paraId="0240C475" w14:textId="77777777" w:rsidR="00BA50EA" w:rsidRPr="00BA50EA" w:rsidRDefault="00BA50EA" w:rsidP="00BA50EA">
            <w:pPr>
              <w:spacing w:before="120" w:after="120"/>
              <w:jc w:val="center"/>
              <w:rPr>
                <w:b/>
                <w:bCs/>
              </w:rPr>
            </w:pPr>
            <w:r w:rsidRPr="00BA50EA">
              <w:rPr>
                <w:b/>
                <w:bCs/>
              </w:rPr>
              <w:t>Ključni pokazatelji</w:t>
            </w:r>
          </w:p>
        </w:tc>
        <w:tc>
          <w:tcPr>
            <w:tcW w:w="1326" w:type="pct"/>
            <w:shd w:val="clear" w:color="000000" w:fill="D9D9D9"/>
            <w:vAlign w:val="center"/>
          </w:tcPr>
          <w:p w14:paraId="09BD6BCA" w14:textId="77777777" w:rsidR="00BA50EA" w:rsidRPr="00BA50EA" w:rsidRDefault="00BA50EA" w:rsidP="00BA50EA">
            <w:pPr>
              <w:spacing w:before="120" w:after="120"/>
              <w:contextualSpacing/>
              <w:jc w:val="center"/>
              <w:rPr>
                <w:b/>
                <w:bCs/>
              </w:rPr>
            </w:pPr>
            <w:r w:rsidRPr="00BA50EA">
              <w:rPr>
                <w:b/>
                <w:bCs/>
              </w:rPr>
              <w:t>Mjerilo</w:t>
            </w:r>
          </w:p>
        </w:tc>
      </w:tr>
      <w:tr w:rsidR="00BA50EA" w:rsidRPr="00BA50EA" w14:paraId="7BF48E20" w14:textId="77777777" w:rsidTr="00BA50EA">
        <w:trPr>
          <w:trHeight w:val="20"/>
        </w:trPr>
        <w:tc>
          <w:tcPr>
            <w:tcW w:w="377" w:type="pct"/>
            <w:shd w:val="clear" w:color="auto" w:fill="auto"/>
            <w:noWrap/>
            <w:vAlign w:val="center"/>
            <w:hideMark/>
          </w:tcPr>
          <w:p w14:paraId="2B1BB511"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24</w:t>
            </w:r>
          </w:p>
        </w:tc>
        <w:tc>
          <w:tcPr>
            <w:tcW w:w="3297" w:type="pct"/>
            <w:shd w:val="clear" w:color="auto" w:fill="auto"/>
            <w:vAlign w:val="center"/>
            <w:hideMark/>
          </w:tcPr>
          <w:p w14:paraId="60FE146E" w14:textId="77777777" w:rsidR="00BA50EA" w:rsidRPr="00BA50EA" w:rsidRDefault="00BA50EA" w:rsidP="00BA50EA">
            <w:pPr>
              <w:shd w:val="clear" w:color="auto" w:fill="FFFFFF"/>
              <w:spacing w:before="120" w:after="120"/>
              <w:textAlignment w:val="baseline"/>
              <w:rPr>
                <w:color w:val="000000"/>
              </w:rPr>
            </w:pPr>
            <w:r w:rsidRPr="00BA50EA">
              <w:rPr>
                <w:color w:val="000000"/>
              </w:rPr>
              <w:t>Osposobljenost zaposlenika (omjer broja radnih mjesta popunjenih zaposlenicima koji ispunjavaju sve uvjete propisane općim aktom o ustrojstvu i ukupnog broja radnih mjesta)</w:t>
            </w:r>
          </w:p>
        </w:tc>
        <w:tc>
          <w:tcPr>
            <w:tcW w:w="1326" w:type="pct"/>
            <w:shd w:val="clear" w:color="auto" w:fill="auto"/>
            <w:vAlign w:val="center"/>
            <w:hideMark/>
          </w:tcPr>
          <w:p w14:paraId="0E62B633"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w:t>
            </w:r>
          </w:p>
        </w:tc>
      </w:tr>
      <w:tr w:rsidR="00BA50EA" w:rsidRPr="00BA50EA" w14:paraId="19EA81B3" w14:textId="77777777" w:rsidTr="00BA50EA">
        <w:trPr>
          <w:trHeight w:val="20"/>
        </w:trPr>
        <w:tc>
          <w:tcPr>
            <w:tcW w:w="377" w:type="pct"/>
            <w:shd w:val="clear" w:color="auto" w:fill="auto"/>
            <w:noWrap/>
            <w:vAlign w:val="center"/>
            <w:hideMark/>
          </w:tcPr>
          <w:p w14:paraId="6FFD6C64"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25</w:t>
            </w:r>
          </w:p>
        </w:tc>
        <w:tc>
          <w:tcPr>
            <w:tcW w:w="3297" w:type="pct"/>
            <w:shd w:val="clear" w:color="auto" w:fill="auto"/>
            <w:vAlign w:val="center"/>
            <w:hideMark/>
          </w:tcPr>
          <w:p w14:paraId="68342173"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zaposlenika u odnosu na dužinu sustava vodoopskrbe kojim isporučitelj upravlja</w:t>
            </w:r>
          </w:p>
        </w:tc>
        <w:tc>
          <w:tcPr>
            <w:tcW w:w="1326" w:type="pct"/>
            <w:shd w:val="clear" w:color="auto" w:fill="auto"/>
            <w:vAlign w:val="center"/>
            <w:hideMark/>
          </w:tcPr>
          <w:p w14:paraId="32F432FD"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5D54D133"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100 km vodovoda</w:t>
            </w:r>
          </w:p>
        </w:tc>
      </w:tr>
      <w:tr w:rsidR="00BA50EA" w:rsidRPr="00BA50EA" w14:paraId="21284526" w14:textId="77777777" w:rsidTr="00BA50EA">
        <w:trPr>
          <w:trHeight w:val="20"/>
        </w:trPr>
        <w:tc>
          <w:tcPr>
            <w:tcW w:w="377" w:type="pct"/>
            <w:shd w:val="clear" w:color="auto" w:fill="auto"/>
            <w:noWrap/>
            <w:vAlign w:val="center"/>
            <w:hideMark/>
          </w:tcPr>
          <w:p w14:paraId="547E6048"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26</w:t>
            </w:r>
          </w:p>
        </w:tc>
        <w:tc>
          <w:tcPr>
            <w:tcW w:w="3297" w:type="pct"/>
            <w:shd w:val="clear" w:color="auto" w:fill="auto"/>
            <w:vAlign w:val="center"/>
            <w:hideMark/>
          </w:tcPr>
          <w:p w14:paraId="0F408319" w14:textId="77777777" w:rsidR="00BA50EA" w:rsidRPr="00BA50EA" w:rsidRDefault="00BA50EA" w:rsidP="00BA50EA">
            <w:pPr>
              <w:shd w:val="clear" w:color="auto" w:fill="FFFFFF"/>
              <w:spacing w:before="120" w:after="120"/>
              <w:textAlignment w:val="baseline"/>
              <w:rPr>
                <w:color w:val="000000"/>
              </w:rPr>
            </w:pPr>
            <w:r w:rsidRPr="00BA50EA">
              <w:rPr>
                <w:color w:val="000000"/>
              </w:rPr>
              <w:t xml:space="preserve">Broj zaposlenika na uređajima za kondicioniranje vode u odnosu na broj stanovnik koji koriste usluge javne vodoopskrbe </w:t>
            </w:r>
          </w:p>
        </w:tc>
        <w:tc>
          <w:tcPr>
            <w:tcW w:w="1326" w:type="pct"/>
            <w:shd w:val="clear" w:color="auto" w:fill="auto"/>
            <w:vAlign w:val="center"/>
            <w:hideMark/>
          </w:tcPr>
          <w:p w14:paraId="38F220DC"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 xml:space="preserve">broj zaposlenika/ </w:t>
            </w:r>
          </w:p>
          <w:p w14:paraId="3BE37C67"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1000 stanovnika</w:t>
            </w:r>
          </w:p>
        </w:tc>
      </w:tr>
      <w:tr w:rsidR="00BA50EA" w:rsidRPr="00BA50EA" w14:paraId="154C0A18" w14:textId="77777777" w:rsidTr="00BA50EA">
        <w:trPr>
          <w:trHeight w:val="20"/>
        </w:trPr>
        <w:tc>
          <w:tcPr>
            <w:tcW w:w="377" w:type="pct"/>
            <w:shd w:val="clear" w:color="auto" w:fill="auto"/>
            <w:noWrap/>
            <w:vAlign w:val="center"/>
            <w:hideMark/>
          </w:tcPr>
          <w:p w14:paraId="20F19275"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27</w:t>
            </w:r>
          </w:p>
        </w:tc>
        <w:tc>
          <w:tcPr>
            <w:tcW w:w="3297" w:type="pct"/>
            <w:shd w:val="clear" w:color="auto" w:fill="auto"/>
            <w:vAlign w:val="center"/>
            <w:hideMark/>
          </w:tcPr>
          <w:p w14:paraId="6E8C4933"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zaposlenika na uređajima za pročišćavanje otpadnih voda (UPOV) u odnosu na kapacitet uređaja izražen kao broj ekvivalent stanovnika (ES)</w:t>
            </w:r>
          </w:p>
        </w:tc>
        <w:tc>
          <w:tcPr>
            <w:tcW w:w="1326" w:type="pct"/>
            <w:shd w:val="clear" w:color="auto" w:fill="auto"/>
            <w:vAlign w:val="center"/>
            <w:hideMark/>
          </w:tcPr>
          <w:p w14:paraId="16E11A4C"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 xml:space="preserve">broj zaposlenika/ </w:t>
            </w:r>
          </w:p>
          <w:p w14:paraId="54BA9752"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1000 ES</w:t>
            </w:r>
          </w:p>
        </w:tc>
      </w:tr>
      <w:tr w:rsidR="00BA50EA" w:rsidRPr="00BA50EA" w14:paraId="1B40E8BF" w14:textId="77777777" w:rsidTr="00BA50EA">
        <w:trPr>
          <w:trHeight w:val="20"/>
        </w:trPr>
        <w:tc>
          <w:tcPr>
            <w:tcW w:w="377" w:type="pct"/>
            <w:shd w:val="clear" w:color="auto" w:fill="auto"/>
            <w:noWrap/>
            <w:vAlign w:val="center"/>
            <w:hideMark/>
          </w:tcPr>
          <w:p w14:paraId="212C0460"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28</w:t>
            </w:r>
          </w:p>
        </w:tc>
        <w:tc>
          <w:tcPr>
            <w:tcW w:w="3297" w:type="pct"/>
            <w:shd w:val="clear" w:color="auto" w:fill="auto"/>
            <w:vAlign w:val="center"/>
            <w:hideMark/>
          </w:tcPr>
          <w:p w14:paraId="30B09F8F"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zaposlenika u djelatnosti odvodnje otpadnih voda (bez pročišćavanja) u odnosu na dužinu sustava javne odvodnje</w:t>
            </w:r>
          </w:p>
        </w:tc>
        <w:tc>
          <w:tcPr>
            <w:tcW w:w="1326" w:type="pct"/>
            <w:shd w:val="clear" w:color="auto" w:fill="auto"/>
            <w:vAlign w:val="center"/>
            <w:hideMark/>
          </w:tcPr>
          <w:p w14:paraId="02E5EBC6"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 xml:space="preserve">broj/100 km </w:t>
            </w:r>
          </w:p>
          <w:p w14:paraId="4992AE98"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sustava odvodnje</w:t>
            </w:r>
          </w:p>
        </w:tc>
      </w:tr>
      <w:tr w:rsidR="00BA50EA" w:rsidRPr="00BA50EA" w14:paraId="62AC0617" w14:textId="77777777" w:rsidTr="00BA50EA">
        <w:trPr>
          <w:trHeight w:val="20"/>
        </w:trPr>
        <w:tc>
          <w:tcPr>
            <w:tcW w:w="377" w:type="pct"/>
            <w:shd w:val="clear" w:color="auto" w:fill="auto"/>
            <w:noWrap/>
            <w:vAlign w:val="center"/>
            <w:hideMark/>
          </w:tcPr>
          <w:p w14:paraId="242DA49B"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29</w:t>
            </w:r>
          </w:p>
        </w:tc>
        <w:tc>
          <w:tcPr>
            <w:tcW w:w="3297" w:type="pct"/>
            <w:shd w:val="clear" w:color="auto" w:fill="auto"/>
            <w:vAlign w:val="center"/>
            <w:hideMark/>
          </w:tcPr>
          <w:p w14:paraId="06109126" w14:textId="77777777" w:rsidR="00BA50EA" w:rsidRPr="00BA50EA" w:rsidRDefault="00BA50EA" w:rsidP="00BA50EA">
            <w:pPr>
              <w:shd w:val="clear" w:color="auto" w:fill="FFFFFF"/>
              <w:spacing w:before="120" w:after="120"/>
              <w:textAlignment w:val="baseline"/>
              <w:rPr>
                <w:color w:val="000000"/>
              </w:rPr>
            </w:pPr>
            <w:r w:rsidRPr="00BA50EA">
              <w:rPr>
                <w:color w:val="000000"/>
              </w:rPr>
              <w:t>Ukupan broj zaposlenika u odnosu na ukupni broj priključaka na sustave vodoopskrbe i odvodnje</w:t>
            </w:r>
          </w:p>
        </w:tc>
        <w:tc>
          <w:tcPr>
            <w:tcW w:w="1326" w:type="pct"/>
            <w:shd w:val="clear" w:color="auto" w:fill="auto"/>
            <w:vAlign w:val="center"/>
            <w:hideMark/>
          </w:tcPr>
          <w:p w14:paraId="449D132E"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58F5A446"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/1000/priključku vodoopskrbe i odvodnje</w:t>
            </w:r>
          </w:p>
        </w:tc>
      </w:tr>
      <w:tr w:rsidR="00BA50EA" w:rsidRPr="00BA50EA" w14:paraId="12796A48" w14:textId="77777777" w:rsidTr="00BA50EA">
        <w:trPr>
          <w:trHeight w:val="20"/>
        </w:trPr>
        <w:tc>
          <w:tcPr>
            <w:tcW w:w="377" w:type="pct"/>
            <w:shd w:val="clear" w:color="auto" w:fill="auto"/>
            <w:noWrap/>
            <w:vAlign w:val="center"/>
            <w:hideMark/>
          </w:tcPr>
          <w:p w14:paraId="7C729970"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30</w:t>
            </w:r>
          </w:p>
        </w:tc>
        <w:tc>
          <w:tcPr>
            <w:tcW w:w="3297" w:type="pct"/>
            <w:shd w:val="clear" w:color="auto" w:fill="auto"/>
            <w:vAlign w:val="center"/>
            <w:hideMark/>
          </w:tcPr>
          <w:p w14:paraId="53754BE8" w14:textId="77777777" w:rsidR="00BA50EA" w:rsidRPr="00BA50EA" w:rsidRDefault="00BA50EA" w:rsidP="00BA50EA">
            <w:pPr>
              <w:shd w:val="clear" w:color="auto" w:fill="FFFFFF"/>
              <w:spacing w:before="120" w:after="120"/>
              <w:textAlignment w:val="baseline"/>
              <w:rPr>
                <w:color w:val="000000"/>
              </w:rPr>
            </w:pPr>
            <w:r w:rsidRPr="00BA50EA">
              <w:rPr>
                <w:color w:val="000000"/>
              </w:rPr>
              <w:t>Ukupan broj zaposlenih u odnosu na količinu dobavljene vode u vodoopskrbni sustav i količinu ispuštene pročišćene otpadne vode</w:t>
            </w:r>
          </w:p>
        </w:tc>
        <w:tc>
          <w:tcPr>
            <w:tcW w:w="1326" w:type="pct"/>
            <w:shd w:val="clear" w:color="auto" w:fill="auto"/>
            <w:vAlign w:val="center"/>
            <w:hideMark/>
          </w:tcPr>
          <w:p w14:paraId="55EDE49D"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22683301"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10</w:t>
            </w:r>
            <w:r w:rsidRPr="00BA50EA">
              <w:rPr>
                <w:color w:val="000000"/>
                <w:vertAlign w:val="superscript"/>
              </w:rPr>
              <w:t>6</w:t>
            </w:r>
            <w:r w:rsidRPr="00BA50EA">
              <w:rPr>
                <w:color w:val="000000"/>
              </w:rPr>
              <w:t xml:space="preserve"> m</w:t>
            </w:r>
            <w:r w:rsidRPr="00BA50EA">
              <w:rPr>
                <w:color w:val="000000"/>
                <w:vertAlign w:val="superscript"/>
              </w:rPr>
              <w:t>3</w:t>
            </w:r>
            <w:r w:rsidRPr="00BA50EA">
              <w:rPr>
                <w:color w:val="000000"/>
              </w:rPr>
              <w:t>/god</w:t>
            </w:r>
          </w:p>
        </w:tc>
      </w:tr>
      <w:tr w:rsidR="00BA50EA" w:rsidRPr="00BA50EA" w14:paraId="264F6E43" w14:textId="77777777" w:rsidTr="00BA50EA">
        <w:trPr>
          <w:trHeight w:val="20"/>
        </w:trPr>
        <w:tc>
          <w:tcPr>
            <w:tcW w:w="377" w:type="pct"/>
            <w:shd w:val="clear" w:color="auto" w:fill="auto"/>
            <w:noWrap/>
            <w:vAlign w:val="center"/>
            <w:hideMark/>
          </w:tcPr>
          <w:p w14:paraId="56EF197B"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31</w:t>
            </w:r>
          </w:p>
        </w:tc>
        <w:tc>
          <w:tcPr>
            <w:tcW w:w="3297" w:type="pct"/>
            <w:shd w:val="clear" w:color="auto" w:fill="auto"/>
            <w:vAlign w:val="center"/>
            <w:hideMark/>
          </w:tcPr>
          <w:p w14:paraId="2DB16EE8"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tehničkim službama javnog isporučitelja u odnosu na ukupni broj priključaka na sustave vodoopskrbe i odvodnje</w:t>
            </w:r>
          </w:p>
        </w:tc>
        <w:tc>
          <w:tcPr>
            <w:tcW w:w="1326" w:type="pct"/>
            <w:shd w:val="clear" w:color="auto" w:fill="auto"/>
            <w:vAlign w:val="center"/>
            <w:hideMark/>
          </w:tcPr>
          <w:p w14:paraId="0AF8915A"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7CECDFB7"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priključku vodoopskrbe i odvodnje/1000</w:t>
            </w:r>
          </w:p>
        </w:tc>
      </w:tr>
      <w:tr w:rsidR="00BA50EA" w:rsidRPr="00BA50EA" w14:paraId="4BB3DD66" w14:textId="77777777" w:rsidTr="00BA50EA">
        <w:trPr>
          <w:trHeight w:val="20"/>
        </w:trPr>
        <w:tc>
          <w:tcPr>
            <w:tcW w:w="377" w:type="pct"/>
            <w:shd w:val="clear" w:color="auto" w:fill="auto"/>
            <w:noWrap/>
            <w:vAlign w:val="center"/>
            <w:hideMark/>
          </w:tcPr>
          <w:p w14:paraId="5045C0B4"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32</w:t>
            </w:r>
          </w:p>
        </w:tc>
        <w:tc>
          <w:tcPr>
            <w:tcW w:w="3297" w:type="pct"/>
            <w:shd w:val="clear" w:color="auto" w:fill="auto"/>
            <w:vAlign w:val="center"/>
            <w:hideMark/>
          </w:tcPr>
          <w:p w14:paraId="1EFE945B" w14:textId="77777777" w:rsidR="00BA50EA" w:rsidRPr="00BA50EA" w:rsidRDefault="00BA50EA" w:rsidP="00BA50EA">
            <w:pPr>
              <w:shd w:val="clear" w:color="auto" w:fill="FFFFFF"/>
              <w:spacing w:before="120" w:after="120"/>
              <w:textAlignment w:val="baseline"/>
              <w:rPr>
                <w:color w:val="000000"/>
              </w:rPr>
            </w:pPr>
            <w:r w:rsidRPr="00BA50EA">
              <w:rPr>
                <w:color w:val="000000"/>
              </w:rPr>
              <w:t xml:space="preserve">Broj zaposlenih u tehničkim službama javnog isporučitelja u odnosu na ukupan broj  priključenih stanovnika na sustave vodoopskrbe i odvodnje </w:t>
            </w:r>
          </w:p>
        </w:tc>
        <w:tc>
          <w:tcPr>
            <w:tcW w:w="1326" w:type="pct"/>
            <w:shd w:val="clear" w:color="auto" w:fill="auto"/>
            <w:vAlign w:val="center"/>
            <w:hideMark/>
          </w:tcPr>
          <w:p w14:paraId="278E2E2B"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148DE990"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 xml:space="preserve">priključenim stanovnicima vodoopskrba i </w:t>
            </w:r>
          </w:p>
          <w:p w14:paraId="2345E6CC"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odvodnja/1000</w:t>
            </w:r>
          </w:p>
        </w:tc>
      </w:tr>
      <w:tr w:rsidR="00BA50EA" w:rsidRPr="00BA50EA" w14:paraId="74813B9D" w14:textId="77777777" w:rsidTr="00BA50EA">
        <w:trPr>
          <w:trHeight w:val="20"/>
        </w:trPr>
        <w:tc>
          <w:tcPr>
            <w:tcW w:w="377" w:type="pct"/>
            <w:shd w:val="clear" w:color="auto" w:fill="auto"/>
            <w:noWrap/>
            <w:vAlign w:val="center"/>
            <w:hideMark/>
          </w:tcPr>
          <w:p w14:paraId="4E418239"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33</w:t>
            </w:r>
          </w:p>
        </w:tc>
        <w:tc>
          <w:tcPr>
            <w:tcW w:w="3297" w:type="pct"/>
            <w:shd w:val="clear" w:color="auto" w:fill="auto"/>
            <w:vAlign w:val="center"/>
            <w:hideMark/>
          </w:tcPr>
          <w:p w14:paraId="422D9B53"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tehničkim službama odgovornim za vodoopskrbu u odnosu na broj vodoopskrbnih priključaka</w:t>
            </w:r>
          </w:p>
        </w:tc>
        <w:tc>
          <w:tcPr>
            <w:tcW w:w="1326" w:type="pct"/>
            <w:shd w:val="clear" w:color="auto" w:fill="auto"/>
            <w:vAlign w:val="center"/>
            <w:hideMark/>
          </w:tcPr>
          <w:p w14:paraId="6AAC9817"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7A539B7E"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vodoopskrbnom priključku/1000</w:t>
            </w:r>
          </w:p>
        </w:tc>
      </w:tr>
      <w:tr w:rsidR="00BA50EA" w:rsidRPr="00BA50EA" w14:paraId="0F8028BD" w14:textId="77777777" w:rsidTr="00BA50EA">
        <w:trPr>
          <w:trHeight w:val="20"/>
        </w:trPr>
        <w:tc>
          <w:tcPr>
            <w:tcW w:w="377" w:type="pct"/>
            <w:shd w:val="clear" w:color="auto" w:fill="auto"/>
            <w:noWrap/>
            <w:vAlign w:val="center"/>
            <w:hideMark/>
          </w:tcPr>
          <w:p w14:paraId="1CD8E635"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34</w:t>
            </w:r>
          </w:p>
        </w:tc>
        <w:tc>
          <w:tcPr>
            <w:tcW w:w="3297" w:type="pct"/>
            <w:shd w:val="clear" w:color="auto" w:fill="auto"/>
            <w:vAlign w:val="center"/>
            <w:hideMark/>
          </w:tcPr>
          <w:p w14:paraId="48042F95"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tehničkoj službi odgovornim za vodoopskrbu u odnosu na broj priključenih stanovnika</w:t>
            </w:r>
          </w:p>
        </w:tc>
        <w:tc>
          <w:tcPr>
            <w:tcW w:w="1326" w:type="pct"/>
            <w:shd w:val="clear" w:color="auto" w:fill="auto"/>
            <w:vAlign w:val="center"/>
            <w:hideMark/>
          </w:tcPr>
          <w:p w14:paraId="63A24709"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638C114A"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priključeni stanovnici na vodoopskrbu/1000</w:t>
            </w:r>
          </w:p>
        </w:tc>
      </w:tr>
      <w:tr w:rsidR="00BA50EA" w:rsidRPr="00BA50EA" w14:paraId="0C41C086" w14:textId="77777777" w:rsidTr="00BA50EA">
        <w:trPr>
          <w:trHeight w:val="20"/>
        </w:trPr>
        <w:tc>
          <w:tcPr>
            <w:tcW w:w="377" w:type="pct"/>
            <w:shd w:val="clear" w:color="auto" w:fill="auto"/>
            <w:noWrap/>
            <w:vAlign w:val="center"/>
            <w:hideMark/>
          </w:tcPr>
          <w:p w14:paraId="42A7A0DE"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35</w:t>
            </w:r>
          </w:p>
        </w:tc>
        <w:tc>
          <w:tcPr>
            <w:tcW w:w="3297" w:type="pct"/>
            <w:shd w:val="clear" w:color="auto" w:fill="auto"/>
            <w:vAlign w:val="center"/>
            <w:hideMark/>
          </w:tcPr>
          <w:p w14:paraId="33D3460E" w14:textId="77777777" w:rsidR="00BA50EA" w:rsidRPr="00BA50EA" w:rsidRDefault="00BA50EA" w:rsidP="00BA50EA">
            <w:pPr>
              <w:shd w:val="clear" w:color="auto" w:fill="FFFFFF"/>
              <w:spacing w:before="120" w:after="120"/>
              <w:textAlignment w:val="baseline"/>
              <w:rPr>
                <w:color w:val="000000"/>
              </w:rPr>
            </w:pPr>
            <w:r w:rsidRPr="00BA50EA">
              <w:rPr>
                <w:color w:val="000000"/>
              </w:rPr>
              <w:t xml:space="preserve">Broj zaposlenih u posebnoj ustrojbenoj jedinici  odgovornoj za smanjenje gubitaka vode koji rade u uredu i na terenu u odnosu na  broj vodoopskrbnih  priključaka </w:t>
            </w:r>
          </w:p>
        </w:tc>
        <w:tc>
          <w:tcPr>
            <w:tcW w:w="1326" w:type="pct"/>
            <w:shd w:val="clear" w:color="auto" w:fill="auto"/>
            <w:vAlign w:val="center"/>
            <w:hideMark/>
          </w:tcPr>
          <w:p w14:paraId="4B336605"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0DDDACFB"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vodoopskrbnom priključku/1000</w:t>
            </w:r>
          </w:p>
        </w:tc>
      </w:tr>
      <w:tr w:rsidR="00BA50EA" w:rsidRPr="00BA50EA" w14:paraId="2B3C19E5" w14:textId="77777777" w:rsidTr="00BA50EA">
        <w:trPr>
          <w:trHeight w:val="20"/>
        </w:trPr>
        <w:tc>
          <w:tcPr>
            <w:tcW w:w="377" w:type="pct"/>
            <w:shd w:val="clear" w:color="auto" w:fill="auto"/>
            <w:noWrap/>
            <w:vAlign w:val="center"/>
            <w:hideMark/>
          </w:tcPr>
          <w:p w14:paraId="51839604"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36</w:t>
            </w:r>
          </w:p>
        </w:tc>
        <w:tc>
          <w:tcPr>
            <w:tcW w:w="3297" w:type="pct"/>
            <w:shd w:val="clear" w:color="auto" w:fill="auto"/>
            <w:vAlign w:val="center"/>
            <w:hideMark/>
          </w:tcPr>
          <w:p w14:paraId="401F0047"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tehničkim službama odgovornim za vodoopskrbu u odnosu na ukupan broj zaposlenika</w:t>
            </w:r>
          </w:p>
        </w:tc>
        <w:tc>
          <w:tcPr>
            <w:tcW w:w="1326" w:type="pct"/>
            <w:shd w:val="clear" w:color="auto" w:fill="auto"/>
            <w:vAlign w:val="center"/>
            <w:hideMark/>
          </w:tcPr>
          <w:p w14:paraId="005A820F"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w:t>
            </w:r>
          </w:p>
        </w:tc>
      </w:tr>
      <w:tr w:rsidR="00BA50EA" w:rsidRPr="00BA50EA" w14:paraId="6EF11CD9" w14:textId="77777777" w:rsidTr="00BA50EA">
        <w:trPr>
          <w:trHeight w:val="20"/>
        </w:trPr>
        <w:tc>
          <w:tcPr>
            <w:tcW w:w="377" w:type="pct"/>
            <w:shd w:val="clear" w:color="auto" w:fill="auto"/>
            <w:noWrap/>
            <w:vAlign w:val="center"/>
            <w:hideMark/>
          </w:tcPr>
          <w:p w14:paraId="3BBA329F"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37</w:t>
            </w:r>
          </w:p>
        </w:tc>
        <w:tc>
          <w:tcPr>
            <w:tcW w:w="3297" w:type="pct"/>
            <w:shd w:val="clear" w:color="auto" w:fill="auto"/>
            <w:vAlign w:val="center"/>
            <w:hideMark/>
          </w:tcPr>
          <w:p w14:paraId="7134CA1C"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tehničkim službama odgovornim za odvodnju po priključku na sustav odvodnje</w:t>
            </w:r>
          </w:p>
        </w:tc>
        <w:tc>
          <w:tcPr>
            <w:tcW w:w="1326" w:type="pct"/>
            <w:shd w:val="clear" w:color="auto" w:fill="auto"/>
            <w:vAlign w:val="center"/>
            <w:hideMark/>
          </w:tcPr>
          <w:p w14:paraId="113A97E6"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0FE2129F"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priključku na odvodnju/1000</w:t>
            </w:r>
          </w:p>
        </w:tc>
      </w:tr>
      <w:tr w:rsidR="00BA50EA" w:rsidRPr="00BA50EA" w14:paraId="28DE892E" w14:textId="77777777" w:rsidTr="00BA50EA">
        <w:trPr>
          <w:trHeight w:val="20"/>
        </w:trPr>
        <w:tc>
          <w:tcPr>
            <w:tcW w:w="377" w:type="pct"/>
            <w:shd w:val="clear" w:color="auto" w:fill="auto"/>
            <w:noWrap/>
            <w:vAlign w:val="center"/>
            <w:hideMark/>
          </w:tcPr>
          <w:p w14:paraId="32ECAECA"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lastRenderedPageBreak/>
              <w:t>38</w:t>
            </w:r>
          </w:p>
        </w:tc>
        <w:tc>
          <w:tcPr>
            <w:tcW w:w="3297" w:type="pct"/>
            <w:shd w:val="clear" w:color="auto" w:fill="auto"/>
            <w:vAlign w:val="center"/>
            <w:hideMark/>
          </w:tcPr>
          <w:p w14:paraId="3CFA3BE6"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tehničkim službama odgovornim za odvodnju u odnosu na broj priključenih stanovnika na sustav odvodnje</w:t>
            </w:r>
          </w:p>
        </w:tc>
        <w:tc>
          <w:tcPr>
            <w:tcW w:w="1326" w:type="pct"/>
            <w:shd w:val="clear" w:color="auto" w:fill="auto"/>
            <w:vAlign w:val="center"/>
            <w:hideMark/>
          </w:tcPr>
          <w:p w14:paraId="66D8A917"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zaposlenika/</w:t>
            </w:r>
          </w:p>
          <w:p w14:paraId="20DBBC96"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priključenim stanovnicima odvodnja/1000/</w:t>
            </w:r>
          </w:p>
        </w:tc>
      </w:tr>
      <w:tr w:rsidR="00BA50EA" w:rsidRPr="00BA50EA" w14:paraId="3D937226" w14:textId="77777777" w:rsidTr="00BA50EA">
        <w:trPr>
          <w:trHeight w:val="20"/>
        </w:trPr>
        <w:tc>
          <w:tcPr>
            <w:tcW w:w="377" w:type="pct"/>
            <w:shd w:val="clear" w:color="auto" w:fill="auto"/>
            <w:noWrap/>
            <w:vAlign w:val="center"/>
            <w:hideMark/>
          </w:tcPr>
          <w:p w14:paraId="7C417682"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39</w:t>
            </w:r>
          </w:p>
        </w:tc>
        <w:tc>
          <w:tcPr>
            <w:tcW w:w="3297" w:type="pct"/>
            <w:shd w:val="clear" w:color="auto" w:fill="auto"/>
            <w:vAlign w:val="center"/>
            <w:hideMark/>
          </w:tcPr>
          <w:p w14:paraId="766C6065" w14:textId="77777777" w:rsidR="00BA50EA" w:rsidRPr="00BA50EA" w:rsidRDefault="00BA50EA" w:rsidP="00BA50EA">
            <w:pPr>
              <w:shd w:val="clear" w:color="auto" w:fill="FFFFFF"/>
              <w:spacing w:before="120" w:after="120"/>
              <w:textAlignment w:val="baseline"/>
              <w:rPr>
                <w:color w:val="000000"/>
              </w:rPr>
            </w:pPr>
            <w:r w:rsidRPr="00BA50EA">
              <w:rPr>
                <w:color w:val="000000"/>
              </w:rPr>
              <w:t>Broj zaposlenih u tehničkim službama odgovornim za odvodnju u odnosu na ukupan broj zaposlenih</w:t>
            </w:r>
          </w:p>
        </w:tc>
        <w:tc>
          <w:tcPr>
            <w:tcW w:w="1326" w:type="pct"/>
            <w:shd w:val="clear" w:color="auto" w:fill="auto"/>
            <w:vAlign w:val="center"/>
            <w:hideMark/>
          </w:tcPr>
          <w:p w14:paraId="36BAF69B"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w:t>
            </w:r>
          </w:p>
        </w:tc>
      </w:tr>
    </w:tbl>
    <w:p w14:paraId="5C8EED7A" w14:textId="77777777" w:rsidR="00BA50EA" w:rsidRPr="00BA50EA" w:rsidRDefault="00BA50EA" w:rsidP="00BA50EA">
      <w:pPr>
        <w:shd w:val="clear" w:color="auto" w:fill="FFFFFF"/>
        <w:spacing w:before="120" w:after="225"/>
        <w:ind w:firstLine="425"/>
        <w:jc w:val="center"/>
        <w:textAlignment w:val="baseline"/>
        <w:rPr>
          <w:b/>
          <w:color w:val="000000"/>
        </w:rPr>
      </w:pPr>
    </w:p>
    <w:p w14:paraId="72393AB5" w14:textId="77777777" w:rsidR="00BA50EA" w:rsidRPr="00BA50EA" w:rsidRDefault="00BA50EA" w:rsidP="004B722B">
      <w:pPr>
        <w:keepNext/>
        <w:keepLines/>
        <w:spacing w:before="120" w:after="120"/>
        <w:jc w:val="center"/>
        <w:outlineLvl w:val="2"/>
        <w:rPr>
          <w:rFonts w:cstheme="majorBidi"/>
        </w:rPr>
      </w:pPr>
      <w:r w:rsidRPr="00BA50EA">
        <w:rPr>
          <w:rFonts w:cstheme="majorBidi"/>
        </w:rPr>
        <w:t xml:space="preserve">Skupina 3. OPERATIVNI POKAZATELJI </w:t>
      </w:r>
    </w:p>
    <w:tbl>
      <w:tblPr>
        <w:tblW w:w="499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83"/>
        <w:gridCol w:w="6198"/>
        <w:gridCol w:w="2176"/>
      </w:tblGrid>
      <w:tr w:rsidR="00BA50EA" w:rsidRPr="00BA50EA" w14:paraId="11B60DF6" w14:textId="77777777" w:rsidTr="00BA50EA">
        <w:trPr>
          <w:trHeight w:val="20"/>
          <w:tblHeader/>
          <w:jc w:val="center"/>
        </w:trPr>
        <w:tc>
          <w:tcPr>
            <w:tcW w:w="377" w:type="pct"/>
            <w:shd w:val="clear" w:color="000000" w:fill="D9D9D9"/>
            <w:noWrap/>
            <w:vAlign w:val="center"/>
          </w:tcPr>
          <w:p w14:paraId="188E2658" w14:textId="77777777" w:rsidR="00BA50EA" w:rsidRPr="00BA50EA" w:rsidRDefault="00BA50EA" w:rsidP="00BA50EA">
            <w:pPr>
              <w:spacing w:before="120" w:after="120"/>
              <w:jc w:val="center"/>
              <w:rPr>
                <w:b/>
                <w:bCs/>
              </w:rPr>
            </w:pPr>
            <w:r w:rsidRPr="00BA50EA">
              <w:rPr>
                <w:b/>
                <w:bCs/>
              </w:rPr>
              <w:t>Broj</w:t>
            </w:r>
          </w:p>
        </w:tc>
        <w:tc>
          <w:tcPr>
            <w:tcW w:w="3533" w:type="pct"/>
            <w:shd w:val="clear" w:color="000000" w:fill="D9D9D9"/>
            <w:vAlign w:val="center"/>
          </w:tcPr>
          <w:p w14:paraId="2061C9B9" w14:textId="77777777" w:rsidR="00BA50EA" w:rsidRPr="00BA50EA" w:rsidRDefault="00BA50EA" w:rsidP="00BA50EA">
            <w:pPr>
              <w:spacing w:before="120" w:after="120"/>
              <w:jc w:val="center"/>
              <w:rPr>
                <w:b/>
                <w:bCs/>
              </w:rPr>
            </w:pPr>
            <w:r w:rsidRPr="00BA50EA">
              <w:rPr>
                <w:b/>
                <w:bCs/>
              </w:rPr>
              <w:t>Ključni pokazatelji</w:t>
            </w:r>
          </w:p>
        </w:tc>
        <w:tc>
          <w:tcPr>
            <w:tcW w:w="1090" w:type="pct"/>
            <w:shd w:val="clear" w:color="000000" w:fill="D9D9D9"/>
            <w:vAlign w:val="center"/>
          </w:tcPr>
          <w:p w14:paraId="62848A2F" w14:textId="77777777" w:rsidR="00BA50EA" w:rsidRPr="00BA50EA" w:rsidRDefault="00BA50EA" w:rsidP="00BA50EA">
            <w:pPr>
              <w:spacing w:before="120" w:after="120"/>
              <w:contextualSpacing/>
              <w:jc w:val="center"/>
              <w:rPr>
                <w:b/>
                <w:bCs/>
              </w:rPr>
            </w:pPr>
            <w:r w:rsidRPr="00BA50EA">
              <w:rPr>
                <w:b/>
                <w:bCs/>
              </w:rPr>
              <w:t>Mjerilo</w:t>
            </w:r>
          </w:p>
        </w:tc>
      </w:tr>
      <w:tr w:rsidR="00BA50EA" w:rsidRPr="00BA50EA" w14:paraId="228CC4D8" w14:textId="77777777" w:rsidTr="00BA50EA">
        <w:trPr>
          <w:trHeight w:val="20"/>
          <w:jc w:val="center"/>
        </w:trPr>
        <w:tc>
          <w:tcPr>
            <w:tcW w:w="377" w:type="pct"/>
            <w:shd w:val="clear" w:color="auto" w:fill="auto"/>
            <w:noWrap/>
            <w:vAlign w:val="center"/>
            <w:hideMark/>
          </w:tcPr>
          <w:p w14:paraId="10424487" w14:textId="77777777" w:rsidR="00BA50EA" w:rsidRPr="00BA50EA" w:rsidRDefault="00BA50EA" w:rsidP="00BA50EA">
            <w:pPr>
              <w:spacing w:before="120" w:after="120"/>
              <w:jc w:val="center"/>
              <w:rPr>
                <w:b/>
                <w:bCs/>
              </w:rPr>
            </w:pPr>
            <w:r w:rsidRPr="00BA50EA">
              <w:rPr>
                <w:b/>
                <w:bCs/>
              </w:rPr>
              <w:t>40</w:t>
            </w:r>
          </w:p>
        </w:tc>
        <w:tc>
          <w:tcPr>
            <w:tcW w:w="3533" w:type="pct"/>
            <w:shd w:val="clear" w:color="auto" w:fill="auto"/>
            <w:vAlign w:val="center"/>
            <w:hideMark/>
          </w:tcPr>
          <w:p w14:paraId="594B9E52" w14:textId="77777777" w:rsidR="00BA50EA" w:rsidRPr="00BA50EA" w:rsidRDefault="00BA50EA" w:rsidP="00BA50EA">
            <w:pPr>
              <w:spacing w:before="120" w:after="120"/>
            </w:pPr>
            <w:r w:rsidRPr="00BA50EA">
              <w:t>Pritužbe na odgovarajuću razinu tlaka u sustavu javne vodoopskrbe u odnosu na broj priključaka</w:t>
            </w:r>
          </w:p>
        </w:tc>
        <w:tc>
          <w:tcPr>
            <w:tcW w:w="1090" w:type="pct"/>
            <w:shd w:val="clear" w:color="auto" w:fill="auto"/>
            <w:vAlign w:val="center"/>
            <w:hideMark/>
          </w:tcPr>
          <w:p w14:paraId="4505A13B" w14:textId="77777777" w:rsidR="00BA50EA" w:rsidRPr="00BA50EA" w:rsidRDefault="00BA50EA" w:rsidP="00BA50EA">
            <w:pPr>
              <w:shd w:val="clear" w:color="auto" w:fill="FFFFFF"/>
              <w:spacing w:before="120" w:after="120"/>
              <w:contextualSpacing/>
              <w:jc w:val="center"/>
              <w:textAlignment w:val="baseline"/>
              <w:rPr>
                <w:color w:val="000000"/>
              </w:rPr>
            </w:pPr>
            <w:r w:rsidRPr="00BA50EA">
              <w:rPr>
                <w:color w:val="000000"/>
              </w:rPr>
              <w:t>broj pritužbi/</w:t>
            </w:r>
          </w:p>
          <w:p w14:paraId="04072E6D" w14:textId="77777777" w:rsidR="00BA50EA" w:rsidRPr="00BA50EA" w:rsidRDefault="00BA50EA" w:rsidP="00BA50EA">
            <w:pPr>
              <w:shd w:val="clear" w:color="auto" w:fill="FFFFFF"/>
              <w:spacing w:before="120" w:after="120"/>
              <w:contextualSpacing/>
              <w:jc w:val="center"/>
              <w:textAlignment w:val="baseline"/>
            </w:pPr>
            <w:r w:rsidRPr="00BA50EA">
              <w:rPr>
                <w:color w:val="000000"/>
              </w:rPr>
              <w:t>broj priključaka</w:t>
            </w:r>
          </w:p>
        </w:tc>
      </w:tr>
      <w:tr w:rsidR="00BA50EA" w:rsidRPr="00BA50EA" w14:paraId="285DB9B3" w14:textId="77777777" w:rsidTr="00BA50EA">
        <w:trPr>
          <w:trHeight w:val="20"/>
          <w:jc w:val="center"/>
        </w:trPr>
        <w:tc>
          <w:tcPr>
            <w:tcW w:w="377" w:type="pct"/>
            <w:shd w:val="clear" w:color="auto" w:fill="auto"/>
            <w:noWrap/>
            <w:vAlign w:val="center"/>
            <w:hideMark/>
          </w:tcPr>
          <w:p w14:paraId="0D68639F" w14:textId="77777777" w:rsidR="00BA50EA" w:rsidRPr="00BA50EA" w:rsidRDefault="00BA50EA" w:rsidP="00BA50EA">
            <w:pPr>
              <w:spacing w:before="120" w:after="120"/>
              <w:jc w:val="center"/>
              <w:rPr>
                <w:b/>
                <w:bCs/>
              </w:rPr>
            </w:pPr>
            <w:r w:rsidRPr="00BA50EA">
              <w:rPr>
                <w:b/>
                <w:bCs/>
              </w:rPr>
              <w:t>41</w:t>
            </w:r>
          </w:p>
        </w:tc>
        <w:tc>
          <w:tcPr>
            <w:tcW w:w="3533" w:type="pct"/>
            <w:shd w:val="clear" w:color="auto" w:fill="auto"/>
            <w:vAlign w:val="center"/>
            <w:hideMark/>
          </w:tcPr>
          <w:p w14:paraId="78C2735F" w14:textId="77777777" w:rsidR="00BA50EA" w:rsidRPr="00BA50EA" w:rsidRDefault="00BA50EA" w:rsidP="00BA50EA">
            <w:pPr>
              <w:spacing w:before="120" w:after="120"/>
            </w:pPr>
            <w:r w:rsidRPr="00BA50EA">
              <w:t>Infrastrukturni indeks istjecanja - ILI</w:t>
            </w:r>
          </w:p>
        </w:tc>
        <w:tc>
          <w:tcPr>
            <w:tcW w:w="1090" w:type="pct"/>
            <w:shd w:val="clear" w:color="auto" w:fill="auto"/>
            <w:vAlign w:val="center"/>
            <w:hideMark/>
          </w:tcPr>
          <w:p w14:paraId="56D0EE95" w14:textId="77777777" w:rsidR="00BA50EA" w:rsidRPr="00BA50EA" w:rsidRDefault="00BA50EA" w:rsidP="00BA50EA">
            <w:pPr>
              <w:spacing w:before="120" w:after="120"/>
              <w:contextualSpacing/>
              <w:jc w:val="center"/>
            </w:pPr>
            <w:r w:rsidRPr="00BA50EA">
              <w:t>index</w:t>
            </w:r>
          </w:p>
        </w:tc>
      </w:tr>
      <w:tr w:rsidR="00BA50EA" w:rsidRPr="00BA50EA" w14:paraId="7EF3ED2C" w14:textId="77777777" w:rsidTr="00BA50EA">
        <w:trPr>
          <w:trHeight w:val="20"/>
          <w:jc w:val="center"/>
        </w:trPr>
        <w:tc>
          <w:tcPr>
            <w:tcW w:w="377" w:type="pct"/>
            <w:shd w:val="clear" w:color="auto" w:fill="auto"/>
            <w:noWrap/>
            <w:vAlign w:val="center"/>
            <w:hideMark/>
          </w:tcPr>
          <w:p w14:paraId="2EA9CD43" w14:textId="77777777" w:rsidR="00BA50EA" w:rsidRPr="00BA50EA" w:rsidRDefault="00BA50EA" w:rsidP="00BA50EA">
            <w:pPr>
              <w:spacing w:before="120" w:after="120"/>
              <w:jc w:val="center"/>
              <w:rPr>
                <w:b/>
                <w:bCs/>
              </w:rPr>
            </w:pPr>
            <w:r w:rsidRPr="00BA50EA">
              <w:rPr>
                <w:b/>
                <w:bCs/>
              </w:rPr>
              <w:t>42</w:t>
            </w:r>
          </w:p>
        </w:tc>
        <w:tc>
          <w:tcPr>
            <w:tcW w:w="3533" w:type="pct"/>
            <w:shd w:val="clear" w:color="auto" w:fill="auto"/>
            <w:vAlign w:val="center"/>
            <w:hideMark/>
          </w:tcPr>
          <w:p w14:paraId="433456E3" w14:textId="77777777" w:rsidR="00BA50EA" w:rsidRPr="00BA50EA" w:rsidRDefault="00BA50EA" w:rsidP="00BA50EA">
            <w:pPr>
              <w:spacing w:before="120" w:after="120"/>
            </w:pPr>
            <w:r w:rsidRPr="00BA50EA">
              <w:t>Neprihodovana voda</w:t>
            </w:r>
          </w:p>
        </w:tc>
        <w:tc>
          <w:tcPr>
            <w:tcW w:w="1090" w:type="pct"/>
            <w:shd w:val="clear" w:color="auto" w:fill="auto"/>
            <w:vAlign w:val="center"/>
            <w:hideMark/>
          </w:tcPr>
          <w:p w14:paraId="49F60A3F" w14:textId="77777777" w:rsidR="00BA50EA" w:rsidRPr="00BA50EA" w:rsidRDefault="00BA50EA" w:rsidP="00BA50EA">
            <w:pPr>
              <w:spacing w:before="120" w:after="120"/>
              <w:contextualSpacing/>
              <w:jc w:val="center"/>
            </w:pPr>
            <w:r w:rsidRPr="00BA50EA">
              <w:t>m</w:t>
            </w:r>
            <w:r w:rsidRPr="00BA50EA">
              <w:rPr>
                <w:vertAlign w:val="superscript"/>
              </w:rPr>
              <w:t>3</w:t>
            </w:r>
            <w:r w:rsidRPr="00BA50EA">
              <w:t>/god</w:t>
            </w:r>
          </w:p>
        </w:tc>
      </w:tr>
      <w:tr w:rsidR="00BA50EA" w:rsidRPr="00BA50EA" w14:paraId="75BF54B5" w14:textId="77777777" w:rsidTr="00BA50EA">
        <w:trPr>
          <w:trHeight w:val="20"/>
          <w:jc w:val="center"/>
        </w:trPr>
        <w:tc>
          <w:tcPr>
            <w:tcW w:w="377" w:type="pct"/>
            <w:shd w:val="clear" w:color="auto" w:fill="auto"/>
            <w:noWrap/>
            <w:vAlign w:val="center"/>
            <w:hideMark/>
          </w:tcPr>
          <w:p w14:paraId="6EDEAC77" w14:textId="77777777" w:rsidR="00BA50EA" w:rsidRPr="00BA50EA" w:rsidRDefault="00BA50EA" w:rsidP="00BA50EA">
            <w:pPr>
              <w:spacing w:before="120" w:after="120"/>
              <w:jc w:val="center"/>
              <w:rPr>
                <w:b/>
                <w:bCs/>
              </w:rPr>
            </w:pPr>
            <w:r w:rsidRPr="00BA50EA">
              <w:rPr>
                <w:b/>
                <w:bCs/>
              </w:rPr>
              <w:t>43</w:t>
            </w:r>
          </w:p>
        </w:tc>
        <w:tc>
          <w:tcPr>
            <w:tcW w:w="3533" w:type="pct"/>
            <w:shd w:val="clear" w:color="auto" w:fill="auto"/>
            <w:vAlign w:val="center"/>
            <w:hideMark/>
          </w:tcPr>
          <w:p w14:paraId="6F8B3841" w14:textId="77777777" w:rsidR="00BA50EA" w:rsidRPr="00BA50EA" w:rsidRDefault="00BA50EA" w:rsidP="00BA50EA">
            <w:pPr>
              <w:spacing w:before="120" w:after="120"/>
            </w:pPr>
            <w:r w:rsidRPr="00BA50EA">
              <w:t>Neprihodovana voda u odnosu na dobavljenu količinu vode</w:t>
            </w:r>
          </w:p>
        </w:tc>
        <w:tc>
          <w:tcPr>
            <w:tcW w:w="1090" w:type="pct"/>
            <w:shd w:val="clear" w:color="auto" w:fill="auto"/>
            <w:vAlign w:val="center"/>
            <w:hideMark/>
          </w:tcPr>
          <w:p w14:paraId="4AFA0C86" w14:textId="77777777" w:rsidR="00BA50EA" w:rsidRPr="00BA50EA" w:rsidRDefault="00BA50EA" w:rsidP="00BA50EA">
            <w:pPr>
              <w:spacing w:before="120" w:after="120"/>
              <w:contextualSpacing/>
              <w:jc w:val="center"/>
            </w:pPr>
            <w:r w:rsidRPr="00BA50EA">
              <w:t>%</w:t>
            </w:r>
          </w:p>
        </w:tc>
      </w:tr>
      <w:tr w:rsidR="00BA50EA" w:rsidRPr="00BA50EA" w14:paraId="259AE63F" w14:textId="77777777" w:rsidTr="00BA50EA">
        <w:trPr>
          <w:trHeight w:val="20"/>
          <w:jc w:val="center"/>
        </w:trPr>
        <w:tc>
          <w:tcPr>
            <w:tcW w:w="377" w:type="pct"/>
            <w:shd w:val="clear" w:color="auto" w:fill="auto"/>
            <w:noWrap/>
            <w:vAlign w:val="center"/>
            <w:hideMark/>
          </w:tcPr>
          <w:p w14:paraId="48219066" w14:textId="77777777" w:rsidR="00BA50EA" w:rsidRPr="00BA50EA" w:rsidRDefault="00BA50EA" w:rsidP="00BA50EA">
            <w:pPr>
              <w:spacing w:before="120" w:after="120"/>
              <w:jc w:val="center"/>
              <w:rPr>
                <w:b/>
                <w:bCs/>
              </w:rPr>
            </w:pPr>
            <w:r w:rsidRPr="00BA50EA">
              <w:rPr>
                <w:b/>
                <w:bCs/>
              </w:rPr>
              <w:t>44</w:t>
            </w:r>
          </w:p>
        </w:tc>
        <w:tc>
          <w:tcPr>
            <w:tcW w:w="3533" w:type="pct"/>
            <w:shd w:val="clear" w:color="auto" w:fill="auto"/>
            <w:vAlign w:val="center"/>
            <w:hideMark/>
          </w:tcPr>
          <w:p w14:paraId="4AAD8194" w14:textId="77777777" w:rsidR="00BA50EA" w:rsidRPr="00BA50EA" w:rsidRDefault="00BA50EA" w:rsidP="00BA50EA">
            <w:pPr>
              <w:spacing w:before="120" w:after="120"/>
            </w:pPr>
            <w:r w:rsidRPr="00BA50EA">
              <w:t>Stvarni godišnji gubici vode po priključku</w:t>
            </w:r>
          </w:p>
        </w:tc>
        <w:tc>
          <w:tcPr>
            <w:tcW w:w="1090" w:type="pct"/>
            <w:shd w:val="clear" w:color="auto" w:fill="auto"/>
            <w:vAlign w:val="center"/>
            <w:hideMark/>
          </w:tcPr>
          <w:p w14:paraId="7D50F383" w14:textId="77777777" w:rsidR="00BA50EA" w:rsidRPr="00BA50EA" w:rsidRDefault="00BA50EA" w:rsidP="00BA50EA">
            <w:pPr>
              <w:spacing w:before="120" w:after="120"/>
              <w:contextualSpacing/>
              <w:jc w:val="center"/>
            </w:pPr>
            <w:r w:rsidRPr="00BA50EA">
              <w:t>m</w:t>
            </w:r>
            <w:r w:rsidRPr="00BA50EA">
              <w:rPr>
                <w:vertAlign w:val="superscript"/>
              </w:rPr>
              <w:t>3</w:t>
            </w:r>
            <w:r w:rsidRPr="00BA50EA">
              <w:t>/priključku/god</w:t>
            </w:r>
          </w:p>
        </w:tc>
      </w:tr>
      <w:tr w:rsidR="00BA50EA" w:rsidRPr="00BA50EA" w14:paraId="5045BF16" w14:textId="77777777" w:rsidTr="00BA50EA">
        <w:trPr>
          <w:trHeight w:val="20"/>
          <w:jc w:val="center"/>
        </w:trPr>
        <w:tc>
          <w:tcPr>
            <w:tcW w:w="377" w:type="pct"/>
            <w:shd w:val="clear" w:color="auto" w:fill="auto"/>
            <w:noWrap/>
            <w:vAlign w:val="center"/>
            <w:hideMark/>
          </w:tcPr>
          <w:p w14:paraId="427FC9E4" w14:textId="77777777" w:rsidR="00BA50EA" w:rsidRPr="00BA50EA" w:rsidRDefault="00BA50EA" w:rsidP="00BA50EA">
            <w:pPr>
              <w:spacing w:before="120" w:after="120"/>
              <w:jc w:val="center"/>
              <w:rPr>
                <w:b/>
                <w:bCs/>
              </w:rPr>
            </w:pPr>
            <w:r w:rsidRPr="00BA50EA">
              <w:rPr>
                <w:b/>
                <w:bCs/>
              </w:rPr>
              <w:t>45</w:t>
            </w:r>
          </w:p>
        </w:tc>
        <w:tc>
          <w:tcPr>
            <w:tcW w:w="3533" w:type="pct"/>
            <w:shd w:val="clear" w:color="auto" w:fill="auto"/>
            <w:vAlign w:val="center"/>
            <w:hideMark/>
          </w:tcPr>
          <w:p w14:paraId="3B7102D9" w14:textId="77777777" w:rsidR="00BA50EA" w:rsidRPr="00BA50EA" w:rsidRDefault="00BA50EA" w:rsidP="00BA50EA">
            <w:pPr>
              <w:spacing w:before="120" w:after="120"/>
            </w:pPr>
            <w:r w:rsidRPr="00BA50EA">
              <w:t>Stvarni dnevni gubici vode po priključku</w:t>
            </w:r>
          </w:p>
        </w:tc>
        <w:tc>
          <w:tcPr>
            <w:tcW w:w="1090" w:type="pct"/>
            <w:shd w:val="clear" w:color="auto" w:fill="auto"/>
            <w:vAlign w:val="center"/>
            <w:hideMark/>
          </w:tcPr>
          <w:p w14:paraId="7987228F" w14:textId="77777777" w:rsidR="00BA50EA" w:rsidRPr="00BA50EA" w:rsidRDefault="00BA50EA" w:rsidP="00BA50EA">
            <w:pPr>
              <w:spacing w:before="120" w:after="120"/>
              <w:contextualSpacing/>
              <w:jc w:val="center"/>
            </w:pPr>
            <w:r w:rsidRPr="00BA50EA">
              <w:t>litara/priključku/dan</w:t>
            </w:r>
          </w:p>
        </w:tc>
      </w:tr>
      <w:tr w:rsidR="00BA50EA" w:rsidRPr="00BA50EA" w14:paraId="61C73C4B" w14:textId="77777777" w:rsidTr="00BA50EA">
        <w:trPr>
          <w:trHeight w:val="20"/>
          <w:jc w:val="center"/>
        </w:trPr>
        <w:tc>
          <w:tcPr>
            <w:tcW w:w="377" w:type="pct"/>
            <w:shd w:val="clear" w:color="auto" w:fill="auto"/>
            <w:noWrap/>
            <w:vAlign w:val="center"/>
            <w:hideMark/>
          </w:tcPr>
          <w:p w14:paraId="1EC081A4" w14:textId="77777777" w:rsidR="00BA50EA" w:rsidRPr="00BA50EA" w:rsidRDefault="00BA50EA" w:rsidP="00BA50EA">
            <w:pPr>
              <w:spacing w:before="120" w:after="120"/>
              <w:jc w:val="center"/>
              <w:rPr>
                <w:b/>
                <w:bCs/>
              </w:rPr>
            </w:pPr>
            <w:r w:rsidRPr="00BA50EA">
              <w:rPr>
                <w:b/>
                <w:bCs/>
              </w:rPr>
              <w:t>46</w:t>
            </w:r>
          </w:p>
        </w:tc>
        <w:tc>
          <w:tcPr>
            <w:tcW w:w="3533" w:type="pct"/>
            <w:shd w:val="clear" w:color="auto" w:fill="auto"/>
            <w:vAlign w:val="center"/>
            <w:hideMark/>
          </w:tcPr>
          <w:p w14:paraId="5A3A3177" w14:textId="77777777" w:rsidR="00BA50EA" w:rsidRPr="00BA50EA" w:rsidRDefault="00BA50EA" w:rsidP="00BA50EA">
            <w:pPr>
              <w:spacing w:before="120" w:after="120"/>
            </w:pPr>
            <w:r w:rsidRPr="00BA50EA">
              <w:t>Stvarni satni gubici vode u odnosu na dužinu vodoopskrbne mreže</w:t>
            </w:r>
          </w:p>
        </w:tc>
        <w:tc>
          <w:tcPr>
            <w:tcW w:w="1090" w:type="pct"/>
            <w:shd w:val="clear" w:color="auto" w:fill="auto"/>
            <w:vAlign w:val="center"/>
            <w:hideMark/>
          </w:tcPr>
          <w:p w14:paraId="0588879D" w14:textId="77777777" w:rsidR="00BA50EA" w:rsidRPr="00BA50EA" w:rsidRDefault="00BA50EA" w:rsidP="00BA50EA">
            <w:pPr>
              <w:spacing w:before="120" w:after="120"/>
              <w:contextualSpacing/>
              <w:jc w:val="center"/>
            </w:pPr>
            <w:r w:rsidRPr="00BA50EA">
              <w:t>m</w:t>
            </w:r>
            <w:r w:rsidRPr="00BA50EA">
              <w:rPr>
                <w:sz w:val="22"/>
                <w:vertAlign w:val="superscript"/>
              </w:rPr>
              <w:t>3</w:t>
            </w:r>
            <w:r w:rsidRPr="00BA50EA">
              <w:t>/km/sat</w:t>
            </w:r>
          </w:p>
        </w:tc>
      </w:tr>
      <w:tr w:rsidR="00BA50EA" w:rsidRPr="00BA50EA" w14:paraId="72CB5DC9" w14:textId="77777777" w:rsidTr="00BA50EA">
        <w:trPr>
          <w:trHeight w:val="20"/>
          <w:jc w:val="center"/>
        </w:trPr>
        <w:tc>
          <w:tcPr>
            <w:tcW w:w="377" w:type="pct"/>
            <w:shd w:val="clear" w:color="auto" w:fill="auto"/>
            <w:noWrap/>
            <w:vAlign w:val="center"/>
            <w:hideMark/>
          </w:tcPr>
          <w:p w14:paraId="3360F42B" w14:textId="77777777" w:rsidR="00BA50EA" w:rsidRPr="00BA50EA" w:rsidRDefault="00BA50EA" w:rsidP="00BA50EA">
            <w:pPr>
              <w:spacing w:before="120" w:after="120"/>
              <w:jc w:val="center"/>
              <w:rPr>
                <w:b/>
                <w:bCs/>
              </w:rPr>
            </w:pPr>
            <w:r w:rsidRPr="00BA50EA">
              <w:rPr>
                <w:b/>
                <w:bCs/>
              </w:rPr>
              <w:t>47</w:t>
            </w:r>
          </w:p>
        </w:tc>
        <w:tc>
          <w:tcPr>
            <w:tcW w:w="3533" w:type="pct"/>
            <w:shd w:val="clear" w:color="auto" w:fill="auto"/>
            <w:vAlign w:val="center"/>
            <w:hideMark/>
          </w:tcPr>
          <w:p w14:paraId="2983F72E" w14:textId="77777777" w:rsidR="00BA50EA" w:rsidRPr="00BA50EA" w:rsidRDefault="00BA50EA" w:rsidP="00BA50EA">
            <w:pPr>
              <w:spacing w:before="120" w:after="120"/>
            </w:pPr>
            <w:r w:rsidRPr="00BA50EA">
              <w:t>Stvarni dnevni gubici vode po priključku u odnosu na tlak u mreži</w:t>
            </w:r>
          </w:p>
        </w:tc>
        <w:tc>
          <w:tcPr>
            <w:tcW w:w="1090" w:type="pct"/>
            <w:shd w:val="clear" w:color="auto" w:fill="auto"/>
            <w:vAlign w:val="center"/>
            <w:hideMark/>
          </w:tcPr>
          <w:p w14:paraId="46AE6638" w14:textId="77777777" w:rsidR="00BA50EA" w:rsidRPr="00BA50EA" w:rsidRDefault="00BA50EA" w:rsidP="00BA50EA">
            <w:pPr>
              <w:spacing w:before="120" w:after="120"/>
              <w:contextualSpacing/>
              <w:jc w:val="center"/>
            </w:pPr>
            <w:r w:rsidRPr="00BA50EA">
              <w:t>litara/priključku/</w:t>
            </w:r>
          </w:p>
          <w:p w14:paraId="2B944943" w14:textId="77777777" w:rsidR="00BA50EA" w:rsidRPr="00BA50EA" w:rsidRDefault="00BA50EA" w:rsidP="00BA50EA">
            <w:pPr>
              <w:spacing w:before="120" w:after="120"/>
              <w:contextualSpacing/>
              <w:jc w:val="center"/>
            </w:pPr>
            <w:r w:rsidRPr="00BA50EA">
              <w:t>dan/mH</w:t>
            </w:r>
            <w:r w:rsidRPr="00BA50EA">
              <w:rPr>
                <w:vertAlign w:val="subscript"/>
              </w:rPr>
              <w:t>2</w:t>
            </w:r>
            <w:r w:rsidRPr="00BA50EA">
              <w:t>O</w:t>
            </w:r>
          </w:p>
        </w:tc>
      </w:tr>
      <w:tr w:rsidR="00BA50EA" w:rsidRPr="00BA50EA" w14:paraId="298682D2" w14:textId="77777777" w:rsidTr="00BA50EA">
        <w:trPr>
          <w:trHeight w:val="20"/>
          <w:jc w:val="center"/>
        </w:trPr>
        <w:tc>
          <w:tcPr>
            <w:tcW w:w="377" w:type="pct"/>
            <w:shd w:val="clear" w:color="auto" w:fill="auto"/>
            <w:noWrap/>
            <w:vAlign w:val="center"/>
            <w:hideMark/>
          </w:tcPr>
          <w:p w14:paraId="7ED9EF09" w14:textId="77777777" w:rsidR="00BA50EA" w:rsidRPr="00BA50EA" w:rsidRDefault="00BA50EA" w:rsidP="00BA50EA">
            <w:pPr>
              <w:spacing w:before="120" w:after="120"/>
              <w:jc w:val="center"/>
              <w:rPr>
                <w:b/>
                <w:bCs/>
              </w:rPr>
            </w:pPr>
            <w:r w:rsidRPr="00BA50EA">
              <w:rPr>
                <w:b/>
                <w:bCs/>
              </w:rPr>
              <w:t>48</w:t>
            </w:r>
          </w:p>
        </w:tc>
        <w:tc>
          <w:tcPr>
            <w:tcW w:w="3533" w:type="pct"/>
            <w:shd w:val="clear" w:color="auto" w:fill="auto"/>
            <w:vAlign w:val="center"/>
            <w:hideMark/>
          </w:tcPr>
          <w:p w14:paraId="09B438C4" w14:textId="77777777" w:rsidR="00BA50EA" w:rsidRPr="00BA50EA" w:rsidRDefault="00BA50EA" w:rsidP="00BA50EA">
            <w:pPr>
              <w:spacing w:before="120" w:after="120"/>
            </w:pPr>
            <w:r w:rsidRPr="00BA50EA">
              <w:t>Kontrola gubitaka (dužina mreže koja je u aktivnoj kontroli tijekom jedne godine u odnosu na ukupnu dužinu mreže)</w:t>
            </w:r>
          </w:p>
        </w:tc>
        <w:tc>
          <w:tcPr>
            <w:tcW w:w="1090" w:type="pct"/>
            <w:shd w:val="clear" w:color="auto" w:fill="auto"/>
            <w:vAlign w:val="center"/>
            <w:hideMark/>
          </w:tcPr>
          <w:p w14:paraId="61F25A7E" w14:textId="77777777" w:rsidR="00BA50EA" w:rsidRPr="00BA50EA" w:rsidRDefault="00BA50EA" w:rsidP="00BA50EA">
            <w:pPr>
              <w:spacing w:before="120" w:after="120"/>
              <w:contextualSpacing/>
              <w:jc w:val="center"/>
            </w:pPr>
            <w:r w:rsidRPr="00BA50EA">
              <w:t>%/god</w:t>
            </w:r>
          </w:p>
        </w:tc>
      </w:tr>
      <w:tr w:rsidR="00BA50EA" w:rsidRPr="00BA50EA" w14:paraId="2B1C0C60" w14:textId="77777777" w:rsidTr="00BA50EA">
        <w:trPr>
          <w:trHeight w:val="20"/>
          <w:jc w:val="center"/>
        </w:trPr>
        <w:tc>
          <w:tcPr>
            <w:tcW w:w="377" w:type="pct"/>
            <w:shd w:val="clear" w:color="auto" w:fill="auto"/>
            <w:noWrap/>
            <w:vAlign w:val="center"/>
            <w:hideMark/>
          </w:tcPr>
          <w:p w14:paraId="28556D1C" w14:textId="77777777" w:rsidR="00BA50EA" w:rsidRPr="00BA50EA" w:rsidRDefault="00BA50EA" w:rsidP="00BA50EA">
            <w:pPr>
              <w:spacing w:before="120" w:after="120"/>
              <w:jc w:val="center"/>
              <w:rPr>
                <w:b/>
                <w:bCs/>
              </w:rPr>
            </w:pPr>
            <w:r w:rsidRPr="00BA50EA">
              <w:rPr>
                <w:b/>
                <w:bCs/>
              </w:rPr>
              <w:t>49</w:t>
            </w:r>
          </w:p>
        </w:tc>
        <w:tc>
          <w:tcPr>
            <w:tcW w:w="3533" w:type="pct"/>
            <w:shd w:val="clear" w:color="auto" w:fill="auto"/>
            <w:vAlign w:val="center"/>
            <w:hideMark/>
          </w:tcPr>
          <w:p w14:paraId="70479533" w14:textId="77777777" w:rsidR="00BA50EA" w:rsidRPr="00BA50EA" w:rsidRDefault="00BA50EA" w:rsidP="00BA50EA">
            <w:pPr>
              <w:spacing w:before="120" w:after="120"/>
            </w:pPr>
            <w:r w:rsidRPr="00BA50EA">
              <w:t>Prividni gubici (prividni gubici u odnosu na dobavljenu količinu vode)</w:t>
            </w:r>
          </w:p>
        </w:tc>
        <w:tc>
          <w:tcPr>
            <w:tcW w:w="1090" w:type="pct"/>
            <w:shd w:val="clear" w:color="auto" w:fill="auto"/>
            <w:vAlign w:val="center"/>
            <w:hideMark/>
          </w:tcPr>
          <w:p w14:paraId="0533B10E" w14:textId="77777777" w:rsidR="00BA50EA" w:rsidRPr="00BA50EA" w:rsidRDefault="00BA50EA" w:rsidP="00BA50EA">
            <w:pPr>
              <w:spacing w:before="120" w:after="120"/>
              <w:contextualSpacing/>
              <w:jc w:val="center"/>
            </w:pPr>
            <w:r w:rsidRPr="00BA50EA">
              <w:t>%</w:t>
            </w:r>
          </w:p>
        </w:tc>
      </w:tr>
      <w:tr w:rsidR="00BA50EA" w:rsidRPr="00BA50EA" w14:paraId="0BFCEC44" w14:textId="77777777" w:rsidTr="00BA50EA">
        <w:trPr>
          <w:trHeight w:val="20"/>
          <w:jc w:val="center"/>
        </w:trPr>
        <w:tc>
          <w:tcPr>
            <w:tcW w:w="377" w:type="pct"/>
            <w:shd w:val="clear" w:color="auto" w:fill="auto"/>
            <w:noWrap/>
            <w:vAlign w:val="center"/>
            <w:hideMark/>
          </w:tcPr>
          <w:p w14:paraId="6E1391BE" w14:textId="77777777" w:rsidR="00BA50EA" w:rsidRPr="00BA50EA" w:rsidRDefault="00BA50EA" w:rsidP="00BA50EA">
            <w:pPr>
              <w:spacing w:before="120" w:after="120"/>
              <w:jc w:val="center"/>
              <w:rPr>
                <w:b/>
                <w:bCs/>
              </w:rPr>
            </w:pPr>
            <w:r w:rsidRPr="00BA50EA">
              <w:rPr>
                <w:b/>
                <w:bCs/>
              </w:rPr>
              <w:t>50</w:t>
            </w:r>
          </w:p>
        </w:tc>
        <w:tc>
          <w:tcPr>
            <w:tcW w:w="3533" w:type="pct"/>
            <w:shd w:val="clear" w:color="auto" w:fill="auto"/>
            <w:vAlign w:val="center"/>
            <w:hideMark/>
          </w:tcPr>
          <w:p w14:paraId="7FCB222D" w14:textId="77777777" w:rsidR="00BA50EA" w:rsidRPr="00BA50EA" w:rsidRDefault="00BA50EA" w:rsidP="00BA50EA">
            <w:pPr>
              <w:spacing w:before="120" w:after="120"/>
            </w:pPr>
            <w:r w:rsidRPr="00BA50EA">
              <w:t>Kvarovi kućnih priključaka</w:t>
            </w:r>
          </w:p>
        </w:tc>
        <w:tc>
          <w:tcPr>
            <w:tcW w:w="1090" w:type="pct"/>
            <w:shd w:val="clear" w:color="auto" w:fill="auto"/>
            <w:vAlign w:val="center"/>
            <w:hideMark/>
          </w:tcPr>
          <w:p w14:paraId="2EEB17CD" w14:textId="77777777" w:rsidR="00BA50EA" w:rsidRPr="00BA50EA" w:rsidRDefault="00BA50EA" w:rsidP="00BA50EA">
            <w:pPr>
              <w:spacing w:before="120" w:after="120"/>
              <w:contextualSpacing/>
              <w:jc w:val="center"/>
            </w:pPr>
            <w:r w:rsidRPr="00BA50EA">
              <w:t>broj kvarova/1000 priključaka/god</w:t>
            </w:r>
          </w:p>
        </w:tc>
      </w:tr>
      <w:tr w:rsidR="00BA50EA" w:rsidRPr="00BA50EA" w14:paraId="22818159" w14:textId="77777777" w:rsidTr="00BA50EA">
        <w:trPr>
          <w:trHeight w:val="20"/>
          <w:jc w:val="center"/>
        </w:trPr>
        <w:tc>
          <w:tcPr>
            <w:tcW w:w="377" w:type="pct"/>
            <w:shd w:val="clear" w:color="auto" w:fill="auto"/>
            <w:noWrap/>
            <w:vAlign w:val="center"/>
            <w:hideMark/>
          </w:tcPr>
          <w:p w14:paraId="0100A98D" w14:textId="77777777" w:rsidR="00BA50EA" w:rsidRPr="00BA50EA" w:rsidRDefault="00BA50EA" w:rsidP="00BA50EA">
            <w:pPr>
              <w:spacing w:before="120" w:after="120"/>
              <w:jc w:val="center"/>
              <w:rPr>
                <w:b/>
                <w:bCs/>
              </w:rPr>
            </w:pPr>
            <w:r w:rsidRPr="00BA50EA">
              <w:rPr>
                <w:b/>
                <w:bCs/>
              </w:rPr>
              <w:t>51</w:t>
            </w:r>
          </w:p>
        </w:tc>
        <w:tc>
          <w:tcPr>
            <w:tcW w:w="3533" w:type="pct"/>
            <w:shd w:val="clear" w:color="auto" w:fill="auto"/>
            <w:vAlign w:val="center"/>
            <w:hideMark/>
          </w:tcPr>
          <w:p w14:paraId="11752638" w14:textId="77777777" w:rsidR="00BA50EA" w:rsidRPr="00BA50EA" w:rsidRDefault="00BA50EA" w:rsidP="00BA50EA">
            <w:pPr>
              <w:spacing w:before="120" w:after="120"/>
            </w:pPr>
            <w:r w:rsidRPr="00BA50EA">
              <w:t>Količina pročišćene otpadne vode po ekvivalent stanovniku godišnje</w:t>
            </w:r>
          </w:p>
        </w:tc>
        <w:tc>
          <w:tcPr>
            <w:tcW w:w="1090" w:type="pct"/>
            <w:shd w:val="clear" w:color="000000" w:fill="FFFFFF"/>
            <w:vAlign w:val="center"/>
            <w:hideMark/>
          </w:tcPr>
          <w:p w14:paraId="5647FB53" w14:textId="77777777" w:rsidR="00BA50EA" w:rsidRPr="00BA50EA" w:rsidRDefault="00BA50EA" w:rsidP="00BA50EA">
            <w:pPr>
              <w:spacing w:before="120" w:after="120"/>
              <w:contextualSpacing/>
              <w:jc w:val="center"/>
            </w:pPr>
            <w:r w:rsidRPr="00BA50EA">
              <w:t>m</w:t>
            </w:r>
            <w:r w:rsidRPr="00BA50EA">
              <w:rPr>
                <w:vertAlign w:val="superscript"/>
              </w:rPr>
              <w:t>3</w:t>
            </w:r>
            <w:r w:rsidRPr="00BA50EA">
              <w:t>/1000 ES/god</w:t>
            </w:r>
          </w:p>
        </w:tc>
      </w:tr>
      <w:tr w:rsidR="00BA50EA" w:rsidRPr="00BA50EA" w14:paraId="772A3DCE" w14:textId="77777777" w:rsidTr="00BA50EA">
        <w:trPr>
          <w:trHeight w:val="20"/>
          <w:jc w:val="center"/>
        </w:trPr>
        <w:tc>
          <w:tcPr>
            <w:tcW w:w="377" w:type="pct"/>
            <w:shd w:val="clear" w:color="auto" w:fill="auto"/>
            <w:noWrap/>
            <w:vAlign w:val="center"/>
            <w:hideMark/>
          </w:tcPr>
          <w:p w14:paraId="5D4BFB90" w14:textId="77777777" w:rsidR="00BA50EA" w:rsidRPr="00BA50EA" w:rsidRDefault="00BA50EA" w:rsidP="00BA50EA">
            <w:pPr>
              <w:spacing w:before="120" w:after="120"/>
              <w:jc w:val="center"/>
              <w:rPr>
                <w:b/>
                <w:bCs/>
              </w:rPr>
            </w:pPr>
            <w:r w:rsidRPr="00BA50EA">
              <w:rPr>
                <w:b/>
                <w:bCs/>
              </w:rPr>
              <w:t>52</w:t>
            </w:r>
          </w:p>
        </w:tc>
        <w:tc>
          <w:tcPr>
            <w:tcW w:w="3533" w:type="pct"/>
            <w:shd w:val="clear" w:color="auto" w:fill="auto"/>
            <w:vAlign w:val="center"/>
            <w:hideMark/>
          </w:tcPr>
          <w:p w14:paraId="46FEA10C" w14:textId="77777777" w:rsidR="00BA50EA" w:rsidRPr="00BA50EA" w:rsidRDefault="00BA50EA" w:rsidP="00BA50EA">
            <w:pPr>
              <w:spacing w:before="120" w:after="120"/>
            </w:pPr>
            <w:r w:rsidRPr="00BA50EA">
              <w:t>Prekidi u opskrbi vodom (broj stanovnika zahvaćenih prekidom u odnosu na ukupni broj stanovnika koji koriste vodnu uslugu javne vodoopskrbe)</w:t>
            </w:r>
          </w:p>
        </w:tc>
        <w:tc>
          <w:tcPr>
            <w:tcW w:w="1090" w:type="pct"/>
            <w:shd w:val="clear" w:color="auto" w:fill="auto"/>
            <w:vAlign w:val="center"/>
            <w:hideMark/>
          </w:tcPr>
          <w:p w14:paraId="31752C1E" w14:textId="77777777" w:rsidR="00BA50EA" w:rsidRPr="00BA50EA" w:rsidRDefault="00BA50EA" w:rsidP="00BA50EA">
            <w:pPr>
              <w:spacing w:before="120" w:after="120"/>
              <w:contextualSpacing/>
              <w:jc w:val="center"/>
            </w:pPr>
            <w:r w:rsidRPr="00BA50EA">
              <w:t>%</w:t>
            </w:r>
          </w:p>
        </w:tc>
      </w:tr>
      <w:tr w:rsidR="00BA50EA" w:rsidRPr="00BA50EA" w14:paraId="33DA1916" w14:textId="77777777" w:rsidTr="00BA50EA">
        <w:trPr>
          <w:trHeight w:val="20"/>
          <w:jc w:val="center"/>
        </w:trPr>
        <w:tc>
          <w:tcPr>
            <w:tcW w:w="377" w:type="pct"/>
            <w:shd w:val="clear" w:color="auto" w:fill="auto"/>
            <w:noWrap/>
            <w:vAlign w:val="center"/>
            <w:hideMark/>
          </w:tcPr>
          <w:p w14:paraId="2A920FE8" w14:textId="77777777" w:rsidR="00BA50EA" w:rsidRPr="00BA50EA" w:rsidRDefault="00BA50EA" w:rsidP="00BA50EA">
            <w:pPr>
              <w:spacing w:before="120" w:after="120"/>
              <w:jc w:val="center"/>
              <w:rPr>
                <w:b/>
                <w:bCs/>
              </w:rPr>
            </w:pPr>
            <w:r w:rsidRPr="00BA50EA">
              <w:rPr>
                <w:b/>
                <w:bCs/>
              </w:rPr>
              <w:t>53</w:t>
            </w:r>
          </w:p>
        </w:tc>
        <w:tc>
          <w:tcPr>
            <w:tcW w:w="3533" w:type="pct"/>
            <w:shd w:val="clear" w:color="auto" w:fill="auto"/>
            <w:vAlign w:val="center"/>
            <w:hideMark/>
          </w:tcPr>
          <w:p w14:paraId="40790BBA" w14:textId="77777777" w:rsidR="00BA50EA" w:rsidRPr="00BA50EA" w:rsidRDefault="00BA50EA" w:rsidP="00BA50EA">
            <w:pPr>
              <w:spacing w:before="120" w:after="120"/>
            </w:pPr>
            <w:r w:rsidRPr="00BA50EA">
              <w:t>Otežana vodoopskrba zbog nepovoljnih hidrauličkih uvjeta - nizak tlak u sustavu (broj dana u godini s niskim tlakom u sustavu u odnosu na ukupan broj dana u godini)</w:t>
            </w:r>
          </w:p>
        </w:tc>
        <w:tc>
          <w:tcPr>
            <w:tcW w:w="1090" w:type="pct"/>
            <w:shd w:val="clear" w:color="auto" w:fill="auto"/>
            <w:vAlign w:val="center"/>
            <w:hideMark/>
          </w:tcPr>
          <w:p w14:paraId="7EC3AD3E" w14:textId="77777777" w:rsidR="00BA50EA" w:rsidRPr="00BA50EA" w:rsidRDefault="00BA50EA" w:rsidP="00BA50EA">
            <w:pPr>
              <w:spacing w:before="120" w:after="120"/>
              <w:contextualSpacing/>
              <w:jc w:val="center"/>
            </w:pPr>
            <w:r w:rsidRPr="00BA50EA">
              <w:t>%</w:t>
            </w:r>
          </w:p>
        </w:tc>
      </w:tr>
      <w:tr w:rsidR="00BA50EA" w:rsidRPr="00BA50EA" w14:paraId="5420295B" w14:textId="77777777" w:rsidTr="00BA50EA">
        <w:trPr>
          <w:trHeight w:val="20"/>
          <w:jc w:val="center"/>
        </w:trPr>
        <w:tc>
          <w:tcPr>
            <w:tcW w:w="377" w:type="pct"/>
            <w:shd w:val="clear" w:color="auto" w:fill="auto"/>
            <w:noWrap/>
            <w:vAlign w:val="center"/>
            <w:hideMark/>
          </w:tcPr>
          <w:p w14:paraId="51013AAE" w14:textId="77777777" w:rsidR="00BA50EA" w:rsidRPr="00BA50EA" w:rsidRDefault="00BA50EA" w:rsidP="00BA50EA">
            <w:pPr>
              <w:spacing w:before="120" w:after="120"/>
              <w:jc w:val="center"/>
              <w:rPr>
                <w:b/>
                <w:bCs/>
              </w:rPr>
            </w:pPr>
            <w:r w:rsidRPr="00BA50EA">
              <w:rPr>
                <w:b/>
                <w:bCs/>
              </w:rPr>
              <w:t>54</w:t>
            </w:r>
          </w:p>
        </w:tc>
        <w:tc>
          <w:tcPr>
            <w:tcW w:w="3533" w:type="pct"/>
            <w:shd w:val="clear" w:color="auto" w:fill="auto"/>
            <w:vAlign w:val="center"/>
            <w:hideMark/>
          </w:tcPr>
          <w:p w14:paraId="37350F4F" w14:textId="77777777" w:rsidR="00BA50EA" w:rsidRPr="00BA50EA" w:rsidRDefault="00BA50EA" w:rsidP="00BA50EA">
            <w:pPr>
              <w:spacing w:before="120" w:after="120"/>
            </w:pPr>
            <w:r w:rsidRPr="00BA50EA">
              <w:t>Otežana vodoopskrba zbog nepovoljnih hidrauličkih uvjeta - nizak tlak (broj dana s otežanom vodoopskrbom u odnosu na broj vodoopskrbnih priključaka kroz 1000)</w:t>
            </w:r>
          </w:p>
        </w:tc>
        <w:tc>
          <w:tcPr>
            <w:tcW w:w="1090" w:type="pct"/>
            <w:shd w:val="clear" w:color="auto" w:fill="auto"/>
            <w:vAlign w:val="center"/>
            <w:hideMark/>
          </w:tcPr>
          <w:p w14:paraId="09992B56" w14:textId="77777777" w:rsidR="00BA50EA" w:rsidRPr="00BA50EA" w:rsidRDefault="00BA50EA" w:rsidP="00BA50EA">
            <w:pPr>
              <w:spacing w:before="120" w:after="120"/>
              <w:contextualSpacing/>
              <w:jc w:val="center"/>
            </w:pPr>
            <w:r w:rsidRPr="00BA50EA">
              <w:t>broj dana s otežanom vodoopskrbom u godini /broj priključaka/1000</w:t>
            </w:r>
          </w:p>
        </w:tc>
      </w:tr>
      <w:tr w:rsidR="00BA50EA" w:rsidRPr="00BA50EA" w14:paraId="77C7B0EF" w14:textId="77777777" w:rsidTr="00BA50EA">
        <w:trPr>
          <w:trHeight w:val="20"/>
          <w:jc w:val="center"/>
        </w:trPr>
        <w:tc>
          <w:tcPr>
            <w:tcW w:w="377" w:type="pct"/>
            <w:shd w:val="clear" w:color="auto" w:fill="auto"/>
            <w:noWrap/>
            <w:vAlign w:val="center"/>
            <w:hideMark/>
          </w:tcPr>
          <w:p w14:paraId="70DF5ADA" w14:textId="77777777" w:rsidR="00BA50EA" w:rsidRPr="00BA50EA" w:rsidRDefault="00BA50EA" w:rsidP="00BA50EA">
            <w:pPr>
              <w:spacing w:before="120" w:after="120"/>
              <w:jc w:val="center"/>
              <w:rPr>
                <w:b/>
                <w:bCs/>
              </w:rPr>
            </w:pPr>
            <w:r w:rsidRPr="00BA50EA">
              <w:rPr>
                <w:b/>
                <w:bCs/>
              </w:rPr>
              <w:t>55</w:t>
            </w:r>
          </w:p>
        </w:tc>
        <w:tc>
          <w:tcPr>
            <w:tcW w:w="3533" w:type="pct"/>
            <w:shd w:val="clear" w:color="auto" w:fill="auto"/>
            <w:vAlign w:val="center"/>
            <w:hideMark/>
          </w:tcPr>
          <w:p w14:paraId="43AD5262" w14:textId="77777777" w:rsidR="00BA50EA" w:rsidRPr="00BA50EA" w:rsidRDefault="00BA50EA" w:rsidP="00BA50EA">
            <w:pPr>
              <w:spacing w:before="120" w:after="120"/>
            </w:pPr>
            <w:r w:rsidRPr="00BA50EA">
              <w:t>Otežana vodoopskrba zbog nepovoljnih hidrauličkih uvjeta - nizak tlak (u odnosu na broj sati dnevno i vodoopskrbnom priključku)</w:t>
            </w:r>
          </w:p>
        </w:tc>
        <w:tc>
          <w:tcPr>
            <w:tcW w:w="1090" w:type="pct"/>
            <w:shd w:val="clear" w:color="auto" w:fill="auto"/>
            <w:vAlign w:val="center"/>
            <w:hideMark/>
          </w:tcPr>
          <w:p w14:paraId="6B3E56BC" w14:textId="77777777" w:rsidR="00BA50EA" w:rsidRPr="00BA50EA" w:rsidRDefault="00BA50EA" w:rsidP="00BA50EA">
            <w:pPr>
              <w:spacing w:before="120" w:after="120"/>
              <w:contextualSpacing/>
              <w:jc w:val="center"/>
            </w:pPr>
            <w:r w:rsidRPr="00BA50EA">
              <w:t>broj sati dnevno/</w:t>
            </w:r>
          </w:p>
          <w:p w14:paraId="51926208" w14:textId="77777777" w:rsidR="00BA50EA" w:rsidRPr="00BA50EA" w:rsidRDefault="00BA50EA" w:rsidP="00BA50EA">
            <w:pPr>
              <w:spacing w:before="120" w:after="120"/>
              <w:contextualSpacing/>
              <w:jc w:val="center"/>
            </w:pPr>
            <w:r w:rsidRPr="00BA50EA">
              <w:t>vodoopskrbnom priključku/1000</w:t>
            </w:r>
          </w:p>
        </w:tc>
      </w:tr>
      <w:tr w:rsidR="00BA50EA" w:rsidRPr="00BA50EA" w14:paraId="3163CEFA" w14:textId="77777777" w:rsidTr="00BA50EA">
        <w:trPr>
          <w:trHeight w:val="20"/>
          <w:jc w:val="center"/>
        </w:trPr>
        <w:tc>
          <w:tcPr>
            <w:tcW w:w="377" w:type="pct"/>
            <w:shd w:val="clear" w:color="auto" w:fill="auto"/>
            <w:noWrap/>
            <w:vAlign w:val="center"/>
            <w:hideMark/>
          </w:tcPr>
          <w:p w14:paraId="42DBAD78" w14:textId="77777777" w:rsidR="00BA50EA" w:rsidRPr="00BA50EA" w:rsidRDefault="00BA50EA" w:rsidP="00BA50EA">
            <w:pPr>
              <w:spacing w:before="120" w:after="120"/>
              <w:jc w:val="center"/>
              <w:rPr>
                <w:b/>
                <w:bCs/>
              </w:rPr>
            </w:pPr>
            <w:r w:rsidRPr="00BA50EA">
              <w:rPr>
                <w:b/>
                <w:bCs/>
              </w:rPr>
              <w:t>56</w:t>
            </w:r>
          </w:p>
        </w:tc>
        <w:tc>
          <w:tcPr>
            <w:tcW w:w="3533" w:type="pct"/>
            <w:shd w:val="clear" w:color="auto" w:fill="auto"/>
            <w:vAlign w:val="center"/>
            <w:hideMark/>
          </w:tcPr>
          <w:p w14:paraId="009ABD1F" w14:textId="77777777" w:rsidR="00BA50EA" w:rsidRPr="00BA50EA" w:rsidRDefault="00BA50EA" w:rsidP="00BA50EA">
            <w:pPr>
              <w:spacing w:before="120" w:after="120"/>
            </w:pPr>
            <w:r w:rsidRPr="00BA50EA">
              <w:t xml:space="preserve">Broj dana s ograničenjima u isporuci vode uzrokovanih odstupanjem od propisanih parametara za provjeru sukladnosti vode za ljudsku potrošnju </w:t>
            </w:r>
          </w:p>
        </w:tc>
        <w:tc>
          <w:tcPr>
            <w:tcW w:w="1090" w:type="pct"/>
            <w:shd w:val="clear" w:color="auto" w:fill="auto"/>
            <w:vAlign w:val="center"/>
            <w:hideMark/>
          </w:tcPr>
          <w:p w14:paraId="4B5610A6" w14:textId="77777777" w:rsidR="00BA50EA" w:rsidRPr="00BA50EA" w:rsidRDefault="00BA50EA" w:rsidP="00BA50EA">
            <w:pPr>
              <w:spacing w:before="120" w:after="120"/>
              <w:contextualSpacing/>
              <w:jc w:val="center"/>
            </w:pPr>
            <w:r w:rsidRPr="00BA50EA">
              <w:t>broj dana/</w:t>
            </w:r>
          </w:p>
          <w:p w14:paraId="3FC98799" w14:textId="77777777" w:rsidR="00BA50EA" w:rsidRPr="00BA50EA" w:rsidRDefault="00BA50EA" w:rsidP="00BA50EA">
            <w:pPr>
              <w:spacing w:before="120" w:after="120"/>
              <w:contextualSpacing/>
              <w:jc w:val="center"/>
            </w:pPr>
            <w:r w:rsidRPr="00BA50EA">
              <w:t>godišnje</w:t>
            </w:r>
          </w:p>
        </w:tc>
      </w:tr>
      <w:tr w:rsidR="00BA50EA" w:rsidRPr="00BA50EA" w14:paraId="0F15D9E6" w14:textId="77777777" w:rsidTr="00BA50EA">
        <w:trPr>
          <w:trHeight w:val="20"/>
          <w:jc w:val="center"/>
        </w:trPr>
        <w:tc>
          <w:tcPr>
            <w:tcW w:w="377" w:type="pct"/>
            <w:shd w:val="clear" w:color="auto" w:fill="auto"/>
            <w:noWrap/>
            <w:vAlign w:val="center"/>
            <w:hideMark/>
          </w:tcPr>
          <w:p w14:paraId="5D0810DB" w14:textId="77777777" w:rsidR="00BA50EA" w:rsidRPr="00BA50EA" w:rsidRDefault="00BA50EA" w:rsidP="00BA50EA">
            <w:pPr>
              <w:spacing w:before="120" w:after="120"/>
              <w:jc w:val="center"/>
              <w:rPr>
                <w:b/>
                <w:bCs/>
              </w:rPr>
            </w:pPr>
            <w:r w:rsidRPr="00BA50EA">
              <w:rPr>
                <w:b/>
                <w:bCs/>
              </w:rPr>
              <w:t>57</w:t>
            </w:r>
          </w:p>
        </w:tc>
        <w:tc>
          <w:tcPr>
            <w:tcW w:w="3533" w:type="pct"/>
            <w:shd w:val="clear" w:color="auto" w:fill="auto"/>
            <w:vAlign w:val="center"/>
            <w:hideMark/>
          </w:tcPr>
          <w:p w14:paraId="197B78B4" w14:textId="77777777" w:rsidR="00BA50EA" w:rsidRPr="00BA50EA" w:rsidRDefault="00BA50EA" w:rsidP="00BA50EA">
            <w:pPr>
              <w:spacing w:before="120" w:after="120"/>
            </w:pPr>
            <w:r w:rsidRPr="00BA50EA">
              <w:t>Začepljenja sustava javne odvodnje</w:t>
            </w:r>
          </w:p>
        </w:tc>
        <w:tc>
          <w:tcPr>
            <w:tcW w:w="1090" w:type="pct"/>
            <w:shd w:val="clear" w:color="auto" w:fill="auto"/>
            <w:vAlign w:val="center"/>
            <w:hideMark/>
          </w:tcPr>
          <w:p w14:paraId="30D24E62" w14:textId="77777777" w:rsidR="00BA50EA" w:rsidRPr="00BA50EA" w:rsidRDefault="00BA50EA" w:rsidP="00BA50EA">
            <w:pPr>
              <w:spacing w:before="120" w:after="120"/>
              <w:contextualSpacing/>
              <w:jc w:val="center"/>
            </w:pPr>
            <w:r w:rsidRPr="00BA50EA">
              <w:t>broj začepljenja /100 km sustava javne odvodnje/ godišnje</w:t>
            </w:r>
          </w:p>
        </w:tc>
      </w:tr>
      <w:tr w:rsidR="00BA50EA" w:rsidRPr="00BA50EA" w14:paraId="1237EFA6" w14:textId="77777777" w:rsidTr="00BA50EA">
        <w:trPr>
          <w:trHeight w:val="20"/>
          <w:jc w:val="center"/>
        </w:trPr>
        <w:tc>
          <w:tcPr>
            <w:tcW w:w="377" w:type="pct"/>
            <w:shd w:val="clear" w:color="auto" w:fill="auto"/>
            <w:noWrap/>
            <w:vAlign w:val="center"/>
            <w:hideMark/>
          </w:tcPr>
          <w:p w14:paraId="54550D4B" w14:textId="77777777" w:rsidR="00BA50EA" w:rsidRPr="00BA50EA" w:rsidRDefault="00BA50EA" w:rsidP="00BA50EA">
            <w:pPr>
              <w:spacing w:before="120" w:after="120"/>
              <w:jc w:val="center"/>
              <w:rPr>
                <w:b/>
                <w:bCs/>
              </w:rPr>
            </w:pPr>
            <w:r w:rsidRPr="00BA50EA">
              <w:rPr>
                <w:b/>
                <w:bCs/>
              </w:rPr>
              <w:t>58</w:t>
            </w:r>
          </w:p>
        </w:tc>
        <w:tc>
          <w:tcPr>
            <w:tcW w:w="3533" w:type="pct"/>
            <w:shd w:val="clear" w:color="auto" w:fill="auto"/>
            <w:vAlign w:val="center"/>
            <w:hideMark/>
          </w:tcPr>
          <w:p w14:paraId="5DEBCDB0" w14:textId="77777777" w:rsidR="00BA50EA" w:rsidRPr="00BA50EA" w:rsidRDefault="00BA50EA" w:rsidP="00BA50EA">
            <w:pPr>
              <w:spacing w:before="120" w:after="120"/>
            </w:pPr>
            <w:r w:rsidRPr="00BA50EA">
              <w:t>Prosječni troškovi popravaka kvarova na vodoopskrbnim cjevovodima</w:t>
            </w:r>
          </w:p>
        </w:tc>
        <w:tc>
          <w:tcPr>
            <w:tcW w:w="1090" w:type="pct"/>
            <w:shd w:val="clear" w:color="auto" w:fill="auto"/>
            <w:vAlign w:val="center"/>
            <w:hideMark/>
          </w:tcPr>
          <w:p w14:paraId="3A3EB1CE" w14:textId="77777777" w:rsidR="00BA50EA" w:rsidRPr="00BA50EA" w:rsidRDefault="00BA50EA" w:rsidP="00BA50EA">
            <w:pPr>
              <w:spacing w:before="120" w:after="120"/>
              <w:contextualSpacing/>
              <w:jc w:val="center"/>
            </w:pPr>
            <w:r w:rsidRPr="00BA50EA">
              <w:t>eura/kvaru</w:t>
            </w:r>
          </w:p>
        </w:tc>
      </w:tr>
      <w:tr w:rsidR="00BA50EA" w:rsidRPr="00BA50EA" w14:paraId="31C2359A" w14:textId="77777777" w:rsidTr="00BA50EA">
        <w:trPr>
          <w:trHeight w:val="20"/>
          <w:jc w:val="center"/>
        </w:trPr>
        <w:tc>
          <w:tcPr>
            <w:tcW w:w="377" w:type="pct"/>
            <w:shd w:val="clear" w:color="auto" w:fill="auto"/>
            <w:noWrap/>
            <w:vAlign w:val="center"/>
            <w:hideMark/>
          </w:tcPr>
          <w:p w14:paraId="06F1758C" w14:textId="77777777" w:rsidR="00BA50EA" w:rsidRPr="00BA50EA" w:rsidRDefault="00BA50EA" w:rsidP="00BA50EA">
            <w:pPr>
              <w:spacing w:before="120" w:after="120"/>
              <w:jc w:val="center"/>
              <w:rPr>
                <w:b/>
                <w:bCs/>
              </w:rPr>
            </w:pPr>
            <w:r w:rsidRPr="00BA50EA">
              <w:rPr>
                <w:b/>
                <w:bCs/>
              </w:rPr>
              <w:t>59</w:t>
            </w:r>
          </w:p>
        </w:tc>
        <w:tc>
          <w:tcPr>
            <w:tcW w:w="3533" w:type="pct"/>
            <w:shd w:val="clear" w:color="auto" w:fill="auto"/>
            <w:vAlign w:val="center"/>
            <w:hideMark/>
          </w:tcPr>
          <w:p w14:paraId="78371ED9" w14:textId="77777777" w:rsidR="00BA50EA" w:rsidRPr="00BA50EA" w:rsidRDefault="00BA50EA" w:rsidP="00BA50EA">
            <w:pPr>
              <w:spacing w:before="120" w:after="120"/>
            </w:pPr>
            <w:r w:rsidRPr="00BA50EA">
              <w:t>Prosječni troškovi popravaka na internim vodoopskrbnim cjevovodima (priključni vodoopskrbni vodovi)</w:t>
            </w:r>
          </w:p>
        </w:tc>
        <w:tc>
          <w:tcPr>
            <w:tcW w:w="1090" w:type="pct"/>
            <w:shd w:val="clear" w:color="auto" w:fill="auto"/>
            <w:vAlign w:val="center"/>
            <w:hideMark/>
          </w:tcPr>
          <w:p w14:paraId="75A7645D" w14:textId="77777777" w:rsidR="00BA50EA" w:rsidRPr="00BA50EA" w:rsidRDefault="00BA50EA" w:rsidP="00BA50EA">
            <w:pPr>
              <w:spacing w:before="120" w:after="120"/>
              <w:contextualSpacing/>
              <w:jc w:val="center"/>
            </w:pPr>
            <w:r w:rsidRPr="00BA50EA">
              <w:t>eura/kvaru</w:t>
            </w:r>
          </w:p>
        </w:tc>
      </w:tr>
      <w:tr w:rsidR="00BA50EA" w:rsidRPr="00BA50EA" w14:paraId="2A137B9C" w14:textId="77777777" w:rsidTr="00BA50EA">
        <w:trPr>
          <w:trHeight w:val="20"/>
          <w:jc w:val="center"/>
        </w:trPr>
        <w:tc>
          <w:tcPr>
            <w:tcW w:w="377" w:type="pct"/>
            <w:shd w:val="clear" w:color="auto" w:fill="auto"/>
            <w:noWrap/>
            <w:vAlign w:val="center"/>
            <w:hideMark/>
          </w:tcPr>
          <w:p w14:paraId="028F2B7E" w14:textId="77777777" w:rsidR="00BA50EA" w:rsidRPr="00BA50EA" w:rsidRDefault="00BA50EA" w:rsidP="00BA50EA">
            <w:pPr>
              <w:spacing w:before="120" w:after="120"/>
              <w:jc w:val="center"/>
              <w:rPr>
                <w:b/>
                <w:bCs/>
              </w:rPr>
            </w:pPr>
            <w:r w:rsidRPr="00BA50EA">
              <w:rPr>
                <w:b/>
                <w:bCs/>
              </w:rPr>
              <w:t>60</w:t>
            </w:r>
          </w:p>
        </w:tc>
        <w:tc>
          <w:tcPr>
            <w:tcW w:w="3533" w:type="pct"/>
            <w:shd w:val="clear" w:color="auto" w:fill="auto"/>
            <w:vAlign w:val="center"/>
            <w:hideMark/>
          </w:tcPr>
          <w:p w14:paraId="49842C62" w14:textId="77777777" w:rsidR="00BA50EA" w:rsidRPr="00BA50EA" w:rsidRDefault="00BA50EA" w:rsidP="00BA50EA">
            <w:pPr>
              <w:spacing w:before="120" w:after="120"/>
            </w:pPr>
            <w:r w:rsidRPr="00BA50EA">
              <w:t>Prosječni troškovi popravaka kvarova na cjevovodima odvodnje</w:t>
            </w:r>
          </w:p>
        </w:tc>
        <w:tc>
          <w:tcPr>
            <w:tcW w:w="1090" w:type="pct"/>
            <w:shd w:val="clear" w:color="auto" w:fill="auto"/>
            <w:vAlign w:val="center"/>
            <w:hideMark/>
          </w:tcPr>
          <w:p w14:paraId="6EA77A80" w14:textId="77777777" w:rsidR="00BA50EA" w:rsidRPr="00BA50EA" w:rsidRDefault="00BA50EA" w:rsidP="00BA50EA">
            <w:pPr>
              <w:spacing w:before="120" w:after="120"/>
              <w:contextualSpacing/>
              <w:jc w:val="center"/>
            </w:pPr>
            <w:r w:rsidRPr="00BA50EA">
              <w:t>eura/kvaru</w:t>
            </w:r>
          </w:p>
        </w:tc>
      </w:tr>
      <w:tr w:rsidR="00BA50EA" w:rsidRPr="00BA50EA" w14:paraId="641BE8C3" w14:textId="77777777" w:rsidTr="00BA50EA">
        <w:trPr>
          <w:trHeight w:val="20"/>
          <w:jc w:val="center"/>
        </w:trPr>
        <w:tc>
          <w:tcPr>
            <w:tcW w:w="377" w:type="pct"/>
            <w:shd w:val="clear" w:color="auto" w:fill="auto"/>
            <w:noWrap/>
            <w:vAlign w:val="center"/>
            <w:hideMark/>
          </w:tcPr>
          <w:p w14:paraId="4879D3EE" w14:textId="77777777" w:rsidR="00BA50EA" w:rsidRPr="00BA50EA" w:rsidRDefault="00BA50EA" w:rsidP="00BA50EA">
            <w:pPr>
              <w:spacing w:before="120" w:after="120"/>
              <w:jc w:val="center"/>
              <w:rPr>
                <w:b/>
                <w:bCs/>
              </w:rPr>
            </w:pPr>
            <w:r w:rsidRPr="00BA50EA">
              <w:rPr>
                <w:b/>
                <w:bCs/>
              </w:rPr>
              <w:lastRenderedPageBreak/>
              <w:t>61</w:t>
            </w:r>
          </w:p>
        </w:tc>
        <w:tc>
          <w:tcPr>
            <w:tcW w:w="3533" w:type="pct"/>
            <w:shd w:val="clear" w:color="auto" w:fill="auto"/>
            <w:vAlign w:val="center"/>
            <w:hideMark/>
          </w:tcPr>
          <w:p w14:paraId="04C43D83" w14:textId="77777777" w:rsidR="00BA50EA" w:rsidRPr="00BA50EA" w:rsidRDefault="00BA50EA" w:rsidP="00BA50EA">
            <w:pPr>
              <w:spacing w:before="120" w:after="120"/>
            </w:pPr>
            <w:r w:rsidRPr="00BA50EA">
              <w:t>Prosječni troškovi popravaka na internim odvodnim cjevovodima (priključni vodovi odvodnje)</w:t>
            </w:r>
          </w:p>
        </w:tc>
        <w:tc>
          <w:tcPr>
            <w:tcW w:w="1090" w:type="pct"/>
            <w:shd w:val="clear" w:color="auto" w:fill="auto"/>
            <w:vAlign w:val="center"/>
            <w:hideMark/>
          </w:tcPr>
          <w:p w14:paraId="77787B37" w14:textId="77777777" w:rsidR="00BA50EA" w:rsidRPr="00BA50EA" w:rsidRDefault="00BA50EA" w:rsidP="00BA50EA">
            <w:pPr>
              <w:spacing w:before="120" w:after="120"/>
              <w:contextualSpacing/>
              <w:jc w:val="center"/>
            </w:pPr>
            <w:r w:rsidRPr="00BA50EA">
              <w:t>eura/kvaru</w:t>
            </w:r>
          </w:p>
        </w:tc>
      </w:tr>
    </w:tbl>
    <w:p w14:paraId="1DBD5D61" w14:textId="77777777" w:rsidR="00BA50EA" w:rsidRPr="00BA50EA" w:rsidRDefault="00BA50EA" w:rsidP="00BA50EA">
      <w:pPr>
        <w:shd w:val="clear" w:color="auto" w:fill="FFFFFF"/>
        <w:spacing w:before="120" w:after="225"/>
        <w:ind w:firstLine="425"/>
        <w:jc w:val="center"/>
        <w:textAlignment w:val="baseline"/>
        <w:rPr>
          <w:b/>
          <w:color w:val="000000"/>
        </w:rPr>
      </w:pPr>
    </w:p>
    <w:p w14:paraId="04B4123B" w14:textId="77777777" w:rsidR="00BA50EA" w:rsidRPr="00BA50EA" w:rsidRDefault="00BA50EA" w:rsidP="004B722B">
      <w:pPr>
        <w:keepNext/>
        <w:keepLines/>
        <w:spacing w:before="120" w:after="120"/>
        <w:jc w:val="center"/>
        <w:outlineLvl w:val="2"/>
        <w:rPr>
          <w:rFonts w:cstheme="majorBidi"/>
        </w:rPr>
      </w:pPr>
      <w:r w:rsidRPr="00BA50EA">
        <w:rPr>
          <w:rFonts w:cstheme="majorBidi"/>
        </w:rPr>
        <w:t>Skupina 4. POKAZATELJI KVALITETE USLUGE</w:t>
      </w:r>
    </w:p>
    <w:tbl>
      <w:tblPr>
        <w:tblW w:w="499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83"/>
        <w:gridCol w:w="7110"/>
        <w:gridCol w:w="1264"/>
      </w:tblGrid>
      <w:tr w:rsidR="00BA50EA" w:rsidRPr="00BA50EA" w14:paraId="72E618B8" w14:textId="77777777" w:rsidTr="00BA50EA">
        <w:trPr>
          <w:trHeight w:val="20"/>
          <w:tblHeader/>
          <w:jc w:val="center"/>
        </w:trPr>
        <w:tc>
          <w:tcPr>
            <w:tcW w:w="377" w:type="pct"/>
            <w:shd w:val="clear" w:color="000000" w:fill="D9D9D9"/>
            <w:noWrap/>
            <w:vAlign w:val="center"/>
          </w:tcPr>
          <w:p w14:paraId="0B2C198F" w14:textId="77777777" w:rsidR="00BA50EA" w:rsidRPr="00BA50EA" w:rsidRDefault="00BA50EA" w:rsidP="00BA50EA">
            <w:pPr>
              <w:spacing w:before="120" w:after="120"/>
              <w:jc w:val="center"/>
              <w:rPr>
                <w:b/>
                <w:bCs/>
              </w:rPr>
            </w:pPr>
            <w:r w:rsidRPr="00BA50EA">
              <w:rPr>
                <w:b/>
                <w:bCs/>
              </w:rPr>
              <w:t>Broj</w:t>
            </w:r>
          </w:p>
        </w:tc>
        <w:tc>
          <w:tcPr>
            <w:tcW w:w="3925" w:type="pct"/>
            <w:shd w:val="clear" w:color="000000" w:fill="D9D9D9"/>
            <w:vAlign w:val="center"/>
          </w:tcPr>
          <w:p w14:paraId="35DD384D" w14:textId="77777777" w:rsidR="00BA50EA" w:rsidRPr="00BA50EA" w:rsidRDefault="00BA50EA" w:rsidP="00BA50EA">
            <w:pPr>
              <w:spacing w:before="120" w:after="120"/>
              <w:jc w:val="center"/>
              <w:rPr>
                <w:b/>
                <w:bCs/>
              </w:rPr>
            </w:pPr>
            <w:r w:rsidRPr="00BA50EA">
              <w:rPr>
                <w:b/>
                <w:bCs/>
              </w:rPr>
              <w:t>Ključni pokazatelji</w:t>
            </w:r>
          </w:p>
        </w:tc>
        <w:tc>
          <w:tcPr>
            <w:tcW w:w="698" w:type="pct"/>
            <w:shd w:val="clear" w:color="000000" w:fill="D9D9D9"/>
            <w:vAlign w:val="center"/>
          </w:tcPr>
          <w:p w14:paraId="02C5A20A" w14:textId="77777777" w:rsidR="00BA50EA" w:rsidRPr="00BA50EA" w:rsidRDefault="00BA50EA" w:rsidP="00BA50EA">
            <w:pPr>
              <w:spacing w:before="120" w:after="120"/>
              <w:jc w:val="center"/>
              <w:rPr>
                <w:b/>
                <w:bCs/>
              </w:rPr>
            </w:pPr>
            <w:r w:rsidRPr="00BA50EA">
              <w:rPr>
                <w:b/>
                <w:bCs/>
              </w:rPr>
              <w:t>Mjerilo</w:t>
            </w:r>
          </w:p>
        </w:tc>
      </w:tr>
      <w:tr w:rsidR="00BA50EA" w:rsidRPr="00BA50EA" w14:paraId="10BEB793" w14:textId="77777777" w:rsidTr="00BA50EA">
        <w:trPr>
          <w:trHeight w:val="20"/>
          <w:jc w:val="center"/>
        </w:trPr>
        <w:tc>
          <w:tcPr>
            <w:tcW w:w="377" w:type="pct"/>
            <w:shd w:val="clear" w:color="auto" w:fill="auto"/>
            <w:noWrap/>
            <w:vAlign w:val="center"/>
            <w:hideMark/>
          </w:tcPr>
          <w:p w14:paraId="004F48CE"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62</w:t>
            </w:r>
          </w:p>
        </w:tc>
        <w:tc>
          <w:tcPr>
            <w:tcW w:w="3925" w:type="pct"/>
            <w:shd w:val="clear" w:color="auto" w:fill="auto"/>
            <w:vAlign w:val="center"/>
            <w:hideMark/>
          </w:tcPr>
          <w:p w14:paraId="7CA8B7E9" w14:textId="77777777" w:rsidR="00BA50EA" w:rsidRPr="00BA50EA" w:rsidRDefault="00BA50EA" w:rsidP="00BA50EA">
            <w:pPr>
              <w:shd w:val="clear" w:color="auto" w:fill="FFFFFF"/>
              <w:spacing w:before="120" w:after="120"/>
              <w:jc w:val="both"/>
              <w:textAlignment w:val="baseline"/>
              <w:rPr>
                <w:color w:val="000000"/>
              </w:rPr>
            </w:pPr>
            <w:r w:rsidRPr="00BA50EA">
              <w:rPr>
                <w:color w:val="000000"/>
              </w:rPr>
              <w:t>Pokrivenost uslugom vodoopskrbe</w:t>
            </w:r>
          </w:p>
        </w:tc>
        <w:tc>
          <w:tcPr>
            <w:tcW w:w="698" w:type="pct"/>
            <w:shd w:val="clear" w:color="auto" w:fill="auto"/>
            <w:vAlign w:val="center"/>
            <w:hideMark/>
          </w:tcPr>
          <w:p w14:paraId="6FA464DF"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w:t>
            </w:r>
          </w:p>
        </w:tc>
      </w:tr>
      <w:tr w:rsidR="00BA50EA" w:rsidRPr="00BA50EA" w14:paraId="14940C2B" w14:textId="77777777" w:rsidTr="00BA50EA">
        <w:trPr>
          <w:trHeight w:val="20"/>
          <w:jc w:val="center"/>
        </w:trPr>
        <w:tc>
          <w:tcPr>
            <w:tcW w:w="377" w:type="pct"/>
            <w:shd w:val="clear" w:color="auto" w:fill="auto"/>
            <w:noWrap/>
            <w:vAlign w:val="center"/>
            <w:hideMark/>
          </w:tcPr>
          <w:p w14:paraId="7F953FEA"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63</w:t>
            </w:r>
          </w:p>
        </w:tc>
        <w:tc>
          <w:tcPr>
            <w:tcW w:w="3925" w:type="pct"/>
            <w:shd w:val="clear" w:color="auto" w:fill="auto"/>
            <w:vAlign w:val="center"/>
            <w:hideMark/>
          </w:tcPr>
          <w:p w14:paraId="1BC1F915" w14:textId="77777777" w:rsidR="00BA50EA" w:rsidRPr="00BA50EA" w:rsidRDefault="00BA50EA" w:rsidP="00BA50EA">
            <w:pPr>
              <w:shd w:val="clear" w:color="auto" w:fill="FFFFFF"/>
              <w:spacing w:before="120" w:after="120"/>
              <w:jc w:val="both"/>
              <w:textAlignment w:val="baseline"/>
              <w:rPr>
                <w:color w:val="000000"/>
              </w:rPr>
            </w:pPr>
            <w:r w:rsidRPr="00BA50EA">
              <w:rPr>
                <w:color w:val="000000"/>
              </w:rPr>
              <w:t>Pokrivenost uslugom odvodnje otpadnih voda</w:t>
            </w:r>
          </w:p>
        </w:tc>
        <w:tc>
          <w:tcPr>
            <w:tcW w:w="698" w:type="pct"/>
            <w:shd w:val="clear" w:color="auto" w:fill="auto"/>
            <w:vAlign w:val="center"/>
            <w:hideMark/>
          </w:tcPr>
          <w:p w14:paraId="7B7D64E1"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w:t>
            </w:r>
          </w:p>
        </w:tc>
      </w:tr>
      <w:tr w:rsidR="00BA50EA" w:rsidRPr="00BA50EA" w14:paraId="271B2BF7" w14:textId="77777777" w:rsidTr="00BA50EA">
        <w:trPr>
          <w:trHeight w:val="20"/>
          <w:jc w:val="center"/>
        </w:trPr>
        <w:tc>
          <w:tcPr>
            <w:tcW w:w="377" w:type="pct"/>
            <w:shd w:val="clear" w:color="auto" w:fill="auto"/>
            <w:noWrap/>
            <w:vAlign w:val="center"/>
            <w:hideMark/>
          </w:tcPr>
          <w:p w14:paraId="0EA38DFD"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64</w:t>
            </w:r>
          </w:p>
        </w:tc>
        <w:tc>
          <w:tcPr>
            <w:tcW w:w="3925" w:type="pct"/>
            <w:shd w:val="clear" w:color="auto" w:fill="auto"/>
            <w:vAlign w:val="center"/>
            <w:hideMark/>
          </w:tcPr>
          <w:p w14:paraId="338AD783" w14:textId="77777777" w:rsidR="00BA50EA" w:rsidRPr="00BA50EA" w:rsidRDefault="00BA50EA" w:rsidP="00BA50EA">
            <w:pPr>
              <w:shd w:val="clear" w:color="auto" w:fill="FFFFFF"/>
              <w:spacing w:before="120" w:after="120"/>
              <w:textAlignment w:val="baseline"/>
              <w:rPr>
                <w:color w:val="000000"/>
              </w:rPr>
            </w:pPr>
            <w:r w:rsidRPr="00BA50EA">
              <w:rPr>
                <w:color w:val="000000"/>
              </w:rPr>
              <w:t>Pokrivenost uslugom pročišćavanja otpadnih voda</w:t>
            </w:r>
          </w:p>
        </w:tc>
        <w:tc>
          <w:tcPr>
            <w:tcW w:w="698" w:type="pct"/>
            <w:shd w:val="clear" w:color="auto" w:fill="auto"/>
            <w:vAlign w:val="center"/>
            <w:hideMark/>
          </w:tcPr>
          <w:p w14:paraId="707A83B2"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w:t>
            </w:r>
          </w:p>
        </w:tc>
      </w:tr>
      <w:tr w:rsidR="00BA50EA" w:rsidRPr="00BA50EA" w14:paraId="7E38AA3A" w14:textId="77777777" w:rsidTr="00BA50EA">
        <w:trPr>
          <w:trHeight w:val="20"/>
          <w:jc w:val="center"/>
        </w:trPr>
        <w:tc>
          <w:tcPr>
            <w:tcW w:w="377" w:type="pct"/>
            <w:shd w:val="clear" w:color="auto" w:fill="auto"/>
            <w:noWrap/>
            <w:vAlign w:val="center"/>
            <w:hideMark/>
          </w:tcPr>
          <w:p w14:paraId="58727693"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65</w:t>
            </w:r>
          </w:p>
        </w:tc>
        <w:tc>
          <w:tcPr>
            <w:tcW w:w="3925" w:type="pct"/>
            <w:shd w:val="clear" w:color="auto" w:fill="auto"/>
            <w:vAlign w:val="center"/>
            <w:hideMark/>
          </w:tcPr>
          <w:p w14:paraId="3A3BC90F" w14:textId="77777777" w:rsidR="00BA50EA" w:rsidRPr="00BA50EA" w:rsidRDefault="00BA50EA" w:rsidP="00BA50EA">
            <w:pPr>
              <w:shd w:val="clear" w:color="auto" w:fill="FFFFFF"/>
              <w:spacing w:before="120" w:after="120"/>
              <w:textAlignment w:val="baseline"/>
              <w:rPr>
                <w:color w:val="000000"/>
              </w:rPr>
            </w:pPr>
            <w:r w:rsidRPr="00BA50EA">
              <w:rPr>
                <w:color w:val="000000"/>
              </w:rPr>
              <w:t>Kvaliteta isporučene vode - sukladnost parametara za provjeru sukladnosti isporučene vode s propisanim parametrima za vodu za ljudsku potrošnju utvrđena vlastitim laboratorijskim analizama (omjer broja sukladnih analiza i ukupnog broja analiza)</w:t>
            </w:r>
          </w:p>
        </w:tc>
        <w:tc>
          <w:tcPr>
            <w:tcW w:w="698" w:type="pct"/>
            <w:shd w:val="clear" w:color="auto" w:fill="auto"/>
            <w:vAlign w:val="center"/>
            <w:hideMark/>
          </w:tcPr>
          <w:p w14:paraId="229D0E41"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w:t>
            </w:r>
          </w:p>
        </w:tc>
      </w:tr>
      <w:tr w:rsidR="00BA50EA" w:rsidRPr="00BA50EA" w14:paraId="1425D394" w14:textId="77777777" w:rsidTr="00BA50EA">
        <w:trPr>
          <w:trHeight w:val="20"/>
          <w:jc w:val="center"/>
        </w:trPr>
        <w:tc>
          <w:tcPr>
            <w:tcW w:w="377" w:type="pct"/>
            <w:shd w:val="clear" w:color="auto" w:fill="auto"/>
            <w:noWrap/>
            <w:vAlign w:val="center"/>
            <w:hideMark/>
          </w:tcPr>
          <w:p w14:paraId="5EE7725F"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66</w:t>
            </w:r>
          </w:p>
        </w:tc>
        <w:tc>
          <w:tcPr>
            <w:tcW w:w="3925" w:type="pct"/>
            <w:shd w:val="clear" w:color="auto" w:fill="auto"/>
            <w:vAlign w:val="center"/>
            <w:hideMark/>
          </w:tcPr>
          <w:p w14:paraId="701B97BA" w14:textId="77777777" w:rsidR="00BA50EA" w:rsidRPr="00BA50EA" w:rsidRDefault="00BA50EA" w:rsidP="00BA50EA">
            <w:pPr>
              <w:shd w:val="clear" w:color="auto" w:fill="FFFFFF"/>
              <w:spacing w:before="120" w:after="120"/>
              <w:textAlignment w:val="baseline"/>
              <w:rPr>
                <w:color w:val="000000"/>
              </w:rPr>
            </w:pPr>
            <w:r w:rsidRPr="00BA50EA">
              <w:rPr>
                <w:color w:val="000000"/>
              </w:rPr>
              <w:t>Kvaliteta isporučene vode utvrđena po ovlaštenom laboratoriju (omjer broja sukladnih analiza i ukupnog broja analiza)</w:t>
            </w:r>
          </w:p>
        </w:tc>
        <w:tc>
          <w:tcPr>
            <w:tcW w:w="698" w:type="pct"/>
            <w:shd w:val="clear" w:color="auto" w:fill="auto"/>
            <w:vAlign w:val="center"/>
            <w:hideMark/>
          </w:tcPr>
          <w:p w14:paraId="6D98A604"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%/god</w:t>
            </w:r>
          </w:p>
        </w:tc>
      </w:tr>
      <w:tr w:rsidR="00BA50EA" w:rsidRPr="00BA50EA" w14:paraId="6F65E02A" w14:textId="77777777" w:rsidTr="00BA50EA">
        <w:trPr>
          <w:trHeight w:val="20"/>
          <w:jc w:val="center"/>
        </w:trPr>
        <w:tc>
          <w:tcPr>
            <w:tcW w:w="377" w:type="pct"/>
            <w:shd w:val="clear" w:color="auto" w:fill="auto"/>
            <w:noWrap/>
            <w:vAlign w:val="center"/>
            <w:hideMark/>
          </w:tcPr>
          <w:p w14:paraId="0A328C71"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67</w:t>
            </w:r>
          </w:p>
        </w:tc>
        <w:tc>
          <w:tcPr>
            <w:tcW w:w="3925" w:type="pct"/>
            <w:shd w:val="clear" w:color="auto" w:fill="auto"/>
            <w:vAlign w:val="center"/>
            <w:hideMark/>
          </w:tcPr>
          <w:p w14:paraId="50427CF4" w14:textId="77777777" w:rsidR="00BA50EA" w:rsidRPr="00BA50EA" w:rsidRDefault="00BA50EA" w:rsidP="00BA50EA">
            <w:pPr>
              <w:shd w:val="clear" w:color="auto" w:fill="FFFFFF"/>
              <w:spacing w:before="120" w:after="120"/>
              <w:textAlignment w:val="baseline"/>
              <w:rPr>
                <w:color w:val="000000"/>
              </w:rPr>
            </w:pPr>
            <w:r w:rsidRPr="00BA50EA">
              <w:rPr>
                <w:color w:val="000000"/>
              </w:rPr>
              <w:t>Sukladnost pročišćavanja s dopuštenim parametrima ispuštanja otpadnih voda (omjer broja sukladnih analiza i ukupnog broja analiza)</w:t>
            </w:r>
          </w:p>
        </w:tc>
        <w:tc>
          <w:tcPr>
            <w:tcW w:w="698" w:type="pct"/>
            <w:shd w:val="clear" w:color="auto" w:fill="auto"/>
            <w:vAlign w:val="center"/>
            <w:hideMark/>
          </w:tcPr>
          <w:p w14:paraId="21C0756F"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%/god</w:t>
            </w:r>
          </w:p>
        </w:tc>
      </w:tr>
      <w:tr w:rsidR="00BA50EA" w:rsidRPr="00BA50EA" w14:paraId="2ED4BA14" w14:textId="77777777" w:rsidTr="00BA50EA">
        <w:trPr>
          <w:trHeight w:val="20"/>
          <w:jc w:val="center"/>
        </w:trPr>
        <w:tc>
          <w:tcPr>
            <w:tcW w:w="377" w:type="pct"/>
            <w:shd w:val="clear" w:color="auto" w:fill="auto"/>
            <w:noWrap/>
            <w:vAlign w:val="center"/>
          </w:tcPr>
          <w:p w14:paraId="325597FB" w14:textId="77777777" w:rsidR="00BA50EA" w:rsidRPr="00BA50EA" w:rsidRDefault="00BA50EA" w:rsidP="00BA50EA">
            <w:pPr>
              <w:shd w:val="clear" w:color="auto" w:fill="FFFFFF"/>
              <w:spacing w:before="120" w:after="120"/>
              <w:jc w:val="center"/>
              <w:textAlignment w:val="baseline"/>
              <w:rPr>
                <w:b/>
                <w:bCs/>
                <w:color w:val="000000"/>
              </w:rPr>
            </w:pPr>
            <w:r w:rsidRPr="00BA50EA">
              <w:rPr>
                <w:b/>
                <w:bCs/>
                <w:color w:val="000000"/>
              </w:rPr>
              <w:t>68</w:t>
            </w:r>
          </w:p>
        </w:tc>
        <w:tc>
          <w:tcPr>
            <w:tcW w:w="3925" w:type="pct"/>
            <w:shd w:val="clear" w:color="auto" w:fill="auto"/>
            <w:vAlign w:val="center"/>
          </w:tcPr>
          <w:p w14:paraId="18B4413E" w14:textId="77777777" w:rsidR="00BA50EA" w:rsidRPr="00BA50EA" w:rsidRDefault="00BA50EA" w:rsidP="00BA50EA">
            <w:pPr>
              <w:shd w:val="clear" w:color="auto" w:fill="FFFFFF"/>
              <w:spacing w:before="120" w:after="120"/>
              <w:textAlignment w:val="baseline"/>
              <w:rPr>
                <w:color w:val="000000"/>
              </w:rPr>
            </w:pPr>
            <w:r w:rsidRPr="00BA50EA">
              <w:rPr>
                <w:color w:val="000000"/>
              </w:rPr>
              <w:t>Priuštivost cijene vode kućanstvima (mjesečni izdatak kućanstva za vodne usluge u odnosu na prosječni mjesečni neto raspoloživi dohodak kućanstva na uslužnom području)</w:t>
            </w:r>
          </w:p>
        </w:tc>
        <w:tc>
          <w:tcPr>
            <w:tcW w:w="698" w:type="pct"/>
            <w:shd w:val="clear" w:color="auto" w:fill="auto"/>
            <w:vAlign w:val="center"/>
          </w:tcPr>
          <w:p w14:paraId="56379ED2" w14:textId="77777777" w:rsidR="00BA50EA" w:rsidRPr="00BA50EA" w:rsidRDefault="00BA50EA" w:rsidP="00BA50EA">
            <w:pPr>
              <w:shd w:val="clear" w:color="auto" w:fill="FFFFFF"/>
              <w:spacing w:before="120" w:after="120"/>
              <w:jc w:val="center"/>
              <w:textAlignment w:val="baseline"/>
              <w:rPr>
                <w:color w:val="000000"/>
              </w:rPr>
            </w:pPr>
            <w:r w:rsidRPr="00BA50EA">
              <w:rPr>
                <w:color w:val="000000"/>
              </w:rPr>
              <w:t>%</w:t>
            </w:r>
          </w:p>
        </w:tc>
      </w:tr>
    </w:tbl>
    <w:p w14:paraId="31F3584D" w14:textId="77777777" w:rsidR="00BA50EA" w:rsidRPr="00BA50EA" w:rsidRDefault="00BA50EA" w:rsidP="00BA50EA">
      <w:pPr>
        <w:shd w:val="clear" w:color="auto" w:fill="FFFFFF"/>
        <w:spacing w:before="120" w:after="225"/>
        <w:ind w:firstLine="425"/>
        <w:jc w:val="both"/>
        <w:textAlignment w:val="baseline"/>
        <w:rPr>
          <w:color w:val="000000"/>
        </w:rPr>
      </w:pPr>
    </w:p>
    <w:p w14:paraId="5F8F3CF1" w14:textId="77777777" w:rsidR="00BA50EA" w:rsidRPr="00BA50EA" w:rsidRDefault="00BA50EA" w:rsidP="004B722B">
      <w:pPr>
        <w:keepNext/>
        <w:keepLines/>
        <w:spacing w:before="120" w:after="120"/>
        <w:jc w:val="center"/>
        <w:outlineLvl w:val="2"/>
        <w:rPr>
          <w:rFonts w:cstheme="majorBidi"/>
        </w:rPr>
      </w:pPr>
      <w:r w:rsidRPr="00BA50EA">
        <w:rPr>
          <w:rFonts w:cstheme="majorBidi"/>
        </w:rPr>
        <w:t>Skupina 5. POKAZATELJI ENERGETSKE UČINKOVITOSTI</w:t>
      </w:r>
    </w:p>
    <w:tbl>
      <w:tblPr>
        <w:tblW w:w="5000" w:type="pct"/>
        <w:tblInd w:w="-5" w:type="dxa"/>
        <w:tblLook w:val="04A0" w:firstRow="1" w:lastRow="0" w:firstColumn="1" w:lastColumn="0" w:noHBand="0" w:noVBand="1"/>
      </w:tblPr>
      <w:tblGrid>
        <w:gridCol w:w="881"/>
        <w:gridCol w:w="6916"/>
        <w:gridCol w:w="1265"/>
      </w:tblGrid>
      <w:tr w:rsidR="00BA50EA" w:rsidRPr="00BA50EA" w14:paraId="0974577D" w14:textId="77777777" w:rsidTr="00BA50EA">
        <w:trPr>
          <w:trHeight w:val="20"/>
        </w:trPr>
        <w:tc>
          <w:tcPr>
            <w:tcW w:w="486" w:type="pct"/>
            <w:tcBorders>
              <w:top w:val="single" w:sz="4" w:space="0" w:color="808080"/>
              <w:left w:val="single" w:sz="4" w:space="0" w:color="808080"/>
              <w:bottom w:val="single" w:sz="4" w:space="0" w:color="808080"/>
              <w:right w:val="single" w:sz="4" w:space="0" w:color="808080"/>
            </w:tcBorders>
            <w:shd w:val="clear" w:color="000000" w:fill="D9D9D9"/>
            <w:noWrap/>
            <w:vAlign w:val="center"/>
          </w:tcPr>
          <w:p w14:paraId="1521C185" w14:textId="77777777" w:rsidR="00BA50EA" w:rsidRPr="00BA50EA" w:rsidRDefault="00BA50EA" w:rsidP="00BA50EA">
            <w:pPr>
              <w:spacing w:before="120" w:after="120"/>
              <w:jc w:val="center"/>
              <w:rPr>
                <w:b/>
                <w:bCs/>
              </w:rPr>
            </w:pPr>
            <w:r w:rsidRPr="00BA50EA">
              <w:rPr>
                <w:b/>
                <w:bCs/>
              </w:rPr>
              <w:t>Broj</w:t>
            </w:r>
          </w:p>
        </w:tc>
        <w:tc>
          <w:tcPr>
            <w:tcW w:w="3816" w:type="pct"/>
            <w:tcBorders>
              <w:top w:val="single" w:sz="4" w:space="0" w:color="808080"/>
              <w:left w:val="single" w:sz="4" w:space="0" w:color="808080"/>
              <w:bottom w:val="single" w:sz="4" w:space="0" w:color="808080"/>
              <w:right w:val="single" w:sz="4" w:space="0" w:color="808080"/>
            </w:tcBorders>
            <w:shd w:val="clear" w:color="000000" w:fill="D9D9D9"/>
            <w:vAlign w:val="center"/>
          </w:tcPr>
          <w:p w14:paraId="4B09C83C" w14:textId="77777777" w:rsidR="00BA50EA" w:rsidRPr="00BA50EA" w:rsidRDefault="00BA50EA" w:rsidP="00BA50EA">
            <w:pPr>
              <w:spacing w:before="120" w:after="120"/>
              <w:jc w:val="center"/>
              <w:rPr>
                <w:b/>
                <w:bCs/>
              </w:rPr>
            </w:pPr>
            <w:r w:rsidRPr="00BA50EA">
              <w:rPr>
                <w:b/>
                <w:bCs/>
              </w:rPr>
              <w:t>Ključni pokazatelji</w:t>
            </w:r>
          </w:p>
        </w:tc>
        <w:tc>
          <w:tcPr>
            <w:tcW w:w="698" w:type="pct"/>
            <w:tcBorders>
              <w:top w:val="single" w:sz="4" w:space="0" w:color="808080"/>
              <w:left w:val="single" w:sz="4" w:space="0" w:color="808080"/>
              <w:bottom w:val="single" w:sz="4" w:space="0" w:color="808080"/>
              <w:right w:val="single" w:sz="4" w:space="0" w:color="808080"/>
            </w:tcBorders>
            <w:shd w:val="clear" w:color="000000" w:fill="D9D9D9"/>
            <w:vAlign w:val="center"/>
          </w:tcPr>
          <w:p w14:paraId="5153731F" w14:textId="77777777" w:rsidR="00BA50EA" w:rsidRPr="00BA50EA" w:rsidRDefault="00BA50EA" w:rsidP="00BA50EA">
            <w:pPr>
              <w:spacing w:before="120" w:after="120"/>
              <w:contextualSpacing/>
              <w:jc w:val="center"/>
              <w:rPr>
                <w:b/>
                <w:bCs/>
              </w:rPr>
            </w:pPr>
            <w:r w:rsidRPr="00BA50EA">
              <w:rPr>
                <w:b/>
                <w:bCs/>
              </w:rPr>
              <w:t>Mjerilo</w:t>
            </w:r>
          </w:p>
        </w:tc>
      </w:tr>
      <w:tr w:rsidR="00BA50EA" w:rsidRPr="00BA50EA" w14:paraId="5DD4955E" w14:textId="77777777" w:rsidTr="00BA50EA">
        <w:trPr>
          <w:trHeight w:val="20"/>
        </w:trPr>
        <w:tc>
          <w:tcPr>
            <w:tcW w:w="486"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4D071D" w14:textId="77777777" w:rsidR="00BA50EA" w:rsidRPr="00BA50EA" w:rsidRDefault="00BA50EA" w:rsidP="00BA50EA">
            <w:pPr>
              <w:spacing w:before="120" w:after="120"/>
              <w:jc w:val="center"/>
              <w:rPr>
                <w:b/>
                <w:bCs/>
              </w:rPr>
            </w:pPr>
            <w:r w:rsidRPr="00BA50EA">
              <w:rPr>
                <w:b/>
                <w:bCs/>
              </w:rPr>
              <w:t>69</w:t>
            </w:r>
          </w:p>
        </w:tc>
        <w:tc>
          <w:tcPr>
            <w:tcW w:w="3816" w:type="pct"/>
            <w:tcBorders>
              <w:top w:val="single" w:sz="4" w:space="0" w:color="808080"/>
              <w:left w:val="nil"/>
              <w:bottom w:val="single" w:sz="4" w:space="0" w:color="808080"/>
              <w:right w:val="single" w:sz="4" w:space="0" w:color="808080"/>
            </w:tcBorders>
            <w:shd w:val="clear" w:color="auto" w:fill="auto"/>
            <w:vAlign w:val="center"/>
            <w:hideMark/>
          </w:tcPr>
          <w:p w14:paraId="5916BFEC" w14:textId="77777777" w:rsidR="00BA50EA" w:rsidRPr="00BA50EA" w:rsidRDefault="00BA50EA" w:rsidP="00BA50EA">
            <w:pPr>
              <w:spacing w:before="120" w:after="120"/>
            </w:pPr>
            <w:r w:rsidRPr="00BA50EA">
              <w:t>Jedinična potrošnja energije na UPOV-ima u odnosu na količinu pročišćene otpadne vode</w:t>
            </w:r>
          </w:p>
        </w:tc>
        <w:tc>
          <w:tcPr>
            <w:tcW w:w="698" w:type="pct"/>
            <w:tcBorders>
              <w:top w:val="single" w:sz="4" w:space="0" w:color="808080"/>
              <w:left w:val="nil"/>
              <w:bottom w:val="single" w:sz="4" w:space="0" w:color="808080"/>
              <w:right w:val="single" w:sz="4" w:space="0" w:color="808080"/>
            </w:tcBorders>
            <w:shd w:val="clear" w:color="auto" w:fill="auto"/>
            <w:vAlign w:val="center"/>
            <w:hideMark/>
          </w:tcPr>
          <w:p w14:paraId="58CD9926" w14:textId="77777777" w:rsidR="00BA50EA" w:rsidRPr="00BA50EA" w:rsidRDefault="00BA50EA" w:rsidP="00BA50EA">
            <w:pPr>
              <w:spacing w:before="120" w:after="120"/>
              <w:contextualSpacing/>
              <w:jc w:val="center"/>
            </w:pPr>
            <w:r w:rsidRPr="00BA50EA">
              <w:t>kWh/m</w:t>
            </w:r>
            <w:r w:rsidRPr="00BA50EA">
              <w:rPr>
                <w:vertAlign w:val="superscript"/>
              </w:rPr>
              <w:t>3</w:t>
            </w:r>
            <w:r w:rsidRPr="00BA50EA">
              <w:t>/</w:t>
            </w:r>
          </w:p>
          <w:p w14:paraId="62792D88" w14:textId="77777777" w:rsidR="00BA50EA" w:rsidRPr="00BA50EA" w:rsidRDefault="00BA50EA" w:rsidP="00BA50EA">
            <w:pPr>
              <w:spacing w:before="120" w:after="120"/>
              <w:contextualSpacing/>
              <w:jc w:val="center"/>
            </w:pPr>
            <w:r w:rsidRPr="00BA50EA">
              <w:t>godišnje</w:t>
            </w:r>
          </w:p>
        </w:tc>
      </w:tr>
      <w:tr w:rsidR="00BA50EA" w:rsidRPr="00BA50EA" w14:paraId="35534DAB" w14:textId="77777777" w:rsidTr="00BA50EA">
        <w:trPr>
          <w:trHeight w:val="20"/>
        </w:trPr>
        <w:tc>
          <w:tcPr>
            <w:tcW w:w="486" w:type="pct"/>
            <w:tcBorders>
              <w:top w:val="nil"/>
              <w:left w:val="single" w:sz="4" w:space="0" w:color="808080"/>
              <w:bottom w:val="single" w:sz="4" w:space="0" w:color="808080"/>
              <w:right w:val="single" w:sz="4" w:space="0" w:color="808080"/>
            </w:tcBorders>
            <w:shd w:val="clear" w:color="auto" w:fill="auto"/>
            <w:noWrap/>
            <w:vAlign w:val="center"/>
            <w:hideMark/>
          </w:tcPr>
          <w:p w14:paraId="3F73249E" w14:textId="77777777" w:rsidR="00BA50EA" w:rsidRPr="00BA50EA" w:rsidRDefault="00BA50EA" w:rsidP="00BA50EA">
            <w:pPr>
              <w:spacing w:before="120" w:after="120"/>
              <w:jc w:val="center"/>
              <w:rPr>
                <w:b/>
                <w:bCs/>
              </w:rPr>
            </w:pPr>
            <w:r w:rsidRPr="00BA50EA">
              <w:rPr>
                <w:b/>
                <w:bCs/>
              </w:rPr>
              <w:t>70</w:t>
            </w:r>
          </w:p>
        </w:tc>
        <w:tc>
          <w:tcPr>
            <w:tcW w:w="3816" w:type="pct"/>
            <w:tcBorders>
              <w:top w:val="nil"/>
              <w:left w:val="nil"/>
              <w:bottom w:val="single" w:sz="4" w:space="0" w:color="808080"/>
              <w:right w:val="single" w:sz="4" w:space="0" w:color="808080"/>
            </w:tcBorders>
            <w:shd w:val="clear" w:color="auto" w:fill="auto"/>
            <w:vAlign w:val="center"/>
            <w:hideMark/>
          </w:tcPr>
          <w:p w14:paraId="3F50A9B3" w14:textId="77777777" w:rsidR="00BA50EA" w:rsidRPr="00BA50EA" w:rsidRDefault="00BA50EA" w:rsidP="00BA50EA">
            <w:pPr>
              <w:spacing w:before="120" w:after="120"/>
            </w:pPr>
            <w:r w:rsidRPr="00BA50EA">
              <w:t>Jedinična potrošnja energije na uređajima za kondicioniranje vode</w:t>
            </w:r>
            <w:r w:rsidRPr="00BA50EA" w:rsidDel="00831961">
              <w:t xml:space="preserve"> </w:t>
            </w:r>
            <w:r w:rsidRPr="00BA50EA">
              <w:t>u odnosu na količinu dobavljene vode</w:t>
            </w:r>
          </w:p>
        </w:tc>
        <w:tc>
          <w:tcPr>
            <w:tcW w:w="698" w:type="pct"/>
            <w:tcBorders>
              <w:top w:val="nil"/>
              <w:left w:val="nil"/>
              <w:bottom w:val="single" w:sz="4" w:space="0" w:color="808080"/>
              <w:right w:val="single" w:sz="4" w:space="0" w:color="808080"/>
            </w:tcBorders>
            <w:shd w:val="clear" w:color="auto" w:fill="auto"/>
            <w:vAlign w:val="center"/>
            <w:hideMark/>
          </w:tcPr>
          <w:p w14:paraId="148B0BE0" w14:textId="77777777" w:rsidR="00BA50EA" w:rsidRPr="00BA50EA" w:rsidRDefault="00BA50EA" w:rsidP="00BA50EA">
            <w:pPr>
              <w:spacing w:before="120" w:after="120"/>
              <w:contextualSpacing/>
              <w:jc w:val="center"/>
            </w:pPr>
            <w:r w:rsidRPr="00BA50EA">
              <w:t>kWh/m</w:t>
            </w:r>
            <w:r w:rsidRPr="00BA50EA">
              <w:rPr>
                <w:vertAlign w:val="superscript"/>
              </w:rPr>
              <w:t>3</w:t>
            </w:r>
          </w:p>
        </w:tc>
      </w:tr>
      <w:tr w:rsidR="00BA50EA" w:rsidRPr="00BA50EA" w14:paraId="66299F16" w14:textId="77777777" w:rsidTr="00BA50EA">
        <w:trPr>
          <w:trHeight w:val="20"/>
        </w:trPr>
        <w:tc>
          <w:tcPr>
            <w:tcW w:w="486" w:type="pct"/>
            <w:tcBorders>
              <w:top w:val="nil"/>
              <w:left w:val="single" w:sz="4" w:space="0" w:color="808080"/>
              <w:bottom w:val="single" w:sz="4" w:space="0" w:color="808080"/>
              <w:right w:val="single" w:sz="4" w:space="0" w:color="808080"/>
            </w:tcBorders>
            <w:shd w:val="clear" w:color="auto" w:fill="auto"/>
            <w:noWrap/>
            <w:vAlign w:val="center"/>
            <w:hideMark/>
          </w:tcPr>
          <w:p w14:paraId="57D762ED" w14:textId="77777777" w:rsidR="00BA50EA" w:rsidRPr="00BA50EA" w:rsidRDefault="00BA50EA" w:rsidP="00BA50EA">
            <w:pPr>
              <w:spacing w:before="120" w:after="120"/>
              <w:jc w:val="center"/>
              <w:rPr>
                <w:b/>
                <w:bCs/>
              </w:rPr>
            </w:pPr>
            <w:r w:rsidRPr="00BA50EA">
              <w:rPr>
                <w:b/>
                <w:bCs/>
              </w:rPr>
              <w:t>71</w:t>
            </w:r>
          </w:p>
        </w:tc>
        <w:tc>
          <w:tcPr>
            <w:tcW w:w="3816" w:type="pct"/>
            <w:tcBorders>
              <w:top w:val="nil"/>
              <w:left w:val="nil"/>
              <w:bottom w:val="single" w:sz="4" w:space="0" w:color="808080"/>
              <w:right w:val="single" w:sz="4" w:space="0" w:color="808080"/>
            </w:tcBorders>
            <w:shd w:val="clear" w:color="auto" w:fill="auto"/>
            <w:vAlign w:val="center"/>
            <w:hideMark/>
          </w:tcPr>
          <w:p w14:paraId="7CFAF4B6" w14:textId="77777777" w:rsidR="00BA50EA" w:rsidRPr="00BA50EA" w:rsidRDefault="00BA50EA" w:rsidP="00BA50EA">
            <w:pPr>
              <w:spacing w:before="120" w:after="120"/>
            </w:pPr>
            <w:r w:rsidRPr="00BA50EA">
              <w:t>Jedinična potrošnja električne energije u sustavu javne vodoopskrbe u odnosu na ukupnu količinu dobavljene vode</w:t>
            </w:r>
          </w:p>
        </w:tc>
        <w:tc>
          <w:tcPr>
            <w:tcW w:w="698" w:type="pct"/>
            <w:tcBorders>
              <w:top w:val="nil"/>
              <w:left w:val="nil"/>
              <w:bottom w:val="single" w:sz="4" w:space="0" w:color="808080"/>
              <w:right w:val="single" w:sz="4" w:space="0" w:color="808080"/>
            </w:tcBorders>
            <w:shd w:val="clear" w:color="auto" w:fill="auto"/>
            <w:vAlign w:val="center"/>
            <w:hideMark/>
          </w:tcPr>
          <w:p w14:paraId="428AE96C" w14:textId="77777777" w:rsidR="00BA50EA" w:rsidRPr="00BA50EA" w:rsidRDefault="00BA50EA" w:rsidP="00BA50EA">
            <w:pPr>
              <w:spacing w:before="120" w:after="120"/>
              <w:contextualSpacing/>
              <w:jc w:val="center"/>
            </w:pPr>
            <w:r w:rsidRPr="00BA50EA">
              <w:t>kWh/m</w:t>
            </w:r>
            <w:r w:rsidRPr="00BA50EA">
              <w:rPr>
                <w:vertAlign w:val="superscript"/>
              </w:rPr>
              <w:t>3</w:t>
            </w:r>
          </w:p>
        </w:tc>
      </w:tr>
      <w:tr w:rsidR="00BA50EA" w:rsidRPr="00BA50EA" w14:paraId="339CCF69" w14:textId="77777777" w:rsidTr="00BA50EA">
        <w:trPr>
          <w:trHeight w:val="20"/>
        </w:trPr>
        <w:tc>
          <w:tcPr>
            <w:tcW w:w="486" w:type="pct"/>
            <w:tcBorders>
              <w:top w:val="nil"/>
              <w:left w:val="single" w:sz="4" w:space="0" w:color="808080"/>
              <w:bottom w:val="single" w:sz="4" w:space="0" w:color="808080"/>
              <w:right w:val="single" w:sz="4" w:space="0" w:color="808080"/>
            </w:tcBorders>
            <w:shd w:val="clear" w:color="auto" w:fill="auto"/>
            <w:noWrap/>
            <w:vAlign w:val="center"/>
            <w:hideMark/>
          </w:tcPr>
          <w:p w14:paraId="65C8FA70" w14:textId="77777777" w:rsidR="00BA50EA" w:rsidRPr="00BA50EA" w:rsidRDefault="00BA50EA" w:rsidP="00BA50EA">
            <w:pPr>
              <w:spacing w:before="120" w:after="120"/>
              <w:jc w:val="center"/>
              <w:rPr>
                <w:b/>
                <w:bCs/>
              </w:rPr>
            </w:pPr>
            <w:r w:rsidRPr="00BA50EA">
              <w:rPr>
                <w:b/>
                <w:bCs/>
              </w:rPr>
              <w:t>72</w:t>
            </w:r>
          </w:p>
        </w:tc>
        <w:tc>
          <w:tcPr>
            <w:tcW w:w="3816" w:type="pct"/>
            <w:tcBorders>
              <w:top w:val="nil"/>
              <w:left w:val="nil"/>
              <w:bottom w:val="single" w:sz="4" w:space="0" w:color="808080"/>
              <w:right w:val="single" w:sz="4" w:space="0" w:color="808080"/>
            </w:tcBorders>
            <w:shd w:val="clear" w:color="auto" w:fill="auto"/>
            <w:vAlign w:val="center"/>
            <w:hideMark/>
          </w:tcPr>
          <w:p w14:paraId="6A3C86A8" w14:textId="77777777" w:rsidR="00BA50EA" w:rsidRPr="00BA50EA" w:rsidRDefault="00BA50EA" w:rsidP="00BA50EA">
            <w:pPr>
              <w:spacing w:before="120" w:after="120"/>
            </w:pPr>
            <w:r w:rsidRPr="00BA50EA">
              <w:t>Jedinična potrošnja električne energije u sustavu javne odvodnje u odnosu na ukupnu količinu ispuštene otpadne vode</w:t>
            </w:r>
          </w:p>
        </w:tc>
        <w:tc>
          <w:tcPr>
            <w:tcW w:w="698" w:type="pct"/>
            <w:tcBorders>
              <w:top w:val="nil"/>
              <w:left w:val="nil"/>
              <w:bottom w:val="single" w:sz="4" w:space="0" w:color="808080"/>
              <w:right w:val="single" w:sz="4" w:space="0" w:color="808080"/>
            </w:tcBorders>
            <w:shd w:val="clear" w:color="auto" w:fill="auto"/>
            <w:vAlign w:val="center"/>
            <w:hideMark/>
          </w:tcPr>
          <w:p w14:paraId="2F06D16B" w14:textId="77777777" w:rsidR="00BA50EA" w:rsidRPr="00BA50EA" w:rsidRDefault="00BA50EA" w:rsidP="00BA50EA">
            <w:pPr>
              <w:spacing w:before="120" w:after="120"/>
              <w:contextualSpacing/>
              <w:jc w:val="center"/>
            </w:pPr>
            <w:r w:rsidRPr="00BA50EA">
              <w:t>kWh/m</w:t>
            </w:r>
            <w:r w:rsidRPr="00BA50EA">
              <w:rPr>
                <w:vertAlign w:val="superscript"/>
              </w:rPr>
              <w:t>3</w:t>
            </w:r>
          </w:p>
        </w:tc>
      </w:tr>
      <w:tr w:rsidR="00BA50EA" w:rsidRPr="00BA50EA" w14:paraId="2228BECF" w14:textId="77777777" w:rsidTr="00BA50EA">
        <w:trPr>
          <w:trHeight w:val="20"/>
        </w:trPr>
        <w:tc>
          <w:tcPr>
            <w:tcW w:w="486" w:type="pct"/>
            <w:tcBorders>
              <w:top w:val="nil"/>
              <w:left w:val="single" w:sz="4" w:space="0" w:color="808080"/>
              <w:bottom w:val="single" w:sz="4" w:space="0" w:color="808080"/>
              <w:right w:val="single" w:sz="4" w:space="0" w:color="808080"/>
            </w:tcBorders>
            <w:shd w:val="clear" w:color="auto" w:fill="auto"/>
            <w:noWrap/>
            <w:vAlign w:val="center"/>
            <w:hideMark/>
          </w:tcPr>
          <w:p w14:paraId="21CDCB4F" w14:textId="77777777" w:rsidR="00BA50EA" w:rsidRPr="00BA50EA" w:rsidRDefault="00BA50EA" w:rsidP="00BA50EA">
            <w:pPr>
              <w:spacing w:before="120" w:after="120"/>
              <w:jc w:val="center"/>
              <w:rPr>
                <w:b/>
                <w:bCs/>
              </w:rPr>
            </w:pPr>
            <w:r w:rsidRPr="00BA50EA">
              <w:rPr>
                <w:b/>
                <w:bCs/>
              </w:rPr>
              <w:t>73</w:t>
            </w:r>
          </w:p>
        </w:tc>
        <w:tc>
          <w:tcPr>
            <w:tcW w:w="3816" w:type="pct"/>
            <w:tcBorders>
              <w:top w:val="nil"/>
              <w:left w:val="nil"/>
              <w:bottom w:val="single" w:sz="4" w:space="0" w:color="808080"/>
              <w:right w:val="single" w:sz="4" w:space="0" w:color="808080"/>
            </w:tcBorders>
            <w:shd w:val="clear" w:color="auto" w:fill="auto"/>
            <w:vAlign w:val="center"/>
            <w:hideMark/>
          </w:tcPr>
          <w:p w14:paraId="6EFD5935" w14:textId="77777777" w:rsidR="00BA50EA" w:rsidRPr="00BA50EA" w:rsidRDefault="00BA50EA" w:rsidP="00BA50EA">
            <w:pPr>
              <w:spacing w:before="120" w:after="120"/>
            </w:pPr>
            <w:r w:rsidRPr="00BA50EA">
              <w:t>Udio potrošnje samostalno proizvedene električne energije u odnosu na ukupnu potrošenu električnu energiju godišnje (vodoopskrba i odvodnja i pročišćavanje otpadnih voda)</w:t>
            </w:r>
          </w:p>
        </w:tc>
        <w:tc>
          <w:tcPr>
            <w:tcW w:w="698" w:type="pct"/>
            <w:tcBorders>
              <w:top w:val="nil"/>
              <w:left w:val="nil"/>
              <w:bottom w:val="single" w:sz="4" w:space="0" w:color="808080"/>
              <w:right w:val="single" w:sz="4" w:space="0" w:color="808080"/>
            </w:tcBorders>
            <w:shd w:val="clear" w:color="auto" w:fill="auto"/>
            <w:vAlign w:val="center"/>
            <w:hideMark/>
          </w:tcPr>
          <w:p w14:paraId="08543959" w14:textId="77777777" w:rsidR="00BA50EA" w:rsidRPr="00BA50EA" w:rsidRDefault="00BA50EA" w:rsidP="00BA50EA">
            <w:pPr>
              <w:spacing w:before="120" w:after="120"/>
              <w:contextualSpacing/>
              <w:jc w:val="center"/>
            </w:pPr>
            <w:r w:rsidRPr="00BA50EA">
              <w:t>%</w:t>
            </w:r>
          </w:p>
        </w:tc>
      </w:tr>
    </w:tbl>
    <w:p w14:paraId="102CDCE0" w14:textId="77777777" w:rsidR="00BA50EA" w:rsidRPr="00BA50EA" w:rsidRDefault="00BA50EA" w:rsidP="00BA50EA">
      <w:pPr>
        <w:spacing w:before="120" w:after="120"/>
        <w:ind w:firstLine="425"/>
        <w:jc w:val="both"/>
        <w:rPr>
          <w:color w:val="000000"/>
        </w:rPr>
      </w:pPr>
    </w:p>
    <w:p w14:paraId="24223067" w14:textId="77777777" w:rsidR="00BA50EA" w:rsidRPr="00BA50EA" w:rsidRDefault="00BA50EA" w:rsidP="004B722B">
      <w:pPr>
        <w:keepNext/>
        <w:keepLines/>
        <w:spacing w:before="120" w:after="120"/>
        <w:jc w:val="center"/>
        <w:outlineLvl w:val="2"/>
        <w:rPr>
          <w:rFonts w:cstheme="majorBidi"/>
        </w:rPr>
      </w:pPr>
      <w:r w:rsidRPr="00BA50EA">
        <w:rPr>
          <w:rFonts w:cstheme="majorBidi"/>
        </w:rPr>
        <w:t>Skupina 6. POKAZATELJI UPRAVLJANJA IMOVINOM</w:t>
      </w:r>
    </w:p>
    <w:tbl>
      <w:tblPr>
        <w:tblW w:w="5000" w:type="pct"/>
        <w:tblInd w:w="-5" w:type="dxa"/>
        <w:tblLook w:val="04A0" w:firstRow="1" w:lastRow="0" w:firstColumn="1" w:lastColumn="0" w:noHBand="0" w:noVBand="1"/>
      </w:tblPr>
      <w:tblGrid>
        <w:gridCol w:w="849"/>
        <w:gridCol w:w="6943"/>
        <w:gridCol w:w="1270"/>
      </w:tblGrid>
      <w:tr w:rsidR="00BA50EA" w:rsidRPr="00BA50EA" w14:paraId="3260DA76" w14:textId="77777777" w:rsidTr="00BA50EA">
        <w:trPr>
          <w:trHeight w:val="20"/>
          <w:tblHeader/>
        </w:trPr>
        <w:tc>
          <w:tcPr>
            <w:tcW w:w="470" w:type="pct"/>
            <w:tcBorders>
              <w:top w:val="single" w:sz="4" w:space="0" w:color="808080"/>
              <w:left w:val="single" w:sz="4" w:space="0" w:color="808080"/>
              <w:bottom w:val="single" w:sz="4" w:space="0" w:color="808080"/>
              <w:right w:val="single" w:sz="4" w:space="0" w:color="808080"/>
            </w:tcBorders>
            <w:shd w:val="clear" w:color="000000" w:fill="D9D9D9"/>
            <w:noWrap/>
            <w:vAlign w:val="center"/>
          </w:tcPr>
          <w:p w14:paraId="4EA7ADA4" w14:textId="77777777" w:rsidR="00BA50EA" w:rsidRPr="00BA50EA" w:rsidRDefault="00BA50EA" w:rsidP="00BA50EA">
            <w:pPr>
              <w:spacing w:before="120" w:after="120"/>
              <w:jc w:val="center"/>
              <w:rPr>
                <w:b/>
                <w:bCs/>
              </w:rPr>
            </w:pPr>
            <w:r w:rsidRPr="00BA50EA">
              <w:rPr>
                <w:b/>
                <w:bCs/>
              </w:rPr>
              <w:t>Broj</w:t>
            </w:r>
          </w:p>
        </w:tc>
        <w:tc>
          <w:tcPr>
            <w:tcW w:w="3832" w:type="pct"/>
            <w:tcBorders>
              <w:top w:val="single" w:sz="4" w:space="0" w:color="808080"/>
              <w:left w:val="single" w:sz="4" w:space="0" w:color="808080"/>
              <w:bottom w:val="single" w:sz="4" w:space="0" w:color="808080"/>
              <w:right w:val="single" w:sz="4" w:space="0" w:color="808080"/>
            </w:tcBorders>
            <w:shd w:val="clear" w:color="000000" w:fill="D9D9D9"/>
            <w:vAlign w:val="center"/>
          </w:tcPr>
          <w:p w14:paraId="11BD5EB2" w14:textId="77777777" w:rsidR="00BA50EA" w:rsidRPr="00BA50EA" w:rsidRDefault="00BA50EA" w:rsidP="00BA50EA">
            <w:pPr>
              <w:spacing w:before="120" w:after="120"/>
              <w:jc w:val="center"/>
              <w:rPr>
                <w:b/>
                <w:bCs/>
              </w:rPr>
            </w:pPr>
            <w:r w:rsidRPr="00BA50EA">
              <w:rPr>
                <w:b/>
                <w:bCs/>
              </w:rPr>
              <w:t>Ključni pokazatelji</w:t>
            </w:r>
          </w:p>
        </w:tc>
        <w:tc>
          <w:tcPr>
            <w:tcW w:w="698" w:type="pct"/>
            <w:tcBorders>
              <w:top w:val="single" w:sz="4" w:space="0" w:color="808080"/>
              <w:left w:val="single" w:sz="4" w:space="0" w:color="808080"/>
              <w:bottom w:val="single" w:sz="4" w:space="0" w:color="808080"/>
              <w:right w:val="single" w:sz="4" w:space="0" w:color="808080"/>
            </w:tcBorders>
            <w:shd w:val="clear" w:color="000000" w:fill="D9D9D9"/>
            <w:vAlign w:val="center"/>
          </w:tcPr>
          <w:p w14:paraId="28E69EA5" w14:textId="77777777" w:rsidR="00BA50EA" w:rsidRPr="00BA50EA" w:rsidRDefault="00BA50EA" w:rsidP="00BA50EA">
            <w:pPr>
              <w:spacing w:before="120" w:after="120"/>
              <w:contextualSpacing/>
              <w:jc w:val="center"/>
              <w:rPr>
                <w:b/>
                <w:bCs/>
              </w:rPr>
            </w:pPr>
            <w:r w:rsidRPr="00BA50EA">
              <w:rPr>
                <w:b/>
                <w:bCs/>
              </w:rPr>
              <w:t>Mjerilo</w:t>
            </w:r>
          </w:p>
        </w:tc>
      </w:tr>
      <w:tr w:rsidR="00BA50EA" w:rsidRPr="00BA50EA" w14:paraId="0F88D459" w14:textId="77777777" w:rsidTr="00BA50EA">
        <w:trPr>
          <w:trHeight w:val="20"/>
        </w:trPr>
        <w:tc>
          <w:tcPr>
            <w:tcW w:w="470"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A9B563" w14:textId="77777777" w:rsidR="00BA50EA" w:rsidRPr="00BA50EA" w:rsidRDefault="00BA50EA" w:rsidP="00BA50EA">
            <w:pPr>
              <w:spacing w:before="120" w:after="120"/>
              <w:jc w:val="center"/>
              <w:rPr>
                <w:b/>
                <w:bCs/>
              </w:rPr>
            </w:pPr>
            <w:r w:rsidRPr="00BA50EA">
              <w:rPr>
                <w:b/>
                <w:bCs/>
              </w:rPr>
              <w:t>74</w:t>
            </w:r>
          </w:p>
        </w:tc>
        <w:tc>
          <w:tcPr>
            <w:tcW w:w="3832" w:type="pct"/>
            <w:tcBorders>
              <w:top w:val="single" w:sz="4" w:space="0" w:color="808080"/>
              <w:left w:val="nil"/>
              <w:bottom w:val="single" w:sz="4" w:space="0" w:color="808080"/>
              <w:right w:val="single" w:sz="4" w:space="0" w:color="808080"/>
            </w:tcBorders>
            <w:shd w:val="clear" w:color="auto" w:fill="auto"/>
            <w:vAlign w:val="center"/>
            <w:hideMark/>
          </w:tcPr>
          <w:p w14:paraId="31A06C9C" w14:textId="77777777" w:rsidR="00BA50EA" w:rsidRPr="00BA50EA" w:rsidRDefault="00BA50EA" w:rsidP="00BA50EA">
            <w:pPr>
              <w:spacing w:before="120" w:after="120"/>
            </w:pPr>
            <w:r w:rsidRPr="00BA50EA">
              <w:t>Bruto dugotrajna imovina – vodoopskrba i odvodnja (bruto vrijednost dugotrajne imovine u odnosu na broj stanovnika koji koriste vodne usluge)</w:t>
            </w:r>
          </w:p>
        </w:tc>
        <w:tc>
          <w:tcPr>
            <w:tcW w:w="698" w:type="pct"/>
            <w:tcBorders>
              <w:top w:val="single" w:sz="4" w:space="0" w:color="808080"/>
              <w:left w:val="nil"/>
              <w:bottom w:val="single" w:sz="4" w:space="0" w:color="808080"/>
              <w:right w:val="single" w:sz="4" w:space="0" w:color="808080"/>
            </w:tcBorders>
            <w:shd w:val="clear" w:color="auto" w:fill="auto"/>
            <w:vAlign w:val="center"/>
            <w:hideMark/>
          </w:tcPr>
          <w:p w14:paraId="727367BF" w14:textId="77777777" w:rsidR="00BA50EA" w:rsidRPr="00BA50EA" w:rsidRDefault="00BA50EA" w:rsidP="00BA50EA">
            <w:pPr>
              <w:spacing w:before="120" w:after="120"/>
              <w:contextualSpacing/>
              <w:jc w:val="center"/>
            </w:pPr>
            <w:r w:rsidRPr="00BA50EA">
              <w:t>euro/</w:t>
            </w:r>
          </w:p>
          <w:p w14:paraId="50600ABD" w14:textId="77777777" w:rsidR="00BA50EA" w:rsidRPr="00BA50EA" w:rsidRDefault="00BA50EA" w:rsidP="00BA50EA">
            <w:pPr>
              <w:spacing w:before="120" w:after="120"/>
              <w:contextualSpacing/>
              <w:jc w:val="center"/>
            </w:pPr>
            <w:r w:rsidRPr="00BA50EA">
              <w:t xml:space="preserve">stanovniku </w:t>
            </w:r>
          </w:p>
        </w:tc>
      </w:tr>
      <w:tr w:rsidR="00BA50EA" w:rsidRPr="00BA50EA" w14:paraId="20D18436" w14:textId="77777777" w:rsidTr="00BA50EA">
        <w:trPr>
          <w:trHeight w:val="20"/>
        </w:trPr>
        <w:tc>
          <w:tcPr>
            <w:tcW w:w="470" w:type="pct"/>
            <w:tcBorders>
              <w:top w:val="nil"/>
              <w:left w:val="single" w:sz="4" w:space="0" w:color="808080"/>
              <w:bottom w:val="single" w:sz="4" w:space="0" w:color="808080"/>
              <w:right w:val="single" w:sz="4" w:space="0" w:color="808080"/>
            </w:tcBorders>
            <w:shd w:val="clear" w:color="auto" w:fill="auto"/>
            <w:noWrap/>
            <w:vAlign w:val="center"/>
            <w:hideMark/>
          </w:tcPr>
          <w:p w14:paraId="0F470C16" w14:textId="77777777" w:rsidR="00BA50EA" w:rsidRPr="00BA50EA" w:rsidRDefault="00BA50EA" w:rsidP="00BA50EA">
            <w:pPr>
              <w:spacing w:before="120" w:after="120"/>
              <w:jc w:val="center"/>
              <w:rPr>
                <w:b/>
                <w:bCs/>
              </w:rPr>
            </w:pPr>
            <w:r w:rsidRPr="00BA50EA">
              <w:rPr>
                <w:b/>
                <w:bCs/>
              </w:rPr>
              <w:t>75</w:t>
            </w:r>
          </w:p>
        </w:tc>
        <w:tc>
          <w:tcPr>
            <w:tcW w:w="3832" w:type="pct"/>
            <w:tcBorders>
              <w:top w:val="nil"/>
              <w:left w:val="nil"/>
              <w:bottom w:val="single" w:sz="4" w:space="0" w:color="808080"/>
              <w:right w:val="single" w:sz="4" w:space="0" w:color="808080"/>
            </w:tcBorders>
            <w:shd w:val="clear" w:color="auto" w:fill="auto"/>
            <w:vAlign w:val="center"/>
            <w:hideMark/>
          </w:tcPr>
          <w:p w14:paraId="33A772D9" w14:textId="77777777" w:rsidR="00BA50EA" w:rsidRPr="00BA50EA" w:rsidRDefault="00BA50EA" w:rsidP="00BA50EA">
            <w:pPr>
              <w:spacing w:before="120" w:after="120"/>
            </w:pPr>
            <w:r w:rsidRPr="00BA50EA">
              <w:t xml:space="preserve">Bruto dugotrajna imovina – vodoopskrba </w:t>
            </w:r>
          </w:p>
        </w:tc>
        <w:tc>
          <w:tcPr>
            <w:tcW w:w="698" w:type="pct"/>
            <w:tcBorders>
              <w:top w:val="nil"/>
              <w:left w:val="nil"/>
              <w:bottom w:val="single" w:sz="4" w:space="0" w:color="808080"/>
              <w:right w:val="single" w:sz="4" w:space="0" w:color="808080"/>
            </w:tcBorders>
            <w:shd w:val="clear" w:color="auto" w:fill="auto"/>
            <w:vAlign w:val="center"/>
            <w:hideMark/>
          </w:tcPr>
          <w:p w14:paraId="39EDB3EB" w14:textId="77777777" w:rsidR="00BA50EA" w:rsidRPr="00BA50EA" w:rsidRDefault="00BA50EA" w:rsidP="00BA50EA">
            <w:pPr>
              <w:spacing w:before="120" w:after="120"/>
              <w:contextualSpacing/>
              <w:jc w:val="center"/>
            </w:pPr>
            <w:r w:rsidRPr="00BA50EA">
              <w:t>euro/</w:t>
            </w:r>
          </w:p>
          <w:p w14:paraId="6F1C03FA" w14:textId="77777777" w:rsidR="00BA50EA" w:rsidRPr="00BA50EA" w:rsidRDefault="00BA50EA" w:rsidP="00BA50EA">
            <w:pPr>
              <w:spacing w:before="120" w:after="120"/>
              <w:contextualSpacing/>
              <w:jc w:val="center"/>
            </w:pPr>
            <w:r w:rsidRPr="00BA50EA">
              <w:t>stanovniku</w:t>
            </w:r>
          </w:p>
        </w:tc>
      </w:tr>
      <w:tr w:rsidR="00BA50EA" w:rsidRPr="00BA50EA" w14:paraId="256B7BB0" w14:textId="77777777" w:rsidTr="00BA50EA">
        <w:trPr>
          <w:trHeight w:val="20"/>
        </w:trPr>
        <w:tc>
          <w:tcPr>
            <w:tcW w:w="470" w:type="pct"/>
            <w:tcBorders>
              <w:top w:val="nil"/>
              <w:left w:val="single" w:sz="4" w:space="0" w:color="808080"/>
              <w:bottom w:val="single" w:sz="4" w:space="0" w:color="808080"/>
              <w:right w:val="single" w:sz="4" w:space="0" w:color="808080"/>
            </w:tcBorders>
            <w:shd w:val="clear" w:color="auto" w:fill="auto"/>
            <w:noWrap/>
            <w:vAlign w:val="center"/>
            <w:hideMark/>
          </w:tcPr>
          <w:p w14:paraId="20C9BECC" w14:textId="77777777" w:rsidR="00BA50EA" w:rsidRPr="00BA50EA" w:rsidRDefault="00BA50EA" w:rsidP="00BA50EA">
            <w:pPr>
              <w:spacing w:before="120" w:after="120"/>
              <w:jc w:val="center"/>
              <w:rPr>
                <w:b/>
                <w:bCs/>
              </w:rPr>
            </w:pPr>
            <w:r w:rsidRPr="00BA50EA">
              <w:rPr>
                <w:b/>
                <w:bCs/>
              </w:rPr>
              <w:t>76</w:t>
            </w:r>
          </w:p>
        </w:tc>
        <w:tc>
          <w:tcPr>
            <w:tcW w:w="3832" w:type="pct"/>
            <w:tcBorders>
              <w:top w:val="nil"/>
              <w:left w:val="nil"/>
              <w:bottom w:val="single" w:sz="4" w:space="0" w:color="808080"/>
              <w:right w:val="single" w:sz="4" w:space="0" w:color="808080"/>
            </w:tcBorders>
            <w:shd w:val="clear" w:color="auto" w:fill="auto"/>
            <w:vAlign w:val="center"/>
            <w:hideMark/>
          </w:tcPr>
          <w:p w14:paraId="76A94DE8" w14:textId="77777777" w:rsidR="00BA50EA" w:rsidRPr="00BA50EA" w:rsidRDefault="00BA50EA" w:rsidP="00BA50EA">
            <w:pPr>
              <w:spacing w:before="120" w:after="120"/>
            </w:pPr>
            <w:r w:rsidRPr="00BA50EA">
              <w:t>Bruto dugotrajna imovina – odvodnja</w:t>
            </w:r>
          </w:p>
        </w:tc>
        <w:tc>
          <w:tcPr>
            <w:tcW w:w="698" w:type="pct"/>
            <w:tcBorders>
              <w:top w:val="nil"/>
              <w:left w:val="nil"/>
              <w:bottom w:val="single" w:sz="4" w:space="0" w:color="808080"/>
              <w:right w:val="single" w:sz="4" w:space="0" w:color="808080"/>
            </w:tcBorders>
            <w:shd w:val="clear" w:color="auto" w:fill="auto"/>
            <w:vAlign w:val="center"/>
            <w:hideMark/>
          </w:tcPr>
          <w:p w14:paraId="581EA727" w14:textId="77777777" w:rsidR="00BA50EA" w:rsidRPr="00BA50EA" w:rsidRDefault="00BA50EA" w:rsidP="00BA50EA">
            <w:pPr>
              <w:spacing w:before="120" w:after="120"/>
              <w:contextualSpacing/>
              <w:jc w:val="center"/>
            </w:pPr>
            <w:r w:rsidRPr="00BA50EA">
              <w:t>euro/</w:t>
            </w:r>
          </w:p>
          <w:p w14:paraId="2AFF7656" w14:textId="77777777" w:rsidR="00BA50EA" w:rsidRPr="00BA50EA" w:rsidRDefault="00BA50EA" w:rsidP="00BA50EA">
            <w:pPr>
              <w:spacing w:before="120" w:after="120"/>
              <w:contextualSpacing/>
              <w:jc w:val="center"/>
            </w:pPr>
            <w:r w:rsidRPr="00BA50EA">
              <w:t>stanovniku</w:t>
            </w:r>
          </w:p>
        </w:tc>
      </w:tr>
      <w:tr w:rsidR="00BA50EA" w:rsidRPr="00BA50EA" w14:paraId="0472DE3D" w14:textId="77777777" w:rsidTr="00BA50EA">
        <w:trPr>
          <w:trHeight w:val="20"/>
        </w:trPr>
        <w:tc>
          <w:tcPr>
            <w:tcW w:w="470" w:type="pct"/>
            <w:tcBorders>
              <w:top w:val="nil"/>
              <w:left w:val="single" w:sz="4" w:space="0" w:color="808080"/>
              <w:bottom w:val="single" w:sz="4" w:space="0" w:color="808080"/>
              <w:right w:val="single" w:sz="4" w:space="0" w:color="808080"/>
            </w:tcBorders>
            <w:shd w:val="clear" w:color="auto" w:fill="auto"/>
            <w:noWrap/>
            <w:vAlign w:val="center"/>
            <w:hideMark/>
          </w:tcPr>
          <w:p w14:paraId="2774DC7D" w14:textId="77777777" w:rsidR="00BA50EA" w:rsidRPr="00BA50EA" w:rsidRDefault="00BA50EA" w:rsidP="00BA50EA">
            <w:pPr>
              <w:spacing w:before="120" w:after="120"/>
              <w:jc w:val="center"/>
              <w:rPr>
                <w:b/>
                <w:bCs/>
              </w:rPr>
            </w:pPr>
            <w:r w:rsidRPr="00BA50EA">
              <w:rPr>
                <w:b/>
                <w:bCs/>
              </w:rPr>
              <w:lastRenderedPageBreak/>
              <w:t>77</w:t>
            </w:r>
          </w:p>
        </w:tc>
        <w:tc>
          <w:tcPr>
            <w:tcW w:w="3832" w:type="pct"/>
            <w:tcBorders>
              <w:top w:val="nil"/>
              <w:left w:val="nil"/>
              <w:bottom w:val="single" w:sz="4" w:space="0" w:color="808080"/>
              <w:right w:val="single" w:sz="4" w:space="0" w:color="808080"/>
            </w:tcBorders>
            <w:shd w:val="clear" w:color="auto" w:fill="auto"/>
            <w:vAlign w:val="center"/>
            <w:hideMark/>
          </w:tcPr>
          <w:p w14:paraId="493B812D" w14:textId="77777777" w:rsidR="00BA50EA" w:rsidRPr="00BA50EA" w:rsidRDefault="00BA50EA" w:rsidP="00BA50EA">
            <w:pPr>
              <w:spacing w:before="120" w:after="120"/>
            </w:pPr>
            <w:r w:rsidRPr="00BA50EA">
              <w:t>Prosječna starost imovine (omjer ukupne otpisane vrijednosti imovine i ukupne nabavne vrijednosti imovine)</w:t>
            </w:r>
          </w:p>
        </w:tc>
        <w:tc>
          <w:tcPr>
            <w:tcW w:w="698" w:type="pct"/>
            <w:tcBorders>
              <w:top w:val="nil"/>
              <w:left w:val="nil"/>
              <w:bottom w:val="single" w:sz="4" w:space="0" w:color="808080"/>
              <w:right w:val="single" w:sz="4" w:space="0" w:color="808080"/>
            </w:tcBorders>
            <w:shd w:val="clear" w:color="auto" w:fill="auto"/>
            <w:vAlign w:val="center"/>
            <w:hideMark/>
          </w:tcPr>
          <w:p w14:paraId="0AD7660E" w14:textId="77777777" w:rsidR="00BA50EA" w:rsidRPr="00BA50EA" w:rsidRDefault="00BA50EA" w:rsidP="00BA50EA">
            <w:pPr>
              <w:spacing w:before="120" w:after="120"/>
              <w:contextualSpacing/>
              <w:jc w:val="center"/>
            </w:pPr>
            <w:r w:rsidRPr="00BA50EA">
              <w:t>%</w:t>
            </w:r>
          </w:p>
        </w:tc>
      </w:tr>
    </w:tbl>
    <w:p w14:paraId="45C471A6" w14:textId="77777777" w:rsidR="00BA50EA" w:rsidRPr="00BA50EA" w:rsidRDefault="00BA50EA" w:rsidP="00BA50EA">
      <w:pPr>
        <w:shd w:val="clear" w:color="auto" w:fill="FFFFFF"/>
        <w:spacing w:before="120" w:after="225"/>
        <w:ind w:firstLine="425"/>
        <w:jc w:val="both"/>
        <w:textAlignment w:val="baseline"/>
        <w:rPr>
          <w:color w:val="000000"/>
        </w:rPr>
      </w:pPr>
    </w:p>
    <w:p w14:paraId="1C48BC95" w14:textId="77777777" w:rsidR="00BA50EA" w:rsidRPr="00BA50EA" w:rsidRDefault="00BA50EA" w:rsidP="004B722B">
      <w:pPr>
        <w:keepNext/>
        <w:keepLines/>
        <w:spacing w:before="120" w:after="120"/>
        <w:jc w:val="center"/>
        <w:outlineLvl w:val="2"/>
        <w:rPr>
          <w:rFonts w:cstheme="majorBidi"/>
        </w:rPr>
      </w:pPr>
      <w:r w:rsidRPr="00BA50EA">
        <w:rPr>
          <w:rFonts w:cstheme="majorBidi"/>
        </w:rPr>
        <w:t>Skupina 7. POKAZATELJI TROŠKOVA AMORTIZACIJE DUGOTRAJNE IMOVINE</w:t>
      </w:r>
    </w:p>
    <w:tbl>
      <w:tblPr>
        <w:tblW w:w="5000" w:type="pct"/>
        <w:tblInd w:w="-5" w:type="dxa"/>
        <w:tblLook w:val="04A0" w:firstRow="1" w:lastRow="0" w:firstColumn="1" w:lastColumn="0" w:noHBand="0" w:noVBand="1"/>
      </w:tblPr>
      <w:tblGrid>
        <w:gridCol w:w="852"/>
        <w:gridCol w:w="7086"/>
        <w:gridCol w:w="1124"/>
      </w:tblGrid>
      <w:tr w:rsidR="00BA50EA" w:rsidRPr="00BA50EA" w14:paraId="486827E0" w14:textId="77777777" w:rsidTr="00BA50EA">
        <w:trPr>
          <w:trHeight w:val="20"/>
        </w:trPr>
        <w:tc>
          <w:tcPr>
            <w:tcW w:w="470" w:type="pct"/>
            <w:tcBorders>
              <w:top w:val="single" w:sz="4" w:space="0" w:color="808080"/>
              <w:left w:val="single" w:sz="4" w:space="0" w:color="808080"/>
              <w:bottom w:val="single" w:sz="4" w:space="0" w:color="808080"/>
              <w:right w:val="single" w:sz="4" w:space="0" w:color="808080"/>
            </w:tcBorders>
            <w:shd w:val="clear" w:color="000000" w:fill="D9D9D9"/>
            <w:noWrap/>
            <w:vAlign w:val="center"/>
          </w:tcPr>
          <w:p w14:paraId="2D775A5A" w14:textId="77777777" w:rsidR="00BA50EA" w:rsidRPr="00BA50EA" w:rsidRDefault="00BA50EA" w:rsidP="00BA50EA">
            <w:pPr>
              <w:spacing w:before="120" w:after="120"/>
              <w:jc w:val="center"/>
              <w:rPr>
                <w:b/>
                <w:bCs/>
              </w:rPr>
            </w:pPr>
            <w:r w:rsidRPr="00BA50EA">
              <w:rPr>
                <w:b/>
                <w:bCs/>
              </w:rPr>
              <w:t>Broj</w:t>
            </w:r>
          </w:p>
        </w:tc>
        <w:tc>
          <w:tcPr>
            <w:tcW w:w="3910" w:type="pct"/>
            <w:tcBorders>
              <w:top w:val="single" w:sz="4" w:space="0" w:color="808080"/>
              <w:left w:val="single" w:sz="4" w:space="0" w:color="808080"/>
              <w:bottom w:val="single" w:sz="4" w:space="0" w:color="808080"/>
              <w:right w:val="single" w:sz="4" w:space="0" w:color="808080"/>
            </w:tcBorders>
            <w:shd w:val="clear" w:color="000000" w:fill="D9D9D9"/>
            <w:vAlign w:val="center"/>
          </w:tcPr>
          <w:p w14:paraId="56D1E757" w14:textId="77777777" w:rsidR="00BA50EA" w:rsidRPr="00BA50EA" w:rsidRDefault="00BA50EA" w:rsidP="00BA50EA">
            <w:pPr>
              <w:spacing w:before="120" w:after="120"/>
              <w:jc w:val="center"/>
              <w:rPr>
                <w:b/>
                <w:bCs/>
              </w:rPr>
            </w:pPr>
            <w:r w:rsidRPr="00BA50EA">
              <w:rPr>
                <w:b/>
                <w:bCs/>
              </w:rPr>
              <w:t>Ključni pokazatelji</w:t>
            </w:r>
          </w:p>
        </w:tc>
        <w:tc>
          <w:tcPr>
            <w:tcW w:w="620" w:type="pct"/>
            <w:tcBorders>
              <w:top w:val="single" w:sz="4" w:space="0" w:color="808080"/>
              <w:left w:val="single" w:sz="4" w:space="0" w:color="808080"/>
              <w:bottom w:val="single" w:sz="4" w:space="0" w:color="808080"/>
              <w:right w:val="single" w:sz="4" w:space="0" w:color="808080"/>
            </w:tcBorders>
            <w:shd w:val="clear" w:color="000000" w:fill="D9D9D9"/>
            <w:vAlign w:val="center"/>
          </w:tcPr>
          <w:p w14:paraId="4DA4DABB" w14:textId="77777777" w:rsidR="00BA50EA" w:rsidRPr="00BA50EA" w:rsidRDefault="00BA50EA" w:rsidP="00BA50EA">
            <w:pPr>
              <w:spacing w:before="120" w:after="120"/>
              <w:jc w:val="center"/>
              <w:rPr>
                <w:b/>
                <w:bCs/>
              </w:rPr>
            </w:pPr>
            <w:r w:rsidRPr="00BA50EA">
              <w:rPr>
                <w:b/>
                <w:bCs/>
              </w:rPr>
              <w:t>Mjerilo</w:t>
            </w:r>
          </w:p>
        </w:tc>
      </w:tr>
      <w:tr w:rsidR="00BA50EA" w:rsidRPr="00BA50EA" w14:paraId="6B89A933" w14:textId="77777777" w:rsidTr="00BA50EA">
        <w:trPr>
          <w:trHeight w:val="20"/>
        </w:trPr>
        <w:tc>
          <w:tcPr>
            <w:tcW w:w="470"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CEA473" w14:textId="77777777" w:rsidR="00BA50EA" w:rsidRPr="00BA50EA" w:rsidRDefault="00BA50EA" w:rsidP="00BA50EA">
            <w:pPr>
              <w:spacing w:before="120" w:after="120"/>
              <w:jc w:val="center"/>
              <w:rPr>
                <w:b/>
                <w:bCs/>
              </w:rPr>
            </w:pPr>
            <w:r w:rsidRPr="00BA50EA">
              <w:rPr>
                <w:b/>
                <w:bCs/>
              </w:rPr>
              <w:t>78</w:t>
            </w:r>
          </w:p>
        </w:tc>
        <w:tc>
          <w:tcPr>
            <w:tcW w:w="3910" w:type="pct"/>
            <w:tcBorders>
              <w:top w:val="single" w:sz="4" w:space="0" w:color="808080"/>
              <w:left w:val="nil"/>
              <w:bottom w:val="single" w:sz="4" w:space="0" w:color="808080"/>
              <w:right w:val="single" w:sz="4" w:space="0" w:color="808080"/>
            </w:tcBorders>
            <w:shd w:val="clear" w:color="auto" w:fill="auto"/>
            <w:vAlign w:val="center"/>
            <w:hideMark/>
          </w:tcPr>
          <w:p w14:paraId="3887B515" w14:textId="77777777" w:rsidR="00BA50EA" w:rsidRPr="00BA50EA" w:rsidRDefault="00BA50EA" w:rsidP="00BA50EA">
            <w:pPr>
              <w:spacing w:before="120" w:after="120"/>
            </w:pPr>
            <w:r w:rsidRPr="00BA50EA">
              <w:t>Prosječan omjer amortizacije (omjer troškova amortizacije u odnosu na ukupnu nabavnu vrijednost dugotrajne imovine)</w:t>
            </w:r>
          </w:p>
        </w:tc>
        <w:tc>
          <w:tcPr>
            <w:tcW w:w="620" w:type="pct"/>
            <w:tcBorders>
              <w:top w:val="single" w:sz="4" w:space="0" w:color="808080"/>
              <w:left w:val="nil"/>
              <w:bottom w:val="single" w:sz="4" w:space="0" w:color="808080"/>
              <w:right w:val="single" w:sz="4" w:space="0" w:color="808080"/>
            </w:tcBorders>
            <w:shd w:val="clear" w:color="auto" w:fill="auto"/>
            <w:vAlign w:val="center"/>
            <w:hideMark/>
          </w:tcPr>
          <w:p w14:paraId="493AB048" w14:textId="77777777" w:rsidR="00BA50EA" w:rsidRPr="00BA50EA" w:rsidRDefault="00BA50EA" w:rsidP="00BA50EA">
            <w:pPr>
              <w:spacing w:before="120" w:after="120"/>
              <w:jc w:val="center"/>
            </w:pPr>
            <w:r w:rsidRPr="00BA50EA">
              <w:t>%</w:t>
            </w:r>
          </w:p>
        </w:tc>
      </w:tr>
      <w:tr w:rsidR="00BA50EA" w:rsidRPr="00BA50EA" w14:paraId="6FA63A32" w14:textId="77777777" w:rsidTr="00BA50EA">
        <w:trPr>
          <w:trHeight w:val="20"/>
        </w:trPr>
        <w:tc>
          <w:tcPr>
            <w:tcW w:w="470" w:type="pct"/>
            <w:tcBorders>
              <w:top w:val="nil"/>
              <w:left w:val="single" w:sz="4" w:space="0" w:color="808080"/>
              <w:bottom w:val="single" w:sz="4" w:space="0" w:color="808080"/>
              <w:right w:val="single" w:sz="4" w:space="0" w:color="808080"/>
            </w:tcBorders>
            <w:shd w:val="clear" w:color="auto" w:fill="auto"/>
            <w:noWrap/>
            <w:vAlign w:val="center"/>
            <w:hideMark/>
          </w:tcPr>
          <w:p w14:paraId="1B2CEAB6" w14:textId="77777777" w:rsidR="00BA50EA" w:rsidRPr="00BA50EA" w:rsidRDefault="00BA50EA" w:rsidP="00BA50EA">
            <w:pPr>
              <w:spacing w:before="120" w:after="120"/>
              <w:jc w:val="center"/>
              <w:rPr>
                <w:b/>
                <w:bCs/>
              </w:rPr>
            </w:pPr>
            <w:r w:rsidRPr="00BA50EA">
              <w:rPr>
                <w:b/>
                <w:bCs/>
              </w:rPr>
              <w:t>79</w:t>
            </w:r>
          </w:p>
        </w:tc>
        <w:tc>
          <w:tcPr>
            <w:tcW w:w="3910" w:type="pct"/>
            <w:tcBorders>
              <w:top w:val="nil"/>
              <w:left w:val="nil"/>
              <w:bottom w:val="single" w:sz="4" w:space="0" w:color="808080"/>
              <w:right w:val="single" w:sz="4" w:space="0" w:color="808080"/>
            </w:tcBorders>
            <w:shd w:val="clear" w:color="auto" w:fill="auto"/>
            <w:vAlign w:val="center"/>
            <w:hideMark/>
          </w:tcPr>
          <w:p w14:paraId="25351239" w14:textId="77777777" w:rsidR="00BA50EA" w:rsidRPr="00BA50EA" w:rsidRDefault="00BA50EA" w:rsidP="00BA50EA">
            <w:pPr>
              <w:spacing w:before="120" w:after="120"/>
            </w:pPr>
            <w:r w:rsidRPr="00BA50EA">
              <w:t>Prosječna stopa amortizacije dugotrajne imovine (vodoopskrba i odvodnja)</w:t>
            </w:r>
          </w:p>
        </w:tc>
        <w:tc>
          <w:tcPr>
            <w:tcW w:w="620" w:type="pct"/>
            <w:tcBorders>
              <w:top w:val="nil"/>
              <w:left w:val="nil"/>
              <w:bottom w:val="single" w:sz="4" w:space="0" w:color="808080"/>
              <w:right w:val="single" w:sz="4" w:space="0" w:color="808080"/>
            </w:tcBorders>
            <w:shd w:val="clear" w:color="auto" w:fill="auto"/>
            <w:vAlign w:val="center"/>
            <w:hideMark/>
          </w:tcPr>
          <w:p w14:paraId="0008E0D7" w14:textId="77777777" w:rsidR="00BA50EA" w:rsidRPr="00BA50EA" w:rsidRDefault="00BA50EA" w:rsidP="00BA50EA">
            <w:pPr>
              <w:spacing w:before="120" w:after="120"/>
              <w:jc w:val="center"/>
            </w:pPr>
            <w:r w:rsidRPr="00BA50EA">
              <w:t>%</w:t>
            </w:r>
          </w:p>
        </w:tc>
      </w:tr>
      <w:tr w:rsidR="00BA50EA" w:rsidRPr="00BA50EA" w14:paraId="2579E49F" w14:textId="77777777" w:rsidTr="00BA50EA">
        <w:trPr>
          <w:trHeight w:val="20"/>
        </w:trPr>
        <w:tc>
          <w:tcPr>
            <w:tcW w:w="470" w:type="pct"/>
            <w:tcBorders>
              <w:top w:val="nil"/>
              <w:left w:val="single" w:sz="4" w:space="0" w:color="808080"/>
              <w:bottom w:val="single" w:sz="4" w:space="0" w:color="808080"/>
              <w:right w:val="single" w:sz="4" w:space="0" w:color="808080"/>
            </w:tcBorders>
            <w:shd w:val="clear" w:color="auto" w:fill="auto"/>
            <w:noWrap/>
            <w:vAlign w:val="center"/>
            <w:hideMark/>
          </w:tcPr>
          <w:p w14:paraId="571382CE" w14:textId="77777777" w:rsidR="00BA50EA" w:rsidRPr="00BA50EA" w:rsidRDefault="00BA50EA" w:rsidP="00BA50EA">
            <w:pPr>
              <w:spacing w:before="120" w:after="120"/>
              <w:jc w:val="center"/>
              <w:rPr>
                <w:b/>
                <w:bCs/>
              </w:rPr>
            </w:pPr>
            <w:r w:rsidRPr="00BA50EA">
              <w:rPr>
                <w:b/>
                <w:bCs/>
              </w:rPr>
              <w:t>80</w:t>
            </w:r>
          </w:p>
        </w:tc>
        <w:tc>
          <w:tcPr>
            <w:tcW w:w="3910" w:type="pct"/>
            <w:tcBorders>
              <w:top w:val="nil"/>
              <w:left w:val="nil"/>
              <w:bottom w:val="single" w:sz="4" w:space="0" w:color="808080"/>
              <w:right w:val="single" w:sz="4" w:space="0" w:color="808080"/>
            </w:tcBorders>
            <w:shd w:val="clear" w:color="auto" w:fill="auto"/>
            <w:vAlign w:val="center"/>
            <w:hideMark/>
          </w:tcPr>
          <w:p w14:paraId="228DFD04" w14:textId="77777777" w:rsidR="00BA50EA" w:rsidRPr="00BA50EA" w:rsidRDefault="00BA50EA" w:rsidP="00BA50EA">
            <w:pPr>
              <w:spacing w:before="120" w:after="120"/>
            </w:pPr>
            <w:r w:rsidRPr="00BA50EA">
              <w:t>Prosječna stopa amortizacije dugotrajne imovine (vodoopskrba)</w:t>
            </w:r>
          </w:p>
        </w:tc>
        <w:tc>
          <w:tcPr>
            <w:tcW w:w="620" w:type="pct"/>
            <w:tcBorders>
              <w:top w:val="nil"/>
              <w:left w:val="nil"/>
              <w:bottom w:val="single" w:sz="4" w:space="0" w:color="808080"/>
              <w:right w:val="single" w:sz="4" w:space="0" w:color="808080"/>
            </w:tcBorders>
            <w:shd w:val="clear" w:color="auto" w:fill="auto"/>
            <w:vAlign w:val="center"/>
            <w:hideMark/>
          </w:tcPr>
          <w:p w14:paraId="3C3056AC" w14:textId="77777777" w:rsidR="00BA50EA" w:rsidRPr="00BA50EA" w:rsidRDefault="00BA50EA" w:rsidP="00BA50EA">
            <w:pPr>
              <w:spacing w:before="120" w:after="120"/>
              <w:jc w:val="center"/>
            </w:pPr>
            <w:r w:rsidRPr="00BA50EA">
              <w:t>%</w:t>
            </w:r>
          </w:p>
        </w:tc>
      </w:tr>
      <w:tr w:rsidR="00BA50EA" w:rsidRPr="00BA50EA" w14:paraId="29ECE075" w14:textId="77777777" w:rsidTr="00BA50EA">
        <w:trPr>
          <w:trHeight w:val="20"/>
        </w:trPr>
        <w:tc>
          <w:tcPr>
            <w:tcW w:w="470" w:type="pct"/>
            <w:tcBorders>
              <w:top w:val="nil"/>
              <w:left w:val="single" w:sz="4" w:space="0" w:color="808080"/>
              <w:bottom w:val="single" w:sz="4" w:space="0" w:color="808080"/>
              <w:right w:val="single" w:sz="4" w:space="0" w:color="808080"/>
            </w:tcBorders>
            <w:shd w:val="clear" w:color="auto" w:fill="auto"/>
            <w:noWrap/>
            <w:vAlign w:val="center"/>
            <w:hideMark/>
          </w:tcPr>
          <w:p w14:paraId="50445CF6" w14:textId="77777777" w:rsidR="00BA50EA" w:rsidRPr="00BA50EA" w:rsidRDefault="00BA50EA" w:rsidP="00BA50EA">
            <w:pPr>
              <w:spacing w:before="120" w:after="120"/>
              <w:jc w:val="center"/>
              <w:rPr>
                <w:b/>
                <w:bCs/>
              </w:rPr>
            </w:pPr>
            <w:r w:rsidRPr="00BA50EA">
              <w:rPr>
                <w:b/>
                <w:bCs/>
              </w:rPr>
              <w:t>81</w:t>
            </w:r>
          </w:p>
        </w:tc>
        <w:tc>
          <w:tcPr>
            <w:tcW w:w="3910" w:type="pct"/>
            <w:tcBorders>
              <w:top w:val="nil"/>
              <w:left w:val="nil"/>
              <w:bottom w:val="single" w:sz="4" w:space="0" w:color="808080"/>
              <w:right w:val="single" w:sz="4" w:space="0" w:color="808080"/>
            </w:tcBorders>
            <w:shd w:val="clear" w:color="auto" w:fill="auto"/>
            <w:vAlign w:val="center"/>
            <w:hideMark/>
          </w:tcPr>
          <w:p w14:paraId="69AF21DB" w14:textId="77777777" w:rsidR="00BA50EA" w:rsidRPr="00BA50EA" w:rsidRDefault="00BA50EA" w:rsidP="00BA50EA">
            <w:pPr>
              <w:spacing w:before="120" w:after="120"/>
            </w:pPr>
            <w:r w:rsidRPr="00BA50EA">
              <w:t>Prosječna stopa amortizacije dugotrajne imovine (odvodnja)</w:t>
            </w:r>
          </w:p>
        </w:tc>
        <w:tc>
          <w:tcPr>
            <w:tcW w:w="620" w:type="pct"/>
            <w:tcBorders>
              <w:top w:val="nil"/>
              <w:left w:val="nil"/>
              <w:bottom w:val="single" w:sz="4" w:space="0" w:color="808080"/>
              <w:right w:val="single" w:sz="4" w:space="0" w:color="808080"/>
            </w:tcBorders>
            <w:shd w:val="clear" w:color="auto" w:fill="auto"/>
            <w:vAlign w:val="center"/>
            <w:hideMark/>
          </w:tcPr>
          <w:p w14:paraId="7EB2BC40" w14:textId="77777777" w:rsidR="00BA50EA" w:rsidRPr="00BA50EA" w:rsidRDefault="00BA50EA" w:rsidP="00BA50EA">
            <w:pPr>
              <w:spacing w:before="120" w:after="120"/>
              <w:jc w:val="center"/>
            </w:pPr>
            <w:r w:rsidRPr="00BA50EA">
              <w:t>%</w:t>
            </w:r>
          </w:p>
        </w:tc>
      </w:tr>
    </w:tbl>
    <w:p w14:paraId="7F6BB00F" w14:textId="77777777" w:rsidR="00BA50EA" w:rsidRPr="00BA50EA" w:rsidRDefault="00BA50EA" w:rsidP="00BA50EA">
      <w:pPr>
        <w:shd w:val="clear" w:color="auto" w:fill="FFFFFF"/>
        <w:spacing w:before="120" w:after="225"/>
        <w:ind w:firstLine="425"/>
        <w:jc w:val="both"/>
        <w:textAlignment w:val="baseline"/>
        <w:rPr>
          <w:color w:val="000000"/>
        </w:rPr>
      </w:pPr>
    </w:p>
    <w:p w14:paraId="614E1B32" w14:textId="77777777" w:rsidR="00FE48A8" w:rsidRDefault="00FE48A8">
      <w:pPr>
        <w:spacing w:after="160" w:line="259" w:lineRule="auto"/>
        <w:rPr>
          <w:color w:val="000000"/>
        </w:rPr>
      </w:pPr>
      <w:r>
        <w:rPr>
          <w:color w:val="000000"/>
        </w:rPr>
        <w:br w:type="page"/>
      </w:r>
    </w:p>
    <w:p w14:paraId="53342694" w14:textId="77777777" w:rsidR="00FA1645" w:rsidRPr="00FA1645" w:rsidRDefault="00FA1645" w:rsidP="00FA1645">
      <w:pPr>
        <w:keepNext/>
        <w:keepLines/>
        <w:spacing w:before="240" w:after="240" w:line="259" w:lineRule="auto"/>
        <w:jc w:val="center"/>
        <w:outlineLvl w:val="1"/>
        <w:rPr>
          <w:rFonts w:eastAsiaTheme="majorEastAsia" w:cstheme="majorBidi"/>
          <w:b/>
          <w:szCs w:val="26"/>
          <w:lang w:eastAsia="en-US"/>
        </w:rPr>
      </w:pPr>
      <w:r w:rsidRPr="00FA1645">
        <w:rPr>
          <w:rFonts w:eastAsiaTheme="majorEastAsia" w:cstheme="majorBidi"/>
          <w:b/>
          <w:szCs w:val="26"/>
          <w:lang w:eastAsia="en-US"/>
        </w:rPr>
        <w:lastRenderedPageBreak/>
        <w:t>PRILOG 2.</w:t>
      </w:r>
    </w:p>
    <w:p w14:paraId="12B8CC2B" w14:textId="77777777" w:rsidR="00FA1645" w:rsidRPr="00FA1645" w:rsidRDefault="00FA1645" w:rsidP="00FA1645">
      <w:pPr>
        <w:spacing w:after="225"/>
        <w:jc w:val="center"/>
        <w:textAlignment w:val="baseline"/>
        <w:rPr>
          <w:b/>
          <w:color w:val="000000"/>
        </w:rPr>
      </w:pPr>
      <w:r w:rsidRPr="00FA1645">
        <w:rPr>
          <w:b/>
          <w:color w:val="000000"/>
        </w:rPr>
        <w:t>KLJUČNI POKAZATELJI UČINKOVITOSTI POSLOVANJA ISPORUČITELJA VODNIH USLUGA</w:t>
      </w:r>
    </w:p>
    <w:p w14:paraId="567D3D46" w14:textId="77777777" w:rsidR="00FA1645" w:rsidRPr="00150871" w:rsidRDefault="00FA1645" w:rsidP="00FA1645">
      <w:pPr>
        <w:spacing w:after="225"/>
        <w:jc w:val="center"/>
        <w:textAlignment w:val="baseline"/>
        <w:rPr>
          <w:rFonts w:ascii="Minion Pro" w:hAnsi="Minion Pro" w:cs="Calibri"/>
          <w:b/>
          <w:color w:val="000000"/>
        </w:rPr>
      </w:pPr>
      <w:r w:rsidRPr="00150871">
        <w:rPr>
          <w:rFonts w:ascii="Minion Pro" w:hAnsi="Minion Pro" w:cs="Calibri"/>
          <w:b/>
          <w:color w:val="000000"/>
        </w:rPr>
        <w:t>(primjenjivo za postoje</w:t>
      </w:r>
      <w:r w:rsidRPr="00150871">
        <w:rPr>
          <w:rFonts w:ascii="Minion Pro" w:hAnsi="Minion Pro" w:cs="Calibri" w:hint="eastAsia"/>
          <w:b/>
          <w:color w:val="000000"/>
        </w:rPr>
        <w:t>ć</w:t>
      </w:r>
      <w:r w:rsidRPr="00150871">
        <w:rPr>
          <w:rFonts w:ascii="Minion Pro" w:hAnsi="Minion Pro" w:cs="Calibri"/>
          <w:b/>
          <w:color w:val="000000"/>
        </w:rPr>
        <w:t>e javne isporu</w:t>
      </w:r>
      <w:r w:rsidRPr="00150871">
        <w:rPr>
          <w:rFonts w:ascii="Minion Pro" w:hAnsi="Minion Pro" w:cs="Calibri" w:hint="eastAsia"/>
          <w:b/>
          <w:color w:val="000000"/>
        </w:rPr>
        <w:t>č</w:t>
      </w:r>
      <w:r w:rsidRPr="00150871">
        <w:rPr>
          <w:rFonts w:ascii="Minion Pro" w:hAnsi="Minion Pro" w:cs="Calibri"/>
          <w:b/>
          <w:color w:val="000000"/>
        </w:rPr>
        <w:t>itelje vodnih usluga na uslu</w:t>
      </w:r>
      <w:r w:rsidRPr="00150871">
        <w:rPr>
          <w:rFonts w:ascii="Minion Pro" w:hAnsi="Minion Pro" w:cs="Calibri" w:hint="eastAsia"/>
          <w:b/>
          <w:color w:val="000000"/>
        </w:rPr>
        <w:t>ž</w:t>
      </w:r>
      <w:r w:rsidRPr="00150871">
        <w:rPr>
          <w:rFonts w:ascii="Minion Pro" w:hAnsi="Minion Pro" w:cs="Calibri"/>
          <w:b/>
          <w:color w:val="000000"/>
        </w:rPr>
        <w:t>nom podru</w:t>
      </w:r>
      <w:r w:rsidRPr="00150871">
        <w:rPr>
          <w:rFonts w:ascii="Minion Pro" w:hAnsi="Minion Pro" w:cs="Calibri" w:hint="eastAsia"/>
          <w:b/>
          <w:color w:val="000000"/>
        </w:rPr>
        <w:t>č</w:t>
      </w:r>
      <w:r w:rsidRPr="00150871">
        <w:rPr>
          <w:rFonts w:ascii="Minion Pro" w:hAnsi="Minion Pro" w:cs="Calibri"/>
          <w:b/>
          <w:color w:val="000000"/>
        </w:rPr>
        <w:t>ju)</w:t>
      </w:r>
    </w:p>
    <w:p w14:paraId="1DA4945A" w14:textId="77777777" w:rsidR="00FA1645" w:rsidRPr="00EA0F21" w:rsidRDefault="00FA1645" w:rsidP="00FA1645">
      <w:pPr>
        <w:spacing w:after="225"/>
        <w:jc w:val="both"/>
        <w:textAlignment w:val="baseline"/>
        <w:rPr>
          <w:rFonts w:ascii="Minion Pro" w:hAnsi="Minion Pro" w:cs="Calibri"/>
          <w:color w:val="000000"/>
        </w:rPr>
      </w:pPr>
      <w:r w:rsidRPr="00EA0F21">
        <w:rPr>
          <w:rFonts w:ascii="Minion Pro" w:hAnsi="Minion Pro" w:cs="Calibri"/>
          <w:color w:val="000000"/>
        </w:rPr>
        <w:t>Naziv pravne osobe (obveznika):</w:t>
      </w:r>
    </w:p>
    <w:p w14:paraId="4DDC0614" w14:textId="77777777" w:rsidR="00FA1645" w:rsidRPr="00EA0F21" w:rsidRDefault="00FA1645" w:rsidP="00FA1645">
      <w:pPr>
        <w:spacing w:after="225"/>
        <w:jc w:val="both"/>
        <w:textAlignment w:val="baseline"/>
        <w:rPr>
          <w:rFonts w:ascii="Minion Pro" w:hAnsi="Minion Pro" w:cs="Calibri"/>
          <w:color w:val="000000"/>
        </w:rPr>
      </w:pPr>
      <w:r w:rsidRPr="00EA0F21">
        <w:rPr>
          <w:rFonts w:ascii="Minion Pro" w:hAnsi="Minion Pro" w:cs="Calibri"/>
          <w:color w:val="000000"/>
        </w:rPr>
        <w:t>Adresa:</w:t>
      </w:r>
    </w:p>
    <w:p w14:paraId="0CE20EC0" w14:textId="77777777" w:rsidR="00FA1645" w:rsidRPr="00EA0F21" w:rsidRDefault="00FA1645" w:rsidP="00FA1645">
      <w:pPr>
        <w:spacing w:after="225"/>
        <w:jc w:val="both"/>
        <w:textAlignment w:val="baseline"/>
        <w:rPr>
          <w:rFonts w:ascii="Minion Pro" w:hAnsi="Minion Pro" w:cs="Calibri"/>
          <w:color w:val="000000"/>
        </w:rPr>
      </w:pPr>
      <w:r w:rsidRPr="00EA0F21">
        <w:rPr>
          <w:rFonts w:ascii="Minion Pro" w:hAnsi="Minion Pro" w:cs="Calibri"/>
          <w:color w:val="000000"/>
        </w:rPr>
        <w:t>OIB:</w:t>
      </w:r>
    </w:p>
    <w:p w14:paraId="575C9B4A" w14:textId="77777777" w:rsidR="00FA1645" w:rsidRPr="00EA0F21" w:rsidRDefault="00FA1645" w:rsidP="00FA1645">
      <w:pPr>
        <w:spacing w:after="225"/>
        <w:jc w:val="both"/>
        <w:textAlignment w:val="baseline"/>
        <w:rPr>
          <w:rFonts w:ascii="Minion Pro" w:hAnsi="Minion Pro" w:cs="Calibri"/>
          <w:color w:val="000000"/>
        </w:rPr>
      </w:pPr>
      <w:r w:rsidRPr="00EA0F21">
        <w:rPr>
          <w:rFonts w:ascii="Minion Pro" w:hAnsi="Minion Pro" w:cs="Calibri"/>
          <w:color w:val="000000"/>
        </w:rPr>
        <w:t>MBPS kod DZS:</w:t>
      </w:r>
    </w:p>
    <w:p w14:paraId="16BE40EC" w14:textId="77777777" w:rsidR="00FA1645" w:rsidRPr="00FA1645" w:rsidRDefault="00FA1645" w:rsidP="00FA1645">
      <w:pPr>
        <w:jc w:val="both"/>
        <w:textAlignment w:val="baseline"/>
        <w:rPr>
          <w:rFonts w:ascii="Minion Pro" w:hAnsi="Minion Pro" w:cs="Calibri"/>
          <w:color w:val="000000"/>
        </w:rPr>
      </w:pPr>
      <w:r w:rsidRPr="00EA0F21">
        <w:rPr>
          <w:rFonts w:ascii="Minion Pro" w:hAnsi="Minion Pro" w:cs="Calibri"/>
          <w:color w:val="000000"/>
        </w:rPr>
        <w:t>Pravni oblik:</w:t>
      </w:r>
    </w:p>
    <w:p w14:paraId="1BCD6BD0" w14:textId="77777777" w:rsidR="00FA1645" w:rsidRPr="00FA1645" w:rsidRDefault="00FA1645" w:rsidP="00FA1645">
      <w:pPr>
        <w:jc w:val="both"/>
        <w:textAlignment w:val="baseline"/>
        <w:rPr>
          <w:rFonts w:ascii="Minion Pro" w:hAnsi="Minion Pro" w:cs="Calibri"/>
          <w:color w:val="000000"/>
        </w:rPr>
      </w:pPr>
    </w:p>
    <w:p w14:paraId="32ADC861" w14:textId="77777777" w:rsidR="00FA1645" w:rsidRPr="00FA1645" w:rsidRDefault="00FA1645" w:rsidP="00FA1645">
      <w:pPr>
        <w:keepNext/>
        <w:keepLines/>
        <w:spacing w:before="120" w:after="120"/>
        <w:jc w:val="center"/>
        <w:outlineLvl w:val="2"/>
        <w:rPr>
          <w:rFonts w:cstheme="majorBidi"/>
        </w:rPr>
      </w:pPr>
      <w:r w:rsidRPr="00FA1645">
        <w:rPr>
          <w:rFonts w:cstheme="majorBidi"/>
        </w:rPr>
        <w:t>Skupina 1. POKRIVENOST VODNIM USLUGAMA</w:t>
      </w:r>
    </w:p>
    <w:tbl>
      <w:tblPr>
        <w:tblStyle w:val="Reetkatablice2"/>
        <w:tblW w:w="5000" w:type="pct"/>
        <w:tblLook w:val="04A0" w:firstRow="1" w:lastRow="0" w:firstColumn="1" w:lastColumn="0" w:noHBand="0" w:noVBand="1"/>
      </w:tblPr>
      <w:tblGrid>
        <w:gridCol w:w="958"/>
        <w:gridCol w:w="6728"/>
        <w:gridCol w:w="1376"/>
      </w:tblGrid>
      <w:tr w:rsidR="00FA1645" w:rsidRPr="00FA1645" w14:paraId="309693C9" w14:textId="77777777" w:rsidTr="001F1083">
        <w:trPr>
          <w:trHeight w:val="510"/>
        </w:trPr>
        <w:tc>
          <w:tcPr>
            <w:tcW w:w="52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FED0575" w14:textId="77777777" w:rsidR="00FA1645" w:rsidRPr="00FA1645" w:rsidRDefault="00FA1645" w:rsidP="00FA1645">
            <w:pPr>
              <w:spacing w:before="120" w:after="120"/>
              <w:rPr>
                <w:b/>
                <w:bCs/>
              </w:rPr>
            </w:pPr>
            <w:bookmarkStart w:id="1" w:name="_Hlk136472090"/>
            <w:bookmarkStart w:id="2" w:name="_Hlk136473063"/>
            <w:bookmarkStart w:id="3" w:name="_Hlk136471641"/>
            <w:r w:rsidRPr="00FA1645">
              <w:rPr>
                <w:b/>
                <w:bCs/>
              </w:rPr>
              <w:t>Broj</w:t>
            </w:r>
          </w:p>
        </w:tc>
        <w:tc>
          <w:tcPr>
            <w:tcW w:w="3712"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52F739A3" w14:textId="77777777" w:rsidR="00FA1645" w:rsidRPr="00FA1645" w:rsidRDefault="00FA1645" w:rsidP="00FA1645">
            <w:pPr>
              <w:spacing w:before="120" w:after="120"/>
              <w:rPr>
                <w:b/>
                <w:bCs/>
              </w:rPr>
            </w:pPr>
            <w:r w:rsidRPr="00FA1645">
              <w:rPr>
                <w:b/>
                <w:bCs/>
              </w:rPr>
              <w:t>Ključni pokazatelji</w:t>
            </w:r>
          </w:p>
        </w:tc>
        <w:tc>
          <w:tcPr>
            <w:tcW w:w="75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16AFDC6" w14:textId="77777777" w:rsidR="00FA1645" w:rsidRPr="00FA1645" w:rsidRDefault="00FA1645" w:rsidP="00FA1645">
            <w:pPr>
              <w:spacing w:before="120" w:after="120"/>
              <w:jc w:val="center"/>
              <w:rPr>
                <w:b/>
                <w:bCs/>
              </w:rPr>
            </w:pPr>
            <w:r w:rsidRPr="00FA1645">
              <w:rPr>
                <w:b/>
                <w:bCs/>
              </w:rPr>
              <w:t>Mjerilo</w:t>
            </w:r>
          </w:p>
        </w:tc>
      </w:tr>
      <w:bookmarkEnd w:id="1"/>
      <w:tr w:rsidR="00FA1645" w:rsidRPr="00FA1645" w14:paraId="5281E904" w14:textId="77777777" w:rsidTr="001F1083">
        <w:trPr>
          <w:trHeight w:val="510"/>
        </w:trPr>
        <w:tc>
          <w:tcPr>
            <w:tcW w:w="529" w:type="pct"/>
            <w:vAlign w:val="center"/>
          </w:tcPr>
          <w:p w14:paraId="1BB04D6E" w14:textId="77777777" w:rsidR="00FA1645" w:rsidRPr="00150871" w:rsidRDefault="00FA1645" w:rsidP="00FA1645">
            <w:pPr>
              <w:spacing w:before="120" w:after="120"/>
              <w:jc w:val="center"/>
              <w:rPr>
                <w:b/>
                <w:bCs/>
              </w:rPr>
            </w:pPr>
            <w:r w:rsidRPr="00150871">
              <w:rPr>
                <w:b/>
                <w:bCs/>
              </w:rPr>
              <w:t>1</w:t>
            </w:r>
          </w:p>
        </w:tc>
        <w:tc>
          <w:tcPr>
            <w:tcW w:w="3712" w:type="pct"/>
            <w:vAlign w:val="center"/>
            <w:hideMark/>
          </w:tcPr>
          <w:p w14:paraId="55972C68" w14:textId="77777777" w:rsidR="00FA1645" w:rsidRPr="00FA1645" w:rsidRDefault="00FA1645" w:rsidP="00FA1645">
            <w:pPr>
              <w:textAlignment w:val="baseline"/>
            </w:pPr>
            <w:r w:rsidRPr="00FA1645">
              <w:t>Broj nekretnina priključenih na sustav javne vodoopskrbe</w:t>
            </w:r>
          </w:p>
        </w:tc>
        <w:tc>
          <w:tcPr>
            <w:tcW w:w="759" w:type="pct"/>
            <w:vAlign w:val="center"/>
            <w:hideMark/>
          </w:tcPr>
          <w:p w14:paraId="238F7B82" w14:textId="77777777" w:rsidR="00FA1645" w:rsidRPr="00FA1645" w:rsidRDefault="00FA1645" w:rsidP="00FA1645">
            <w:pPr>
              <w:jc w:val="center"/>
              <w:textAlignment w:val="baseline"/>
            </w:pPr>
            <w:r w:rsidRPr="00FA1645">
              <w:t>broj</w:t>
            </w:r>
          </w:p>
        </w:tc>
      </w:tr>
      <w:tr w:rsidR="00FA1645" w:rsidRPr="00FA1645" w14:paraId="15ECC372" w14:textId="77777777" w:rsidTr="001F1083">
        <w:trPr>
          <w:trHeight w:val="510"/>
        </w:trPr>
        <w:tc>
          <w:tcPr>
            <w:tcW w:w="529" w:type="pct"/>
            <w:vAlign w:val="center"/>
          </w:tcPr>
          <w:p w14:paraId="5CD52088" w14:textId="77777777" w:rsidR="00FA1645" w:rsidRPr="00150871" w:rsidRDefault="00FA1645" w:rsidP="00FA1645">
            <w:pPr>
              <w:spacing w:before="120" w:after="120"/>
              <w:jc w:val="center"/>
              <w:rPr>
                <w:b/>
                <w:bCs/>
              </w:rPr>
            </w:pPr>
            <w:r w:rsidRPr="00150871">
              <w:rPr>
                <w:b/>
                <w:bCs/>
              </w:rPr>
              <w:t>2</w:t>
            </w:r>
          </w:p>
        </w:tc>
        <w:tc>
          <w:tcPr>
            <w:tcW w:w="3712" w:type="pct"/>
            <w:vAlign w:val="center"/>
            <w:hideMark/>
          </w:tcPr>
          <w:p w14:paraId="774DF8B0" w14:textId="77777777" w:rsidR="00FA1645" w:rsidRPr="00FA1645" w:rsidRDefault="00FA1645" w:rsidP="00FA1645">
            <w:pPr>
              <w:textAlignment w:val="baseline"/>
            </w:pPr>
            <w:r w:rsidRPr="00FA1645">
              <w:t>Broj nekretnina priključenih na sustav javne odvodnje</w:t>
            </w:r>
          </w:p>
        </w:tc>
        <w:tc>
          <w:tcPr>
            <w:tcW w:w="759" w:type="pct"/>
            <w:vAlign w:val="center"/>
            <w:hideMark/>
          </w:tcPr>
          <w:p w14:paraId="054A7EBD" w14:textId="77777777" w:rsidR="00FA1645" w:rsidRPr="00FA1645" w:rsidRDefault="00FA1645" w:rsidP="00FA1645">
            <w:pPr>
              <w:jc w:val="center"/>
              <w:textAlignment w:val="baseline"/>
            </w:pPr>
            <w:r w:rsidRPr="00FA1645">
              <w:t>broj</w:t>
            </w:r>
          </w:p>
        </w:tc>
      </w:tr>
      <w:bookmarkEnd w:id="2"/>
      <w:tr w:rsidR="00FA1645" w:rsidRPr="00FA1645" w14:paraId="29C77578" w14:textId="77777777" w:rsidTr="001F1083">
        <w:trPr>
          <w:trHeight w:val="510"/>
        </w:trPr>
        <w:tc>
          <w:tcPr>
            <w:tcW w:w="529" w:type="pct"/>
            <w:vAlign w:val="center"/>
          </w:tcPr>
          <w:p w14:paraId="3712BB64" w14:textId="77777777" w:rsidR="00FA1645" w:rsidRPr="00150871" w:rsidRDefault="00FA1645" w:rsidP="00FA1645">
            <w:pPr>
              <w:spacing w:before="120" w:after="120"/>
              <w:jc w:val="center"/>
              <w:rPr>
                <w:b/>
                <w:bCs/>
              </w:rPr>
            </w:pPr>
            <w:r w:rsidRPr="00150871">
              <w:rPr>
                <w:b/>
                <w:bCs/>
              </w:rPr>
              <w:t>3</w:t>
            </w:r>
          </w:p>
        </w:tc>
        <w:tc>
          <w:tcPr>
            <w:tcW w:w="3712" w:type="pct"/>
            <w:vAlign w:val="center"/>
            <w:hideMark/>
          </w:tcPr>
          <w:p w14:paraId="64ABB009" w14:textId="77777777" w:rsidR="00FA1645" w:rsidRPr="00FA1645" w:rsidRDefault="00FA1645" w:rsidP="00FA1645">
            <w:pPr>
              <w:textAlignment w:val="baseline"/>
            </w:pPr>
            <w:r w:rsidRPr="00FA1645">
              <w:t>Ukupan broj nekretnina</w:t>
            </w:r>
          </w:p>
        </w:tc>
        <w:tc>
          <w:tcPr>
            <w:tcW w:w="759" w:type="pct"/>
            <w:vAlign w:val="center"/>
            <w:hideMark/>
          </w:tcPr>
          <w:p w14:paraId="298D38C4" w14:textId="77777777" w:rsidR="00FA1645" w:rsidRPr="00FA1645" w:rsidRDefault="00FA1645" w:rsidP="00FA1645">
            <w:pPr>
              <w:jc w:val="center"/>
              <w:textAlignment w:val="baseline"/>
            </w:pPr>
            <w:r w:rsidRPr="00FA1645">
              <w:t>broj</w:t>
            </w:r>
          </w:p>
        </w:tc>
      </w:tr>
      <w:bookmarkEnd w:id="3"/>
    </w:tbl>
    <w:p w14:paraId="63F25442" w14:textId="77777777" w:rsidR="00FA1645" w:rsidRPr="00FA1645" w:rsidRDefault="00FA1645" w:rsidP="00FA1645"/>
    <w:p w14:paraId="629755BF" w14:textId="77777777" w:rsidR="00FA1645" w:rsidRPr="00FA1645" w:rsidRDefault="00FA1645" w:rsidP="00FA1645">
      <w:pPr>
        <w:spacing w:after="240"/>
        <w:jc w:val="center"/>
      </w:pPr>
      <w:r w:rsidRPr="00FA1645">
        <w:t>Skupina 2. KOLIČINA VODNIH USLUGA</w:t>
      </w:r>
    </w:p>
    <w:tbl>
      <w:tblPr>
        <w:tblStyle w:val="Reetkatablice2"/>
        <w:tblW w:w="5000" w:type="pct"/>
        <w:tblLook w:val="04A0" w:firstRow="1" w:lastRow="0" w:firstColumn="1" w:lastColumn="0" w:noHBand="0" w:noVBand="1"/>
      </w:tblPr>
      <w:tblGrid>
        <w:gridCol w:w="837"/>
        <w:gridCol w:w="6813"/>
        <w:gridCol w:w="1412"/>
      </w:tblGrid>
      <w:tr w:rsidR="00FA1645" w:rsidRPr="00FA1645" w14:paraId="170BE97B" w14:textId="77777777" w:rsidTr="001F1083">
        <w:trPr>
          <w:trHeight w:val="510"/>
        </w:trPr>
        <w:tc>
          <w:tcPr>
            <w:tcW w:w="462"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62C15E32" w14:textId="77777777" w:rsidR="00FA1645" w:rsidRPr="00FA1645" w:rsidRDefault="00FA1645" w:rsidP="00FA1645">
            <w:pPr>
              <w:rPr>
                <w:b/>
                <w:bCs/>
              </w:rPr>
            </w:pPr>
            <w:bookmarkStart w:id="4" w:name="_Hlk136472286"/>
            <w:r w:rsidRPr="00FA1645">
              <w:rPr>
                <w:b/>
                <w:bCs/>
              </w:rPr>
              <w:t>Broj</w:t>
            </w:r>
          </w:p>
        </w:tc>
        <w:tc>
          <w:tcPr>
            <w:tcW w:w="375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F478DE4" w14:textId="77777777" w:rsidR="00FA1645" w:rsidRPr="00FA1645" w:rsidRDefault="00FA1645" w:rsidP="00FA1645">
            <w:pPr>
              <w:rPr>
                <w:b/>
                <w:bCs/>
              </w:rPr>
            </w:pPr>
            <w:r w:rsidRPr="00FA1645">
              <w:rPr>
                <w:b/>
                <w:bCs/>
              </w:rPr>
              <w:t>Ključni pokazatelji</w:t>
            </w:r>
          </w:p>
        </w:tc>
        <w:tc>
          <w:tcPr>
            <w:tcW w:w="77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671B229E" w14:textId="77777777" w:rsidR="00FA1645" w:rsidRPr="00FA1645" w:rsidRDefault="00FA1645" w:rsidP="00FA1645">
            <w:pPr>
              <w:jc w:val="center"/>
              <w:rPr>
                <w:b/>
                <w:bCs/>
              </w:rPr>
            </w:pPr>
            <w:r w:rsidRPr="00FA1645">
              <w:rPr>
                <w:b/>
                <w:bCs/>
              </w:rPr>
              <w:t>Mjerilo</w:t>
            </w:r>
          </w:p>
        </w:tc>
      </w:tr>
      <w:tr w:rsidR="00FA1645" w:rsidRPr="00FA1645" w14:paraId="1D2B0643" w14:textId="77777777" w:rsidTr="001F1083">
        <w:trPr>
          <w:trHeight w:val="510"/>
        </w:trPr>
        <w:tc>
          <w:tcPr>
            <w:tcW w:w="462" w:type="pct"/>
            <w:vAlign w:val="center"/>
          </w:tcPr>
          <w:p w14:paraId="3F08E49B" w14:textId="77777777" w:rsidR="00FA1645" w:rsidRPr="00150871" w:rsidRDefault="00FA1645" w:rsidP="00FA1645">
            <w:pPr>
              <w:spacing w:before="120" w:after="120"/>
              <w:jc w:val="center"/>
              <w:rPr>
                <w:b/>
                <w:bCs/>
              </w:rPr>
            </w:pPr>
            <w:bookmarkStart w:id="5" w:name="_Hlk136471879"/>
            <w:r w:rsidRPr="00150871">
              <w:rPr>
                <w:b/>
                <w:bCs/>
              </w:rPr>
              <w:t>4</w:t>
            </w:r>
          </w:p>
        </w:tc>
        <w:tc>
          <w:tcPr>
            <w:tcW w:w="3759" w:type="pct"/>
            <w:vAlign w:val="center"/>
            <w:hideMark/>
          </w:tcPr>
          <w:p w14:paraId="5336EEBE" w14:textId="77777777" w:rsidR="00FA1645" w:rsidRPr="00FA1645" w:rsidRDefault="00FA1645" w:rsidP="00FA1645">
            <w:r w:rsidRPr="00FA1645">
              <w:t>Količina proizvedene (crpljene) vode na vodoopskrbnom/uslužnom području</w:t>
            </w:r>
          </w:p>
        </w:tc>
        <w:tc>
          <w:tcPr>
            <w:tcW w:w="779" w:type="pct"/>
            <w:vAlign w:val="center"/>
          </w:tcPr>
          <w:p w14:paraId="7D71C018" w14:textId="77777777" w:rsidR="00FA1645" w:rsidRPr="00FA1645" w:rsidRDefault="00FA1645" w:rsidP="00FA1645">
            <w:pPr>
              <w:jc w:val="center"/>
            </w:pPr>
            <w:r w:rsidRPr="00FA1645">
              <w:t>(m</w:t>
            </w:r>
            <w:r w:rsidRPr="00FA1645">
              <w:rPr>
                <w:vertAlign w:val="superscript"/>
              </w:rPr>
              <w:t>3</w:t>
            </w:r>
            <w:r w:rsidRPr="00FA1645">
              <w:t>/</w:t>
            </w:r>
          </w:p>
          <w:p w14:paraId="0FE34717" w14:textId="77777777" w:rsidR="00FA1645" w:rsidRPr="00FA1645" w:rsidRDefault="00FA1645" w:rsidP="00FA1645">
            <w:pPr>
              <w:jc w:val="center"/>
            </w:pPr>
            <w:r w:rsidRPr="00FA1645">
              <w:t>mjesečno)</w:t>
            </w:r>
          </w:p>
        </w:tc>
      </w:tr>
      <w:tr w:rsidR="00FA1645" w:rsidRPr="00FA1645" w14:paraId="0F03D52F" w14:textId="77777777" w:rsidTr="001F1083">
        <w:trPr>
          <w:trHeight w:val="510"/>
        </w:trPr>
        <w:tc>
          <w:tcPr>
            <w:tcW w:w="462" w:type="pct"/>
            <w:vAlign w:val="center"/>
          </w:tcPr>
          <w:p w14:paraId="169C0811" w14:textId="77777777" w:rsidR="00FA1645" w:rsidRPr="00150871" w:rsidRDefault="00FA1645" w:rsidP="00FA1645">
            <w:pPr>
              <w:spacing w:before="120" w:after="120"/>
              <w:jc w:val="center"/>
              <w:rPr>
                <w:b/>
                <w:bCs/>
              </w:rPr>
            </w:pPr>
            <w:r w:rsidRPr="00150871">
              <w:rPr>
                <w:b/>
                <w:bCs/>
              </w:rPr>
              <w:t>5</w:t>
            </w:r>
          </w:p>
        </w:tc>
        <w:tc>
          <w:tcPr>
            <w:tcW w:w="3759" w:type="pct"/>
            <w:vAlign w:val="center"/>
            <w:hideMark/>
          </w:tcPr>
          <w:p w14:paraId="7AEE31D7" w14:textId="77777777" w:rsidR="00FA1645" w:rsidRPr="00FA1645" w:rsidRDefault="00FA1645" w:rsidP="00FA1645">
            <w:r w:rsidRPr="00FA1645">
              <w:t>Količina isporučene vode na vodoopskrbnom/uslužnom području</w:t>
            </w:r>
          </w:p>
        </w:tc>
        <w:tc>
          <w:tcPr>
            <w:tcW w:w="779" w:type="pct"/>
            <w:vAlign w:val="center"/>
          </w:tcPr>
          <w:p w14:paraId="1EFAF1C1" w14:textId="77777777" w:rsidR="00FA1645" w:rsidRPr="00FA1645" w:rsidRDefault="00FA1645" w:rsidP="00FA1645">
            <w:pPr>
              <w:jc w:val="center"/>
            </w:pPr>
            <w:r w:rsidRPr="00FA1645">
              <w:t>(m</w:t>
            </w:r>
            <w:r w:rsidRPr="00FA1645">
              <w:rPr>
                <w:vertAlign w:val="superscript"/>
              </w:rPr>
              <w:t>3</w:t>
            </w:r>
            <w:r w:rsidRPr="00FA1645">
              <w:t>/</w:t>
            </w:r>
          </w:p>
          <w:p w14:paraId="1C193B47" w14:textId="77777777" w:rsidR="00FA1645" w:rsidRPr="00FA1645" w:rsidRDefault="00FA1645" w:rsidP="00FA1645">
            <w:pPr>
              <w:jc w:val="center"/>
            </w:pPr>
            <w:r w:rsidRPr="00FA1645">
              <w:t>mjesečno)</w:t>
            </w:r>
          </w:p>
        </w:tc>
      </w:tr>
      <w:tr w:rsidR="00FA1645" w:rsidRPr="00FA1645" w14:paraId="18D93145" w14:textId="77777777" w:rsidTr="001F1083">
        <w:trPr>
          <w:trHeight w:val="510"/>
        </w:trPr>
        <w:tc>
          <w:tcPr>
            <w:tcW w:w="462" w:type="pct"/>
            <w:vAlign w:val="center"/>
          </w:tcPr>
          <w:p w14:paraId="21161D01" w14:textId="77777777" w:rsidR="00FA1645" w:rsidRPr="00150871" w:rsidRDefault="00FA1645" w:rsidP="00FA1645">
            <w:pPr>
              <w:spacing w:before="120" w:after="120"/>
              <w:jc w:val="center"/>
              <w:rPr>
                <w:b/>
                <w:bCs/>
              </w:rPr>
            </w:pPr>
            <w:r w:rsidRPr="00150871">
              <w:rPr>
                <w:b/>
                <w:bCs/>
              </w:rPr>
              <w:t>6</w:t>
            </w:r>
          </w:p>
        </w:tc>
        <w:tc>
          <w:tcPr>
            <w:tcW w:w="3759" w:type="pct"/>
            <w:vAlign w:val="center"/>
            <w:hideMark/>
          </w:tcPr>
          <w:p w14:paraId="68637A4A" w14:textId="77777777" w:rsidR="00FA1645" w:rsidRPr="00FA1645" w:rsidRDefault="00FA1645" w:rsidP="00FA1645">
            <w:r w:rsidRPr="00FA1645">
              <w:t>Količina zbrinute otpadne vode na aglomeraciji/uslužnom području</w:t>
            </w:r>
          </w:p>
        </w:tc>
        <w:tc>
          <w:tcPr>
            <w:tcW w:w="779" w:type="pct"/>
            <w:vAlign w:val="center"/>
          </w:tcPr>
          <w:p w14:paraId="4B575B4C" w14:textId="77777777" w:rsidR="00FA1645" w:rsidRPr="00FA1645" w:rsidRDefault="00FA1645" w:rsidP="00FA1645">
            <w:pPr>
              <w:jc w:val="center"/>
            </w:pPr>
            <w:r w:rsidRPr="00FA1645">
              <w:t>(m</w:t>
            </w:r>
            <w:r w:rsidRPr="00FA1645">
              <w:rPr>
                <w:vertAlign w:val="superscript"/>
              </w:rPr>
              <w:t>3</w:t>
            </w:r>
            <w:r w:rsidRPr="00FA1645">
              <w:t>/</w:t>
            </w:r>
          </w:p>
          <w:p w14:paraId="71565A75" w14:textId="77777777" w:rsidR="00FA1645" w:rsidRPr="00FA1645" w:rsidRDefault="00FA1645" w:rsidP="00FA1645">
            <w:pPr>
              <w:jc w:val="center"/>
            </w:pPr>
            <w:r w:rsidRPr="00FA1645">
              <w:t>mjesečno)</w:t>
            </w:r>
          </w:p>
        </w:tc>
      </w:tr>
      <w:bookmarkEnd w:id="5"/>
      <w:tr w:rsidR="00FA1645" w:rsidRPr="00FA1645" w14:paraId="398E5F2D" w14:textId="77777777" w:rsidTr="001F1083">
        <w:trPr>
          <w:trHeight w:val="510"/>
        </w:trPr>
        <w:tc>
          <w:tcPr>
            <w:tcW w:w="462" w:type="pct"/>
            <w:vAlign w:val="center"/>
          </w:tcPr>
          <w:p w14:paraId="5F43D3CB" w14:textId="77777777" w:rsidR="00FA1645" w:rsidRPr="00150871" w:rsidRDefault="00FA1645" w:rsidP="00FA1645">
            <w:pPr>
              <w:spacing w:before="120" w:after="120"/>
              <w:jc w:val="center"/>
              <w:rPr>
                <w:b/>
                <w:bCs/>
              </w:rPr>
            </w:pPr>
            <w:r w:rsidRPr="00150871">
              <w:rPr>
                <w:b/>
                <w:bCs/>
              </w:rPr>
              <w:t>7</w:t>
            </w:r>
          </w:p>
        </w:tc>
        <w:tc>
          <w:tcPr>
            <w:tcW w:w="3759" w:type="pct"/>
            <w:vAlign w:val="center"/>
          </w:tcPr>
          <w:p w14:paraId="482107A2" w14:textId="77777777" w:rsidR="00FA1645" w:rsidRPr="00FA1645" w:rsidRDefault="00FA1645" w:rsidP="00FA1645">
            <w:r w:rsidRPr="00FA1645">
              <w:t>Broj stanovnika priključenih na sustav javne vodoopskrbe</w:t>
            </w:r>
          </w:p>
        </w:tc>
        <w:tc>
          <w:tcPr>
            <w:tcW w:w="779" w:type="pct"/>
            <w:vAlign w:val="center"/>
          </w:tcPr>
          <w:p w14:paraId="362EB97A" w14:textId="77777777" w:rsidR="00FA1645" w:rsidRPr="00FA1645" w:rsidRDefault="00FA1645" w:rsidP="00FA1645">
            <w:pPr>
              <w:jc w:val="center"/>
            </w:pPr>
            <w:r w:rsidRPr="00FA1645">
              <w:t>broj</w:t>
            </w:r>
          </w:p>
        </w:tc>
      </w:tr>
      <w:tr w:rsidR="00FA1645" w:rsidRPr="00FA1645" w14:paraId="7974FAA6" w14:textId="77777777" w:rsidTr="001F1083">
        <w:trPr>
          <w:trHeight w:val="510"/>
        </w:trPr>
        <w:tc>
          <w:tcPr>
            <w:tcW w:w="462" w:type="pct"/>
            <w:vAlign w:val="center"/>
          </w:tcPr>
          <w:p w14:paraId="25E623BB" w14:textId="77777777" w:rsidR="00FA1645" w:rsidRPr="00150871" w:rsidRDefault="00FA1645" w:rsidP="00FA1645">
            <w:pPr>
              <w:spacing w:before="120" w:after="120"/>
              <w:jc w:val="center"/>
              <w:rPr>
                <w:b/>
                <w:bCs/>
              </w:rPr>
            </w:pPr>
            <w:r w:rsidRPr="00150871">
              <w:rPr>
                <w:b/>
                <w:bCs/>
              </w:rPr>
              <w:t>8</w:t>
            </w:r>
          </w:p>
        </w:tc>
        <w:tc>
          <w:tcPr>
            <w:tcW w:w="3759" w:type="pct"/>
            <w:vAlign w:val="center"/>
          </w:tcPr>
          <w:p w14:paraId="08F5835F" w14:textId="77777777" w:rsidR="00FA1645" w:rsidRPr="00FA1645" w:rsidRDefault="00FA1645" w:rsidP="00FA1645">
            <w:r w:rsidRPr="00FA1645">
              <w:t>Broj stanovnika priključenih na sustav javne odvodnje</w:t>
            </w:r>
          </w:p>
        </w:tc>
        <w:tc>
          <w:tcPr>
            <w:tcW w:w="779" w:type="pct"/>
            <w:vAlign w:val="center"/>
          </w:tcPr>
          <w:p w14:paraId="4DBD7D19" w14:textId="77777777" w:rsidR="00FA1645" w:rsidRPr="00FA1645" w:rsidRDefault="00FA1645" w:rsidP="00FA1645">
            <w:pPr>
              <w:jc w:val="center"/>
            </w:pPr>
            <w:r w:rsidRPr="00FA1645">
              <w:t>broj</w:t>
            </w:r>
          </w:p>
        </w:tc>
      </w:tr>
      <w:tr w:rsidR="00FA1645" w:rsidRPr="00FA1645" w14:paraId="1B75A378" w14:textId="77777777" w:rsidTr="001F1083">
        <w:trPr>
          <w:trHeight w:val="510"/>
        </w:trPr>
        <w:tc>
          <w:tcPr>
            <w:tcW w:w="462" w:type="pct"/>
            <w:vAlign w:val="center"/>
          </w:tcPr>
          <w:p w14:paraId="17C0B8F4" w14:textId="77777777" w:rsidR="00FA1645" w:rsidRPr="00150871" w:rsidRDefault="00FA1645" w:rsidP="00FA1645">
            <w:pPr>
              <w:spacing w:before="120" w:after="120"/>
              <w:jc w:val="center"/>
              <w:rPr>
                <w:b/>
                <w:bCs/>
              </w:rPr>
            </w:pPr>
            <w:r w:rsidRPr="00150871">
              <w:rPr>
                <w:b/>
                <w:bCs/>
              </w:rPr>
              <w:t>9</w:t>
            </w:r>
          </w:p>
        </w:tc>
        <w:tc>
          <w:tcPr>
            <w:tcW w:w="3759" w:type="pct"/>
            <w:vAlign w:val="center"/>
          </w:tcPr>
          <w:p w14:paraId="57842BDA" w14:textId="77777777" w:rsidR="00FA1645" w:rsidRPr="00FA1645" w:rsidRDefault="00FA1645" w:rsidP="00FA1645">
            <w:r w:rsidRPr="00FA1645">
              <w:t>Broj stanovnika na vodoopskrbnom/uslužnom području</w:t>
            </w:r>
          </w:p>
        </w:tc>
        <w:tc>
          <w:tcPr>
            <w:tcW w:w="779" w:type="pct"/>
            <w:vAlign w:val="center"/>
          </w:tcPr>
          <w:p w14:paraId="0493216A" w14:textId="77777777" w:rsidR="00FA1645" w:rsidRPr="00FA1645" w:rsidRDefault="00FA1645" w:rsidP="00FA1645">
            <w:pPr>
              <w:jc w:val="center"/>
            </w:pPr>
            <w:r w:rsidRPr="00FA1645">
              <w:t>broj</w:t>
            </w:r>
          </w:p>
        </w:tc>
      </w:tr>
      <w:tr w:rsidR="00FA1645" w:rsidRPr="00FA1645" w14:paraId="092DC79D" w14:textId="77777777" w:rsidTr="001F1083">
        <w:trPr>
          <w:trHeight w:val="510"/>
        </w:trPr>
        <w:tc>
          <w:tcPr>
            <w:tcW w:w="462" w:type="pct"/>
            <w:vAlign w:val="center"/>
          </w:tcPr>
          <w:p w14:paraId="0B0D02C5" w14:textId="77777777" w:rsidR="00FA1645" w:rsidRPr="00150871" w:rsidRDefault="00FA1645" w:rsidP="00FA1645">
            <w:pPr>
              <w:spacing w:before="120" w:after="120"/>
              <w:jc w:val="center"/>
              <w:rPr>
                <w:b/>
                <w:bCs/>
              </w:rPr>
            </w:pPr>
            <w:r w:rsidRPr="00150871">
              <w:rPr>
                <w:b/>
                <w:bCs/>
              </w:rPr>
              <w:t>10</w:t>
            </w:r>
          </w:p>
        </w:tc>
        <w:tc>
          <w:tcPr>
            <w:tcW w:w="3759" w:type="pct"/>
            <w:vAlign w:val="center"/>
          </w:tcPr>
          <w:p w14:paraId="0D3000AF" w14:textId="77777777" w:rsidR="00FA1645" w:rsidRPr="00FA1645" w:rsidRDefault="00FA1645" w:rsidP="00FA1645">
            <w:r w:rsidRPr="00FA1645">
              <w:t>Broj priključaka (po kategorijama potrošača)</w:t>
            </w:r>
          </w:p>
        </w:tc>
        <w:tc>
          <w:tcPr>
            <w:tcW w:w="779" w:type="pct"/>
            <w:vAlign w:val="center"/>
          </w:tcPr>
          <w:p w14:paraId="0596E722" w14:textId="77777777" w:rsidR="00FA1645" w:rsidRPr="00FA1645" w:rsidRDefault="00FA1645" w:rsidP="00FA1645">
            <w:pPr>
              <w:jc w:val="center"/>
            </w:pPr>
            <w:r w:rsidRPr="00FA1645">
              <w:t>broj</w:t>
            </w:r>
          </w:p>
        </w:tc>
      </w:tr>
      <w:bookmarkEnd w:id="4"/>
    </w:tbl>
    <w:p w14:paraId="3C4F97B8" w14:textId="77777777" w:rsidR="00FA1645" w:rsidRPr="00FA1645" w:rsidRDefault="00FA1645" w:rsidP="00FA1645">
      <w:pPr>
        <w:rPr>
          <w:rFonts w:ascii="Minion Pro" w:hAnsi="Minion Pro" w:cs="Calibri"/>
        </w:rPr>
      </w:pPr>
    </w:p>
    <w:p w14:paraId="547C44D6" w14:textId="77777777" w:rsidR="00FA1645" w:rsidRPr="00FA1645" w:rsidRDefault="00FA1645" w:rsidP="00FA1645">
      <w:pPr>
        <w:spacing w:before="240" w:after="240"/>
        <w:jc w:val="center"/>
        <w:textAlignment w:val="baseline"/>
        <w:rPr>
          <w:rFonts w:ascii="Minion Pro" w:hAnsi="Minion Pro" w:cs="Calibri"/>
          <w:color w:val="000000"/>
        </w:rPr>
      </w:pPr>
    </w:p>
    <w:p w14:paraId="3E699B29" w14:textId="77777777" w:rsidR="00FA1645" w:rsidRPr="00FA1645" w:rsidRDefault="00FA1645" w:rsidP="00FA1645">
      <w:pPr>
        <w:spacing w:before="240" w:after="240"/>
        <w:jc w:val="center"/>
        <w:textAlignment w:val="baseline"/>
        <w:rPr>
          <w:rFonts w:ascii="Minion Pro" w:hAnsi="Minion Pro" w:cs="Calibri"/>
          <w:color w:val="000000"/>
        </w:rPr>
      </w:pPr>
    </w:p>
    <w:p w14:paraId="7472506E" w14:textId="77777777" w:rsidR="00FA1645" w:rsidRPr="00FA1645" w:rsidRDefault="00FA1645" w:rsidP="00FA1645">
      <w:pPr>
        <w:spacing w:before="240" w:after="240"/>
        <w:jc w:val="center"/>
        <w:textAlignment w:val="baseline"/>
        <w:rPr>
          <w:rFonts w:ascii="Minion Pro" w:hAnsi="Minion Pro" w:cs="Calibri"/>
          <w:color w:val="000000"/>
        </w:rPr>
      </w:pPr>
    </w:p>
    <w:p w14:paraId="60847250" w14:textId="77777777" w:rsidR="00FA1645" w:rsidRPr="00FA1645" w:rsidRDefault="00FA1645" w:rsidP="00FA1645">
      <w:pPr>
        <w:spacing w:after="240"/>
        <w:jc w:val="center"/>
      </w:pPr>
      <w:r w:rsidRPr="00FA1645">
        <w:lastRenderedPageBreak/>
        <w:t>Skupina 3. KOLIČINA FAKTURIRANE VODNE USLUGE JAVNE VODOOPSKRBE</w:t>
      </w:r>
    </w:p>
    <w:tbl>
      <w:tblPr>
        <w:tblStyle w:val="Reetkatablice2"/>
        <w:tblW w:w="5000" w:type="pct"/>
        <w:tblLook w:val="04A0" w:firstRow="1" w:lastRow="0" w:firstColumn="1" w:lastColumn="0" w:noHBand="0" w:noVBand="1"/>
      </w:tblPr>
      <w:tblGrid>
        <w:gridCol w:w="958"/>
        <w:gridCol w:w="6728"/>
        <w:gridCol w:w="1376"/>
      </w:tblGrid>
      <w:tr w:rsidR="00FA1645" w:rsidRPr="00FA1645" w14:paraId="63060516" w14:textId="77777777" w:rsidTr="001F1083">
        <w:trPr>
          <w:trHeight w:val="516"/>
        </w:trPr>
        <w:tc>
          <w:tcPr>
            <w:tcW w:w="52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542245B2" w14:textId="77777777" w:rsidR="00FA1645" w:rsidRPr="00FA1645" w:rsidRDefault="00FA1645" w:rsidP="00FA1645">
            <w:pPr>
              <w:spacing w:before="120" w:after="120"/>
              <w:rPr>
                <w:b/>
                <w:bCs/>
              </w:rPr>
            </w:pPr>
            <w:r w:rsidRPr="00FA1645">
              <w:rPr>
                <w:b/>
                <w:bCs/>
              </w:rPr>
              <w:t>Broj</w:t>
            </w:r>
          </w:p>
        </w:tc>
        <w:tc>
          <w:tcPr>
            <w:tcW w:w="3712"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1D8A750" w14:textId="77777777" w:rsidR="00FA1645" w:rsidRPr="00FA1645" w:rsidRDefault="00FA1645" w:rsidP="00FA1645">
            <w:pPr>
              <w:spacing w:before="120" w:after="120"/>
              <w:rPr>
                <w:b/>
                <w:bCs/>
              </w:rPr>
            </w:pPr>
            <w:r w:rsidRPr="00FA1645">
              <w:rPr>
                <w:b/>
                <w:bCs/>
              </w:rPr>
              <w:t>Ključni pokazatelji</w:t>
            </w:r>
          </w:p>
        </w:tc>
        <w:tc>
          <w:tcPr>
            <w:tcW w:w="75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F978640" w14:textId="77777777" w:rsidR="00FA1645" w:rsidRPr="00FA1645" w:rsidRDefault="00FA1645" w:rsidP="00FA1645">
            <w:pPr>
              <w:spacing w:before="120" w:after="120"/>
              <w:jc w:val="center"/>
              <w:rPr>
                <w:b/>
                <w:bCs/>
              </w:rPr>
            </w:pPr>
            <w:r w:rsidRPr="00FA1645">
              <w:rPr>
                <w:b/>
                <w:bCs/>
              </w:rPr>
              <w:t>Mjerilo</w:t>
            </w:r>
          </w:p>
        </w:tc>
      </w:tr>
      <w:tr w:rsidR="00FA1645" w:rsidRPr="00FA1645" w14:paraId="3B6DC48B" w14:textId="77777777" w:rsidTr="001F1083">
        <w:trPr>
          <w:trHeight w:val="516"/>
        </w:trPr>
        <w:tc>
          <w:tcPr>
            <w:tcW w:w="529" w:type="pct"/>
            <w:vAlign w:val="center"/>
          </w:tcPr>
          <w:p w14:paraId="78FE13E6" w14:textId="77777777" w:rsidR="00FA1645" w:rsidRPr="00150871" w:rsidRDefault="00FA1645" w:rsidP="00FA1645">
            <w:pPr>
              <w:jc w:val="center"/>
              <w:rPr>
                <w:b/>
              </w:rPr>
            </w:pPr>
            <w:r w:rsidRPr="00150871">
              <w:rPr>
                <w:b/>
              </w:rPr>
              <w:t>11</w:t>
            </w:r>
          </w:p>
        </w:tc>
        <w:tc>
          <w:tcPr>
            <w:tcW w:w="3712" w:type="pct"/>
            <w:vAlign w:val="center"/>
            <w:hideMark/>
          </w:tcPr>
          <w:p w14:paraId="464E68DF" w14:textId="77777777" w:rsidR="00FA1645" w:rsidRPr="00FA1645" w:rsidRDefault="00FA1645" w:rsidP="00FA1645">
            <w:r w:rsidRPr="00FA1645">
              <w:t>Količina fakturirane usluge javne vodoopskrbe</w:t>
            </w:r>
          </w:p>
        </w:tc>
        <w:tc>
          <w:tcPr>
            <w:tcW w:w="759" w:type="pct"/>
            <w:vAlign w:val="center"/>
            <w:hideMark/>
          </w:tcPr>
          <w:p w14:paraId="491A18D7" w14:textId="77777777" w:rsidR="00FA1645" w:rsidRPr="00FA1645" w:rsidRDefault="00FA1645" w:rsidP="00FA1645">
            <w:pPr>
              <w:jc w:val="center"/>
            </w:pPr>
            <w:r w:rsidRPr="00FA1645">
              <w:t>(m</w:t>
            </w:r>
            <w:r w:rsidRPr="00FA1645">
              <w:rPr>
                <w:vertAlign w:val="superscript"/>
              </w:rPr>
              <w:t>3</w:t>
            </w:r>
            <w:r w:rsidRPr="00FA1645">
              <w:t>/</w:t>
            </w:r>
          </w:p>
          <w:p w14:paraId="0937C42E" w14:textId="77777777" w:rsidR="00FA1645" w:rsidRPr="00FA1645" w:rsidRDefault="00FA1645" w:rsidP="00FA1645">
            <w:pPr>
              <w:jc w:val="center"/>
            </w:pPr>
            <w:r w:rsidRPr="00FA1645">
              <w:t>mjesečno)</w:t>
            </w:r>
          </w:p>
        </w:tc>
      </w:tr>
      <w:tr w:rsidR="00FA1645" w:rsidRPr="00FA1645" w14:paraId="121CFEE2" w14:textId="77777777" w:rsidTr="001F1083">
        <w:trPr>
          <w:trHeight w:val="516"/>
        </w:trPr>
        <w:tc>
          <w:tcPr>
            <w:tcW w:w="529" w:type="pct"/>
            <w:vAlign w:val="center"/>
          </w:tcPr>
          <w:p w14:paraId="7D19EC4C" w14:textId="77777777" w:rsidR="00FA1645" w:rsidRPr="00150871" w:rsidRDefault="00FA1645" w:rsidP="00FA1645">
            <w:pPr>
              <w:jc w:val="center"/>
              <w:rPr>
                <w:b/>
              </w:rPr>
            </w:pPr>
            <w:r w:rsidRPr="00150871">
              <w:rPr>
                <w:b/>
              </w:rPr>
              <w:t>12</w:t>
            </w:r>
          </w:p>
        </w:tc>
        <w:tc>
          <w:tcPr>
            <w:tcW w:w="3712" w:type="pct"/>
            <w:vAlign w:val="center"/>
            <w:hideMark/>
          </w:tcPr>
          <w:p w14:paraId="668B1DB6" w14:textId="77777777" w:rsidR="00FA1645" w:rsidRPr="00FA1645" w:rsidRDefault="00FA1645" w:rsidP="00FA1645">
            <w:r w:rsidRPr="00FA1645">
              <w:t>Količina nefakturirane usluge javne vodoopskrbe (gubici)</w:t>
            </w:r>
          </w:p>
        </w:tc>
        <w:tc>
          <w:tcPr>
            <w:tcW w:w="759" w:type="pct"/>
            <w:vAlign w:val="center"/>
            <w:hideMark/>
          </w:tcPr>
          <w:p w14:paraId="01FFC3EF" w14:textId="77777777" w:rsidR="00FA1645" w:rsidRPr="00FA1645" w:rsidRDefault="00FA1645" w:rsidP="00FA1645">
            <w:pPr>
              <w:jc w:val="center"/>
            </w:pPr>
            <w:r w:rsidRPr="00FA1645">
              <w:t>(m</w:t>
            </w:r>
            <w:r w:rsidRPr="00FA1645">
              <w:rPr>
                <w:vertAlign w:val="superscript"/>
              </w:rPr>
              <w:t>3</w:t>
            </w:r>
            <w:r w:rsidRPr="00FA1645">
              <w:t>/</w:t>
            </w:r>
          </w:p>
          <w:p w14:paraId="4C0C621E" w14:textId="77777777" w:rsidR="00FA1645" w:rsidRPr="00FA1645" w:rsidRDefault="00FA1645" w:rsidP="00FA1645">
            <w:pPr>
              <w:jc w:val="center"/>
            </w:pPr>
            <w:r w:rsidRPr="00FA1645">
              <w:t>mjesečno)</w:t>
            </w:r>
          </w:p>
        </w:tc>
      </w:tr>
    </w:tbl>
    <w:p w14:paraId="7D6AD061" w14:textId="77777777" w:rsidR="00FA1645" w:rsidRPr="00FA1645" w:rsidRDefault="00FA1645" w:rsidP="00FA1645">
      <w:pPr>
        <w:rPr>
          <w:rFonts w:ascii="Minion Pro" w:hAnsi="Minion Pro" w:cs="Calibri"/>
        </w:rPr>
      </w:pPr>
    </w:p>
    <w:p w14:paraId="05C926DB" w14:textId="77777777" w:rsidR="00FA1645" w:rsidRPr="00FA1645" w:rsidRDefault="00FA1645" w:rsidP="00FA1645">
      <w:pPr>
        <w:spacing w:after="240"/>
        <w:jc w:val="center"/>
      </w:pPr>
      <w:r w:rsidRPr="00FA1645">
        <w:t>Skupina 4. KVALITETA USLUGE</w:t>
      </w:r>
    </w:p>
    <w:tbl>
      <w:tblPr>
        <w:tblStyle w:val="Reetkatablice2"/>
        <w:tblW w:w="0" w:type="auto"/>
        <w:tblLook w:val="04A0" w:firstRow="1" w:lastRow="0" w:firstColumn="1" w:lastColumn="0" w:noHBand="0" w:noVBand="1"/>
      </w:tblPr>
      <w:tblGrid>
        <w:gridCol w:w="683"/>
        <w:gridCol w:w="6967"/>
        <w:gridCol w:w="1412"/>
      </w:tblGrid>
      <w:tr w:rsidR="00FA1645" w:rsidRPr="00FA1645" w14:paraId="6A6DC268" w14:textId="77777777" w:rsidTr="001F1083">
        <w:tc>
          <w:tcPr>
            <w:tcW w:w="0" w:type="auto"/>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10E45EBA" w14:textId="77777777" w:rsidR="00FA1645" w:rsidRPr="00FA1645" w:rsidRDefault="00FA1645" w:rsidP="00FA1645">
            <w:pPr>
              <w:rPr>
                <w:rFonts w:ascii="Minion Pro" w:hAnsi="Minion Pro" w:cs="Calibri"/>
                <w:b/>
                <w:bCs/>
              </w:rPr>
            </w:pPr>
            <w:bookmarkStart w:id="6" w:name="_Hlk136472818"/>
            <w:r w:rsidRPr="00FA1645">
              <w:rPr>
                <w:rFonts w:ascii="Minion Pro" w:hAnsi="Minion Pro" w:cs="Calibri"/>
                <w:b/>
                <w:bCs/>
              </w:rPr>
              <w:t>Broj</w:t>
            </w:r>
          </w:p>
        </w:tc>
        <w:tc>
          <w:tcPr>
            <w:tcW w:w="6967"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412BDC5" w14:textId="77777777" w:rsidR="00FA1645" w:rsidRPr="00FA1645" w:rsidRDefault="00FA1645" w:rsidP="00FA1645">
            <w:pPr>
              <w:rPr>
                <w:rFonts w:ascii="Minion Pro" w:hAnsi="Minion Pro" w:cs="Calibri"/>
                <w:b/>
                <w:bCs/>
              </w:rPr>
            </w:pPr>
            <w:r w:rsidRPr="00FA1645">
              <w:rPr>
                <w:rFonts w:ascii="Minion Pro" w:hAnsi="Minion Pro" w:cs="Calibri"/>
                <w:b/>
                <w:bCs/>
              </w:rPr>
              <w:t>Ključni pokazatelji</w:t>
            </w:r>
          </w:p>
        </w:tc>
        <w:tc>
          <w:tcPr>
            <w:tcW w:w="1412"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E06EAE1" w14:textId="77777777" w:rsidR="00FA1645" w:rsidRPr="00FA1645" w:rsidRDefault="00FA1645" w:rsidP="00FA1645">
            <w:pPr>
              <w:jc w:val="center"/>
              <w:rPr>
                <w:rFonts w:ascii="Minion Pro" w:hAnsi="Minion Pro" w:cs="Calibri"/>
                <w:b/>
                <w:bCs/>
              </w:rPr>
            </w:pPr>
            <w:r w:rsidRPr="00FA1645">
              <w:rPr>
                <w:rFonts w:ascii="Minion Pro" w:hAnsi="Minion Pro" w:cs="Calibri"/>
                <w:b/>
                <w:bCs/>
              </w:rPr>
              <w:t>Mjerilo</w:t>
            </w:r>
          </w:p>
        </w:tc>
      </w:tr>
      <w:tr w:rsidR="00FA1645" w:rsidRPr="00FA1645" w14:paraId="65582425" w14:textId="77777777" w:rsidTr="001F1083">
        <w:trPr>
          <w:trHeight w:val="510"/>
        </w:trPr>
        <w:tc>
          <w:tcPr>
            <w:tcW w:w="0" w:type="auto"/>
            <w:vAlign w:val="center"/>
          </w:tcPr>
          <w:p w14:paraId="0FC7F59D" w14:textId="77777777" w:rsidR="00FA1645" w:rsidRPr="00150871" w:rsidRDefault="00FA1645" w:rsidP="00FA1645">
            <w:pPr>
              <w:spacing w:before="120" w:after="120"/>
              <w:jc w:val="center"/>
              <w:rPr>
                <w:b/>
                <w:bCs/>
              </w:rPr>
            </w:pPr>
            <w:r w:rsidRPr="00150871">
              <w:rPr>
                <w:b/>
                <w:bCs/>
              </w:rPr>
              <w:t>13</w:t>
            </w:r>
          </w:p>
        </w:tc>
        <w:tc>
          <w:tcPr>
            <w:tcW w:w="6967" w:type="dxa"/>
            <w:vAlign w:val="center"/>
          </w:tcPr>
          <w:p w14:paraId="052635BF" w14:textId="77777777" w:rsidR="00FA1645" w:rsidRPr="00FA1645" w:rsidRDefault="00FA1645" w:rsidP="00FA1645">
            <w:pPr>
              <w:rPr>
                <w:rFonts w:ascii="Minion Pro" w:hAnsi="Minion Pro" w:cs="Calibri"/>
              </w:rPr>
            </w:pPr>
            <w:r w:rsidRPr="00FA1645">
              <w:rPr>
                <w:rFonts w:ascii="Minion Pro" w:hAnsi="Minion Pro" w:cs="Calibri"/>
              </w:rPr>
              <w:t>Dužina mreže</w:t>
            </w:r>
          </w:p>
        </w:tc>
        <w:tc>
          <w:tcPr>
            <w:tcW w:w="1412" w:type="dxa"/>
            <w:vAlign w:val="center"/>
          </w:tcPr>
          <w:p w14:paraId="25E88C39" w14:textId="77777777" w:rsidR="00FA1645" w:rsidRPr="00FA1645" w:rsidRDefault="00FA1645" w:rsidP="00FA1645">
            <w:pPr>
              <w:jc w:val="center"/>
              <w:rPr>
                <w:rFonts w:ascii="Minion Pro" w:hAnsi="Minion Pro" w:cs="Calibri"/>
              </w:rPr>
            </w:pPr>
            <w:r w:rsidRPr="00FA1645">
              <w:rPr>
                <w:rFonts w:ascii="Minion Pro" w:hAnsi="Minion Pro" w:cs="Calibri"/>
              </w:rPr>
              <w:t>(km)</w:t>
            </w:r>
          </w:p>
        </w:tc>
      </w:tr>
      <w:tr w:rsidR="00FA1645" w:rsidRPr="00FA1645" w14:paraId="06BA87A7" w14:textId="77777777" w:rsidTr="001F1083">
        <w:trPr>
          <w:trHeight w:val="510"/>
        </w:trPr>
        <w:tc>
          <w:tcPr>
            <w:tcW w:w="0" w:type="auto"/>
            <w:vAlign w:val="center"/>
          </w:tcPr>
          <w:p w14:paraId="016F9D8D" w14:textId="77777777" w:rsidR="00FA1645" w:rsidRPr="00150871" w:rsidRDefault="00FA1645" w:rsidP="00FA1645">
            <w:pPr>
              <w:spacing w:before="120" w:after="120"/>
              <w:jc w:val="center"/>
              <w:rPr>
                <w:b/>
                <w:bCs/>
              </w:rPr>
            </w:pPr>
            <w:r w:rsidRPr="00150871">
              <w:rPr>
                <w:b/>
                <w:bCs/>
              </w:rPr>
              <w:t>14</w:t>
            </w:r>
          </w:p>
        </w:tc>
        <w:tc>
          <w:tcPr>
            <w:tcW w:w="6967" w:type="dxa"/>
            <w:vAlign w:val="center"/>
          </w:tcPr>
          <w:p w14:paraId="31FBD23C" w14:textId="77777777" w:rsidR="00FA1645" w:rsidRPr="00FA1645" w:rsidRDefault="00FA1645" w:rsidP="00FA1645">
            <w:pPr>
              <w:rPr>
                <w:rFonts w:ascii="Minion Pro" w:hAnsi="Minion Pro" w:cs="Calibri"/>
              </w:rPr>
            </w:pPr>
            <w:r w:rsidRPr="00FA1645">
              <w:t>Lomovi u mreži</w:t>
            </w:r>
          </w:p>
        </w:tc>
        <w:tc>
          <w:tcPr>
            <w:tcW w:w="1412" w:type="dxa"/>
            <w:vAlign w:val="center"/>
          </w:tcPr>
          <w:p w14:paraId="24BD217D" w14:textId="77777777" w:rsidR="00FA1645" w:rsidRPr="00FA1645" w:rsidRDefault="00FA1645" w:rsidP="00FA1645">
            <w:pPr>
              <w:jc w:val="center"/>
              <w:rPr>
                <w:rFonts w:ascii="Minion Pro" w:hAnsi="Minion Pro" w:cs="Calibri"/>
              </w:rPr>
            </w:pPr>
            <w:r w:rsidRPr="00FA1645">
              <w:t>(broj)</w:t>
            </w:r>
          </w:p>
        </w:tc>
      </w:tr>
      <w:tr w:rsidR="00FA1645" w:rsidRPr="00FA1645" w14:paraId="6D94FA4C" w14:textId="77777777" w:rsidTr="001F1083">
        <w:trPr>
          <w:trHeight w:val="510"/>
        </w:trPr>
        <w:tc>
          <w:tcPr>
            <w:tcW w:w="0" w:type="auto"/>
            <w:vAlign w:val="center"/>
          </w:tcPr>
          <w:p w14:paraId="3CF2B539" w14:textId="77777777" w:rsidR="00FA1645" w:rsidRPr="00150871" w:rsidRDefault="00FA1645" w:rsidP="00FA1645">
            <w:pPr>
              <w:spacing w:before="120" w:after="120"/>
              <w:jc w:val="center"/>
              <w:rPr>
                <w:b/>
                <w:bCs/>
              </w:rPr>
            </w:pPr>
            <w:r w:rsidRPr="00150871">
              <w:rPr>
                <w:b/>
                <w:bCs/>
              </w:rPr>
              <w:t>15</w:t>
            </w:r>
          </w:p>
        </w:tc>
        <w:tc>
          <w:tcPr>
            <w:tcW w:w="6967" w:type="dxa"/>
            <w:vAlign w:val="center"/>
          </w:tcPr>
          <w:p w14:paraId="461F1998" w14:textId="77777777" w:rsidR="00FA1645" w:rsidRPr="00FA1645" w:rsidRDefault="00FA1645" w:rsidP="00FA1645">
            <w:pPr>
              <w:rPr>
                <w:rFonts w:ascii="Minion Pro" w:hAnsi="Minion Pro" w:cs="Calibri"/>
              </w:rPr>
            </w:pPr>
            <w:r w:rsidRPr="00FA1645">
              <w:t>Puknuća u mreži</w:t>
            </w:r>
          </w:p>
        </w:tc>
        <w:tc>
          <w:tcPr>
            <w:tcW w:w="1412" w:type="dxa"/>
            <w:vAlign w:val="center"/>
          </w:tcPr>
          <w:p w14:paraId="3225C21F" w14:textId="77777777" w:rsidR="00FA1645" w:rsidRPr="00FA1645" w:rsidRDefault="00FA1645" w:rsidP="00FA1645">
            <w:pPr>
              <w:jc w:val="center"/>
              <w:rPr>
                <w:rFonts w:ascii="Minion Pro" w:hAnsi="Minion Pro" w:cs="Calibri"/>
              </w:rPr>
            </w:pPr>
            <w:r w:rsidRPr="00FA1645">
              <w:t>(broj)</w:t>
            </w:r>
          </w:p>
        </w:tc>
      </w:tr>
      <w:tr w:rsidR="00FA1645" w:rsidRPr="00FA1645" w14:paraId="2DDE78FC" w14:textId="77777777" w:rsidTr="001F1083">
        <w:trPr>
          <w:trHeight w:val="510"/>
        </w:trPr>
        <w:tc>
          <w:tcPr>
            <w:tcW w:w="0" w:type="auto"/>
            <w:vAlign w:val="center"/>
          </w:tcPr>
          <w:p w14:paraId="07532A0D" w14:textId="77777777" w:rsidR="00FA1645" w:rsidRPr="00150871" w:rsidRDefault="00FA1645" w:rsidP="00FA1645">
            <w:pPr>
              <w:spacing w:before="120" w:after="120"/>
              <w:jc w:val="center"/>
              <w:rPr>
                <w:b/>
                <w:bCs/>
              </w:rPr>
            </w:pPr>
            <w:r w:rsidRPr="00150871">
              <w:rPr>
                <w:b/>
                <w:bCs/>
              </w:rPr>
              <w:t>16</w:t>
            </w:r>
          </w:p>
        </w:tc>
        <w:tc>
          <w:tcPr>
            <w:tcW w:w="6967" w:type="dxa"/>
            <w:vAlign w:val="center"/>
          </w:tcPr>
          <w:p w14:paraId="1C80F2B1" w14:textId="77777777" w:rsidR="00FA1645" w:rsidRPr="00FA1645" w:rsidRDefault="00FA1645" w:rsidP="00FA1645">
            <w:pPr>
              <w:rPr>
                <w:rFonts w:ascii="Minion Pro" w:hAnsi="Minion Pro" w:cs="Calibri"/>
              </w:rPr>
            </w:pPr>
            <w:r w:rsidRPr="00FA1645">
              <w:t>Broj sati isporuke usluge javne vodoopskrbe</w:t>
            </w:r>
          </w:p>
        </w:tc>
        <w:tc>
          <w:tcPr>
            <w:tcW w:w="1412" w:type="dxa"/>
            <w:vAlign w:val="center"/>
          </w:tcPr>
          <w:p w14:paraId="19EB2C19" w14:textId="77777777" w:rsidR="00FA1645" w:rsidRPr="00FA1645" w:rsidRDefault="00FA1645" w:rsidP="00FA1645">
            <w:pPr>
              <w:jc w:val="center"/>
              <w:rPr>
                <w:rFonts w:ascii="Minion Pro" w:hAnsi="Minion Pro"/>
              </w:rPr>
            </w:pPr>
            <w:r w:rsidRPr="00FA1645">
              <w:rPr>
                <w:rFonts w:ascii="Minion Pro" w:hAnsi="Minion Pro"/>
              </w:rPr>
              <w:t>(sati/</w:t>
            </w:r>
          </w:p>
          <w:p w14:paraId="6E076C9B" w14:textId="77777777" w:rsidR="00FA1645" w:rsidRPr="00FA1645" w:rsidRDefault="00FA1645" w:rsidP="00FA1645">
            <w:pPr>
              <w:jc w:val="center"/>
              <w:rPr>
                <w:rFonts w:ascii="Minion Pro" w:hAnsi="Minion Pro" w:cs="Calibri"/>
              </w:rPr>
            </w:pPr>
            <w:r w:rsidRPr="00FA1645">
              <w:rPr>
                <w:rFonts w:ascii="Minion Pro" w:hAnsi="Minion Pro"/>
              </w:rPr>
              <w:t>mjesečno)</w:t>
            </w:r>
          </w:p>
        </w:tc>
      </w:tr>
      <w:tr w:rsidR="00FA1645" w:rsidRPr="00FA1645" w14:paraId="58908031" w14:textId="77777777" w:rsidTr="001F1083">
        <w:trPr>
          <w:trHeight w:val="510"/>
        </w:trPr>
        <w:tc>
          <w:tcPr>
            <w:tcW w:w="0" w:type="auto"/>
            <w:vAlign w:val="center"/>
          </w:tcPr>
          <w:p w14:paraId="4AD42CFE" w14:textId="77777777" w:rsidR="00FA1645" w:rsidRPr="00150871" w:rsidRDefault="00FA1645" w:rsidP="00FA1645">
            <w:pPr>
              <w:spacing w:before="120" w:after="120"/>
              <w:jc w:val="center"/>
              <w:rPr>
                <w:b/>
                <w:bCs/>
              </w:rPr>
            </w:pPr>
            <w:r w:rsidRPr="00150871">
              <w:rPr>
                <w:b/>
                <w:bCs/>
              </w:rPr>
              <w:t>17</w:t>
            </w:r>
          </w:p>
        </w:tc>
        <w:tc>
          <w:tcPr>
            <w:tcW w:w="6967" w:type="dxa"/>
            <w:vAlign w:val="center"/>
          </w:tcPr>
          <w:p w14:paraId="48CEF71F" w14:textId="77777777" w:rsidR="00FA1645" w:rsidRPr="00FA1645" w:rsidRDefault="00FA1645" w:rsidP="00FA1645">
            <w:pPr>
              <w:rPr>
                <w:rFonts w:ascii="Minion Pro" w:hAnsi="Minion Pro" w:cs="Calibri"/>
              </w:rPr>
            </w:pPr>
            <w:r w:rsidRPr="00FA1645">
              <w:t>Broj sati prekida isporuke usluge javne vodoopskrbe</w:t>
            </w:r>
          </w:p>
        </w:tc>
        <w:tc>
          <w:tcPr>
            <w:tcW w:w="1412" w:type="dxa"/>
            <w:vAlign w:val="center"/>
          </w:tcPr>
          <w:p w14:paraId="46EB3ADA" w14:textId="77777777" w:rsidR="00FA1645" w:rsidRPr="00FA1645" w:rsidRDefault="00FA1645" w:rsidP="00FA1645">
            <w:pPr>
              <w:jc w:val="center"/>
              <w:rPr>
                <w:rFonts w:ascii="Minion Pro" w:hAnsi="Minion Pro"/>
              </w:rPr>
            </w:pPr>
            <w:r w:rsidRPr="00FA1645">
              <w:rPr>
                <w:rFonts w:ascii="Minion Pro" w:hAnsi="Minion Pro"/>
              </w:rPr>
              <w:t>(sati/</w:t>
            </w:r>
          </w:p>
          <w:p w14:paraId="493D87D3" w14:textId="77777777" w:rsidR="00FA1645" w:rsidRPr="00FA1645" w:rsidRDefault="00FA1645" w:rsidP="00FA1645">
            <w:pPr>
              <w:jc w:val="center"/>
              <w:rPr>
                <w:rFonts w:ascii="Minion Pro" w:hAnsi="Minion Pro" w:cs="Calibri"/>
              </w:rPr>
            </w:pPr>
            <w:r w:rsidRPr="00FA1645">
              <w:rPr>
                <w:rFonts w:ascii="Minion Pro" w:hAnsi="Minion Pro"/>
              </w:rPr>
              <w:t>mjesečno)</w:t>
            </w:r>
          </w:p>
        </w:tc>
      </w:tr>
      <w:tr w:rsidR="00FA1645" w:rsidRPr="00FA1645" w14:paraId="6E525654" w14:textId="77777777" w:rsidTr="001F1083">
        <w:trPr>
          <w:trHeight w:val="510"/>
        </w:trPr>
        <w:tc>
          <w:tcPr>
            <w:tcW w:w="0" w:type="auto"/>
            <w:vAlign w:val="center"/>
          </w:tcPr>
          <w:p w14:paraId="3A92D023" w14:textId="77777777" w:rsidR="00FA1645" w:rsidRPr="00150871" w:rsidRDefault="00FA1645" w:rsidP="00FA1645">
            <w:pPr>
              <w:spacing w:before="120" w:after="120"/>
              <w:jc w:val="center"/>
              <w:rPr>
                <w:b/>
                <w:bCs/>
              </w:rPr>
            </w:pPr>
            <w:r w:rsidRPr="00150871">
              <w:rPr>
                <w:b/>
                <w:bCs/>
              </w:rPr>
              <w:t>18</w:t>
            </w:r>
          </w:p>
        </w:tc>
        <w:tc>
          <w:tcPr>
            <w:tcW w:w="6967" w:type="dxa"/>
            <w:vAlign w:val="center"/>
          </w:tcPr>
          <w:p w14:paraId="2D479D9E" w14:textId="77777777" w:rsidR="00FA1645" w:rsidRPr="00FA1645" w:rsidRDefault="00FA1645" w:rsidP="00FA1645">
            <w:pPr>
              <w:rPr>
                <w:rFonts w:ascii="Minion Pro" w:hAnsi="Minion Pro" w:cs="Calibri"/>
              </w:rPr>
            </w:pPr>
            <w:r w:rsidRPr="00FA1645">
              <w:t>Broj nesukladnih uzoraka vode iz sustava javne vodoopskrbe</w:t>
            </w:r>
          </w:p>
        </w:tc>
        <w:tc>
          <w:tcPr>
            <w:tcW w:w="1412" w:type="dxa"/>
            <w:vAlign w:val="center"/>
          </w:tcPr>
          <w:p w14:paraId="2F767424" w14:textId="77777777" w:rsidR="00FA1645" w:rsidRPr="00FA1645" w:rsidRDefault="00FA1645" w:rsidP="00FA1645">
            <w:pPr>
              <w:jc w:val="center"/>
              <w:rPr>
                <w:rFonts w:ascii="Minion Pro" w:hAnsi="Minion Pro" w:cs="Calibri"/>
              </w:rPr>
            </w:pPr>
            <w:r w:rsidRPr="00FA1645">
              <w:t>(broj)</w:t>
            </w:r>
          </w:p>
        </w:tc>
      </w:tr>
      <w:tr w:rsidR="00FA1645" w:rsidRPr="00FA1645" w14:paraId="35431B58" w14:textId="77777777" w:rsidTr="001F1083">
        <w:trPr>
          <w:trHeight w:val="510"/>
        </w:trPr>
        <w:tc>
          <w:tcPr>
            <w:tcW w:w="0" w:type="auto"/>
            <w:vAlign w:val="center"/>
          </w:tcPr>
          <w:p w14:paraId="67C6B8C5" w14:textId="77777777" w:rsidR="00FA1645" w:rsidRPr="00150871" w:rsidRDefault="00FA1645" w:rsidP="00FA1645">
            <w:pPr>
              <w:spacing w:before="120" w:after="120"/>
              <w:jc w:val="center"/>
              <w:rPr>
                <w:b/>
                <w:bCs/>
              </w:rPr>
            </w:pPr>
            <w:r w:rsidRPr="00150871">
              <w:rPr>
                <w:b/>
                <w:bCs/>
              </w:rPr>
              <w:t>19</w:t>
            </w:r>
          </w:p>
        </w:tc>
        <w:tc>
          <w:tcPr>
            <w:tcW w:w="6967" w:type="dxa"/>
            <w:vAlign w:val="center"/>
          </w:tcPr>
          <w:p w14:paraId="4DAB38E7" w14:textId="77777777" w:rsidR="00FA1645" w:rsidRPr="00FA1645" w:rsidRDefault="00FA1645" w:rsidP="00FA1645">
            <w:pPr>
              <w:rPr>
                <w:rFonts w:ascii="Minion Pro" w:hAnsi="Minion Pro" w:cs="Calibri"/>
              </w:rPr>
            </w:pPr>
            <w:r w:rsidRPr="00FA1645">
              <w:t>Broj nesukladnih uzoraka otpadne vode iz sustava javne odvodnje</w:t>
            </w:r>
          </w:p>
        </w:tc>
        <w:tc>
          <w:tcPr>
            <w:tcW w:w="1412" w:type="dxa"/>
            <w:vAlign w:val="center"/>
          </w:tcPr>
          <w:p w14:paraId="3CB2DFDE" w14:textId="77777777" w:rsidR="00FA1645" w:rsidRPr="00FA1645" w:rsidRDefault="00FA1645" w:rsidP="00FA1645">
            <w:pPr>
              <w:jc w:val="center"/>
              <w:rPr>
                <w:rFonts w:ascii="Minion Pro" w:hAnsi="Minion Pro" w:cs="Calibri"/>
              </w:rPr>
            </w:pPr>
            <w:r w:rsidRPr="00FA1645">
              <w:t>(broj)</w:t>
            </w:r>
          </w:p>
        </w:tc>
      </w:tr>
      <w:tr w:rsidR="00FA1645" w:rsidRPr="00FA1645" w14:paraId="2536F47E" w14:textId="77777777" w:rsidTr="001F1083">
        <w:trPr>
          <w:trHeight w:val="510"/>
        </w:trPr>
        <w:tc>
          <w:tcPr>
            <w:tcW w:w="0" w:type="auto"/>
            <w:vAlign w:val="center"/>
          </w:tcPr>
          <w:p w14:paraId="6A7CD4AF" w14:textId="77777777" w:rsidR="00FA1645" w:rsidRPr="00150871" w:rsidRDefault="00FA1645" w:rsidP="00FA1645">
            <w:pPr>
              <w:spacing w:before="120" w:after="120"/>
              <w:jc w:val="center"/>
              <w:rPr>
                <w:b/>
                <w:bCs/>
              </w:rPr>
            </w:pPr>
            <w:r w:rsidRPr="00150871">
              <w:rPr>
                <w:b/>
                <w:bCs/>
              </w:rPr>
              <w:t>20</w:t>
            </w:r>
          </w:p>
        </w:tc>
        <w:tc>
          <w:tcPr>
            <w:tcW w:w="6967" w:type="dxa"/>
            <w:vAlign w:val="center"/>
          </w:tcPr>
          <w:p w14:paraId="51F835FC" w14:textId="77777777" w:rsidR="00FA1645" w:rsidRPr="00FA1645" w:rsidRDefault="00FA1645" w:rsidP="00FA1645">
            <w:r w:rsidRPr="00FA1645">
              <w:rPr>
                <w:rFonts w:ascii="Minion Pro" w:hAnsi="Minion Pro"/>
              </w:rPr>
              <w:t>Ukupan broj uzoraka vode iz sustava javne vodoopskrbe</w:t>
            </w:r>
          </w:p>
        </w:tc>
        <w:tc>
          <w:tcPr>
            <w:tcW w:w="1412" w:type="dxa"/>
            <w:vAlign w:val="center"/>
          </w:tcPr>
          <w:p w14:paraId="3A3BDA6A" w14:textId="77777777" w:rsidR="00FA1645" w:rsidRPr="00FA1645" w:rsidRDefault="00FA1645" w:rsidP="00FA1645">
            <w:pPr>
              <w:jc w:val="center"/>
            </w:pPr>
            <w:r w:rsidRPr="00FA1645">
              <w:t>(broj)</w:t>
            </w:r>
          </w:p>
        </w:tc>
      </w:tr>
      <w:tr w:rsidR="00FA1645" w:rsidRPr="00FA1645" w14:paraId="0B37B0C5" w14:textId="77777777" w:rsidTr="001F1083">
        <w:trPr>
          <w:trHeight w:val="510"/>
        </w:trPr>
        <w:tc>
          <w:tcPr>
            <w:tcW w:w="0" w:type="auto"/>
            <w:vAlign w:val="center"/>
          </w:tcPr>
          <w:p w14:paraId="484E5366" w14:textId="77777777" w:rsidR="00FA1645" w:rsidRPr="00150871" w:rsidRDefault="00FA1645" w:rsidP="00FA1645">
            <w:pPr>
              <w:spacing w:before="120" w:after="120"/>
              <w:jc w:val="center"/>
              <w:rPr>
                <w:b/>
                <w:bCs/>
              </w:rPr>
            </w:pPr>
            <w:r w:rsidRPr="00150871">
              <w:rPr>
                <w:b/>
                <w:bCs/>
              </w:rPr>
              <w:t>21</w:t>
            </w:r>
          </w:p>
        </w:tc>
        <w:tc>
          <w:tcPr>
            <w:tcW w:w="6967" w:type="dxa"/>
            <w:vAlign w:val="center"/>
          </w:tcPr>
          <w:p w14:paraId="7FE250C9" w14:textId="77777777" w:rsidR="00FA1645" w:rsidRPr="00FA1645" w:rsidRDefault="00FA1645" w:rsidP="00FA1645">
            <w:r w:rsidRPr="00FA1645">
              <w:rPr>
                <w:rFonts w:ascii="Minion Pro" w:hAnsi="Minion Pro"/>
              </w:rPr>
              <w:t>Ukupan broj uzoraka otpadne vode iz sustava javne odvodnje</w:t>
            </w:r>
          </w:p>
        </w:tc>
        <w:tc>
          <w:tcPr>
            <w:tcW w:w="1412" w:type="dxa"/>
            <w:vAlign w:val="center"/>
          </w:tcPr>
          <w:p w14:paraId="28421BF8" w14:textId="77777777" w:rsidR="00FA1645" w:rsidRPr="00FA1645" w:rsidRDefault="00FA1645" w:rsidP="00FA1645">
            <w:pPr>
              <w:jc w:val="center"/>
            </w:pPr>
            <w:r w:rsidRPr="00FA1645">
              <w:t>(broj)</w:t>
            </w:r>
          </w:p>
        </w:tc>
      </w:tr>
      <w:tr w:rsidR="00FA1645" w:rsidRPr="00FA1645" w14:paraId="2DA8EC81" w14:textId="77777777" w:rsidTr="001F1083">
        <w:trPr>
          <w:trHeight w:val="510"/>
        </w:trPr>
        <w:tc>
          <w:tcPr>
            <w:tcW w:w="0" w:type="auto"/>
            <w:vAlign w:val="center"/>
          </w:tcPr>
          <w:p w14:paraId="72852777" w14:textId="77777777" w:rsidR="00FA1645" w:rsidRPr="00150871" w:rsidRDefault="00FA1645" w:rsidP="00FA1645">
            <w:pPr>
              <w:spacing w:before="120" w:after="120"/>
              <w:jc w:val="center"/>
              <w:rPr>
                <w:b/>
                <w:bCs/>
              </w:rPr>
            </w:pPr>
            <w:r w:rsidRPr="00150871">
              <w:rPr>
                <w:b/>
                <w:bCs/>
              </w:rPr>
              <w:t>22</w:t>
            </w:r>
          </w:p>
        </w:tc>
        <w:tc>
          <w:tcPr>
            <w:tcW w:w="6967" w:type="dxa"/>
            <w:vAlign w:val="center"/>
          </w:tcPr>
          <w:p w14:paraId="7947FF61" w14:textId="77777777" w:rsidR="00FA1645" w:rsidRPr="00FA1645" w:rsidRDefault="00FA1645" w:rsidP="00FA1645">
            <w:r w:rsidRPr="00FA1645">
              <w:rPr>
                <w:rFonts w:ascii="Minion Pro" w:hAnsi="Minion Pro"/>
              </w:rPr>
              <w:t>Broj nesukladnih uzoraka vode iz sustava javne vodoopskrbe koje je analizirao ovlašteni laboratorij neovisan o isporučitelju vodne usluge</w:t>
            </w:r>
          </w:p>
        </w:tc>
        <w:tc>
          <w:tcPr>
            <w:tcW w:w="1412" w:type="dxa"/>
            <w:vAlign w:val="center"/>
          </w:tcPr>
          <w:p w14:paraId="5A1D35E1" w14:textId="77777777" w:rsidR="00FA1645" w:rsidRPr="00FA1645" w:rsidRDefault="00FA1645" w:rsidP="00FA1645">
            <w:pPr>
              <w:jc w:val="center"/>
            </w:pPr>
            <w:r w:rsidRPr="00FA1645">
              <w:t>(broj)</w:t>
            </w:r>
          </w:p>
        </w:tc>
      </w:tr>
      <w:tr w:rsidR="00FA1645" w:rsidRPr="00FA1645" w14:paraId="45C4DB33" w14:textId="77777777" w:rsidTr="001F1083">
        <w:trPr>
          <w:trHeight w:val="510"/>
        </w:trPr>
        <w:tc>
          <w:tcPr>
            <w:tcW w:w="0" w:type="auto"/>
            <w:vAlign w:val="center"/>
          </w:tcPr>
          <w:p w14:paraId="4485DCB1" w14:textId="77777777" w:rsidR="00FA1645" w:rsidRPr="00150871" w:rsidRDefault="00FA1645" w:rsidP="00FA1645">
            <w:pPr>
              <w:spacing w:before="120" w:after="120"/>
              <w:jc w:val="center"/>
              <w:rPr>
                <w:b/>
                <w:bCs/>
              </w:rPr>
            </w:pPr>
            <w:r w:rsidRPr="00150871">
              <w:rPr>
                <w:b/>
                <w:bCs/>
              </w:rPr>
              <w:t>23</w:t>
            </w:r>
          </w:p>
        </w:tc>
        <w:tc>
          <w:tcPr>
            <w:tcW w:w="6967" w:type="dxa"/>
            <w:vAlign w:val="center"/>
          </w:tcPr>
          <w:p w14:paraId="5E70453F" w14:textId="77777777" w:rsidR="00FA1645" w:rsidRPr="00FA1645" w:rsidRDefault="00FA1645" w:rsidP="00FA1645">
            <w:r w:rsidRPr="00FA1645">
              <w:rPr>
                <w:rFonts w:ascii="Minion Pro" w:hAnsi="Minion Pro"/>
              </w:rPr>
              <w:t>Broj nesukladnih uzoraka otpadne vode iz sustava javne odvodnje koje je analizirao ovlašteni laboratorij neovisan o isporučitelju vodne usluge</w:t>
            </w:r>
          </w:p>
        </w:tc>
        <w:tc>
          <w:tcPr>
            <w:tcW w:w="1412" w:type="dxa"/>
            <w:vAlign w:val="center"/>
          </w:tcPr>
          <w:p w14:paraId="141D5EA7" w14:textId="77777777" w:rsidR="00FA1645" w:rsidRPr="00FA1645" w:rsidRDefault="00FA1645" w:rsidP="00FA1645">
            <w:pPr>
              <w:jc w:val="center"/>
            </w:pPr>
            <w:r w:rsidRPr="00FA1645">
              <w:t>(broj)</w:t>
            </w:r>
          </w:p>
        </w:tc>
      </w:tr>
      <w:tr w:rsidR="00FA1645" w:rsidRPr="00FA1645" w14:paraId="25E6A9B4" w14:textId="77777777" w:rsidTr="001F1083">
        <w:trPr>
          <w:trHeight w:val="510"/>
        </w:trPr>
        <w:tc>
          <w:tcPr>
            <w:tcW w:w="0" w:type="auto"/>
            <w:vAlign w:val="center"/>
          </w:tcPr>
          <w:p w14:paraId="2C1A05A6" w14:textId="77777777" w:rsidR="00FA1645" w:rsidRPr="00150871" w:rsidRDefault="00FA1645" w:rsidP="00FA1645">
            <w:pPr>
              <w:spacing w:before="120" w:after="120"/>
              <w:jc w:val="center"/>
              <w:rPr>
                <w:b/>
                <w:bCs/>
              </w:rPr>
            </w:pPr>
            <w:r w:rsidRPr="00150871">
              <w:rPr>
                <w:b/>
                <w:bCs/>
              </w:rPr>
              <w:t>24</w:t>
            </w:r>
          </w:p>
        </w:tc>
        <w:tc>
          <w:tcPr>
            <w:tcW w:w="6967" w:type="dxa"/>
            <w:vAlign w:val="center"/>
          </w:tcPr>
          <w:p w14:paraId="7D578E23" w14:textId="77777777" w:rsidR="00FA1645" w:rsidRPr="00FA1645" w:rsidRDefault="00FA1645" w:rsidP="00FA1645">
            <w:r w:rsidRPr="00FA1645">
              <w:rPr>
                <w:rFonts w:ascii="Minion Pro" w:hAnsi="Minion Pro"/>
              </w:rPr>
              <w:t>Ukupan broj uzoraka vode iz sustava javne vodoopskrbe koje je analizirao ovlašteni laboratorij neovisan o isporučitelju vodne usluge</w:t>
            </w:r>
          </w:p>
        </w:tc>
        <w:tc>
          <w:tcPr>
            <w:tcW w:w="1412" w:type="dxa"/>
            <w:vAlign w:val="center"/>
          </w:tcPr>
          <w:p w14:paraId="22F4D6F1" w14:textId="77777777" w:rsidR="00FA1645" w:rsidRPr="00FA1645" w:rsidRDefault="00FA1645" w:rsidP="00FA1645">
            <w:pPr>
              <w:jc w:val="center"/>
            </w:pPr>
            <w:r w:rsidRPr="00FA1645">
              <w:t>(broj)</w:t>
            </w:r>
          </w:p>
        </w:tc>
      </w:tr>
      <w:tr w:rsidR="00FA1645" w:rsidRPr="00FA1645" w14:paraId="192663C8" w14:textId="77777777" w:rsidTr="001F1083">
        <w:trPr>
          <w:trHeight w:val="510"/>
        </w:trPr>
        <w:tc>
          <w:tcPr>
            <w:tcW w:w="0" w:type="auto"/>
            <w:vAlign w:val="center"/>
          </w:tcPr>
          <w:p w14:paraId="1D09232D" w14:textId="77777777" w:rsidR="00FA1645" w:rsidRPr="00150871" w:rsidRDefault="00FA1645" w:rsidP="00FA1645">
            <w:pPr>
              <w:spacing w:before="120" w:after="120"/>
              <w:jc w:val="center"/>
              <w:rPr>
                <w:b/>
                <w:bCs/>
              </w:rPr>
            </w:pPr>
            <w:r w:rsidRPr="00150871">
              <w:rPr>
                <w:b/>
                <w:bCs/>
              </w:rPr>
              <w:t>25</w:t>
            </w:r>
          </w:p>
        </w:tc>
        <w:tc>
          <w:tcPr>
            <w:tcW w:w="6967" w:type="dxa"/>
            <w:vAlign w:val="center"/>
          </w:tcPr>
          <w:p w14:paraId="02974573" w14:textId="77777777" w:rsidR="00FA1645" w:rsidRPr="00FA1645" w:rsidRDefault="00FA1645" w:rsidP="00FA1645">
            <w:r w:rsidRPr="00FA1645">
              <w:rPr>
                <w:rFonts w:ascii="Minion Pro" w:hAnsi="Minion Pro"/>
              </w:rPr>
              <w:t>Ukupan broj uzoraka otpadne vode iz sustava javne odvodnje koje je analizirao ovlašteni laboratorij neovisan o isporučitelju vodne usluge</w:t>
            </w:r>
          </w:p>
        </w:tc>
        <w:tc>
          <w:tcPr>
            <w:tcW w:w="1412" w:type="dxa"/>
            <w:vAlign w:val="center"/>
          </w:tcPr>
          <w:p w14:paraId="005006ED" w14:textId="77777777" w:rsidR="00FA1645" w:rsidRPr="00FA1645" w:rsidRDefault="00FA1645" w:rsidP="00FA1645">
            <w:pPr>
              <w:jc w:val="center"/>
            </w:pPr>
            <w:r w:rsidRPr="00FA1645">
              <w:t>(broj)</w:t>
            </w:r>
          </w:p>
        </w:tc>
      </w:tr>
      <w:tr w:rsidR="00FA1645" w:rsidRPr="00FA1645" w14:paraId="2E5AB3AE" w14:textId="77777777" w:rsidTr="001F1083">
        <w:trPr>
          <w:trHeight w:val="510"/>
        </w:trPr>
        <w:tc>
          <w:tcPr>
            <w:tcW w:w="0" w:type="auto"/>
            <w:vAlign w:val="center"/>
          </w:tcPr>
          <w:p w14:paraId="70CEA42C" w14:textId="77777777" w:rsidR="00FA1645" w:rsidRPr="00150871" w:rsidRDefault="00FA1645" w:rsidP="00FA1645">
            <w:pPr>
              <w:spacing w:before="120" w:after="120"/>
              <w:jc w:val="center"/>
              <w:rPr>
                <w:b/>
                <w:bCs/>
              </w:rPr>
            </w:pPr>
            <w:r w:rsidRPr="00150871">
              <w:rPr>
                <w:b/>
                <w:bCs/>
              </w:rPr>
              <w:t>26</w:t>
            </w:r>
          </w:p>
        </w:tc>
        <w:tc>
          <w:tcPr>
            <w:tcW w:w="6967" w:type="dxa"/>
            <w:vAlign w:val="center"/>
          </w:tcPr>
          <w:p w14:paraId="427D2897" w14:textId="77777777" w:rsidR="00FA1645" w:rsidRPr="00FA1645" w:rsidRDefault="00FA1645" w:rsidP="00FA1645">
            <w:r w:rsidRPr="00FA1645">
              <w:rPr>
                <w:rFonts w:ascii="Minion Pro" w:hAnsi="Minion Pro"/>
              </w:rPr>
              <w:t>Broj primljenih prigovora na kvalitetu usluge</w:t>
            </w:r>
          </w:p>
        </w:tc>
        <w:tc>
          <w:tcPr>
            <w:tcW w:w="1412" w:type="dxa"/>
            <w:vAlign w:val="center"/>
          </w:tcPr>
          <w:p w14:paraId="568B0564" w14:textId="77777777" w:rsidR="00FA1645" w:rsidRPr="00FA1645" w:rsidRDefault="00FA1645" w:rsidP="00FA1645">
            <w:pPr>
              <w:jc w:val="center"/>
            </w:pPr>
            <w:r w:rsidRPr="00FA1645">
              <w:t>(broj)</w:t>
            </w:r>
          </w:p>
        </w:tc>
      </w:tr>
      <w:tr w:rsidR="00FA1645" w:rsidRPr="00FA1645" w14:paraId="4765946D" w14:textId="77777777" w:rsidTr="001F1083">
        <w:trPr>
          <w:trHeight w:val="510"/>
        </w:trPr>
        <w:tc>
          <w:tcPr>
            <w:tcW w:w="0" w:type="auto"/>
            <w:vAlign w:val="center"/>
          </w:tcPr>
          <w:p w14:paraId="68ABF8B1" w14:textId="77777777" w:rsidR="00FA1645" w:rsidRPr="00150871" w:rsidRDefault="00FA1645" w:rsidP="00FA1645">
            <w:pPr>
              <w:spacing w:before="120" w:after="120"/>
              <w:jc w:val="center"/>
              <w:rPr>
                <w:b/>
                <w:bCs/>
              </w:rPr>
            </w:pPr>
            <w:r w:rsidRPr="00150871">
              <w:rPr>
                <w:b/>
                <w:bCs/>
              </w:rPr>
              <w:t>27</w:t>
            </w:r>
          </w:p>
        </w:tc>
        <w:tc>
          <w:tcPr>
            <w:tcW w:w="6967" w:type="dxa"/>
            <w:vAlign w:val="center"/>
          </w:tcPr>
          <w:p w14:paraId="2870A061" w14:textId="77777777" w:rsidR="00FA1645" w:rsidRPr="00FA1645" w:rsidRDefault="00FA1645" w:rsidP="00FA1645">
            <w:r w:rsidRPr="00FA1645">
              <w:rPr>
                <w:rFonts w:ascii="Minion Pro" w:hAnsi="Minion Pro"/>
              </w:rPr>
              <w:t>Broj riješenih prigovora u roku od 15 dana</w:t>
            </w:r>
          </w:p>
        </w:tc>
        <w:tc>
          <w:tcPr>
            <w:tcW w:w="1412" w:type="dxa"/>
            <w:vAlign w:val="center"/>
          </w:tcPr>
          <w:p w14:paraId="03C5694E" w14:textId="77777777" w:rsidR="00FA1645" w:rsidRPr="00FA1645" w:rsidRDefault="00FA1645" w:rsidP="00FA1645">
            <w:pPr>
              <w:jc w:val="center"/>
            </w:pPr>
            <w:r w:rsidRPr="00FA1645">
              <w:t>(broj)</w:t>
            </w:r>
          </w:p>
        </w:tc>
      </w:tr>
      <w:bookmarkEnd w:id="6"/>
    </w:tbl>
    <w:p w14:paraId="1EFBF131" w14:textId="77777777" w:rsidR="00FA1645" w:rsidRPr="00FA1645" w:rsidRDefault="00FA1645" w:rsidP="00FA1645">
      <w:pPr>
        <w:jc w:val="center"/>
      </w:pPr>
    </w:p>
    <w:p w14:paraId="4260A53D" w14:textId="77777777" w:rsidR="00FA1645" w:rsidRPr="00FA1645" w:rsidRDefault="00FA1645" w:rsidP="00FA1645">
      <w:pPr>
        <w:spacing w:after="240"/>
        <w:jc w:val="center"/>
      </w:pPr>
      <w:r w:rsidRPr="00FA1645">
        <w:t>Skupina 5. TROŠKOVI</w:t>
      </w:r>
    </w:p>
    <w:tbl>
      <w:tblPr>
        <w:tblStyle w:val="Reetkatablice2"/>
        <w:tblW w:w="5000" w:type="pct"/>
        <w:tblLook w:val="04A0" w:firstRow="1" w:lastRow="0" w:firstColumn="1" w:lastColumn="0" w:noHBand="0" w:noVBand="1"/>
      </w:tblPr>
      <w:tblGrid>
        <w:gridCol w:w="806"/>
        <w:gridCol w:w="6987"/>
        <w:gridCol w:w="1269"/>
      </w:tblGrid>
      <w:tr w:rsidR="00FA1645" w:rsidRPr="00FA1645" w14:paraId="7D86BC7F" w14:textId="77777777" w:rsidTr="001F1083">
        <w:tc>
          <w:tcPr>
            <w:tcW w:w="445"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10AFF718" w14:textId="77777777" w:rsidR="00FA1645" w:rsidRPr="00FA1645" w:rsidRDefault="00FA1645" w:rsidP="00FA1645">
            <w:pPr>
              <w:spacing w:before="120" w:after="120"/>
              <w:jc w:val="center"/>
              <w:rPr>
                <w:b/>
                <w:bCs/>
              </w:rPr>
            </w:pPr>
            <w:r w:rsidRPr="00FA1645">
              <w:rPr>
                <w:b/>
                <w:bCs/>
              </w:rPr>
              <w:t>Broj</w:t>
            </w:r>
          </w:p>
        </w:tc>
        <w:tc>
          <w:tcPr>
            <w:tcW w:w="3855"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9A716B4" w14:textId="77777777" w:rsidR="00FA1645" w:rsidRPr="00FA1645" w:rsidRDefault="00FA1645" w:rsidP="00FA1645">
            <w:pPr>
              <w:spacing w:before="120" w:after="120"/>
              <w:jc w:val="center"/>
              <w:rPr>
                <w:b/>
                <w:bCs/>
              </w:rPr>
            </w:pPr>
            <w:r w:rsidRPr="00FA1645">
              <w:rPr>
                <w:b/>
                <w:bCs/>
              </w:rPr>
              <w:t>Ključni pokazatelji</w:t>
            </w:r>
          </w:p>
        </w:tc>
        <w:tc>
          <w:tcPr>
            <w:tcW w:w="701"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A1EE011" w14:textId="77777777" w:rsidR="00FA1645" w:rsidRPr="00FA1645" w:rsidRDefault="00FA1645" w:rsidP="00FA1645">
            <w:pPr>
              <w:spacing w:before="120" w:after="120"/>
              <w:jc w:val="center"/>
              <w:rPr>
                <w:b/>
                <w:bCs/>
              </w:rPr>
            </w:pPr>
            <w:r w:rsidRPr="00FA1645">
              <w:rPr>
                <w:b/>
                <w:bCs/>
              </w:rPr>
              <w:t>Mjerilo</w:t>
            </w:r>
          </w:p>
        </w:tc>
      </w:tr>
      <w:tr w:rsidR="00FA1645" w:rsidRPr="00FA1645" w14:paraId="1C0325FF" w14:textId="77777777" w:rsidTr="001F1083">
        <w:trPr>
          <w:trHeight w:val="510"/>
        </w:trPr>
        <w:tc>
          <w:tcPr>
            <w:tcW w:w="445" w:type="pct"/>
            <w:vAlign w:val="center"/>
          </w:tcPr>
          <w:p w14:paraId="34FA498D" w14:textId="77777777" w:rsidR="00FA1645" w:rsidRPr="00150871" w:rsidRDefault="00FA1645" w:rsidP="00FA1645">
            <w:pPr>
              <w:spacing w:before="120" w:after="120"/>
              <w:jc w:val="center"/>
              <w:rPr>
                <w:b/>
                <w:bCs/>
              </w:rPr>
            </w:pPr>
            <w:r w:rsidRPr="00150871">
              <w:rPr>
                <w:b/>
                <w:bCs/>
              </w:rPr>
              <w:t>28</w:t>
            </w:r>
          </w:p>
        </w:tc>
        <w:tc>
          <w:tcPr>
            <w:tcW w:w="3855" w:type="pct"/>
            <w:vAlign w:val="center"/>
          </w:tcPr>
          <w:p w14:paraId="00E471FB" w14:textId="77777777" w:rsidR="00FA1645" w:rsidRPr="00FA1645" w:rsidRDefault="00FA1645" w:rsidP="00FA1645">
            <w:r w:rsidRPr="00FA1645">
              <w:t>Troškovi usluge javne vodoopskrbe</w:t>
            </w:r>
          </w:p>
        </w:tc>
        <w:tc>
          <w:tcPr>
            <w:tcW w:w="701" w:type="pct"/>
            <w:vAlign w:val="center"/>
          </w:tcPr>
          <w:p w14:paraId="56F54FCC" w14:textId="77777777" w:rsidR="00FA1645" w:rsidRPr="00FA1645" w:rsidRDefault="00FA1645" w:rsidP="00FA1645">
            <w:pPr>
              <w:jc w:val="center"/>
            </w:pPr>
            <w:r w:rsidRPr="00FA1645">
              <w:t>(kn)</w:t>
            </w:r>
          </w:p>
        </w:tc>
      </w:tr>
      <w:tr w:rsidR="00FA1645" w:rsidRPr="00FA1645" w14:paraId="47DF5BDE" w14:textId="77777777" w:rsidTr="001F1083">
        <w:trPr>
          <w:trHeight w:val="510"/>
        </w:trPr>
        <w:tc>
          <w:tcPr>
            <w:tcW w:w="445" w:type="pct"/>
            <w:vAlign w:val="center"/>
          </w:tcPr>
          <w:p w14:paraId="3FD56142" w14:textId="77777777" w:rsidR="00FA1645" w:rsidRPr="00150871" w:rsidRDefault="00FA1645" w:rsidP="00FA1645">
            <w:pPr>
              <w:spacing w:before="120" w:after="120"/>
              <w:jc w:val="center"/>
              <w:rPr>
                <w:b/>
                <w:bCs/>
              </w:rPr>
            </w:pPr>
            <w:r w:rsidRPr="00150871">
              <w:rPr>
                <w:b/>
                <w:bCs/>
              </w:rPr>
              <w:t>29</w:t>
            </w:r>
          </w:p>
        </w:tc>
        <w:tc>
          <w:tcPr>
            <w:tcW w:w="3855" w:type="pct"/>
            <w:vAlign w:val="center"/>
          </w:tcPr>
          <w:p w14:paraId="7800EE99" w14:textId="77777777" w:rsidR="00FA1645" w:rsidRPr="00FA1645" w:rsidRDefault="00FA1645" w:rsidP="00FA1645">
            <w:r w:rsidRPr="00FA1645">
              <w:t>Troškovi usluge javne odvodnje</w:t>
            </w:r>
          </w:p>
        </w:tc>
        <w:tc>
          <w:tcPr>
            <w:tcW w:w="701" w:type="pct"/>
            <w:vAlign w:val="center"/>
          </w:tcPr>
          <w:p w14:paraId="56CE6AAD" w14:textId="77777777" w:rsidR="00FA1645" w:rsidRPr="00FA1645" w:rsidRDefault="00FA1645" w:rsidP="00FA1645">
            <w:pPr>
              <w:jc w:val="center"/>
            </w:pPr>
            <w:r w:rsidRPr="00FA1645">
              <w:t>(kn)</w:t>
            </w:r>
          </w:p>
        </w:tc>
      </w:tr>
      <w:tr w:rsidR="00FA1645" w:rsidRPr="00FA1645" w14:paraId="32B4D4D9" w14:textId="77777777" w:rsidTr="001F1083">
        <w:trPr>
          <w:trHeight w:val="510"/>
        </w:trPr>
        <w:tc>
          <w:tcPr>
            <w:tcW w:w="445" w:type="pct"/>
            <w:vAlign w:val="center"/>
          </w:tcPr>
          <w:p w14:paraId="5ED43880" w14:textId="77777777" w:rsidR="00FA1645" w:rsidRPr="00150871" w:rsidRDefault="00FA1645" w:rsidP="00FA1645">
            <w:pPr>
              <w:spacing w:before="120" w:after="120"/>
              <w:jc w:val="center"/>
              <w:rPr>
                <w:b/>
                <w:bCs/>
              </w:rPr>
            </w:pPr>
            <w:r w:rsidRPr="00150871">
              <w:rPr>
                <w:b/>
                <w:bCs/>
              </w:rPr>
              <w:t>30</w:t>
            </w:r>
          </w:p>
        </w:tc>
        <w:tc>
          <w:tcPr>
            <w:tcW w:w="3855" w:type="pct"/>
            <w:vAlign w:val="center"/>
          </w:tcPr>
          <w:p w14:paraId="0E887313" w14:textId="77777777" w:rsidR="00FA1645" w:rsidRPr="00FA1645" w:rsidRDefault="00FA1645" w:rsidP="00FA1645">
            <w:r w:rsidRPr="00FA1645">
              <w:t>Ukupni troškovi poslovanja</w:t>
            </w:r>
          </w:p>
        </w:tc>
        <w:tc>
          <w:tcPr>
            <w:tcW w:w="701" w:type="pct"/>
            <w:vAlign w:val="center"/>
          </w:tcPr>
          <w:p w14:paraId="23B35AF3" w14:textId="77777777" w:rsidR="00FA1645" w:rsidRPr="00FA1645" w:rsidRDefault="00FA1645" w:rsidP="00FA1645">
            <w:pPr>
              <w:jc w:val="center"/>
            </w:pPr>
            <w:r w:rsidRPr="00FA1645">
              <w:t>(kn)</w:t>
            </w:r>
          </w:p>
        </w:tc>
      </w:tr>
      <w:tr w:rsidR="00FA1645" w:rsidRPr="00FA1645" w14:paraId="78E1C75A" w14:textId="77777777" w:rsidTr="001F1083">
        <w:trPr>
          <w:trHeight w:val="510"/>
        </w:trPr>
        <w:tc>
          <w:tcPr>
            <w:tcW w:w="445" w:type="pct"/>
            <w:vAlign w:val="center"/>
          </w:tcPr>
          <w:p w14:paraId="5E5667FD" w14:textId="77777777" w:rsidR="00FA1645" w:rsidRPr="00150871" w:rsidRDefault="00FA1645" w:rsidP="00FA1645">
            <w:pPr>
              <w:spacing w:before="120" w:after="120"/>
              <w:jc w:val="center"/>
              <w:rPr>
                <w:b/>
                <w:bCs/>
              </w:rPr>
            </w:pPr>
            <w:r w:rsidRPr="00150871">
              <w:rPr>
                <w:b/>
                <w:bCs/>
              </w:rPr>
              <w:t>31</w:t>
            </w:r>
          </w:p>
        </w:tc>
        <w:tc>
          <w:tcPr>
            <w:tcW w:w="3855" w:type="pct"/>
            <w:vAlign w:val="center"/>
          </w:tcPr>
          <w:p w14:paraId="33E048FA" w14:textId="77777777" w:rsidR="00FA1645" w:rsidRPr="00FA1645" w:rsidRDefault="00FA1645" w:rsidP="00FA1645">
            <w:r w:rsidRPr="00FA1645">
              <w:t>Ukupan broj zaposlenika</w:t>
            </w:r>
          </w:p>
        </w:tc>
        <w:tc>
          <w:tcPr>
            <w:tcW w:w="701" w:type="pct"/>
            <w:vAlign w:val="center"/>
          </w:tcPr>
          <w:p w14:paraId="3E5C6029" w14:textId="77777777" w:rsidR="00FA1645" w:rsidRPr="00FA1645" w:rsidRDefault="00FA1645" w:rsidP="00FA1645">
            <w:pPr>
              <w:jc w:val="center"/>
            </w:pPr>
            <w:r w:rsidRPr="00FA1645">
              <w:t>(broj)</w:t>
            </w:r>
          </w:p>
        </w:tc>
      </w:tr>
      <w:tr w:rsidR="00FA1645" w:rsidRPr="00FA1645" w14:paraId="4F5F22FC" w14:textId="77777777" w:rsidTr="001F1083">
        <w:trPr>
          <w:trHeight w:val="510"/>
        </w:trPr>
        <w:tc>
          <w:tcPr>
            <w:tcW w:w="445" w:type="pct"/>
            <w:vAlign w:val="center"/>
          </w:tcPr>
          <w:p w14:paraId="08A9CC52" w14:textId="77777777" w:rsidR="00FA1645" w:rsidRPr="00150871" w:rsidRDefault="00FA1645" w:rsidP="00FA1645">
            <w:pPr>
              <w:spacing w:before="120" w:after="120"/>
              <w:jc w:val="center"/>
              <w:rPr>
                <w:b/>
                <w:bCs/>
              </w:rPr>
            </w:pPr>
            <w:r w:rsidRPr="00150871">
              <w:rPr>
                <w:b/>
                <w:bCs/>
              </w:rPr>
              <w:t>32</w:t>
            </w:r>
          </w:p>
        </w:tc>
        <w:tc>
          <w:tcPr>
            <w:tcW w:w="3855" w:type="pct"/>
            <w:vAlign w:val="center"/>
          </w:tcPr>
          <w:p w14:paraId="75102CBE" w14:textId="77777777" w:rsidR="00FA1645" w:rsidRPr="00FA1645" w:rsidRDefault="00FA1645" w:rsidP="00FA1645">
            <w:r w:rsidRPr="00FA1645">
              <w:t>Ukupni troškovi svih zaposlenika</w:t>
            </w:r>
          </w:p>
        </w:tc>
        <w:tc>
          <w:tcPr>
            <w:tcW w:w="701" w:type="pct"/>
            <w:vAlign w:val="center"/>
          </w:tcPr>
          <w:p w14:paraId="089175C1" w14:textId="77777777" w:rsidR="00FA1645" w:rsidRPr="00FA1645" w:rsidRDefault="00FA1645" w:rsidP="00FA1645">
            <w:pPr>
              <w:jc w:val="center"/>
            </w:pPr>
            <w:r w:rsidRPr="00FA1645">
              <w:t>(kn)</w:t>
            </w:r>
          </w:p>
        </w:tc>
      </w:tr>
      <w:tr w:rsidR="00FA1645" w:rsidRPr="00FA1645" w14:paraId="0D9596C9" w14:textId="77777777" w:rsidTr="001F1083">
        <w:trPr>
          <w:trHeight w:val="510"/>
        </w:trPr>
        <w:tc>
          <w:tcPr>
            <w:tcW w:w="445" w:type="pct"/>
            <w:vAlign w:val="center"/>
          </w:tcPr>
          <w:p w14:paraId="0FCE0E64" w14:textId="77777777" w:rsidR="00FA1645" w:rsidRPr="00150871" w:rsidRDefault="00FA1645" w:rsidP="00FA1645">
            <w:pPr>
              <w:spacing w:before="120" w:after="120"/>
              <w:jc w:val="center"/>
              <w:rPr>
                <w:b/>
                <w:bCs/>
              </w:rPr>
            </w:pPr>
            <w:r w:rsidRPr="00150871">
              <w:rPr>
                <w:b/>
                <w:bCs/>
              </w:rPr>
              <w:t>33</w:t>
            </w:r>
          </w:p>
        </w:tc>
        <w:tc>
          <w:tcPr>
            <w:tcW w:w="3855" w:type="pct"/>
            <w:vAlign w:val="center"/>
          </w:tcPr>
          <w:p w14:paraId="6F0ADAEE" w14:textId="77777777" w:rsidR="00FA1645" w:rsidRPr="00FA1645" w:rsidRDefault="00FA1645" w:rsidP="00FA1645">
            <w:r w:rsidRPr="00FA1645">
              <w:t>Broj zaposlenika u sustavu javne vodoopskrbe</w:t>
            </w:r>
          </w:p>
        </w:tc>
        <w:tc>
          <w:tcPr>
            <w:tcW w:w="701" w:type="pct"/>
            <w:vAlign w:val="center"/>
          </w:tcPr>
          <w:p w14:paraId="0E7DDD0B" w14:textId="77777777" w:rsidR="00FA1645" w:rsidRPr="00FA1645" w:rsidRDefault="00FA1645" w:rsidP="00FA1645">
            <w:pPr>
              <w:jc w:val="center"/>
            </w:pPr>
            <w:r w:rsidRPr="00FA1645">
              <w:t>(broj)</w:t>
            </w:r>
          </w:p>
        </w:tc>
      </w:tr>
      <w:tr w:rsidR="00FA1645" w:rsidRPr="00FA1645" w14:paraId="457964EB" w14:textId="77777777" w:rsidTr="001F1083">
        <w:trPr>
          <w:trHeight w:val="510"/>
        </w:trPr>
        <w:tc>
          <w:tcPr>
            <w:tcW w:w="445" w:type="pct"/>
            <w:vAlign w:val="center"/>
          </w:tcPr>
          <w:p w14:paraId="3EC661CE" w14:textId="77777777" w:rsidR="00FA1645" w:rsidRPr="00150871" w:rsidRDefault="00FA1645" w:rsidP="00FA1645">
            <w:pPr>
              <w:spacing w:before="120" w:after="120"/>
              <w:jc w:val="center"/>
              <w:rPr>
                <w:b/>
                <w:bCs/>
              </w:rPr>
            </w:pPr>
            <w:r w:rsidRPr="00150871">
              <w:rPr>
                <w:b/>
                <w:bCs/>
              </w:rPr>
              <w:t>34</w:t>
            </w:r>
          </w:p>
        </w:tc>
        <w:tc>
          <w:tcPr>
            <w:tcW w:w="3855" w:type="pct"/>
            <w:vAlign w:val="center"/>
          </w:tcPr>
          <w:p w14:paraId="5BA2EBEF" w14:textId="77777777" w:rsidR="00FA1645" w:rsidRPr="00FA1645" w:rsidRDefault="00FA1645" w:rsidP="00FA1645">
            <w:r w:rsidRPr="00FA1645">
              <w:t>Broj zaposlenika u sustavu javne odvodnje</w:t>
            </w:r>
          </w:p>
        </w:tc>
        <w:tc>
          <w:tcPr>
            <w:tcW w:w="701" w:type="pct"/>
            <w:vAlign w:val="center"/>
          </w:tcPr>
          <w:p w14:paraId="14421056" w14:textId="77777777" w:rsidR="00FA1645" w:rsidRPr="00FA1645" w:rsidRDefault="00FA1645" w:rsidP="00FA1645">
            <w:pPr>
              <w:jc w:val="center"/>
            </w:pPr>
            <w:r w:rsidRPr="00FA1645">
              <w:t>(broj)</w:t>
            </w:r>
          </w:p>
        </w:tc>
      </w:tr>
      <w:tr w:rsidR="00FA1645" w:rsidRPr="00FA1645" w14:paraId="04B10211" w14:textId="77777777" w:rsidTr="001F1083">
        <w:trPr>
          <w:trHeight w:val="510"/>
        </w:trPr>
        <w:tc>
          <w:tcPr>
            <w:tcW w:w="445" w:type="pct"/>
            <w:vAlign w:val="center"/>
          </w:tcPr>
          <w:p w14:paraId="5D21759E" w14:textId="77777777" w:rsidR="00FA1645" w:rsidRPr="00150871" w:rsidRDefault="00FA1645" w:rsidP="00FA1645">
            <w:pPr>
              <w:spacing w:before="120" w:after="120"/>
              <w:jc w:val="center"/>
              <w:rPr>
                <w:b/>
                <w:bCs/>
              </w:rPr>
            </w:pPr>
            <w:r w:rsidRPr="00150871">
              <w:rPr>
                <w:b/>
                <w:bCs/>
              </w:rPr>
              <w:t>35</w:t>
            </w:r>
          </w:p>
        </w:tc>
        <w:tc>
          <w:tcPr>
            <w:tcW w:w="3855" w:type="pct"/>
            <w:vAlign w:val="center"/>
          </w:tcPr>
          <w:p w14:paraId="67AA1DF7" w14:textId="77777777" w:rsidR="00FA1645" w:rsidRPr="00FA1645" w:rsidRDefault="00FA1645" w:rsidP="00FA1645">
            <w:r w:rsidRPr="00FA1645">
              <w:t>Troškovi zaposlenika u sustavu javne vodoopskrbe</w:t>
            </w:r>
          </w:p>
        </w:tc>
        <w:tc>
          <w:tcPr>
            <w:tcW w:w="701" w:type="pct"/>
            <w:vAlign w:val="center"/>
          </w:tcPr>
          <w:p w14:paraId="044C7855" w14:textId="77777777" w:rsidR="00FA1645" w:rsidRPr="00FA1645" w:rsidRDefault="00FA1645" w:rsidP="00FA1645">
            <w:pPr>
              <w:jc w:val="center"/>
            </w:pPr>
            <w:r w:rsidRPr="00FA1645">
              <w:t>(kn)</w:t>
            </w:r>
          </w:p>
        </w:tc>
      </w:tr>
      <w:tr w:rsidR="00FA1645" w:rsidRPr="00FA1645" w14:paraId="435212FF" w14:textId="77777777" w:rsidTr="001F1083">
        <w:trPr>
          <w:trHeight w:val="510"/>
        </w:trPr>
        <w:tc>
          <w:tcPr>
            <w:tcW w:w="445" w:type="pct"/>
            <w:vAlign w:val="center"/>
          </w:tcPr>
          <w:p w14:paraId="15A8E799" w14:textId="77777777" w:rsidR="00FA1645" w:rsidRPr="00150871" w:rsidRDefault="00FA1645" w:rsidP="00FA1645">
            <w:pPr>
              <w:spacing w:before="120" w:after="120"/>
              <w:jc w:val="center"/>
              <w:rPr>
                <w:b/>
                <w:bCs/>
              </w:rPr>
            </w:pPr>
            <w:r w:rsidRPr="00150871">
              <w:rPr>
                <w:b/>
                <w:bCs/>
              </w:rPr>
              <w:lastRenderedPageBreak/>
              <w:t>36</w:t>
            </w:r>
          </w:p>
        </w:tc>
        <w:tc>
          <w:tcPr>
            <w:tcW w:w="3855" w:type="pct"/>
            <w:vAlign w:val="center"/>
          </w:tcPr>
          <w:p w14:paraId="0BC98C83" w14:textId="77777777" w:rsidR="00FA1645" w:rsidRPr="00FA1645" w:rsidRDefault="00FA1645" w:rsidP="00FA1645">
            <w:r w:rsidRPr="00FA1645">
              <w:t>Troškovi zaposlenika u sustavu javne odvodnje</w:t>
            </w:r>
          </w:p>
        </w:tc>
        <w:tc>
          <w:tcPr>
            <w:tcW w:w="701" w:type="pct"/>
            <w:vAlign w:val="center"/>
          </w:tcPr>
          <w:p w14:paraId="4E202C58" w14:textId="77777777" w:rsidR="00FA1645" w:rsidRPr="00FA1645" w:rsidRDefault="00FA1645" w:rsidP="00FA1645">
            <w:pPr>
              <w:jc w:val="center"/>
            </w:pPr>
            <w:r w:rsidRPr="00FA1645">
              <w:t>(kn)</w:t>
            </w:r>
          </w:p>
        </w:tc>
      </w:tr>
      <w:tr w:rsidR="00FA1645" w:rsidRPr="00FA1645" w14:paraId="2E9566A3" w14:textId="77777777" w:rsidTr="001F1083">
        <w:trPr>
          <w:trHeight w:val="510"/>
        </w:trPr>
        <w:tc>
          <w:tcPr>
            <w:tcW w:w="445" w:type="pct"/>
            <w:vAlign w:val="center"/>
          </w:tcPr>
          <w:p w14:paraId="3EAF911C" w14:textId="77777777" w:rsidR="00FA1645" w:rsidRPr="00150871" w:rsidRDefault="00FA1645" w:rsidP="00FA1645">
            <w:pPr>
              <w:spacing w:before="120" w:after="120"/>
              <w:jc w:val="center"/>
              <w:rPr>
                <w:b/>
                <w:bCs/>
              </w:rPr>
            </w:pPr>
            <w:r w:rsidRPr="00150871">
              <w:rPr>
                <w:b/>
                <w:bCs/>
              </w:rPr>
              <w:t>37</w:t>
            </w:r>
          </w:p>
        </w:tc>
        <w:tc>
          <w:tcPr>
            <w:tcW w:w="3855" w:type="pct"/>
            <w:vAlign w:val="center"/>
          </w:tcPr>
          <w:p w14:paraId="705EBC28" w14:textId="77777777" w:rsidR="00FA1645" w:rsidRPr="00FA1645" w:rsidRDefault="00FA1645" w:rsidP="00FA1645">
            <w:r w:rsidRPr="00FA1645">
              <w:t>Ukupni troškovi električne energije</w:t>
            </w:r>
          </w:p>
        </w:tc>
        <w:tc>
          <w:tcPr>
            <w:tcW w:w="701" w:type="pct"/>
            <w:vAlign w:val="center"/>
          </w:tcPr>
          <w:p w14:paraId="7D653454" w14:textId="77777777" w:rsidR="00FA1645" w:rsidRPr="00FA1645" w:rsidRDefault="00FA1645" w:rsidP="00FA1645">
            <w:pPr>
              <w:jc w:val="center"/>
            </w:pPr>
            <w:r w:rsidRPr="00FA1645">
              <w:t>(kn)</w:t>
            </w:r>
          </w:p>
        </w:tc>
      </w:tr>
      <w:tr w:rsidR="00FA1645" w:rsidRPr="00FA1645" w14:paraId="52A8604D" w14:textId="77777777" w:rsidTr="001F1083">
        <w:trPr>
          <w:trHeight w:val="510"/>
        </w:trPr>
        <w:tc>
          <w:tcPr>
            <w:tcW w:w="445" w:type="pct"/>
            <w:vAlign w:val="center"/>
          </w:tcPr>
          <w:p w14:paraId="348F5940" w14:textId="77777777" w:rsidR="00FA1645" w:rsidRPr="00150871" w:rsidRDefault="00FA1645" w:rsidP="00FA1645">
            <w:pPr>
              <w:spacing w:before="120" w:after="120"/>
              <w:jc w:val="center"/>
              <w:rPr>
                <w:b/>
                <w:bCs/>
              </w:rPr>
            </w:pPr>
            <w:r w:rsidRPr="00150871">
              <w:rPr>
                <w:b/>
                <w:bCs/>
              </w:rPr>
              <w:t>38</w:t>
            </w:r>
          </w:p>
        </w:tc>
        <w:tc>
          <w:tcPr>
            <w:tcW w:w="3855" w:type="pct"/>
            <w:vAlign w:val="center"/>
          </w:tcPr>
          <w:p w14:paraId="7A5FC483" w14:textId="77777777" w:rsidR="00FA1645" w:rsidRPr="00FA1645" w:rsidRDefault="00FA1645" w:rsidP="00FA1645">
            <w:r w:rsidRPr="00FA1645">
              <w:t>Ukupni troškovi tekućeg održavanja</w:t>
            </w:r>
          </w:p>
        </w:tc>
        <w:tc>
          <w:tcPr>
            <w:tcW w:w="701" w:type="pct"/>
            <w:vAlign w:val="center"/>
          </w:tcPr>
          <w:p w14:paraId="4702D4BE" w14:textId="77777777" w:rsidR="00FA1645" w:rsidRPr="00FA1645" w:rsidRDefault="00FA1645" w:rsidP="00FA1645">
            <w:pPr>
              <w:jc w:val="center"/>
            </w:pPr>
            <w:r w:rsidRPr="00FA1645">
              <w:t>(kn)</w:t>
            </w:r>
          </w:p>
        </w:tc>
      </w:tr>
      <w:tr w:rsidR="00FA1645" w:rsidRPr="00FA1645" w14:paraId="1C00249F" w14:textId="77777777" w:rsidTr="001F1083">
        <w:trPr>
          <w:trHeight w:val="510"/>
        </w:trPr>
        <w:tc>
          <w:tcPr>
            <w:tcW w:w="445" w:type="pct"/>
            <w:vAlign w:val="center"/>
          </w:tcPr>
          <w:p w14:paraId="20835DAA" w14:textId="77777777" w:rsidR="00FA1645" w:rsidRPr="00150871" w:rsidRDefault="00FA1645" w:rsidP="00FA1645">
            <w:pPr>
              <w:spacing w:before="120" w:after="120"/>
              <w:jc w:val="center"/>
              <w:rPr>
                <w:b/>
                <w:bCs/>
              </w:rPr>
            </w:pPr>
            <w:r w:rsidRPr="00150871">
              <w:rPr>
                <w:b/>
                <w:bCs/>
              </w:rPr>
              <w:t>39</w:t>
            </w:r>
          </w:p>
        </w:tc>
        <w:tc>
          <w:tcPr>
            <w:tcW w:w="3855" w:type="pct"/>
            <w:vAlign w:val="center"/>
          </w:tcPr>
          <w:p w14:paraId="6AAD079D" w14:textId="77777777" w:rsidR="00FA1645" w:rsidRPr="00FA1645" w:rsidRDefault="00FA1645" w:rsidP="00FA1645">
            <w:r w:rsidRPr="00FA1645">
              <w:t>Ukupni troškovi amortizacije</w:t>
            </w:r>
          </w:p>
        </w:tc>
        <w:tc>
          <w:tcPr>
            <w:tcW w:w="701" w:type="pct"/>
            <w:vAlign w:val="center"/>
          </w:tcPr>
          <w:p w14:paraId="0B0A0F78" w14:textId="77777777" w:rsidR="00FA1645" w:rsidRPr="00FA1645" w:rsidRDefault="00FA1645" w:rsidP="00FA1645">
            <w:pPr>
              <w:jc w:val="center"/>
            </w:pPr>
            <w:r w:rsidRPr="00FA1645">
              <w:t>(kn)</w:t>
            </w:r>
          </w:p>
        </w:tc>
      </w:tr>
      <w:tr w:rsidR="00FA1645" w:rsidRPr="00FA1645" w14:paraId="66C1F7F0" w14:textId="77777777" w:rsidTr="001F1083">
        <w:trPr>
          <w:trHeight w:val="510"/>
        </w:trPr>
        <w:tc>
          <w:tcPr>
            <w:tcW w:w="445" w:type="pct"/>
            <w:vAlign w:val="center"/>
          </w:tcPr>
          <w:p w14:paraId="4C8999D0" w14:textId="77777777" w:rsidR="00FA1645" w:rsidRPr="00150871" w:rsidRDefault="00FA1645" w:rsidP="00FA1645">
            <w:pPr>
              <w:spacing w:before="120" w:after="120"/>
              <w:jc w:val="center"/>
              <w:rPr>
                <w:b/>
                <w:bCs/>
              </w:rPr>
            </w:pPr>
            <w:r w:rsidRPr="00150871">
              <w:rPr>
                <w:b/>
                <w:bCs/>
              </w:rPr>
              <w:t>40</w:t>
            </w:r>
          </w:p>
        </w:tc>
        <w:tc>
          <w:tcPr>
            <w:tcW w:w="3855" w:type="pct"/>
            <w:vAlign w:val="center"/>
          </w:tcPr>
          <w:p w14:paraId="55DEA74A" w14:textId="77777777" w:rsidR="00FA1645" w:rsidRPr="00FA1645" w:rsidRDefault="00FA1645" w:rsidP="00FA1645">
            <w:r w:rsidRPr="00FA1645">
              <w:t>Ostali materijalni troškovi</w:t>
            </w:r>
          </w:p>
        </w:tc>
        <w:tc>
          <w:tcPr>
            <w:tcW w:w="701" w:type="pct"/>
            <w:vAlign w:val="center"/>
          </w:tcPr>
          <w:p w14:paraId="59C49CD8" w14:textId="77777777" w:rsidR="00FA1645" w:rsidRPr="00FA1645" w:rsidRDefault="00FA1645" w:rsidP="00FA1645">
            <w:pPr>
              <w:jc w:val="center"/>
            </w:pPr>
            <w:r w:rsidRPr="00FA1645">
              <w:t>(kn)</w:t>
            </w:r>
          </w:p>
        </w:tc>
      </w:tr>
      <w:tr w:rsidR="00FA1645" w:rsidRPr="00FA1645" w14:paraId="6977E6DE" w14:textId="77777777" w:rsidTr="001F1083">
        <w:trPr>
          <w:trHeight w:val="510"/>
        </w:trPr>
        <w:tc>
          <w:tcPr>
            <w:tcW w:w="445" w:type="pct"/>
            <w:vAlign w:val="center"/>
          </w:tcPr>
          <w:p w14:paraId="3A519A7D" w14:textId="77777777" w:rsidR="00FA1645" w:rsidRPr="00150871" w:rsidRDefault="00FA1645" w:rsidP="00FA1645">
            <w:pPr>
              <w:spacing w:before="120" w:after="120"/>
              <w:jc w:val="center"/>
              <w:rPr>
                <w:b/>
                <w:bCs/>
              </w:rPr>
            </w:pPr>
            <w:r w:rsidRPr="00150871">
              <w:rPr>
                <w:b/>
                <w:bCs/>
              </w:rPr>
              <w:t>41</w:t>
            </w:r>
          </w:p>
        </w:tc>
        <w:tc>
          <w:tcPr>
            <w:tcW w:w="3855" w:type="pct"/>
            <w:vAlign w:val="center"/>
          </w:tcPr>
          <w:p w14:paraId="67A08141" w14:textId="77777777" w:rsidR="00FA1645" w:rsidRPr="00FA1645" w:rsidRDefault="00FA1645" w:rsidP="00FA1645">
            <w:r w:rsidRPr="00FA1645">
              <w:t>Prihod redovne djelatnosti usluge javne vodoopskrbe</w:t>
            </w:r>
          </w:p>
        </w:tc>
        <w:tc>
          <w:tcPr>
            <w:tcW w:w="701" w:type="pct"/>
            <w:vAlign w:val="center"/>
          </w:tcPr>
          <w:p w14:paraId="138B7E45" w14:textId="77777777" w:rsidR="00FA1645" w:rsidRPr="00FA1645" w:rsidRDefault="00FA1645" w:rsidP="00FA1645">
            <w:pPr>
              <w:jc w:val="center"/>
            </w:pPr>
            <w:r w:rsidRPr="00FA1645">
              <w:t>(kn)</w:t>
            </w:r>
          </w:p>
        </w:tc>
      </w:tr>
      <w:tr w:rsidR="00FA1645" w:rsidRPr="00FA1645" w14:paraId="06283125" w14:textId="77777777" w:rsidTr="001F1083">
        <w:trPr>
          <w:trHeight w:val="510"/>
        </w:trPr>
        <w:tc>
          <w:tcPr>
            <w:tcW w:w="445" w:type="pct"/>
            <w:vAlign w:val="center"/>
          </w:tcPr>
          <w:p w14:paraId="37E0CFA1" w14:textId="77777777" w:rsidR="00FA1645" w:rsidRPr="00150871" w:rsidRDefault="00FA1645" w:rsidP="00FA1645">
            <w:pPr>
              <w:spacing w:before="120" w:after="120"/>
              <w:jc w:val="center"/>
              <w:rPr>
                <w:b/>
                <w:bCs/>
              </w:rPr>
            </w:pPr>
            <w:r w:rsidRPr="00150871">
              <w:rPr>
                <w:b/>
                <w:bCs/>
              </w:rPr>
              <w:t>42</w:t>
            </w:r>
          </w:p>
        </w:tc>
        <w:tc>
          <w:tcPr>
            <w:tcW w:w="3855" w:type="pct"/>
            <w:vAlign w:val="center"/>
          </w:tcPr>
          <w:p w14:paraId="468A2C6E" w14:textId="77777777" w:rsidR="00FA1645" w:rsidRPr="00FA1645" w:rsidRDefault="00FA1645" w:rsidP="00FA1645">
            <w:r w:rsidRPr="00FA1645">
              <w:t>Prihod redovne djelatnosti usluge javne odvodnje</w:t>
            </w:r>
          </w:p>
        </w:tc>
        <w:tc>
          <w:tcPr>
            <w:tcW w:w="701" w:type="pct"/>
            <w:vAlign w:val="center"/>
          </w:tcPr>
          <w:p w14:paraId="3DD742BD" w14:textId="77777777" w:rsidR="00FA1645" w:rsidRPr="00FA1645" w:rsidRDefault="00FA1645" w:rsidP="00FA1645">
            <w:pPr>
              <w:jc w:val="center"/>
            </w:pPr>
            <w:r w:rsidRPr="00FA1645">
              <w:t>(kn)</w:t>
            </w:r>
          </w:p>
        </w:tc>
      </w:tr>
      <w:tr w:rsidR="00FA1645" w:rsidRPr="00FA1645" w14:paraId="0BD0B399" w14:textId="77777777" w:rsidTr="001F1083">
        <w:trPr>
          <w:trHeight w:val="510"/>
        </w:trPr>
        <w:tc>
          <w:tcPr>
            <w:tcW w:w="445" w:type="pct"/>
            <w:vAlign w:val="center"/>
          </w:tcPr>
          <w:p w14:paraId="4EF1FBCF" w14:textId="77777777" w:rsidR="00FA1645" w:rsidRPr="00150871" w:rsidRDefault="00FA1645" w:rsidP="00FA1645">
            <w:pPr>
              <w:spacing w:before="120" w:after="120"/>
              <w:jc w:val="center"/>
              <w:rPr>
                <w:b/>
                <w:bCs/>
              </w:rPr>
            </w:pPr>
            <w:r w:rsidRPr="00150871">
              <w:rPr>
                <w:b/>
                <w:bCs/>
              </w:rPr>
              <w:t>43</w:t>
            </w:r>
          </w:p>
        </w:tc>
        <w:tc>
          <w:tcPr>
            <w:tcW w:w="3855" w:type="pct"/>
            <w:vAlign w:val="center"/>
          </w:tcPr>
          <w:p w14:paraId="345603D9" w14:textId="77777777" w:rsidR="00FA1645" w:rsidRPr="00FA1645" w:rsidRDefault="00FA1645" w:rsidP="00FA1645">
            <w:r w:rsidRPr="00FA1645">
              <w:t>Prihod redovne djelatnosti</w:t>
            </w:r>
          </w:p>
        </w:tc>
        <w:tc>
          <w:tcPr>
            <w:tcW w:w="701" w:type="pct"/>
            <w:vAlign w:val="center"/>
          </w:tcPr>
          <w:p w14:paraId="62DE78E4" w14:textId="77777777" w:rsidR="00FA1645" w:rsidRPr="00FA1645" w:rsidRDefault="00FA1645" w:rsidP="00FA1645">
            <w:pPr>
              <w:jc w:val="center"/>
            </w:pPr>
            <w:r w:rsidRPr="00FA1645">
              <w:t>(kn)</w:t>
            </w:r>
          </w:p>
        </w:tc>
      </w:tr>
      <w:tr w:rsidR="00FA1645" w:rsidRPr="00FA1645" w14:paraId="13CE7238" w14:textId="77777777" w:rsidTr="001F1083">
        <w:trPr>
          <w:trHeight w:val="510"/>
        </w:trPr>
        <w:tc>
          <w:tcPr>
            <w:tcW w:w="445" w:type="pct"/>
            <w:vAlign w:val="center"/>
          </w:tcPr>
          <w:p w14:paraId="6086B638" w14:textId="77777777" w:rsidR="00FA1645" w:rsidRPr="00150871" w:rsidRDefault="00FA1645" w:rsidP="00FA1645">
            <w:pPr>
              <w:spacing w:before="120" w:after="120"/>
              <w:jc w:val="center"/>
              <w:rPr>
                <w:b/>
                <w:bCs/>
              </w:rPr>
            </w:pPr>
            <w:r w:rsidRPr="00150871">
              <w:rPr>
                <w:b/>
                <w:bCs/>
              </w:rPr>
              <w:t>44</w:t>
            </w:r>
          </w:p>
        </w:tc>
        <w:tc>
          <w:tcPr>
            <w:tcW w:w="3855" w:type="pct"/>
            <w:vAlign w:val="center"/>
          </w:tcPr>
          <w:p w14:paraId="2B0960AE" w14:textId="77777777" w:rsidR="00FA1645" w:rsidRPr="00FA1645" w:rsidRDefault="00FA1645" w:rsidP="00FA1645">
            <w:r w:rsidRPr="00FA1645">
              <w:t>Ukupni troškovi redovne djelatnosti</w:t>
            </w:r>
          </w:p>
        </w:tc>
        <w:tc>
          <w:tcPr>
            <w:tcW w:w="701" w:type="pct"/>
            <w:vAlign w:val="center"/>
          </w:tcPr>
          <w:p w14:paraId="21CEC0FD" w14:textId="77777777" w:rsidR="00FA1645" w:rsidRPr="00FA1645" w:rsidRDefault="00FA1645" w:rsidP="00FA1645">
            <w:pPr>
              <w:jc w:val="center"/>
            </w:pPr>
            <w:r w:rsidRPr="00FA1645">
              <w:t>(kn)</w:t>
            </w:r>
          </w:p>
        </w:tc>
      </w:tr>
    </w:tbl>
    <w:p w14:paraId="72008CAE" w14:textId="77777777" w:rsidR="00FA1645" w:rsidRPr="00FA1645" w:rsidRDefault="00FA1645" w:rsidP="00FA1645">
      <w:pPr>
        <w:spacing w:before="240" w:after="240"/>
        <w:jc w:val="center"/>
        <w:textAlignment w:val="baseline"/>
        <w:rPr>
          <w:rFonts w:ascii="Minion Pro" w:hAnsi="Minion Pro" w:cs="Calibri"/>
          <w:color w:val="000000"/>
        </w:rPr>
      </w:pPr>
    </w:p>
    <w:p w14:paraId="1A21F436" w14:textId="77777777" w:rsidR="00FA1645" w:rsidRPr="00FA1645" w:rsidRDefault="00FA1645" w:rsidP="00FA1645">
      <w:pPr>
        <w:spacing w:after="240"/>
        <w:jc w:val="center"/>
      </w:pPr>
      <w:r w:rsidRPr="00FA1645">
        <w:t>Skupina 6. ZADUŽENOST I KAPITAL</w:t>
      </w:r>
    </w:p>
    <w:tbl>
      <w:tblPr>
        <w:tblStyle w:val="Reetkatablice2"/>
        <w:tblW w:w="5000" w:type="pct"/>
        <w:tblLook w:val="04A0" w:firstRow="1" w:lastRow="0" w:firstColumn="1" w:lastColumn="0" w:noHBand="0" w:noVBand="1"/>
      </w:tblPr>
      <w:tblGrid>
        <w:gridCol w:w="958"/>
        <w:gridCol w:w="6835"/>
        <w:gridCol w:w="1269"/>
      </w:tblGrid>
      <w:tr w:rsidR="00FA1645" w:rsidRPr="00FA1645" w14:paraId="5B1E920E" w14:textId="77777777" w:rsidTr="001F1083">
        <w:tc>
          <w:tcPr>
            <w:tcW w:w="529"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3A27EFB" w14:textId="77777777" w:rsidR="00FA1645" w:rsidRPr="00FA1645" w:rsidRDefault="00FA1645" w:rsidP="00FA1645">
            <w:pPr>
              <w:spacing w:before="120" w:after="120"/>
              <w:jc w:val="center"/>
              <w:rPr>
                <w:b/>
                <w:bCs/>
              </w:rPr>
            </w:pPr>
            <w:r w:rsidRPr="00FA1645">
              <w:rPr>
                <w:b/>
                <w:bCs/>
              </w:rPr>
              <w:t>Broj</w:t>
            </w:r>
          </w:p>
        </w:tc>
        <w:tc>
          <w:tcPr>
            <w:tcW w:w="3771"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BEE21FA" w14:textId="77777777" w:rsidR="00FA1645" w:rsidRPr="00FA1645" w:rsidRDefault="00FA1645" w:rsidP="00FA1645">
            <w:pPr>
              <w:spacing w:before="120" w:after="120"/>
              <w:jc w:val="center"/>
              <w:rPr>
                <w:b/>
                <w:bCs/>
              </w:rPr>
            </w:pPr>
            <w:r w:rsidRPr="00FA1645">
              <w:rPr>
                <w:b/>
                <w:bCs/>
              </w:rPr>
              <w:t>Ključni pokazatelji</w:t>
            </w:r>
          </w:p>
        </w:tc>
        <w:tc>
          <w:tcPr>
            <w:tcW w:w="701" w:type="pct"/>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699A2F89" w14:textId="77777777" w:rsidR="00FA1645" w:rsidRPr="00FA1645" w:rsidRDefault="00FA1645" w:rsidP="00FA1645">
            <w:pPr>
              <w:spacing w:before="120" w:after="120"/>
              <w:jc w:val="center"/>
              <w:rPr>
                <w:b/>
                <w:bCs/>
              </w:rPr>
            </w:pPr>
            <w:r w:rsidRPr="00FA1645">
              <w:rPr>
                <w:b/>
                <w:bCs/>
              </w:rPr>
              <w:t>Mjerilo</w:t>
            </w:r>
          </w:p>
        </w:tc>
      </w:tr>
      <w:tr w:rsidR="00FA1645" w:rsidRPr="00FA1645" w14:paraId="7386E612" w14:textId="77777777" w:rsidTr="001F1083">
        <w:trPr>
          <w:trHeight w:val="510"/>
        </w:trPr>
        <w:tc>
          <w:tcPr>
            <w:tcW w:w="529" w:type="pct"/>
            <w:vAlign w:val="center"/>
          </w:tcPr>
          <w:p w14:paraId="3ED60385" w14:textId="77777777" w:rsidR="00FA1645" w:rsidRPr="00150871" w:rsidRDefault="00FA1645" w:rsidP="00FA1645">
            <w:pPr>
              <w:spacing w:before="120" w:after="120"/>
              <w:jc w:val="center"/>
              <w:rPr>
                <w:b/>
                <w:bCs/>
              </w:rPr>
            </w:pPr>
            <w:r w:rsidRPr="00150871">
              <w:rPr>
                <w:b/>
                <w:bCs/>
              </w:rPr>
              <w:t>45</w:t>
            </w:r>
          </w:p>
        </w:tc>
        <w:tc>
          <w:tcPr>
            <w:tcW w:w="3771" w:type="pct"/>
            <w:vAlign w:val="center"/>
            <w:hideMark/>
          </w:tcPr>
          <w:p w14:paraId="3351D664" w14:textId="77777777" w:rsidR="00FA1645" w:rsidRPr="00FA1645" w:rsidRDefault="00FA1645" w:rsidP="00FA1645">
            <w:r w:rsidRPr="00FA1645">
              <w:t>Stupanj zaduženosti</w:t>
            </w:r>
          </w:p>
        </w:tc>
        <w:tc>
          <w:tcPr>
            <w:tcW w:w="701" w:type="pct"/>
            <w:vAlign w:val="center"/>
            <w:hideMark/>
          </w:tcPr>
          <w:p w14:paraId="659A8255" w14:textId="77777777" w:rsidR="00FA1645" w:rsidRPr="00FA1645" w:rsidRDefault="00FA1645" w:rsidP="00FA1645">
            <w:pPr>
              <w:jc w:val="center"/>
            </w:pPr>
            <w:r w:rsidRPr="00FA1645">
              <w:t>%</w:t>
            </w:r>
          </w:p>
        </w:tc>
      </w:tr>
      <w:tr w:rsidR="00FA1645" w:rsidRPr="00FA1645" w14:paraId="31B4EAF9" w14:textId="77777777" w:rsidTr="001F1083">
        <w:trPr>
          <w:trHeight w:val="510"/>
        </w:trPr>
        <w:tc>
          <w:tcPr>
            <w:tcW w:w="529" w:type="pct"/>
            <w:vAlign w:val="center"/>
          </w:tcPr>
          <w:p w14:paraId="19352FA9" w14:textId="77777777" w:rsidR="00FA1645" w:rsidRPr="00150871" w:rsidRDefault="00FA1645" w:rsidP="00FA1645">
            <w:pPr>
              <w:spacing w:before="120" w:after="120"/>
              <w:jc w:val="center"/>
              <w:rPr>
                <w:b/>
                <w:bCs/>
              </w:rPr>
            </w:pPr>
            <w:r w:rsidRPr="00150871">
              <w:rPr>
                <w:b/>
                <w:bCs/>
              </w:rPr>
              <w:t>46</w:t>
            </w:r>
          </w:p>
        </w:tc>
        <w:tc>
          <w:tcPr>
            <w:tcW w:w="3771" w:type="pct"/>
            <w:vAlign w:val="center"/>
            <w:hideMark/>
          </w:tcPr>
          <w:p w14:paraId="28722842" w14:textId="77777777" w:rsidR="00FA1645" w:rsidRPr="00FA1645" w:rsidRDefault="00FA1645" w:rsidP="00FA1645">
            <w:r w:rsidRPr="00FA1645">
              <w:t>Kapital društva</w:t>
            </w:r>
          </w:p>
        </w:tc>
        <w:tc>
          <w:tcPr>
            <w:tcW w:w="701" w:type="pct"/>
            <w:vAlign w:val="center"/>
            <w:hideMark/>
          </w:tcPr>
          <w:p w14:paraId="3E7F38DA" w14:textId="77777777" w:rsidR="00FA1645" w:rsidRPr="00FA1645" w:rsidRDefault="00FA1645" w:rsidP="00FA1645">
            <w:pPr>
              <w:jc w:val="center"/>
            </w:pPr>
            <w:r w:rsidRPr="00FA1645">
              <w:t>(kn)</w:t>
            </w:r>
          </w:p>
        </w:tc>
      </w:tr>
    </w:tbl>
    <w:p w14:paraId="04A71BE4" w14:textId="77777777" w:rsidR="00FA1645" w:rsidRPr="00FA1645" w:rsidRDefault="00FA1645" w:rsidP="00FA1645"/>
    <w:p w14:paraId="31198D14" w14:textId="77777777" w:rsidR="00FA1645" w:rsidRDefault="00FA1645" w:rsidP="00992814">
      <w:pPr>
        <w:spacing w:after="225"/>
        <w:jc w:val="center"/>
        <w:textAlignment w:val="baseline"/>
        <w:rPr>
          <w:rFonts w:ascii="Minion Pro" w:hAnsi="Minion Pro" w:cs="Calibri"/>
          <w:color w:val="000000"/>
          <w:sz w:val="28"/>
          <w:szCs w:val="28"/>
        </w:rPr>
      </w:pPr>
    </w:p>
    <w:p w14:paraId="3BB78F03" w14:textId="77777777" w:rsidR="00FA1645" w:rsidRDefault="00FA1645" w:rsidP="00992814">
      <w:pPr>
        <w:spacing w:after="225"/>
        <w:jc w:val="center"/>
        <w:textAlignment w:val="baseline"/>
        <w:rPr>
          <w:rFonts w:ascii="Minion Pro" w:hAnsi="Minion Pro" w:cs="Calibri"/>
          <w:color w:val="000000"/>
          <w:sz w:val="28"/>
          <w:szCs w:val="28"/>
        </w:rPr>
      </w:pPr>
    </w:p>
    <w:p w14:paraId="1CFD0CA8" w14:textId="77777777" w:rsidR="00FA1645" w:rsidRDefault="00FA1645" w:rsidP="00992814">
      <w:pPr>
        <w:spacing w:after="225"/>
        <w:jc w:val="center"/>
        <w:textAlignment w:val="baseline"/>
        <w:rPr>
          <w:rFonts w:ascii="Minion Pro" w:hAnsi="Minion Pro" w:cs="Calibri"/>
          <w:color w:val="000000"/>
          <w:sz w:val="28"/>
          <w:szCs w:val="28"/>
        </w:rPr>
      </w:pPr>
    </w:p>
    <w:p w14:paraId="353C93D6" w14:textId="77777777" w:rsidR="00FA1645" w:rsidRDefault="00FA1645" w:rsidP="00992814">
      <w:pPr>
        <w:spacing w:after="225"/>
        <w:jc w:val="center"/>
        <w:textAlignment w:val="baseline"/>
        <w:rPr>
          <w:rFonts w:ascii="Minion Pro" w:hAnsi="Minion Pro" w:cs="Calibri"/>
          <w:color w:val="000000"/>
          <w:sz w:val="28"/>
          <w:szCs w:val="28"/>
        </w:rPr>
      </w:pPr>
    </w:p>
    <w:p w14:paraId="73538680" w14:textId="77777777" w:rsidR="00FD649D" w:rsidRPr="00FD649D" w:rsidRDefault="00FD649D" w:rsidP="00FD649D">
      <w:pPr>
        <w:shd w:val="clear" w:color="auto" w:fill="FFFFFF"/>
        <w:spacing w:before="120" w:after="225"/>
        <w:ind w:firstLine="425"/>
        <w:jc w:val="center"/>
        <w:textAlignment w:val="baseline"/>
        <w:rPr>
          <w:b/>
          <w:color w:val="000000"/>
        </w:rPr>
      </w:pPr>
      <w:r w:rsidRPr="00FD649D">
        <w:rPr>
          <w:b/>
          <w:color w:val="000000"/>
        </w:rPr>
        <w:t>OBRAZLOŽENJE</w:t>
      </w:r>
    </w:p>
    <w:p w14:paraId="665BE086" w14:textId="77777777" w:rsidR="00FD649D" w:rsidRDefault="00FD649D" w:rsidP="009973F2">
      <w:pPr>
        <w:shd w:val="clear" w:color="auto" w:fill="FFFFFF"/>
        <w:ind w:firstLine="425"/>
        <w:jc w:val="both"/>
        <w:textAlignment w:val="baseline"/>
        <w:rPr>
          <w:color w:val="000000"/>
        </w:rPr>
      </w:pPr>
      <w:r w:rsidRPr="00FD649D">
        <w:rPr>
          <w:color w:val="000000"/>
        </w:rPr>
        <w:t>Donošenje Uredbe o vrednovanju učinkovitosti poslovanja isporučitelja vodnih usluga (u daljnjem tekstu: Uredba) propisano je člankom 35. stavkom 3. Zakona o vodnim uslugama (Narodne novine, broj 66/19.</w:t>
      </w:r>
      <w:r w:rsidR="004575DE">
        <w:rPr>
          <w:color w:val="000000"/>
        </w:rPr>
        <w:t>;</w:t>
      </w:r>
      <w:r w:rsidRPr="00FD649D">
        <w:rPr>
          <w:color w:val="000000"/>
        </w:rPr>
        <w:t xml:space="preserve"> u daljnjem tekstu: Zakon).</w:t>
      </w:r>
    </w:p>
    <w:p w14:paraId="6DC1509D" w14:textId="77777777" w:rsidR="009973F2" w:rsidRPr="00FD649D" w:rsidRDefault="009973F2" w:rsidP="009973F2">
      <w:pPr>
        <w:shd w:val="clear" w:color="auto" w:fill="FFFFFF"/>
        <w:ind w:firstLine="425"/>
        <w:jc w:val="both"/>
        <w:textAlignment w:val="baseline"/>
        <w:rPr>
          <w:color w:val="000000"/>
        </w:rPr>
      </w:pPr>
    </w:p>
    <w:p w14:paraId="2C3E925E" w14:textId="77777777" w:rsidR="00FD649D" w:rsidRPr="00FD649D" w:rsidRDefault="00FD649D" w:rsidP="009973F2">
      <w:pPr>
        <w:ind w:firstLine="425"/>
        <w:jc w:val="both"/>
        <w:rPr>
          <w:rFonts w:eastAsiaTheme="minorEastAsia"/>
          <w:color w:val="000000"/>
        </w:rPr>
      </w:pPr>
      <w:r w:rsidRPr="00FD649D">
        <w:rPr>
          <w:rFonts w:eastAsiaTheme="minorEastAsia"/>
          <w:color w:val="000000"/>
        </w:rPr>
        <w:t>Ova Uredba sastavni je dio paketa propisa koji čine pravni okvir za provedbu institucionalne reforme u sektoru vodnih usluga, kojom se planira objediniti 154 javnih isporučitelja vodnih usluga, njihovim pripajanjem prema pravilu „jedan isporučitelj na uslužnom području“. Reformski paket propisa u sektoru vodnih usluga čine:</w:t>
      </w:r>
    </w:p>
    <w:p w14:paraId="7781F963" w14:textId="77777777" w:rsidR="00FD649D" w:rsidRPr="00FD649D" w:rsidRDefault="00FD649D" w:rsidP="009973F2">
      <w:pPr>
        <w:ind w:left="924"/>
        <w:jc w:val="both"/>
        <w:rPr>
          <w:rFonts w:eastAsiaTheme="minorEastAsia"/>
          <w:b/>
          <w:bCs/>
          <w:color w:val="000000"/>
        </w:rPr>
      </w:pPr>
    </w:p>
    <w:p w14:paraId="5049319E" w14:textId="77777777" w:rsidR="00FD649D" w:rsidRPr="00FD649D" w:rsidRDefault="00FD649D" w:rsidP="009973F2">
      <w:pPr>
        <w:numPr>
          <w:ilvl w:val="1"/>
          <w:numId w:val="45"/>
        </w:numPr>
        <w:ind w:left="924" w:hanging="357"/>
        <w:jc w:val="both"/>
        <w:rPr>
          <w:rFonts w:eastAsiaTheme="minorEastAsia"/>
          <w:b/>
          <w:bCs/>
          <w:color w:val="000000"/>
        </w:rPr>
      </w:pPr>
      <w:r w:rsidRPr="00FD649D">
        <w:rPr>
          <w:rFonts w:eastAsiaTheme="minorEastAsia"/>
          <w:color w:val="000000"/>
        </w:rPr>
        <w:t>Uredba o uslužnim područjima</w:t>
      </w:r>
      <w:r w:rsidRPr="00FD649D">
        <w:rPr>
          <w:rFonts w:eastAsiaTheme="minorEastAsia"/>
          <w:b/>
          <w:bCs/>
          <w:color w:val="000000"/>
        </w:rPr>
        <w:t xml:space="preserve"> </w:t>
      </w:r>
    </w:p>
    <w:p w14:paraId="23014E8C" w14:textId="77777777" w:rsidR="00FD649D" w:rsidRPr="00FD649D" w:rsidRDefault="00FD649D" w:rsidP="00FD649D">
      <w:pPr>
        <w:numPr>
          <w:ilvl w:val="1"/>
          <w:numId w:val="45"/>
        </w:numPr>
        <w:spacing w:before="120" w:after="120" w:line="259" w:lineRule="auto"/>
        <w:ind w:left="924" w:hanging="357"/>
        <w:jc w:val="both"/>
        <w:rPr>
          <w:rFonts w:eastAsiaTheme="minorEastAsia"/>
          <w:bCs/>
          <w:color w:val="000000"/>
        </w:rPr>
      </w:pPr>
      <w:r w:rsidRPr="00FD649D">
        <w:rPr>
          <w:rFonts w:eastAsiaTheme="minorEastAsia"/>
          <w:bCs/>
          <w:color w:val="000000"/>
        </w:rPr>
        <w:t>Uredba o metodologiji za određivanje cijene vodnih usluga</w:t>
      </w:r>
    </w:p>
    <w:p w14:paraId="042F03AA" w14:textId="77777777" w:rsidR="00FD649D" w:rsidRPr="00FD649D" w:rsidRDefault="00FD649D" w:rsidP="00FD649D">
      <w:pPr>
        <w:numPr>
          <w:ilvl w:val="1"/>
          <w:numId w:val="45"/>
        </w:numPr>
        <w:spacing w:before="120" w:after="120" w:line="259" w:lineRule="auto"/>
        <w:ind w:left="924" w:hanging="357"/>
        <w:jc w:val="both"/>
        <w:rPr>
          <w:rFonts w:eastAsiaTheme="minorEastAsia"/>
          <w:b/>
          <w:bCs/>
          <w:color w:val="000000"/>
        </w:rPr>
      </w:pPr>
      <w:r w:rsidRPr="00FD649D">
        <w:rPr>
          <w:rFonts w:eastAsiaTheme="minorEastAsia"/>
          <w:color w:val="000000"/>
        </w:rPr>
        <w:t>Uredba o posebnim uvjetima za obavljanje djelatnosti vodnih usluga</w:t>
      </w:r>
      <w:r w:rsidRPr="00FD649D">
        <w:rPr>
          <w:rFonts w:eastAsiaTheme="minorEastAsia"/>
          <w:b/>
          <w:bCs/>
          <w:color w:val="000000"/>
        </w:rPr>
        <w:t xml:space="preserve"> </w:t>
      </w:r>
    </w:p>
    <w:p w14:paraId="1AAC4A15" w14:textId="77777777" w:rsidR="00FD649D" w:rsidRPr="00FD649D" w:rsidRDefault="00FD649D" w:rsidP="00FD649D">
      <w:pPr>
        <w:numPr>
          <w:ilvl w:val="1"/>
          <w:numId w:val="45"/>
        </w:numPr>
        <w:spacing w:before="120" w:after="120" w:line="259" w:lineRule="auto"/>
        <w:ind w:left="924" w:hanging="357"/>
        <w:jc w:val="both"/>
        <w:rPr>
          <w:rFonts w:eastAsiaTheme="minorEastAsia"/>
          <w:b/>
          <w:bCs/>
          <w:color w:val="000000"/>
        </w:rPr>
      </w:pPr>
      <w:r w:rsidRPr="00FD649D">
        <w:rPr>
          <w:rFonts w:eastAsiaTheme="minorEastAsia"/>
          <w:color w:val="000000"/>
        </w:rPr>
        <w:t xml:space="preserve">ova Uredba </w:t>
      </w:r>
    </w:p>
    <w:p w14:paraId="5EA2B961" w14:textId="77777777" w:rsidR="00FD649D" w:rsidRPr="00FD649D" w:rsidRDefault="00FD649D" w:rsidP="00FD649D">
      <w:pPr>
        <w:numPr>
          <w:ilvl w:val="1"/>
          <w:numId w:val="45"/>
        </w:numPr>
        <w:spacing w:before="120" w:after="120" w:line="259" w:lineRule="auto"/>
        <w:ind w:left="924" w:hanging="357"/>
        <w:jc w:val="both"/>
        <w:rPr>
          <w:rFonts w:eastAsiaTheme="minorEastAsia"/>
          <w:bCs/>
          <w:color w:val="000000"/>
        </w:rPr>
      </w:pPr>
      <w:r w:rsidRPr="00FD649D">
        <w:rPr>
          <w:rFonts w:eastAsiaTheme="minorEastAsia"/>
          <w:bCs/>
          <w:color w:val="000000"/>
        </w:rPr>
        <w:lastRenderedPageBreak/>
        <w:t>Uredba o regulatornom računovodstvu i</w:t>
      </w:r>
    </w:p>
    <w:p w14:paraId="23AEAF75" w14:textId="77777777" w:rsidR="00FD649D" w:rsidRPr="00FD649D" w:rsidRDefault="00FD649D" w:rsidP="00FD649D">
      <w:pPr>
        <w:numPr>
          <w:ilvl w:val="1"/>
          <w:numId w:val="45"/>
        </w:numPr>
        <w:spacing w:before="120" w:after="120" w:line="259" w:lineRule="auto"/>
        <w:ind w:left="924" w:hanging="357"/>
        <w:jc w:val="both"/>
        <w:rPr>
          <w:rFonts w:eastAsiaTheme="minorEastAsia"/>
          <w:bCs/>
          <w:color w:val="000000"/>
        </w:rPr>
      </w:pPr>
      <w:r w:rsidRPr="00FD649D">
        <w:rPr>
          <w:rFonts w:eastAsiaTheme="minorEastAsia"/>
          <w:bCs/>
          <w:color w:val="000000"/>
        </w:rPr>
        <w:t xml:space="preserve">Uredba o Vijeću za vodne usluge.    </w:t>
      </w:r>
    </w:p>
    <w:p w14:paraId="7F8DE096" w14:textId="77777777" w:rsidR="00583EEA" w:rsidRDefault="00583EEA" w:rsidP="009973F2">
      <w:pPr>
        <w:ind w:firstLine="425"/>
        <w:jc w:val="both"/>
        <w:rPr>
          <w:rFonts w:eastAsiaTheme="minorEastAsia"/>
          <w:color w:val="000000"/>
        </w:rPr>
      </w:pPr>
    </w:p>
    <w:p w14:paraId="00EDC678" w14:textId="77777777" w:rsidR="00FD649D" w:rsidRDefault="00FD649D" w:rsidP="009973F2">
      <w:pPr>
        <w:ind w:firstLine="425"/>
        <w:jc w:val="both"/>
        <w:rPr>
          <w:rFonts w:eastAsiaTheme="minorEastAsia"/>
          <w:color w:val="000000"/>
        </w:rPr>
      </w:pPr>
      <w:r w:rsidRPr="00FD649D">
        <w:rPr>
          <w:rFonts w:eastAsiaTheme="minorEastAsia"/>
          <w:color w:val="000000"/>
        </w:rPr>
        <w:t>Prve četiri uredbe pokazatelji su uspješnosti Nacionalnog plana op</w:t>
      </w:r>
      <w:r w:rsidR="00822011">
        <w:rPr>
          <w:rFonts w:eastAsiaTheme="minorEastAsia"/>
          <w:color w:val="000000"/>
        </w:rPr>
        <w:t>oravka i otpornosti 2021.-2026.</w:t>
      </w:r>
      <w:r w:rsidRPr="00FD649D">
        <w:rPr>
          <w:rFonts w:eastAsiaTheme="minorEastAsia"/>
          <w:color w:val="000000"/>
        </w:rPr>
        <w:t xml:space="preserve"> (u daljnjem tekstu: NPOO) - (pokazatelj #60). Njime su planirane investicije u području vodnoga gospodarstva u vrijednosti od  697 milijuna eura, od čega je 539 milijuna eura planirano za projekte u sektoru vodnih usluga. Ispunjenje pokazatelja uspješnosti #60 NPOO-a preduvjet je za dostupnost sredstava iz Mehanizma za oporavak i otpornost Europske unije  (RRF) za planirane projekte.  </w:t>
      </w:r>
    </w:p>
    <w:p w14:paraId="3CE39354" w14:textId="77777777" w:rsidR="009973F2" w:rsidRPr="00FD649D" w:rsidRDefault="009973F2" w:rsidP="009973F2">
      <w:pPr>
        <w:ind w:firstLine="425"/>
        <w:jc w:val="both"/>
        <w:rPr>
          <w:rFonts w:eastAsiaTheme="minorEastAsia"/>
          <w:b/>
          <w:bCs/>
        </w:rPr>
      </w:pPr>
    </w:p>
    <w:p w14:paraId="0197DE07" w14:textId="2AB64C45" w:rsidR="009973F2" w:rsidRDefault="00FD649D" w:rsidP="009973F2">
      <w:pPr>
        <w:ind w:firstLine="425"/>
        <w:jc w:val="both"/>
        <w:rPr>
          <w:rFonts w:eastAsiaTheme="minorEastAsia"/>
          <w:color w:val="000000"/>
        </w:rPr>
      </w:pPr>
      <w:r w:rsidRPr="00FD649D">
        <w:rPr>
          <w:rFonts w:eastAsiaTheme="minorEastAsia"/>
          <w:color w:val="000000"/>
        </w:rPr>
        <w:t>Uredba o uslužnim područjima („Narodne novine“, broj 147/21</w:t>
      </w:r>
      <w:r w:rsidR="00BB68F0">
        <w:rPr>
          <w:rFonts w:eastAsiaTheme="minorEastAsia"/>
          <w:color w:val="000000"/>
        </w:rPr>
        <w:t>.</w:t>
      </w:r>
      <w:r w:rsidRPr="00FD649D">
        <w:rPr>
          <w:rFonts w:eastAsiaTheme="minorEastAsia"/>
          <w:color w:val="000000"/>
        </w:rPr>
        <w:t xml:space="preserve">) donesena je u prosincu 2021. te je </w:t>
      </w:r>
      <w:r w:rsidR="00E14D62">
        <w:rPr>
          <w:rFonts w:eastAsiaTheme="minorEastAsia"/>
          <w:color w:val="000000"/>
        </w:rPr>
        <w:t>O</w:t>
      </w:r>
      <w:r w:rsidRPr="00FD649D">
        <w:rPr>
          <w:rFonts w:eastAsiaTheme="minorEastAsia"/>
          <w:color w:val="000000"/>
        </w:rPr>
        <w:t>dlukom Ustavnog suda Republike Hrvatske od 7. veljače 2023. ukinuta u cijelosti, s pravnim učinkom od 15. srpnja 2023.</w:t>
      </w:r>
      <w:r w:rsidR="00E14D62">
        <w:rPr>
          <w:rFonts w:eastAsiaTheme="minorEastAsia"/>
          <w:color w:val="000000"/>
        </w:rPr>
        <w:t>,</w:t>
      </w:r>
      <w:r w:rsidR="00E14D62" w:rsidRPr="00E14D62">
        <w:t xml:space="preserve"> </w:t>
      </w:r>
      <w:r w:rsidR="00E14D62" w:rsidRPr="00E14D62">
        <w:rPr>
          <w:rFonts w:eastAsiaTheme="minorEastAsia"/>
          <w:color w:val="000000"/>
        </w:rPr>
        <w:t>što znači da do toga datuma treba biti donesena nova Uredba o uslužnim područjima.</w:t>
      </w:r>
      <w:r w:rsidRPr="00FD649D">
        <w:rPr>
          <w:rFonts w:eastAsiaTheme="minorEastAsia"/>
          <w:color w:val="000000"/>
        </w:rPr>
        <w:t xml:space="preserve"> </w:t>
      </w:r>
      <w:r w:rsidR="006A6FFD" w:rsidRPr="006A6FFD">
        <w:rPr>
          <w:rFonts w:eastAsiaTheme="minorEastAsia"/>
          <w:color w:val="000000"/>
        </w:rPr>
        <w:t>Uredba o uslužnim područjima planira se donijeti istodobno s ovom Uredbom, sa stupanjem na snagu 15. srpnja 2023.</w:t>
      </w:r>
    </w:p>
    <w:p w14:paraId="3A2D6FAF" w14:textId="77777777" w:rsidR="00FD649D" w:rsidRPr="00FD649D" w:rsidRDefault="00FD649D" w:rsidP="009973F2">
      <w:pPr>
        <w:ind w:firstLine="425"/>
        <w:jc w:val="both"/>
        <w:rPr>
          <w:rFonts w:eastAsiaTheme="minorEastAsia"/>
          <w:color w:val="000000"/>
        </w:rPr>
      </w:pPr>
      <w:r w:rsidRPr="00FD649D">
        <w:rPr>
          <w:rFonts w:eastAsiaTheme="minorEastAsia"/>
          <w:color w:val="000000"/>
        </w:rPr>
        <w:t xml:space="preserve"> </w:t>
      </w:r>
    </w:p>
    <w:p w14:paraId="7C226ECE" w14:textId="098F6D93" w:rsidR="00FD649D" w:rsidRDefault="0024648E" w:rsidP="009973F2">
      <w:pPr>
        <w:ind w:firstLine="425"/>
        <w:jc w:val="both"/>
        <w:rPr>
          <w:rFonts w:eastAsiaTheme="minorEastAsia"/>
          <w:color w:val="000000"/>
        </w:rPr>
      </w:pPr>
      <w:r>
        <w:rPr>
          <w:rFonts w:eastAsiaTheme="minorEastAsia"/>
          <w:color w:val="000000"/>
        </w:rPr>
        <w:t xml:space="preserve">Također, </w:t>
      </w:r>
      <w:r w:rsidR="00FD649D" w:rsidRPr="00FD649D">
        <w:rPr>
          <w:rFonts w:eastAsiaTheme="minorEastAsia"/>
          <w:color w:val="000000"/>
        </w:rPr>
        <w:t>Uredba o posebnim uvjetima za obavljanje djelatnosti vodnih usluga i Uredba o  metodologiji za određivanje cijene vodnih usluga planiraju se donijeti istodobno s ovom Uredbom.</w:t>
      </w:r>
    </w:p>
    <w:p w14:paraId="5001BF29" w14:textId="77777777" w:rsidR="009973F2" w:rsidRPr="00FD649D" w:rsidRDefault="009973F2" w:rsidP="009973F2">
      <w:pPr>
        <w:ind w:firstLine="425"/>
        <w:jc w:val="both"/>
        <w:rPr>
          <w:rFonts w:eastAsiaTheme="minorEastAsia"/>
          <w:color w:val="000000"/>
        </w:rPr>
      </w:pPr>
    </w:p>
    <w:p w14:paraId="6E0F5824" w14:textId="77777777" w:rsidR="009973F2" w:rsidRDefault="00FD649D" w:rsidP="009973F2">
      <w:pPr>
        <w:shd w:val="clear" w:color="auto" w:fill="FFFFFF"/>
        <w:ind w:firstLine="425"/>
        <w:jc w:val="both"/>
        <w:textAlignment w:val="baseline"/>
        <w:rPr>
          <w:rFonts w:eastAsiaTheme="minorHAnsi"/>
          <w:color w:val="000000"/>
          <w:lang w:eastAsia="en-US"/>
        </w:rPr>
      </w:pPr>
      <w:r w:rsidRPr="00FD649D">
        <w:rPr>
          <w:rFonts w:eastAsiaTheme="minorHAnsi"/>
          <w:color w:val="000000"/>
          <w:lang w:eastAsia="en-US"/>
        </w:rPr>
        <w:t>U trećem tromjesečju 2023. planiraju se donijeti</w:t>
      </w:r>
      <w:r w:rsidRPr="00FD649D">
        <w:rPr>
          <w:rFonts w:asciiTheme="minorHAnsi" w:eastAsiaTheme="minorHAnsi" w:hAnsiTheme="minorHAnsi" w:cstheme="minorBidi"/>
          <w:lang w:eastAsia="en-US"/>
        </w:rPr>
        <w:t xml:space="preserve"> </w:t>
      </w:r>
      <w:r w:rsidRPr="00FD649D">
        <w:rPr>
          <w:rFonts w:eastAsiaTheme="minorHAnsi"/>
          <w:color w:val="000000"/>
          <w:lang w:eastAsia="en-US"/>
        </w:rPr>
        <w:t xml:space="preserve">Uredba o regulatornom računovodstvu i Uredba o Vijeću za vodne usluge. </w:t>
      </w:r>
    </w:p>
    <w:p w14:paraId="5DB54B85" w14:textId="77777777" w:rsidR="00FD649D" w:rsidRPr="00FD649D" w:rsidRDefault="00FD649D" w:rsidP="009973F2">
      <w:pPr>
        <w:shd w:val="clear" w:color="auto" w:fill="FFFFFF"/>
        <w:ind w:firstLine="425"/>
        <w:jc w:val="both"/>
        <w:textAlignment w:val="baseline"/>
        <w:rPr>
          <w:color w:val="000000"/>
        </w:rPr>
      </w:pPr>
      <w:r w:rsidRPr="00FD649D">
        <w:rPr>
          <w:rFonts w:eastAsiaTheme="minorHAnsi"/>
          <w:color w:val="000000"/>
          <w:lang w:eastAsia="en-US"/>
        </w:rPr>
        <w:t xml:space="preserve">  </w:t>
      </w:r>
    </w:p>
    <w:p w14:paraId="0F1F23A2" w14:textId="4F76C514" w:rsidR="00FD649D" w:rsidRDefault="00FD649D" w:rsidP="009973F2">
      <w:pPr>
        <w:shd w:val="clear" w:color="auto" w:fill="FFFFFF"/>
        <w:ind w:firstLine="425"/>
        <w:jc w:val="both"/>
        <w:textAlignment w:val="baseline"/>
        <w:rPr>
          <w:color w:val="000000"/>
        </w:rPr>
      </w:pPr>
      <w:r w:rsidRPr="00FD649D">
        <w:rPr>
          <w:color w:val="000000"/>
        </w:rPr>
        <w:t>Vrednovanje učinkovitosti poslovanja (tzv. benchmarking) osnovni je mehanizam prikupljanja, obrade, analize i usporedbe podataka o učinkovitosti poslovanja isporučitelja vodnih usluga, na temelju kojih se upravlja sektorom vodnih usluga. Rezultati vrednovanja učinkovitosti poslovanja pružaju korisne informacije kako osnivačima, tako i tijelima koji nadziru sektor vodnih usluga (ministarstvo nadležno za vodno gospodarstvo i Vijeće za vodne usluge) te osobama koje pružaju tehničku i financijsku potporu provedbi projekata (Hrvatske vode, kohezijski fondovi EU, međunarodne bankarske institucije i komercijalne banke). Rezultati vrednovanja učinkovitosti poslovanja pokazuju i smjerove mogućih poboljšanja u svim aspektima poslovanja isporučitelja vodnih usluga.</w:t>
      </w:r>
    </w:p>
    <w:p w14:paraId="1A737D97" w14:textId="77777777" w:rsidR="00066A11" w:rsidRPr="00FD649D" w:rsidRDefault="00066A11" w:rsidP="009973F2">
      <w:pPr>
        <w:shd w:val="clear" w:color="auto" w:fill="FFFFFF"/>
        <w:ind w:firstLine="425"/>
        <w:jc w:val="both"/>
        <w:textAlignment w:val="baseline"/>
        <w:rPr>
          <w:color w:val="000000"/>
        </w:rPr>
      </w:pPr>
    </w:p>
    <w:p w14:paraId="38A6AA0F" w14:textId="2E98AB6A" w:rsidR="00FD649D" w:rsidRPr="000C7B82" w:rsidRDefault="00FD649D" w:rsidP="009973F2">
      <w:pPr>
        <w:shd w:val="clear" w:color="auto" w:fill="FFFFFF"/>
        <w:ind w:firstLine="425"/>
        <w:jc w:val="both"/>
        <w:textAlignment w:val="baseline"/>
        <w:rPr>
          <w:color w:val="000000"/>
        </w:rPr>
      </w:pPr>
      <w:r w:rsidRPr="000C7B82">
        <w:rPr>
          <w:color w:val="000000"/>
        </w:rPr>
        <w:t xml:space="preserve">Obveza prikupljanja </w:t>
      </w:r>
      <w:r w:rsidR="00066A11" w:rsidRPr="000C7B82">
        <w:rPr>
          <w:color w:val="000000"/>
        </w:rPr>
        <w:t xml:space="preserve">i dostave </w:t>
      </w:r>
      <w:r w:rsidRPr="000C7B82">
        <w:rPr>
          <w:color w:val="000000"/>
        </w:rPr>
        <w:t>podataka o učinkovitosti poslovanja isporučitelja vodnih usluga predviđeno ovom Uredbom i njezinim Prilogom 1</w:t>
      </w:r>
      <w:r w:rsidR="00152132" w:rsidRPr="000C7B82">
        <w:rPr>
          <w:color w:val="000000"/>
        </w:rPr>
        <w:t>.</w:t>
      </w:r>
      <w:r w:rsidRPr="000C7B82">
        <w:rPr>
          <w:color w:val="000000"/>
        </w:rPr>
        <w:t xml:space="preserve"> </w:t>
      </w:r>
      <w:r w:rsidR="00066A11" w:rsidRPr="000C7B82">
        <w:rPr>
          <w:color w:val="000000"/>
        </w:rPr>
        <w:t>odnosi se</w:t>
      </w:r>
      <w:r w:rsidRPr="000C7B82">
        <w:rPr>
          <w:color w:val="000000"/>
        </w:rPr>
        <w:t xml:space="preserve"> na objedinjene isporučitelje vodnih usluga.</w:t>
      </w:r>
    </w:p>
    <w:p w14:paraId="6CD6E1BB" w14:textId="77777777" w:rsidR="009973F2" w:rsidRPr="000C7B82" w:rsidRDefault="009973F2" w:rsidP="009973F2">
      <w:pPr>
        <w:shd w:val="clear" w:color="auto" w:fill="FFFFFF"/>
        <w:ind w:firstLine="425"/>
        <w:jc w:val="both"/>
        <w:textAlignment w:val="baseline"/>
        <w:rPr>
          <w:color w:val="000000"/>
        </w:rPr>
      </w:pPr>
    </w:p>
    <w:p w14:paraId="0A9EAC70" w14:textId="1739D1E8" w:rsidR="00FD649D" w:rsidRDefault="00FD649D" w:rsidP="009973F2">
      <w:pPr>
        <w:shd w:val="clear" w:color="auto" w:fill="FFFFFF"/>
        <w:ind w:firstLine="425"/>
        <w:jc w:val="both"/>
        <w:textAlignment w:val="baseline"/>
        <w:rPr>
          <w:color w:val="000000"/>
        </w:rPr>
      </w:pPr>
      <w:r w:rsidRPr="000C7B82">
        <w:rPr>
          <w:color w:val="000000"/>
        </w:rPr>
        <w:t xml:space="preserve">Obveza </w:t>
      </w:r>
      <w:r w:rsidR="000C7B82" w:rsidRPr="00150871">
        <w:rPr>
          <w:color w:val="000000"/>
        </w:rPr>
        <w:t>dostave podataka</w:t>
      </w:r>
      <w:r w:rsidRPr="000C7B82">
        <w:rPr>
          <w:color w:val="000000"/>
        </w:rPr>
        <w:t xml:space="preserve"> iz Priloga 2</w:t>
      </w:r>
      <w:r w:rsidR="004F0F34" w:rsidRPr="000C7B82">
        <w:rPr>
          <w:color w:val="000000"/>
        </w:rPr>
        <w:t>.</w:t>
      </w:r>
      <w:r w:rsidRPr="000C7B82">
        <w:rPr>
          <w:color w:val="000000"/>
        </w:rPr>
        <w:t xml:space="preserve"> ove Uredbe, u skladu s prijelaznom odredbom </w:t>
      </w:r>
      <w:r w:rsidR="000C7B82" w:rsidRPr="000C7B82">
        <w:rPr>
          <w:color w:val="000000"/>
        </w:rPr>
        <w:t>članka 8. stavka 1.</w:t>
      </w:r>
      <w:r w:rsidRPr="000C7B82">
        <w:rPr>
          <w:color w:val="000000"/>
        </w:rPr>
        <w:t xml:space="preserve"> ove Uredbe odnosi se na postojeće neobjedinjene isporučitelje vodnih usluga.</w:t>
      </w:r>
    </w:p>
    <w:p w14:paraId="0449EE94" w14:textId="77777777" w:rsidR="009973F2" w:rsidRPr="00FD649D" w:rsidRDefault="009973F2" w:rsidP="009973F2">
      <w:pPr>
        <w:shd w:val="clear" w:color="auto" w:fill="FFFFFF"/>
        <w:ind w:firstLine="425"/>
        <w:jc w:val="both"/>
        <w:textAlignment w:val="baseline"/>
        <w:rPr>
          <w:color w:val="000000"/>
        </w:rPr>
      </w:pPr>
    </w:p>
    <w:p w14:paraId="2352457C" w14:textId="77777777" w:rsidR="00FD649D" w:rsidRDefault="00FD649D" w:rsidP="009973F2">
      <w:pPr>
        <w:shd w:val="clear" w:color="auto" w:fill="FFFFFF"/>
        <w:ind w:firstLine="425"/>
        <w:jc w:val="both"/>
        <w:textAlignment w:val="baseline"/>
        <w:rPr>
          <w:color w:val="000000"/>
        </w:rPr>
      </w:pPr>
      <w:r w:rsidRPr="00FD649D">
        <w:rPr>
          <w:color w:val="000000"/>
        </w:rPr>
        <w:lastRenderedPageBreak/>
        <w:t>Vrednovanje učinkovitosti poslovanja također je preduvjet za utvrđivanje ispunjenja posebnih uvjeta za učinkovitost poslovanja  javnih isporučitelja (članak 16. stavak 4. Zakona) odnosno za ishođenje trajnog rješenja za obavljanje djelatnosti svih isporučitelja vodnih usluga (članak 16. stavak 6. Zakona) kako je to predloženo propisati Uredbom o posebnim uvjetima za obavljanje djelatnosti vodnih usluga.</w:t>
      </w:r>
    </w:p>
    <w:p w14:paraId="264075D9" w14:textId="77777777" w:rsidR="009973F2" w:rsidRPr="00FD649D" w:rsidRDefault="009973F2" w:rsidP="009973F2">
      <w:pPr>
        <w:shd w:val="clear" w:color="auto" w:fill="FFFFFF"/>
        <w:ind w:firstLine="425"/>
        <w:jc w:val="both"/>
        <w:textAlignment w:val="baseline"/>
        <w:rPr>
          <w:color w:val="000000"/>
        </w:rPr>
      </w:pPr>
    </w:p>
    <w:p w14:paraId="11F5CA78" w14:textId="77777777" w:rsidR="00FD649D" w:rsidRDefault="00FD649D" w:rsidP="009973F2">
      <w:pPr>
        <w:shd w:val="clear" w:color="auto" w:fill="FFFFFF"/>
        <w:ind w:firstLine="425"/>
        <w:jc w:val="both"/>
        <w:textAlignment w:val="baseline"/>
        <w:rPr>
          <w:color w:val="000000"/>
        </w:rPr>
      </w:pPr>
      <w:r w:rsidRPr="00FD649D">
        <w:rPr>
          <w:color w:val="000000"/>
        </w:rPr>
        <w:t>Ovom Uredbom propisuju se pokazatelji i mjerila za ocjenu učinkovitosti poslovanja, način prikupljanja i dostave podataka za izračun ključnih pokazatelja, način mjerenja, vrednovanja i izvještavanja o učinkovitosti poslovanja, vođenje zbirke podataka i objava rezultata usporedbe i vrednovanja rada javnih isporučitelja.</w:t>
      </w:r>
    </w:p>
    <w:p w14:paraId="1D651FC2" w14:textId="77777777" w:rsidR="009973F2" w:rsidRPr="00FD649D" w:rsidRDefault="009973F2" w:rsidP="009973F2">
      <w:pPr>
        <w:shd w:val="clear" w:color="auto" w:fill="FFFFFF"/>
        <w:ind w:firstLine="425"/>
        <w:jc w:val="both"/>
        <w:textAlignment w:val="baseline"/>
        <w:rPr>
          <w:color w:val="000000"/>
        </w:rPr>
      </w:pPr>
    </w:p>
    <w:p w14:paraId="4B8017DD" w14:textId="77777777" w:rsidR="009973F2" w:rsidRDefault="00FD649D" w:rsidP="009973F2">
      <w:pPr>
        <w:shd w:val="clear" w:color="auto" w:fill="FFFFFF"/>
        <w:ind w:firstLine="425"/>
        <w:jc w:val="both"/>
        <w:textAlignment w:val="baseline"/>
        <w:rPr>
          <w:color w:val="000000"/>
        </w:rPr>
      </w:pPr>
      <w:r w:rsidRPr="00FD649D">
        <w:rPr>
          <w:color w:val="000000"/>
        </w:rPr>
        <w:t>Postupak usporedbe i vrednovanja učinkovitosti poslovanja isporučitelja vodnih usluga provodi Vijeće za vodne usluge (u daljnjem tekstu: Vijeće) kao neovisno i nadzorno državno tijelo koje imenuje Hrvatski sabor i koje za svoj rad odgovara neposredno Hrvatskom saboru.</w:t>
      </w:r>
    </w:p>
    <w:p w14:paraId="0C205095" w14:textId="77777777" w:rsidR="00FD649D" w:rsidRPr="00FD649D" w:rsidRDefault="00FD649D" w:rsidP="009973F2">
      <w:pPr>
        <w:shd w:val="clear" w:color="auto" w:fill="FFFFFF"/>
        <w:ind w:firstLine="425"/>
        <w:jc w:val="both"/>
        <w:textAlignment w:val="baseline"/>
        <w:rPr>
          <w:color w:val="000000"/>
        </w:rPr>
      </w:pPr>
      <w:r w:rsidRPr="00FD649D">
        <w:rPr>
          <w:color w:val="000000"/>
        </w:rPr>
        <w:t xml:space="preserve"> </w:t>
      </w:r>
    </w:p>
    <w:p w14:paraId="4EC008B1" w14:textId="6AF2DD2B" w:rsidR="00FD649D" w:rsidRDefault="00FD649D" w:rsidP="009973F2">
      <w:pPr>
        <w:shd w:val="clear" w:color="auto" w:fill="FFFFFF"/>
        <w:ind w:firstLine="425"/>
        <w:jc w:val="both"/>
        <w:textAlignment w:val="baseline"/>
        <w:rPr>
          <w:color w:val="000000"/>
        </w:rPr>
      </w:pPr>
      <w:r w:rsidRPr="00FD649D">
        <w:rPr>
          <w:color w:val="000000"/>
        </w:rPr>
        <w:t>Postupak vrednovanja poslovanja isporučitelja vodnih usluga provodio se do sada sukladno Uredbi o mjerilima ekonomičnog poslovanja isporučitelja vodnih usluga (</w:t>
      </w:r>
      <w:r w:rsidR="00E754C9">
        <w:rPr>
          <w:color w:val="000000"/>
        </w:rPr>
        <w:t>„</w:t>
      </w:r>
      <w:r w:rsidRPr="00FD649D">
        <w:rPr>
          <w:color w:val="000000"/>
        </w:rPr>
        <w:t>Narodne novine</w:t>
      </w:r>
      <w:r w:rsidR="00E754C9">
        <w:rPr>
          <w:color w:val="000000"/>
        </w:rPr>
        <w:t>“</w:t>
      </w:r>
      <w:r w:rsidR="00892250">
        <w:rPr>
          <w:color w:val="000000"/>
        </w:rPr>
        <w:t>,</w:t>
      </w:r>
      <w:r w:rsidRPr="00FD649D">
        <w:rPr>
          <w:color w:val="000000"/>
        </w:rPr>
        <w:t xml:space="preserve"> br</w:t>
      </w:r>
      <w:r w:rsidR="00892250">
        <w:rPr>
          <w:color w:val="000000"/>
        </w:rPr>
        <w:t>oj</w:t>
      </w:r>
      <w:r w:rsidRPr="00FD649D">
        <w:rPr>
          <w:color w:val="000000"/>
        </w:rPr>
        <w:t xml:space="preserve"> 112/10.), ali u ograničenom obuhvatu. Međutim, sustavno vrednovanje učinkovitosti poslovanja svih isporučitelja vodnih usluga, a posebice javnih, uspostavit će se tek stupanjem na snagu ove Uredbe koja propisuje 81 ključni pokazatelj prilagođen i relevantan upravo za sektor vodnih usluga.</w:t>
      </w:r>
    </w:p>
    <w:p w14:paraId="381A60B8" w14:textId="77777777" w:rsidR="009973F2" w:rsidRPr="00FD649D" w:rsidRDefault="009973F2" w:rsidP="009973F2">
      <w:pPr>
        <w:shd w:val="clear" w:color="auto" w:fill="FFFFFF"/>
        <w:ind w:firstLine="425"/>
        <w:jc w:val="both"/>
        <w:textAlignment w:val="baseline"/>
        <w:rPr>
          <w:color w:val="000000"/>
        </w:rPr>
      </w:pPr>
    </w:p>
    <w:p w14:paraId="66FD3454" w14:textId="77777777" w:rsidR="00FD649D" w:rsidRDefault="00FD649D" w:rsidP="009973F2">
      <w:pPr>
        <w:shd w:val="clear" w:color="auto" w:fill="FFFFFF"/>
        <w:ind w:firstLine="425"/>
        <w:jc w:val="both"/>
        <w:textAlignment w:val="baseline"/>
        <w:rPr>
          <w:color w:val="000000"/>
        </w:rPr>
      </w:pPr>
      <w:r w:rsidRPr="00FD649D">
        <w:rPr>
          <w:color w:val="000000"/>
        </w:rPr>
        <w:t xml:space="preserve">Skup pokazatelja koji se propisuju u Prilogu </w:t>
      </w:r>
      <w:r w:rsidR="00892250">
        <w:rPr>
          <w:color w:val="000000"/>
        </w:rPr>
        <w:t>1.</w:t>
      </w:r>
      <w:r w:rsidRPr="00FD649D">
        <w:rPr>
          <w:color w:val="000000"/>
        </w:rPr>
        <w:t xml:space="preserve"> ove Uredbe određen je kao kombinacija pokazatelja koje kao relevantne predlažu međunarodne asocijacije</w:t>
      </w:r>
      <w:r w:rsidR="00892250">
        <w:rPr>
          <w:color w:val="000000"/>
        </w:rPr>
        <w:t>,</w:t>
      </w:r>
      <w:r w:rsidRPr="00FD649D">
        <w:rPr>
          <w:color w:val="000000"/>
        </w:rPr>
        <w:t xml:space="preserve"> i to: Međunarodna mreža za vrednovanje učinkovitosti poslovanja (</w:t>
      </w:r>
      <w:r w:rsidRPr="00FD649D">
        <w:rPr>
          <w:i/>
          <w:color w:val="000000"/>
        </w:rPr>
        <w:t>International Benchmarking Network ili skraćeno IBNET)</w:t>
      </w:r>
      <w:r w:rsidRPr="00FD649D">
        <w:rPr>
          <w:color w:val="000000"/>
        </w:rPr>
        <w:t xml:space="preserve"> i Međunarodna udruga za vode (</w:t>
      </w:r>
      <w:r w:rsidRPr="00FD649D">
        <w:rPr>
          <w:i/>
          <w:color w:val="000000"/>
        </w:rPr>
        <w:t xml:space="preserve">International Water Association ili skraćeno IWA) </w:t>
      </w:r>
      <w:r w:rsidRPr="00FD649D">
        <w:rPr>
          <w:color w:val="000000"/>
        </w:rPr>
        <w:t xml:space="preserve"> i koriste se u drugim </w:t>
      </w:r>
      <w:r w:rsidR="00892250">
        <w:rPr>
          <w:color w:val="000000"/>
        </w:rPr>
        <w:t>državama</w:t>
      </w:r>
      <w:r w:rsidRPr="00FD649D">
        <w:rPr>
          <w:color w:val="000000"/>
        </w:rPr>
        <w:t xml:space="preserve"> članicama EU i diljem svijeta.</w:t>
      </w:r>
    </w:p>
    <w:p w14:paraId="1ACD7148" w14:textId="77777777" w:rsidR="009973F2" w:rsidRPr="00FD649D" w:rsidRDefault="009973F2" w:rsidP="009973F2">
      <w:pPr>
        <w:shd w:val="clear" w:color="auto" w:fill="FFFFFF"/>
        <w:ind w:firstLine="425"/>
        <w:jc w:val="both"/>
        <w:textAlignment w:val="baseline"/>
        <w:rPr>
          <w:color w:val="000000"/>
        </w:rPr>
      </w:pPr>
    </w:p>
    <w:p w14:paraId="567F86CF" w14:textId="77777777" w:rsidR="00FD649D" w:rsidRDefault="00FD649D" w:rsidP="009973F2">
      <w:pPr>
        <w:shd w:val="clear" w:color="auto" w:fill="FFFFFF"/>
        <w:ind w:firstLine="425"/>
        <w:jc w:val="both"/>
        <w:textAlignment w:val="baseline"/>
        <w:rPr>
          <w:color w:val="000000"/>
        </w:rPr>
      </w:pPr>
      <w:r w:rsidRPr="00FD649D">
        <w:rPr>
          <w:color w:val="000000"/>
        </w:rPr>
        <w:t>Vrednovanje učinkovitosti poslovanja važan je korak u provedbi cjelovite reforme sektora vodnih usluga s obzirom da je jedan od osnovnih ciljeva te reforme upravo učinkovitost u provedbi velikog investicijskog ciklusa u razvoj vodnokomunalne infrastrukture, učinkovitost u održavanju i pogonu sustava javne vodoopskrbe i javne odvodnje, financijska stabilnost i samoodrživost isporučitelja na uslužnim područjima uz osiguranje priuštivosti cijene vodne usluge za korisnike tih usluga i nakon provedbe navedenih investicija. Nadalje, temeljno zakonsko načelo djelatnosti vodnih usluga je da se obavljaju trajno, učinkovito, ekonomično i svrhovito uz osiguranje održivog razvitka i stalno povećanje kvalitete. Pritom vodne građevine putem kojih se vodne usluge pružaju korisnicima moraju biti trajno u stanju funkcionalne ispravnosti.</w:t>
      </w:r>
    </w:p>
    <w:p w14:paraId="7563A11E" w14:textId="77777777" w:rsidR="009973F2" w:rsidRPr="00FD649D" w:rsidRDefault="009973F2" w:rsidP="009973F2">
      <w:pPr>
        <w:shd w:val="clear" w:color="auto" w:fill="FFFFFF"/>
        <w:ind w:firstLine="425"/>
        <w:jc w:val="both"/>
        <w:textAlignment w:val="baseline"/>
        <w:rPr>
          <w:color w:val="000000"/>
        </w:rPr>
      </w:pPr>
    </w:p>
    <w:p w14:paraId="0A28E7A6" w14:textId="77777777" w:rsidR="00FD649D" w:rsidRDefault="00FD649D" w:rsidP="009973F2">
      <w:pPr>
        <w:shd w:val="clear" w:color="auto" w:fill="FFFFFF"/>
        <w:ind w:firstLine="425"/>
        <w:jc w:val="both"/>
        <w:textAlignment w:val="baseline"/>
        <w:rPr>
          <w:color w:val="000000"/>
        </w:rPr>
      </w:pPr>
      <w:r w:rsidRPr="00FD649D">
        <w:rPr>
          <w:color w:val="000000"/>
        </w:rPr>
        <w:t>U provedbi ove Uredbe, Vijeće za vodne usluge donosi dvije smjernice:</w:t>
      </w:r>
    </w:p>
    <w:p w14:paraId="5E4B8692" w14:textId="77777777" w:rsidR="009973F2" w:rsidRPr="00FD649D" w:rsidRDefault="009973F2" w:rsidP="009973F2">
      <w:pPr>
        <w:shd w:val="clear" w:color="auto" w:fill="FFFFFF"/>
        <w:ind w:firstLine="425"/>
        <w:jc w:val="both"/>
        <w:textAlignment w:val="baseline"/>
        <w:rPr>
          <w:color w:val="000000"/>
        </w:rPr>
      </w:pPr>
    </w:p>
    <w:p w14:paraId="127682E2" w14:textId="77777777" w:rsidR="00FD649D" w:rsidRPr="00FD649D" w:rsidRDefault="00FD649D" w:rsidP="009973F2">
      <w:pPr>
        <w:numPr>
          <w:ilvl w:val="0"/>
          <w:numId w:val="46"/>
        </w:numPr>
        <w:shd w:val="clear" w:color="auto" w:fill="FFFFFF"/>
        <w:contextualSpacing/>
        <w:jc w:val="both"/>
        <w:textAlignment w:val="baseline"/>
        <w:rPr>
          <w:color w:val="000000"/>
        </w:rPr>
      </w:pPr>
      <w:r w:rsidRPr="00FD649D">
        <w:rPr>
          <w:color w:val="000000"/>
        </w:rPr>
        <w:lastRenderedPageBreak/>
        <w:t xml:space="preserve">smjernicu iz članka 3. stavka 3. Uredbe, kojom detaljno uređuje način prikupljanja podataka, obuhvat i rokove dostave podataka Vijeću </w:t>
      </w:r>
    </w:p>
    <w:p w14:paraId="6787C488" w14:textId="77777777" w:rsidR="00FD649D" w:rsidRPr="00FD649D" w:rsidRDefault="00FD649D" w:rsidP="00FD649D">
      <w:pPr>
        <w:shd w:val="clear" w:color="auto" w:fill="FFFFFF"/>
        <w:spacing w:before="120" w:after="225"/>
        <w:ind w:left="785"/>
        <w:contextualSpacing/>
        <w:jc w:val="both"/>
        <w:textAlignment w:val="baseline"/>
        <w:rPr>
          <w:color w:val="000000"/>
        </w:rPr>
      </w:pPr>
    </w:p>
    <w:p w14:paraId="5E8B8A98" w14:textId="77777777" w:rsidR="00FD649D" w:rsidRDefault="00FD649D" w:rsidP="009973F2">
      <w:pPr>
        <w:numPr>
          <w:ilvl w:val="0"/>
          <w:numId w:val="46"/>
        </w:numPr>
        <w:shd w:val="clear" w:color="auto" w:fill="FFFFFF"/>
        <w:contextualSpacing/>
        <w:jc w:val="both"/>
        <w:textAlignment w:val="baseline"/>
        <w:rPr>
          <w:color w:val="000000"/>
        </w:rPr>
      </w:pPr>
      <w:r w:rsidRPr="00FD649D">
        <w:rPr>
          <w:color w:val="000000"/>
        </w:rPr>
        <w:t>smjernicu iz članka 4. stavka 1. Uredbe kojom, jednom godišnje, na temelju prikupljenih podataka, uređuje način izračuna pojedinog ključnog pokazatelja iz Priloga 1</w:t>
      </w:r>
      <w:r w:rsidR="00892250">
        <w:rPr>
          <w:color w:val="000000"/>
        </w:rPr>
        <w:t>.</w:t>
      </w:r>
      <w:r w:rsidRPr="00FD649D">
        <w:rPr>
          <w:color w:val="000000"/>
        </w:rPr>
        <w:t xml:space="preserve"> i referentnim vrijednostima ključnih poka</w:t>
      </w:r>
      <w:r w:rsidR="00892250">
        <w:rPr>
          <w:color w:val="000000"/>
        </w:rPr>
        <w:t>zatelja koju objavljuje na svojoj</w:t>
      </w:r>
      <w:r w:rsidRPr="00FD649D">
        <w:rPr>
          <w:color w:val="000000"/>
        </w:rPr>
        <w:t xml:space="preserve"> mrežn</w:t>
      </w:r>
      <w:r w:rsidR="00892250">
        <w:rPr>
          <w:color w:val="000000"/>
        </w:rPr>
        <w:t>oj</w:t>
      </w:r>
      <w:r w:rsidRPr="00FD649D">
        <w:rPr>
          <w:color w:val="000000"/>
        </w:rPr>
        <w:t xml:space="preserve"> stranic</w:t>
      </w:r>
      <w:r w:rsidR="00892250">
        <w:rPr>
          <w:color w:val="000000"/>
        </w:rPr>
        <w:t>i</w:t>
      </w:r>
      <w:r w:rsidRPr="00FD649D">
        <w:rPr>
          <w:color w:val="000000"/>
        </w:rPr>
        <w:t xml:space="preserve">. </w:t>
      </w:r>
    </w:p>
    <w:p w14:paraId="2A50C65B" w14:textId="77777777" w:rsidR="009973F2" w:rsidRDefault="009973F2" w:rsidP="009973F2">
      <w:pPr>
        <w:pStyle w:val="ListParagraph"/>
        <w:spacing w:after="0" w:line="240" w:lineRule="auto"/>
        <w:rPr>
          <w:color w:val="000000"/>
        </w:rPr>
      </w:pPr>
    </w:p>
    <w:p w14:paraId="77D6626D" w14:textId="77777777" w:rsidR="009973F2" w:rsidRPr="00FD649D" w:rsidRDefault="009973F2" w:rsidP="009973F2">
      <w:pPr>
        <w:shd w:val="clear" w:color="auto" w:fill="FFFFFF"/>
        <w:ind w:left="785"/>
        <w:contextualSpacing/>
        <w:jc w:val="both"/>
        <w:textAlignment w:val="baseline"/>
        <w:rPr>
          <w:color w:val="000000"/>
        </w:rPr>
      </w:pPr>
    </w:p>
    <w:p w14:paraId="768AF9D6" w14:textId="77777777" w:rsidR="00FD649D" w:rsidRDefault="00FD649D" w:rsidP="009973F2">
      <w:pPr>
        <w:shd w:val="clear" w:color="auto" w:fill="FFFFFF"/>
        <w:ind w:firstLine="425"/>
        <w:jc w:val="both"/>
        <w:textAlignment w:val="baseline"/>
        <w:rPr>
          <w:color w:val="000000"/>
        </w:rPr>
      </w:pPr>
      <w:r w:rsidRPr="00FD649D">
        <w:rPr>
          <w:color w:val="000000"/>
        </w:rPr>
        <w:t xml:space="preserve">Vijeće za vodne usluge dužno je voditi zbirku podataka ključnih pokazatelja iz stavka 1. članka </w:t>
      </w:r>
      <w:r w:rsidR="00892250">
        <w:rPr>
          <w:color w:val="000000"/>
        </w:rPr>
        <w:t xml:space="preserve">3. ove Uredbe </w:t>
      </w:r>
      <w:r w:rsidRPr="00FD649D">
        <w:rPr>
          <w:color w:val="000000"/>
        </w:rPr>
        <w:t>u elektroničkom obliku (mrežna aplikacija). Zbirka podataka vodi se na razini svakog isporučitelja vodnih usluga i uključuje njihovu usporednu analizu. Isporučitelji vodnih usluga dužni su dostavljati Vijeću podatke o učinkovitosti poslovanja samostalnim unosom u mrežnu aplikaciju.</w:t>
      </w:r>
    </w:p>
    <w:p w14:paraId="4C9F8BE4" w14:textId="77777777" w:rsidR="009973F2" w:rsidRPr="00FD649D" w:rsidRDefault="009973F2" w:rsidP="009973F2">
      <w:pPr>
        <w:shd w:val="clear" w:color="auto" w:fill="FFFFFF"/>
        <w:ind w:firstLine="425"/>
        <w:jc w:val="both"/>
        <w:textAlignment w:val="baseline"/>
        <w:rPr>
          <w:color w:val="000000"/>
        </w:rPr>
      </w:pPr>
    </w:p>
    <w:p w14:paraId="1FC67B21" w14:textId="77777777" w:rsidR="00FD649D" w:rsidRDefault="00FD649D" w:rsidP="009973F2">
      <w:pPr>
        <w:shd w:val="clear" w:color="auto" w:fill="FFFFFF"/>
        <w:ind w:firstLine="425"/>
        <w:jc w:val="both"/>
        <w:textAlignment w:val="baseline"/>
        <w:rPr>
          <w:color w:val="000000"/>
        </w:rPr>
      </w:pPr>
      <w:r w:rsidRPr="00FD649D">
        <w:rPr>
          <w:color w:val="000000"/>
        </w:rPr>
        <w:t>S obzirom da je donošenje ove Uredbe jedan od ključnih pokazatelja uspješnosti provedbe NPOO-a, o ovoj Uredbi razmijenjena su mišljenja s predstavnicima Europske komisije u razdoblju od prosinca 2022. do svibnja 2023.</w:t>
      </w:r>
    </w:p>
    <w:p w14:paraId="1C6E578A" w14:textId="77777777" w:rsidR="009973F2" w:rsidRPr="00FD649D" w:rsidRDefault="009973F2" w:rsidP="009973F2">
      <w:pPr>
        <w:shd w:val="clear" w:color="auto" w:fill="FFFFFF"/>
        <w:ind w:firstLine="425"/>
        <w:jc w:val="both"/>
        <w:textAlignment w:val="baseline"/>
        <w:rPr>
          <w:color w:val="000000"/>
        </w:rPr>
      </w:pPr>
    </w:p>
    <w:p w14:paraId="50210599" w14:textId="77777777" w:rsidR="00FD649D" w:rsidRPr="00E754C9" w:rsidRDefault="00FD649D" w:rsidP="009973F2">
      <w:pPr>
        <w:shd w:val="clear" w:color="auto" w:fill="FFFFFF"/>
        <w:ind w:firstLine="425"/>
        <w:jc w:val="both"/>
        <w:textAlignment w:val="baseline"/>
        <w:rPr>
          <w:color w:val="000000"/>
        </w:rPr>
      </w:pPr>
      <w:r w:rsidRPr="00E754C9">
        <w:rPr>
          <w:color w:val="000000"/>
        </w:rPr>
        <w:t>U razmjeni mišljenja s Europskom komisijom prihvaćena su njihova stajališta:</w:t>
      </w:r>
    </w:p>
    <w:p w14:paraId="1DE0AED4" w14:textId="77777777" w:rsidR="009973F2" w:rsidRPr="00E754C9" w:rsidRDefault="009973F2" w:rsidP="009973F2">
      <w:pPr>
        <w:shd w:val="clear" w:color="auto" w:fill="FFFFFF"/>
        <w:ind w:firstLine="425"/>
        <w:jc w:val="both"/>
        <w:textAlignment w:val="baseline"/>
        <w:rPr>
          <w:color w:val="000000"/>
        </w:rPr>
      </w:pPr>
    </w:p>
    <w:p w14:paraId="4F9FB23D" w14:textId="1DD7F42D" w:rsidR="00FD649D" w:rsidRPr="00E754C9" w:rsidRDefault="00FD649D" w:rsidP="009973F2">
      <w:pPr>
        <w:numPr>
          <w:ilvl w:val="0"/>
          <w:numId w:val="46"/>
        </w:numPr>
        <w:shd w:val="clear" w:color="auto" w:fill="FFFFFF"/>
        <w:contextualSpacing/>
        <w:jc w:val="both"/>
        <w:textAlignment w:val="baseline"/>
        <w:rPr>
          <w:color w:val="000000"/>
        </w:rPr>
      </w:pPr>
      <w:r w:rsidRPr="00E754C9">
        <w:rPr>
          <w:color w:val="000000"/>
        </w:rPr>
        <w:t>da vrijednosti ključnih pokazatelja na razini svakog isporučitelja vodnih usluga kao i rezultati usporedne analize ključnih pokazatelja budu javno dostupni na mrežnoj stranici Vijeća za vodne usluge, kako za objedinjene isporučitelje (članak 3. stavak 5.)</w:t>
      </w:r>
      <w:r w:rsidR="00892250" w:rsidRPr="00E754C9">
        <w:rPr>
          <w:color w:val="000000"/>
        </w:rPr>
        <w:t>,</w:t>
      </w:r>
      <w:r w:rsidRPr="00E754C9">
        <w:rPr>
          <w:color w:val="000000"/>
        </w:rPr>
        <w:t xml:space="preserve"> tako i za neobjedinjene isporučitelje (članak 8.</w:t>
      </w:r>
      <w:r w:rsidR="00CC54E6">
        <w:rPr>
          <w:color w:val="000000"/>
        </w:rPr>
        <w:t xml:space="preserve"> stavak 2.</w:t>
      </w:r>
      <w:r w:rsidRPr="00E754C9">
        <w:rPr>
          <w:color w:val="000000"/>
        </w:rPr>
        <w:t>)</w:t>
      </w:r>
    </w:p>
    <w:p w14:paraId="3C85A2FB" w14:textId="77777777" w:rsidR="009973F2" w:rsidRPr="00FD649D" w:rsidRDefault="009973F2" w:rsidP="009973F2">
      <w:pPr>
        <w:shd w:val="clear" w:color="auto" w:fill="FFFFFF"/>
        <w:ind w:left="785"/>
        <w:contextualSpacing/>
        <w:jc w:val="both"/>
        <w:textAlignment w:val="baseline"/>
        <w:rPr>
          <w:color w:val="000000"/>
        </w:rPr>
      </w:pPr>
    </w:p>
    <w:p w14:paraId="6DCA4256" w14:textId="77777777" w:rsidR="00FD649D" w:rsidRDefault="00FD649D" w:rsidP="009973F2">
      <w:pPr>
        <w:numPr>
          <w:ilvl w:val="0"/>
          <w:numId w:val="46"/>
        </w:numPr>
        <w:shd w:val="clear" w:color="auto" w:fill="FFFFFF"/>
        <w:contextualSpacing/>
        <w:jc w:val="both"/>
        <w:textAlignment w:val="baseline"/>
        <w:rPr>
          <w:color w:val="000000"/>
        </w:rPr>
      </w:pPr>
      <w:r w:rsidRPr="00FD649D">
        <w:rPr>
          <w:color w:val="000000"/>
        </w:rPr>
        <w:t>da Vijeće za vodne usluge na svojoj mrežnoj stranici objavljuje sažetke godišnjih revidiranih financijskih izvještaja isporučitelja vodnih usluga koji su izrađeni u skladu s posebnim propisima o računovodstvu. Vijeće za vodne usluge će u roku od šest mjeseci od dana stupanja na snagu ove Uredbe donijeti smjernicu iz članka 3. stavka 3. Uredbe.</w:t>
      </w:r>
    </w:p>
    <w:p w14:paraId="035FBE34" w14:textId="77777777" w:rsidR="009973F2" w:rsidRPr="00FD649D" w:rsidRDefault="009973F2" w:rsidP="009973F2">
      <w:pPr>
        <w:shd w:val="clear" w:color="auto" w:fill="FFFFFF"/>
        <w:contextualSpacing/>
        <w:jc w:val="both"/>
        <w:textAlignment w:val="baseline"/>
        <w:rPr>
          <w:color w:val="000000"/>
        </w:rPr>
      </w:pPr>
    </w:p>
    <w:p w14:paraId="0B10862B" w14:textId="77777777" w:rsidR="00FD649D" w:rsidRDefault="00FD649D" w:rsidP="009973F2">
      <w:pPr>
        <w:shd w:val="clear" w:color="auto" w:fill="FFFFFF"/>
        <w:ind w:firstLine="425"/>
        <w:jc w:val="both"/>
        <w:textAlignment w:val="baseline"/>
        <w:rPr>
          <w:color w:val="000000"/>
        </w:rPr>
      </w:pPr>
      <w:r w:rsidRPr="00FD649D">
        <w:rPr>
          <w:color w:val="000000"/>
        </w:rPr>
        <w:t>Mrežnu aplikaciju Vijeće za vodne usluge uspostavit će u roku od osam mjeseci od dana stupanja na snagu ove Uredbe ili će u istom roku odrediti korištenje jedne od postojećih mrežnih aplikacija za pokazatelje učinkovitosti poslovanja.</w:t>
      </w:r>
    </w:p>
    <w:p w14:paraId="13F7D8B8" w14:textId="77777777" w:rsidR="009973F2" w:rsidRPr="00FD649D" w:rsidRDefault="009973F2" w:rsidP="009973F2">
      <w:pPr>
        <w:shd w:val="clear" w:color="auto" w:fill="FFFFFF"/>
        <w:ind w:firstLine="425"/>
        <w:jc w:val="both"/>
        <w:textAlignment w:val="baseline"/>
        <w:rPr>
          <w:color w:val="000000"/>
        </w:rPr>
      </w:pPr>
    </w:p>
    <w:p w14:paraId="6D25B54F" w14:textId="253A48BC" w:rsidR="00031EC3" w:rsidRDefault="006A6FFD" w:rsidP="009973F2">
      <w:pPr>
        <w:shd w:val="clear" w:color="auto" w:fill="FFFFFF"/>
        <w:ind w:firstLine="425"/>
        <w:jc w:val="both"/>
        <w:textAlignment w:val="baseline"/>
      </w:pPr>
      <w:r w:rsidRPr="006A6FFD">
        <w:rPr>
          <w:color w:val="000000"/>
        </w:rPr>
        <w:t xml:space="preserve">Ova Uredba </w:t>
      </w:r>
      <w:r w:rsidR="00727F76">
        <w:rPr>
          <w:color w:val="000000"/>
        </w:rPr>
        <w:t>objavit će se u „N</w:t>
      </w:r>
      <w:r w:rsidR="00727F76" w:rsidRPr="00727F76">
        <w:rPr>
          <w:color w:val="000000"/>
        </w:rPr>
        <w:t>arodnim novinama“, a stup</w:t>
      </w:r>
      <w:r w:rsidR="006667CD">
        <w:rPr>
          <w:color w:val="000000"/>
        </w:rPr>
        <w:t>it će</w:t>
      </w:r>
      <w:r w:rsidR="00727F76" w:rsidRPr="00727F76">
        <w:rPr>
          <w:color w:val="000000"/>
        </w:rPr>
        <w:t xml:space="preserve"> na snagu 16. srpnja 2023.</w:t>
      </w:r>
      <w:r w:rsidR="006667CD">
        <w:rPr>
          <w:color w:val="000000"/>
        </w:rPr>
        <w:t xml:space="preserve"> s obzirom na to da je člankom 110. Zakona propisano da će se donijeti u </w:t>
      </w:r>
      <w:r w:rsidR="006667CD" w:rsidRPr="006667CD">
        <w:rPr>
          <w:color w:val="000000"/>
        </w:rPr>
        <w:t xml:space="preserve">roku od devet mjeseci </w:t>
      </w:r>
      <w:r w:rsidR="006667CD">
        <w:rPr>
          <w:color w:val="000000"/>
        </w:rPr>
        <w:t xml:space="preserve">od dana stupanja na snagu </w:t>
      </w:r>
      <w:r w:rsidR="006667CD" w:rsidRPr="006667CD">
        <w:rPr>
          <w:color w:val="000000"/>
        </w:rPr>
        <w:t>Uredbe o uslužnim područjima</w:t>
      </w:r>
      <w:r w:rsidR="006667CD">
        <w:rPr>
          <w:color w:val="000000"/>
        </w:rPr>
        <w:t>, a koja će stupiti na snagu 15. srpnja 2023.</w:t>
      </w:r>
      <w:r w:rsidR="006667CD" w:rsidRPr="006667CD">
        <w:t xml:space="preserve"> </w:t>
      </w:r>
    </w:p>
    <w:p w14:paraId="6FFE31F1" w14:textId="77777777" w:rsidR="00031EC3" w:rsidRDefault="00031EC3" w:rsidP="009973F2">
      <w:pPr>
        <w:shd w:val="clear" w:color="auto" w:fill="FFFFFF"/>
        <w:ind w:firstLine="425"/>
        <w:jc w:val="both"/>
        <w:textAlignment w:val="baseline"/>
      </w:pPr>
    </w:p>
    <w:p w14:paraId="21A20104" w14:textId="796F4269" w:rsidR="00FD649D" w:rsidRPr="003C5B95" w:rsidRDefault="00031EC3" w:rsidP="00C4027F">
      <w:pPr>
        <w:ind w:firstLine="426"/>
        <w:jc w:val="both"/>
        <w:rPr>
          <w:rFonts w:eastAsiaTheme="minorHAnsi" w:cstheme="minorBidi"/>
          <w:lang w:eastAsia="en-US"/>
        </w:rPr>
      </w:pPr>
      <w:r w:rsidRPr="00FD649D">
        <w:rPr>
          <w:color w:val="000000"/>
        </w:rPr>
        <w:t xml:space="preserve">O ovoj Uredbi provedeno je </w:t>
      </w:r>
      <w:r w:rsidRPr="00E754C9">
        <w:rPr>
          <w:color w:val="000000"/>
        </w:rPr>
        <w:t>savjetovanj</w:t>
      </w:r>
      <w:r>
        <w:rPr>
          <w:color w:val="000000"/>
        </w:rPr>
        <w:t>e</w:t>
      </w:r>
      <w:r w:rsidRPr="00E754C9">
        <w:rPr>
          <w:color w:val="000000"/>
        </w:rPr>
        <w:t xml:space="preserve"> sa zainteresiranom javnošću</w:t>
      </w:r>
      <w:r>
        <w:rPr>
          <w:color w:val="000000"/>
        </w:rPr>
        <w:t>,</w:t>
      </w:r>
      <w:r w:rsidRPr="00E754C9">
        <w:rPr>
          <w:color w:val="000000"/>
        </w:rPr>
        <w:t xml:space="preserve"> </w:t>
      </w:r>
      <w:r>
        <w:rPr>
          <w:color w:val="000000"/>
        </w:rPr>
        <w:t xml:space="preserve">objavom na </w:t>
      </w:r>
      <w:r w:rsidRPr="00E754C9">
        <w:rPr>
          <w:color w:val="000000"/>
        </w:rPr>
        <w:t>središnjem državnom portalu e-Savjetovanja</w:t>
      </w:r>
      <w:r>
        <w:rPr>
          <w:color w:val="000000"/>
        </w:rPr>
        <w:t>,</w:t>
      </w:r>
      <w:r w:rsidR="006F256E">
        <w:rPr>
          <w:color w:val="000000"/>
        </w:rPr>
        <w:t xml:space="preserve"> u razdoblju od 15. do </w:t>
      </w:r>
      <w:r w:rsidRPr="00FD649D">
        <w:rPr>
          <w:color w:val="000000"/>
        </w:rPr>
        <w:t>19.</w:t>
      </w:r>
      <w:r w:rsidRPr="00FD649D">
        <w:rPr>
          <w:rFonts w:eastAsiaTheme="minorHAnsi"/>
          <w:lang w:eastAsia="en-US"/>
        </w:rPr>
        <w:t xml:space="preserve"> prosinca 2022.</w:t>
      </w:r>
      <w:r>
        <w:rPr>
          <w:rFonts w:eastAsiaTheme="minorHAnsi"/>
          <w:lang w:eastAsia="en-US"/>
        </w:rPr>
        <w:t>,</w:t>
      </w:r>
      <w:r w:rsidRPr="00FD649D">
        <w:rPr>
          <w:rFonts w:eastAsiaTheme="minorHAnsi"/>
          <w:lang w:eastAsia="en-US"/>
        </w:rPr>
        <w:t xml:space="preserve"> kao i brojne konzultacije s bitnim dionicima (javnim isporučiteljima vodnih </w:t>
      </w:r>
      <w:r w:rsidRPr="00FD649D">
        <w:rPr>
          <w:rFonts w:eastAsiaTheme="minorHAnsi"/>
          <w:lang w:eastAsia="en-US"/>
        </w:rPr>
        <w:lastRenderedPageBreak/>
        <w:t>usluga i jedinicama lokalne samouprave koji su njihovi osnivači) putem radionica kroz projekt „Potpora smanjenju gubitaka vode u okviru reforme vodnoga gospodarstva u Republici Hrvatskoj“. Radionice su održane 12.,</w:t>
      </w:r>
      <w:r w:rsidR="00020455">
        <w:rPr>
          <w:rFonts w:eastAsiaTheme="minorHAnsi"/>
          <w:lang w:eastAsia="en-US"/>
        </w:rPr>
        <w:t xml:space="preserve"> </w:t>
      </w:r>
      <w:r w:rsidRPr="00FD649D">
        <w:rPr>
          <w:rFonts w:eastAsiaTheme="minorHAnsi"/>
          <w:lang w:eastAsia="en-US"/>
        </w:rPr>
        <w:t>13., 14.,</w:t>
      </w:r>
      <w:r w:rsidR="00020455">
        <w:rPr>
          <w:rFonts w:eastAsiaTheme="minorHAnsi"/>
          <w:lang w:eastAsia="en-US"/>
        </w:rPr>
        <w:t xml:space="preserve"> </w:t>
      </w:r>
      <w:r w:rsidRPr="00FD649D">
        <w:rPr>
          <w:rFonts w:eastAsiaTheme="minorHAnsi"/>
          <w:lang w:eastAsia="en-US"/>
        </w:rPr>
        <w:t>17., 20. i 21. listopada 2022.</w:t>
      </w:r>
      <w:r>
        <w:rPr>
          <w:rFonts w:eastAsiaTheme="minorHAnsi"/>
          <w:lang w:eastAsia="en-US"/>
        </w:rPr>
        <w:t xml:space="preserve"> </w:t>
      </w:r>
      <w:r w:rsidRPr="00AE6E58">
        <w:rPr>
          <w:rFonts w:eastAsiaTheme="minorHAnsi"/>
          <w:lang w:eastAsia="en-US"/>
        </w:rPr>
        <w:t>Zbog proteka vremena i usklađivanja s Europskom komisijom</w:t>
      </w:r>
      <w:r w:rsidRPr="00AE6E58">
        <w:t xml:space="preserve"> </w:t>
      </w:r>
      <w:r w:rsidRPr="00AE6E58">
        <w:rPr>
          <w:rFonts w:eastAsiaTheme="minorHAnsi"/>
          <w:lang w:eastAsia="en-US"/>
        </w:rPr>
        <w:t xml:space="preserve">u razdoblju od prosinca 2022. do svibnja 2023., a radi transparentnosti, </w:t>
      </w:r>
      <w:r>
        <w:rPr>
          <w:rFonts w:eastAsiaTheme="minorHAnsi"/>
          <w:lang w:eastAsia="en-US"/>
        </w:rPr>
        <w:t xml:space="preserve">provedeno je ponovljeno </w:t>
      </w:r>
      <w:r w:rsidRPr="00E754C9">
        <w:rPr>
          <w:rFonts w:eastAsiaTheme="minorHAnsi"/>
          <w:lang w:eastAsia="en-US"/>
        </w:rPr>
        <w:t>savjetovanje sa zainteresiranom javnošću</w:t>
      </w:r>
      <w:r>
        <w:rPr>
          <w:rFonts w:eastAsiaTheme="minorHAnsi"/>
          <w:lang w:eastAsia="en-US"/>
        </w:rPr>
        <w:t>,</w:t>
      </w:r>
      <w:r w:rsidRPr="00E754C9">
        <w:rPr>
          <w:rFonts w:eastAsiaTheme="minorHAnsi"/>
          <w:lang w:eastAsia="en-US"/>
        </w:rPr>
        <w:t xml:space="preserve"> objavom na središnjem </w:t>
      </w:r>
      <w:r>
        <w:rPr>
          <w:rFonts w:eastAsiaTheme="minorHAnsi"/>
          <w:lang w:eastAsia="en-US"/>
        </w:rPr>
        <w:t>državnom portalu e-Savjetovanja, u razdoblju od 7. do 13. lipnja 2023.</w:t>
      </w:r>
      <w:r w:rsidR="003744F5" w:rsidRPr="003744F5">
        <w:t xml:space="preserve"> </w:t>
      </w:r>
    </w:p>
    <w:sectPr w:rsidR="00FD649D" w:rsidRPr="003C5B95" w:rsidSect="00544E5C">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04C6" w14:textId="77777777" w:rsidR="00416912" w:rsidRDefault="00416912" w:rsidP="00C061AF">
      <w:r>
        <w:separator/>
      </w:r>
    </w:p>
  </w:endnote>
  <w:endnote w:type="continuationSeparator" w:id="0">
    <w:p w14:paraId="12671F03" w14:textId="77777777" w:rsidR="00416912" w:rsidRDefault="00416912" w:rsidP="00C0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09560"/>
      <w:docPartObj>
        <w:docPartGallery w:val="Page Numbers (Bottom of Page)"/>
        <w:docPartUnique/>
      </w:docPartObj>
    </w:sdtPr>
    <w:sdtEndPr/>
    <w:sdtContent>
      <w:p w14:paraId="44858F7D" w14:textId="0838E486" w:rsidR="001F1083" w:rsidRDefault="001F1083">
        <w:pPr>
          <w:pStyle w:val="Footer"/>
          <w:jc w:val="right"/>
        </w:pPr>
        <w:r>
          <w:fldChar w:fldCharType="begin"/>
        </w:r>
        <w:r>
          <w:instrText>PAGE   \* MERGEFORMAT</w:instrText>
        </w:r>
        <w:r>
          <w:fldChar w:fldCharType="separate"/>
        </w:r>
        <w:r w:rsidR="00121004">
          <w:rPr>
            <w:noProof/>
          </w:rPr>
          <w:t>2</w:t>
        </w:r>
        <w:r>
          <w:fldChar w:fldCharType="end"/>
        </w:r>
      </w:p>
    </w:sdtContent>
  </w:sdt>
  <w:p w14:paraId="52DE77EA" w14:textId="77777777" w:rsidR="001F1083" w:rsidRDefault="001F1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9AF6" w14:textId="77777777" w:rsidR="001F1083" w:rsidRDefault="001F1083">
    <w:pPr>
      <w:pStyle w:val="Footer"/>
      <w:jc w:val="right"/>
    </w:pPr>
  </w:p>
  <w:p w14:paraId="4CBB98A6" w14:textId="77777777" w:rsidR="001F1083" w:rsidRDefault="001F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DC86" w14:textId="77777777" w:rsidR="00416912" w:rsidRDefault="00416912" w:rsidP="00C061AF">
      <w:r>
        <w:separator/>
      </w:r>
    </w:p>
  </w:footnote>
  <w:footnote w:type="continuationSeparator" w:id="0">
    <w:p w14:paraId="2709B2B6" w14:textId="77777777" w:rsidR="00416912" w:rsidRDefault="00416912" w:rsidP="00C0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281C" w14:textId="77777777" w:rsidR="001F1083" w:rsidRDefault="001F1083" w:rsidP="00B04C00">
    <w:pPr>
      <w:pStyle w:val="Heade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798"/>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C26252"/>
    <w:multiLevelType w:val="hybridMultilevel"/>
    <w:tmpl w:val="19FA0140"/>
    <w:lvl w:ilvl="0" w:tplc="A6408724">
      <w:start w:val="1"/>
      <w:numFmt w:val="decimal"/>
      <w:lvlText w:val="(%1)"/>
      <w:lvlJc w:val="left"/>
      <w:pPr>
        <w:ind w:left="800" w:hanging="375"/>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 w15:restartNumberingAfterBreak="0">
    <w:nsid w:val="04525B35"/>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667712"/>
    <w:multiLevelType w:val="hybridMultilevel"/>
    <w:tmpl w:val="6CC42272"/>
    <w:lvl w:ilvl="0" w:tplc="5EAA17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7474D4"/>
    <w:multiLevelType w:val="hybridMultilevel"/>
    <w:tmpl w:val="6BAE54DC"/>
    <w:lvl w:ilvl="0" w:tplc="03CCFDBC">
      <w:start w:val="1"/>
      <w:numFmt w:val="decimal"/>
      <w:lvlText w:val="Članak %1."/>
      <w:lvlJc w:val="center"/>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B93812"/>
    <w:multiLevelType w:val="hybridMultilevel"/>
    <w:tmpl w:val="1D826560"/>
    <w:lvl w:ilvl="0" w:tplc="9970E77C">
      <w:start w:val="1"/>
      <w:numFmt w:val="decimal"/>
      <w:lvlText w:val="Članak %1."/>
      <w:lvlJc w:val="center"/>
      <w:pPr>
        <w:ind w:left="4330" w:hanging="360"/>
      </w:pPr>
      <w:rPr>
        <w:rFonts w:ascii="Times New Roman" w:hAnsi="Times New Roman"/>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F53645"/>
    <w:multiLevelType w:val="hybridMultilevel"/>
    <w:tmpl w:val="B74C7C70"/>
    <w:lvl w:ilvl="0" w:tplc="51826726">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 w15:restartNumberingAfterBreak="0">
    <w:nsid w:val="0FB41D7A"/>
    <w:multiLevelType w:val="hybridMultilevel"/>
    <w:tmpl w:val="215E6302"/>
    <w:lvl w:ilvl="0" w:tplc="F91C4130">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FB22E7"/>
    <w:multiLevelType w:val="hybridMultilevel"/>
    <w:tmpl w:val="F80EE0DA"/>
    <w:lvl w:ilvl="0" w:tplc="2A544748">
      <w:numFmt w:val="bullet"/>
      <w:lvlText w:val="-"/>
      <w:lvlJc w:val="left"/>
      <w:pPr>
        <w:ind w:left="785" w:hanging="360"/>
      </w:pPr>
      <w:rPr>
        <w:rFonts w:ascii="Times New Roman" w:eastAsia="Times New Roman"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9" w15:restartNumberingAfterBreak="0">
    <w:nsid w:val="145F21F9"/>
    <w:multiLevelType w:val="hybridMultilevel"/>
    <w:tmpl w:val="AB60EC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B2089B"/>
    <w:multiLevelType w:val="hybridMultilevel"/>
    <w:tmpl w:val="215E6302"/>
    <w:lvl w:ilvl="0" w:tplc="F91C4130">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98332D"/>
    <w:multiLevelType w:val="hybridMultilevel"/>
    <w:tmpl w:val="ED0C7FDE"/>
    <w:lvl w:ilvl="0" w:tplc="9EACCCFA">
      <w:start w:val="1"/>
      <w:numFmt w:val="decimal"/>
      <w:lvlText w:val="Članak %1."/>
      <w:lvlJc w:val="center"/>
      <w:pPr>
        <w:ind w:left="720" w:hanging="360"/>
      </w:pPr>
      <w:rPr>
        <w:rFonts w:ascii="Times New Roman" w:hAnsi="Times New Roman" w:hint="default"/>
        <w:b w:val="0"/>
        <w:i w:val="0"/>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AC2037"/>
    <w:multiLevelType w:val="multilevel"/>
    <w:tmpl w:val="C51E99A4"/>
    <w:lvl w:ilvl="0">
      <w:start w:val="1"/>
      <w:numFmt w:val="decimal"/>
      <w:suff w:val="space"/>
      <w:lvlText w:val="(%1)"/>
      <w:lvlJc w:val="left"/>
      <w:pPr>
        <w:ind w:left="800" w:hanging="375"/>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13" w15:restartNumberingAfterBreak="0">
    <w:nsid w:val="2D164E8F"/>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101E24"/>
    <w:multiLevelType w:val="multilevel"/>
    <w:tmpl w:val="8F52C658"/>
    <w:lvl w:ilvl="0">
      <w:start w:val="1"/>
      <w:numFmt w:val="decimal"/>
      <w:suff w:val="space"/>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0F4B07"/>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92202C2"/>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8313E3"/>
    <w:multiLevelType w:val="multilevel"/>
    <w:tmpl w:val="D77678AC"/>
    <w:lvl w:ilvl="0">
      <w:start w:val="1"/>
      <w:numFmt w:val="decimal"/>
      <w:suff w:val="space"/>
      <w:lvlText w:val="%1."/>
      <w:lvlJc w:val="left"/>
      <w:pPr>
        <w:ind w:left="425" w:hanging="425"/>
      </w:pPr>
      <w:rPr>
        <w:rFonts w:ascii="Times New Roman" w:hAnsi="Times New Roman" w:hint="default"/>
        <w:b w:val="0"/>
        <w:i w:val="0"/>
        <w:sz w:val="24"/>
      </w:rPr>
    </w:lvl>
    <w:lvl w:ilvl="1">
      <w:start w:val="1"/>
      <w:numFmt w:val="decimal"/>
      <w:suff w:val="space"/>
      <w:lvlText w:val="%1.%2."/>
      <w:lvlJc w:val="left"/>
      <w:pPr>
        <w:ind w:left="0" w:firstLine="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8" w15:restartNumberingAfterBreak="0">
    <w:nsid w:val="3C097403"/>
    <w:multiLevelType w:val="hybridMultilevel"/>
    <w:tmpl w:val="F4AC2844"/>
    <w:lvl w:ilvl="0" w:tplc="DC1CA750">
      <w:start w:val="1"/>
      <w:numFmt w:val="bullet"/>
      <w:lvlText w:val=""/>
      <w:lvlJc w:val="left"/>
      <w:pPr>
        <w:ind w:left="720" w:hanging="360"/>
      </w:pPr>
      <w:rPr>
        <w:rFonts w:ascii="Symbol" w:hAnsi="Symbol" w:hint="default"/>
      </w:rPr>
    </w:lvl>
    <w:lvl w:ilvl="1" w:tplc="DC1CA75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D21"/>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7A7669"/>
    <w:multiLevelType w:val="hybridMultilevel"/>
    <w:tmpl w:val="73E81D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C13857"/>
    <w:multiLevelType w:val="hybridMultilevel"/>
    <w:tmpl w:val="1C78AEB6"/>
    <w:lvl w:ilvl="0" w:tplc="DC1CA750">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22" w15:restartNumberingAfterBreak="0">
    <w:nsid w:val="4ECC1EF4"/>
    <w:multiLevelType w:val="multilevel"/>
    <w:tmpl w:val="6A3CE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8C68C3"/>
    <w:multiLevelType w:val="hybridMultilevel"/>
    <w:tmpl w:val="CE74D44E"/>
    <w:lvl w:ilvl="0" w:tplc="6AF264B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15:restartNumberingAfterBreak="0">
    <w:nsid w:val="532328E0"/>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4B60747"/>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D53465"/>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61739A"/>
    <w:multiLevelType w:val="multilevel"/>
    <w:tmpl w:val="35985DF2"/>
    <w:lvl w:ilvl="0">
      <w:start w:val="1"/>
      <w:numFmt w:val="decimal"/>
      <w:suff w:val="space"/>
      <w:lvlText w:val="1.%1."/>
      <w:lvlJc w:val="left"/>
      <w:pPr>
        <w:ind w:left="0" w:firstLine="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15B3B"/>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8E169D2"/>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724052"/>
    <w:multiLevelType w:val="multilevel"/>
    <w:tmpl w:val="671E7D80"/>
    <w:styleLink w:val="Style1"/>
    <w:lvl w:ilvl="0">
      <w:start w:val="1"/>
      <w:numFmt w:val="decimal"/>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1F28EC"/>
    <w:multiLevelType w:val="hybridMultilevel"/>
    <w:tmpl w:val="CBF63B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5E3D1040"/>
    <w:multiLevelType w:val="hybridMultilevel"/>
    <w:tmpl w:val="3B7435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3F65B6"/>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9C7F39"/>
    <w:multiLevelType w:val="hybridMultilevel"/>
    <w:tmpl w:val="F63053E8"/>
    <w:lvl w:ilvl="0" w:tplc="38126916">
      <w:start w:val="3"/>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547E4E"/>
    <w:multiLevelType w:val="multilevel"/>
    <w:tmpl w:val="BD747C8A"/>
    <w:lvl w:ilvl="0">
      <w:start w:val="1"/>
      <w:numFmt w:val="bullet"/>
      <w:suff w:val="space"/>
      <w:lvlText w:val="–"/>
      <w:lvlJc w:val="left"/>
      <w:pPr>
        <w:ind w:left="0" w:firstLine="360"/>
      </w:pPr>
      <w:rPr>
        <w:rFonts w:ascii="Times New Roman" w:hAnsi="Times New Roman" w:cs="Times New Roman" w:hint="default"/>
        <w:b w:val="0"/>
        <w:i w:val="0"/>
        <w:color w:val="auto"/>
        <w:position w:val="0"/>
        <w:sz w:val="24"/>
        <w14:numSpacing w14:val="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5D5186"/>
    <w:multiLevelType w:val="multilevel"/>
    <w:tmpl w:val="75D29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94A01"/>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E2F4125"/>
    <w:multiLevelType w:val="multilevel"/>
    <w:tmpl w:val="93E09CF0"/>
    <w:lvl w:ilvl="0">
      <w:start w:val="1"/>
      <w:numFmt w:val="decimal"/>
      <w:suff w:val="space"/>
      <w:lvlText w:val="1.%1."/>
      <w:lvlJc w:val="left"/>
      <w:pPr>
        <w:ind w:left="0" w:firstLine="0"/>
      </w:pPr>
      <w:rPr>
        <w:rFonts w:hint="default"/>
      </w:rPr>
    </w:lvl>
    <w:lvl w:ilvl="1">
      <w:start w:val="1"/>
      <w:numFmt w:val="bullet"/>
      <w:suff w:val="space"/>
      <w:lvlText w:val=""/>
      <w:lvlJc w:val="left"/>
      <w:pPr>
        <w:ind w:left="0" w:firstLine="397"/>
      </w:pPr>
      <w:rPr>
        <w:rFonts w:ascii="Symbol" w:hAnsi="Symbol"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01353D7"/>
    <w:multiLevelType w:val="hybridMultilevel"/>
    <w:tmpl w:val="3B7435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A45CBA"/>
    <w:multiLevelType w:val="multilevel"/>
    <w:tmpl w:val="B34AABCA"/>
    <w:lvl w:ilvl="0">
      <w:start w:val="1"/>
      <w:numFmt w:val="decimal"/>
      <w:suff w:val="space"/>
      <w:lvlText w:val="%1."/>
      <w:lvlJc w:val="left"/>
      <w:pPr>
        <w:ind w:left="0" w:firstLine="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7C1EAE"/>
    <w:multiLevelType w:val="multilevel"/>
    <w:tmpl w:val="78586DFC"/>
    <w:lvl w:ilvl="0">
      <w:start w:val="1"/>
      <w:numFmt w:val="upperRoman"/>
      <w:pStyle w:val="Heading1"/>
      <w:suff w:val="space"/>
      <w:lvlText w:val="%1."/>
      <w:lvlJc w:val="center"/>
      <w:pPr>
        <w:ind w:left="0" w:firstLine="0"/>
      </w:pPr>
      <w:rPr>
        <w:rFonts w:ascii="Times New Roman" w:hAnsi="Times New Roman" w:hint="default"/>
        <w:b w:val="0"/>
        <w:bCs w:val="0"/>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3C64EB7"/>
    <w:multiLevelType w:val="multilevel"/>
    <w:tmpl w:val="EBE41B9A"/>
    <w:lvl w:ilvl="0">
      <w:start w:val="5"/>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3" w15:restartNumberingAfterBreak="0">
    <w:nsid w:val="740A684D"/>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DD328F"/>
    <w:multiLevelType w:val="multilevel"/>
    <w:tmpl w:val="CE4CC212"/>
    <w:lvl w:ilvl="0">
      <w:start w:val="1"/>
      <w:numFmt w:val="decimal"/>
      <w:pStyle w:val="Heading3"/>
      <w:suff w:val="nothing"/>
      <w:lvlText w:val="Članak %1."/>
      <w:lvlJc w:val="center"/>
      <w:pPr>
        <w:ind w:left="0" w:firstLine="0"/>
      </w:pPr>
      <w:rPr>
        <w:rFonts w:ascii="Times New Roman" w:hAnsi="Times New Roman" w:hint="default"/>
        <w:b w:val="0"/>
        <w:i w:val="0"/>
        <w:color w:val="auto"/>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15:restartNumberingAfterBreak="0">
    <w:nsid w:val="7BCF76D4"/>
    <w:multiLevelType w:val="multilevel"/>
    <w:tmpl w:val="5DE44EF4"/>
    <w:lvl w:ilvl="0">
      <w:start w:val="1"/>
      <w:numFmt w:val="decimal"/>
      <w:suff w:val="space"/>
      <w:lvlText w:val="(%1)"/>
      <w:lvlJc w:val="left"/>
      <w:pPr>
        <w:ind w:left="0" w:firstLine="360"/>
      </w:pPr>
      <w:rPr>
        <w:rFonts w:hint="default"/>
      </w:rPr>
    </w:lvl>
    <w:lvl w:ilvl="1">
      <w:start w:val="1"/>
      <w:numFmt w:val="bullet"/>
      <w:lvlText w:val=""/>
      <w:lvlJc w:val="left"/>
      <w:pPr>
        <w:ind w:left="0" w:firstLine="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414BC8"/>
    <w:multiLevelType w:val="hybridMultilevel"/>
    <w:tmpl w:val="19FA0140"/>
    <w:lvl w:ilvl="0" w:tplc="A6408724">
      <w:start w:val="1"/>
      <w:numFmt w:val="decimal"/>
      <w:lvlText w:val="(%1)"/>
      <w:lvlJc w:val="left"/>
      <w:pPr>
        <w:ind w:left="800" w:hanging="375"/>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7" w15:restartNumberingAfterBreak="0">
    <w:nsid w:val="7FD30DD1"/>
    <w:multiLevelType w:val="hybridMultilevel"/>
    <w:tmpl w:val="994EC278"/>
    <w:lvl w:ilvl="0" w:tplc="67AA3EE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32"/>
  </w:num>
  <w:num w:numId="5">
    <w:abstractNumId w:val="39"/>
  </w:num>
  <w:num w:numId="6">
    <w:abstractNumId w:val="7"/>
  </w:num>
  <w:num w:numId="7">
    <w:abstractNumId w:val="33"/>
  </w:num>
  <w:num w:numId="8">
    <w:abstractNumId w:val="10"/>
  </w:num>
  <w:num w:numId="9">
    <w:abstractNumId w:val="30"/>
  </w:num>
  <w:num w:numId="10">
    <w:abstractNumId w:val="35"/>
  </w:num>
  <w:num w:numId="11">
    <w:abstractNumId w:val="4"/>
  </w:num>
  <w:num w:numId="12">
    <w:abstractNumId w:val="41"/>
  </w:num>
  <w:num w:numId="13">
    <w:abstractNumId w:val="13"/>
  </w:num>
  <w:num w:numId="14">
    <w:abstractNumId w:val="29"/>
  </w:num>
  <w:num w:numId="15">
    <w:abstractNumId w:val="45"/>
  </w:num>
  <w:num w:numId="16">
    <w:abstractNumId w:val="43"/>
  </w:num>
  <w:num w:numId="17">
    <w:abstractNumId w:val="15"/>
  </w:num>
  <w:num w:numId="18">
    <w:abstractNumId w:val="40"/>
  </w:num>
  <w:num w:numId="19">
    <w:abstractNumId w:val="16"/>
  </w:num>
  <w:num w:numId="20">
    <w:abstractNumId w:val="25"/>
  </w:num>
  <w:num w:numId="21">
    <w:abstractNumId w:val="2"/>
  </w:num>
  <w:num w:numId="22">
    <w:abstractNumId w:val="26"/>
  </w:num>
  <w:num w:numId="23">
    <w:abstractNumId w:val="37"/>
  </w:num>
  <w:num w:numId="24">
    <w:abstractNumId w:val="22"/>
  </w:num>
  <w:num w:numId="25">
    <w:abstractNumId w:val="5"/>
  </w:num>
  <w:num w:numId="26">
    <w:abstractNumId w:val="0"/>
  </w:num>
  <w:num w:numId="27">
    <w:abstractNumId w:val="17"/>
  </w:num>
  <w:num w:numId="28">
    <w:abstractNumId w:val="38"/>
  </w:num>
  <w:num w:numId="29">
    <w:abstractNumId w:val="36"/>
  </w:num>
  <w:num w:numId="30">
    <w:abstractNumId w:val="42"/>
  </w:num>
  <w:num w:numId="31">
    <w:abstractNumId w:val="21"/>
  </w:num>
  <w:num w:numId="32">
    <w:abstractNumId w:val="47"/>
  </w:num>
  <w:num w:numId="33">
    <w:abstractNumId w:val="31"/>
  </w:num>
  <w:num w:numId="34">
    <w:abstractNumId w:val="28"/>
  </w:num>
  <w:num w:numId="35">
    <w:abstractNumId w:val="46"/>
  </w:num>
  <w:num w:numId="36">
    <w:abstractNumId w:val="12"/>
  </w:num>
  <w:num w:numId="37">
    <w:abstractNumId w:val="24"/>
  </w:num>
  <w:num w:numId="38">
    <w:abstractNumId w:val="1"/>
  </w:num>
  <w:num w:numId="39">
    <w:abstractNumId w:val="11"/>
  </w:num>
  <w:num w:numId="40">
    <w:abstractNumId w:val="44"/>
  </w:num>
  <w:num w:numId="41">
    <w:abstractNumId w:val="9"/>
  </w:num>
  <w:num w:numId="42">
    <w:abstractNumId w:val="20"/>
  </w:num>
  <w:num w:numId="43">
    <w:abstractNumId w:val="34"/>
  </w:num>
  <w:num w:numId="44">
    <w:abstractNumId w:val="3"/>
  </w:num>
  <w:num w:numId="45">
    <w:abstractNumId w:val="18"/>
  </w:num>
  <w:num w:numId="46">
    <w:abstractNumId w:val="8"/>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BB"/>
    <w:rsid w:val="000060A3"/>
    <w:rsid w:val="00006EBD"/>
    <w:rsid w:val="00020455"/>
    <w:rsid w:val="00023A53"/>
    <w:rsid w:val="00031EC3"/>
    <w:rsid w:val="00056719"/>
    <w:rsid w:val="00066A11"/>
    <w:rsid w:val="00067420"/>
    <w:rsid w:val="00077B23"/>
    <w:rsid w:val="00081107"/>
    <w:rsid w:val="00087D51"/>
    <w:rsid w:val="000B34BD"/>
    <w:rsid w:val="000C304E"/>
    <w:rsid w:val="000C7B82"/>
    <w:rsid w:val="000D4ADD"/>
    <w:rsid w:val="000F0783"/>
    <w:rsid w:val="000F11A8"/>
    <w:rsid w:val="0011556E"/>
    <w:rsid w:val="00117C78"/>
    <w:rsid w:val="00121004"/>
    <w:rsid w:val="00122130"/>
    <w:rsid w:val="001257C2"/>
    <w:rsid w:val="00125E12"/>
    <w:rsid w:val="00137D3A"/>
    <w:rsid w:val="00144F2B"/>
    <w:rsid w:val="00150871"/>
    <w:rsid w:val="00152132"/>
    <w:rsid w:val="00154CEC"/>
    <w:rsid w:val="00161C43"/>
    <w:rsid w:val="0016595F"/>
    <w:rsid w:val="00181FAD"/>
    <w:rsid w:val="00184FD1"/>
    <w:rsid w:val="0019599A"/>
    <w:rsid w:val="0019787E"/>
    <w:rsid w:val="001B0528"/>
    <w:rsid w:val="001B20BB"/>
    <w:rsid w:val="001C01DA"/>
    <w:rsid w:val="001F1083"/>
    <w:rsid w:val="00203FE3"/>
    <w:rsid w:val="002238D2"/>
    <w:rsid w:val="002368CC"/>
    <w:rsid w:val="002435C3"/>
    <w:rsid w:val="0024648E"/>
    <w:rsid w:val="0025161B"/>
    <w:rsid w:val="002540C3"/>
    <w:rsid w:val="002579DB"/>
    <w:rsid w:val="0026024B"/>
    <w:rsid w:val="002617AD"/>
    <w:rsid w:val="00284B2F"/>
    <w:rsid w:val="00292B00"/>
    <w:rsid w:val="002952F6"/>
    <w:rsid w:val="002A15A4"/>
    <w:rsid w:val="002A3BF8"/>
    <w:rsid w:val="002A53A2"/>
    <w:rsid w:val="002A7130"/>
    <w:rsid w:val="002D0E31"/>
    <w:rsid w:val="002D276F"/>
    <w:rsid w:val="002E7AA8"/>
    <w:rsid w:val="00301874"/>
    <w:rsid w:val="003057B0"/>
    <w:rsid w:val="00327172"/>
    <w:rsid w:val="003340C7"/>
    <w:rsid w:val="00336C0D"/>
    <w:rsid w:val="00341534"/>
    <w:rsid w:val="003472E6"/>
    <w:rsid w:val="00347803"/>
    <w:rsid w:val="0035193A"/>
    <w:rsid w:val="00360EC7"/>
    <w:rsid w:val="00367E9B"/>
    <w:rsid w:val="00373F9F"/>
    <w:rsid w:val="003744F5"/>
    <w:rsid w:val="00383DC6"/>
    <w:rsid w:val="00391E2B"/>
    <w:rsid w:val="003A2CD6"/>
    <w:rsid w:val="003B349A"/>
    <w:rsid w:val="003B4C25"/>
    <w:rsid w:val="003C1D9B"/>
    <w:rsid w:val="003C5B95"/>
    <w:rsid w:val="003C5D18"/>
    <w:rsid w:val="003C681E"/>
    <w:rsid w:val="003E5B6E"/>
    <w:rsid w:val="00413926"/>
    <w:rsid w:val="00416912"/>
    <w:rsid w:val="00431423"/>
    <w:rsid w:val="00431DD4"/>
    <w:rsid w:val="0043669C"/>
    <w:rsid w:val="004567E8"/>
    <w:rsid w:val="004575DE"/>
    <w:rsid w:val="0047131E"/>
    <w:rsid w:val="00472C1B"/>
    <w:rsid w:val="00476D13"/>
    <w:rsid w:val="00484E91"/>
    <w:rsid w:val="00491D95"/>
    <w:rsid w:val="00496E0A"/>
    <w:rsid w:val="004A7E74"/>
    <w:rsid w:val="004B0013"/>
    <w:rsid w:val="004B722B"/>
    <w:rsid w:val="004C3FAC"/>
    <w:rsid w:val="004D354C"/>
    <w:rsid w:val="004D5479"/>
    <w:rsid w:val="004D58C0"/>
    <w:rsid w:val="004D6296"/>
    <w:rsid w:val="004D6B93"/>
    <w:rsid w:val="004D6DD8"/>
    <w:rsid w:val="004E3C2B"/>
    <w:rsid w:val="004F0F34"/>
    <w:rsid w:val="005045D7"/>
    <w:rsid w:val="00507845"/>
    <w:rsid w:val="00522CD6"/>
    <w:rsid w:val="00530646"/>
    <w:rsid w:val="00533BD9"/>
    <w:rsid w:val="005449B3"/>
    <w:rsid w:val="00544E5C"/>
    <w:rsid w:val="00550042"/>
    <w:rsid w:val="0057447B"/>
    <w:rsid w:val="00583EEA"/>
    <w:rsid w:val="005849F6"/>
    <w:rsid w:val="00586E7B"/>
    <w:rsid w:val="00590D64"/>
    <w:rsid w:val="005931AA"/>
    <w:rsid w:val="005A18EB"/>
    <w:rsid w:val="005A63E7"/>
    <w:rsid w:val="005B372B"/>
    <w:rsid w:val="005C687B"/>
    <w:rsid w:val="005E08DF"/>
    <w:rsid w:val="005E4188"/>
    <w:rsid w:val="005E449A"/>
    <w:rsid w:val="00626C92"/>
    <w:rsid w:val="00632160"/>
    <w:rsid w:val="00634EFE"/>
    <w:rsid w:val="0065019D"/>
    <w:rsid w:val="00653DAA"/>
    <w:rsid w:val="006548BA"/>
    <w:rsid w:val="006667CD"/>
    <w:rsid w:val="006A3412"/>
    <w:rsid w:val="006A6FFD"/>
    <w:rsid w:val="006A7AC7"/>
    <w:rsid w:val="006C4B38"/>
    <w:rsid w:val="006E3FFB"/>
    <w:rsid w:val="006E5555"/>
    <w:rsid w:val="006E6D1B"/>
    <w:rsid w:val="006F256E"/>
    <w:rsid w:val="007034C4"/>
    <w:rsid w:val="00707C27"/>
    <w:rsid w:val="00722866"/>
    <w:rsid w:val="00727F76"/>
    <w:rsid w:val="00732812"/>
    <w:rsid w:val="00742922"/>
    <w:rsid w:val="0075360F"/>
    <w:rsid w:val="00774B5C"/>
    <w:rsid w:val="00775B24"/>
    <w:rsid w:val="0077712E"/>
    <w:rsid w:val="00785DF6"/>
    <w:rsid w:val="007863EB"/>
    <w:rsid w:val="007921BC"/>
    <w:rsid w:val="007C683E"/>
    <w:rsid w:val="007D3EBC"/>
    <w:rsid w:val="007E29EC"/>
    <w:rsid w:val="007F1EF6"/>
    <w:rsid w:val="00813459"/>
    <w:rsid w:val="00822011"/>
    <w:rsid w:val="008643D1"/>
    <w:rsid w:val="00871655"/>
    <w:rsid w:val="008748E6"/>
    <w:rsid w:val="00874C45"/>
    <w:rsid w:val="00881ED4"/>
    <w:rsid w:val="00892250"/>
    <w:rsid w:val="00896D57"/>
    <w:rsid w:val="008A1F54"/>
    <w:rsid w:val="008A6F86"/>
    <w:rsid w:val="008B0A8C"/>
    <w:rsid w:val="008C1D1B"/>
    <w:rsid w:val="008D1A63"/>
    <w:rsid w:val="008E248C"/>
    <w:rsid w:val="00900033"/>
    <w:rsid w:val="00913827"/>
    <w:rsid w:val="009149C8"/>
    <w:rsid w:val="009242E2"/>
    <w:rsid w:val="00955A76"/>
    <w:rsid w:val="00964DDE"/>
    <w:rsid w:val="0096676D"/>
    <w:rsid w:val="00966E2A"/>
    <w:rsid w:val="00974A16"/>
    <w:rsid w:val="00977A56"/>
    <w:rsid w:val="00992814"/>
    <w:rsid w:val="009973F2"/>
    <w:rsid w:val="009A24C6"/>
    <w:rsid w:val="009D69BB"/>
    <w:rsid w:val="009F476D"/>
    <w:rsid w:val="009F481A"/>
    <w:rsid w:val="00A01EF9"/>
    <w:rsid w:val="00A02E79"/>
    <w:rsid w:val="00A22B16"/>
    <w:rsid w:val="00A27B4B"/>
    <w:rsid w:val="00A562B0"/>
    <w:rsid w:val="00A60CD4"/>
    <w:rsid w:val="00A75E25"/>
    <w:rsid w:val="00A847C9"/>
    <w:rsid w:val="00A92B87"/>
    <w:rsid w:val="00A954CD"/>
    <w:rsid w:val="00AA2F80"/>
    <w:rsid w:val="00AB1871"/>
    <w:rsid w:val="00AB4EE1"/>
    <w:rsid w:val="00AC16AD"/>
    <w:rsid w:val="00AC5E96"/>
    <w:rsid w:val="00AD1AA8"/>
    <w:rsid w:val="00AD4AE7"/>
    <w:rsid w:val="00AE0D79"/>
    <w:rsid w:val="00AE6E58"/>
    <w:rsid w:val="00B0124B"/>
    <w:rsid w:val="00B04958"/>
    <w:rsid w:val="00B04C00"/>
    <w:rsid w:val="00B0549E"/>
    <w:rsid w:val="00B35842"/>
    <w:rsid w:val="00B4454B"/>
    <w:rsid w:val="00B6001B"/>
    <w:rsid w:val="00B62978"/>
    <w:rsid w:val="00B64884"/>
    <w:rsid w:val="00B8372E"/>
    <w:rsid w:val="00BA50EA"/>
    <w:rsid w:val="00BA5A2D"/>
    <w:rsid w:val="00BB68F0"/>
    <w:rsid w:val="00BC4034"/>
    <w:rsid w:val="00C03F4D"/>
    <w:rsid w:val="00C04FC5"/>
    <w:rsid w:val="00C061AF"/>
    <w:rsid w:val="00C209EF"/>
    <w:rsid w:val="00C20A2A"/>
    <w:rsid w:val="00C238C1"/>
    <w:rsid w:val="00C3431E"/>
    <w:rsid w:val="00C4027F"/>
    <w:rsid w:val="00C47F9D"/>
    <w:rsid w:val="00C54F9C"/>
    <w:rsid w:val="00C56813"/>
    <w:rsid w:val="00C70292"/>
    <w:rsid w:val="00C83874"/>
    <w:rsid w:val="00C95E49"/>
    <w:rsid w:val="00C976EE"/>
    <w:rsid w:val="00CB5744"/>
    <w:rsid w:val="00CB5D5A"/>
    <w:rsid w:val="00CC54E6"/>
    <w:rsid w:val="00CD28CD"/>
    <w:rsid w:val="00CD37AC"/>
    <w:rsid w:val="00CE76EB"/>
    <w:rsid w:val="00CF27B3"/>
    <w:rsid w:val="00CF2F6F"/>
    <w:rsid w:val="00D1008A"/>
    <w:rsid w:val="00D11BB1"/>
    <w:rsid w:val="00D16671"/>
    <w:rsid w:val="00D33182"/>
    <w:rsid w:val="00D538A3"/>
    <w:rsid w:val="00D57215"/>
    <w:rsid w:val="00D707E6"/>
    <w:rsid w:val="00D74A19"/>
    <w:rsid w:val="00DC6FBD"/>
    <w:rsid w:val="00DD2FB1"/>
    <w:rsid w:val="00DD6B0F"/>
    <w:rsid w:val="00DE4401"/>
    <w:rsid w:val="00DF5408"/>
    <w:rsid w:val="00E047B0"/>
    <w:rsid w:val="00E14D62"/>
    <w:rsid w:val="00E21B50"/>
    <w:rsid w:val="00E2493F"/>
    <w:rsid w:val="00E30186"/>
    <w:rsid w:val="00E37C3A"/>
    <w:rsid w:val="00E50E46"/>
    <w:rsid w:val="00E56B0F"/>
    <w:rsid w:val="00E626C1"/>
    <w:rsid w:val="00E63220"/>
    <w:rsid w:val="00E754C9"/>
    <w:rsid w:val="00E90119"/>
    <w:rsid w:val="00EA0F21"/>
    <w:rsid w:val="00EA467C"/>
    <w:rsid w:val="00EA5C73"/>
    <w:rsid w:val="00EB38CE"/>
    <w:rsid w:val="00ED35D0"/>
    <w:rsid w:val="00ED67A5"/>
    <w:rsid w:val="00ED6E31"/>
    <w:rsid w:val="00EE108E"/>
    <w:rsid w:val="00EE4702"/>
    <w:rsid w:val="00EF1416"/>
    <w:rsid w:val="00EF4B84"/>
    <w:rsid w:val="00F22992"/>
    <w:rsid w:val="00F25CFF"/>
    <w:rsid w:val="00F368DA"/>
    <w:rsid w:val="00F435D3"/>
    <w:rsid w:val="00F45CB0"/>
    <w:rsid w:val="00F52C9F"/>
    <w:rsid w:val="00F60316"/>
    <w:rsid w:val="00F638F2"/>
    <w:rsid w:val="00F7126E"/>
    <w:rsid w:val="00F77A84"/>
    <w:rsid w:val="00F90073"/>
    <w:rsid w:val="00F9385E"/>
    <w:rsid w:val="00F94BDD"/>
    <w:rsid w:val="00FA1645"/>
    <w:rsid w:val="00FA1E25"/>
    <w:rsid w:val="00FA5AEB"/>
    <w:rsid w:val="00FA7F92"/>
    <w:rsid w:val="00FB30C5"/>
    <w:rsid w:val="00FD1BA9"/>
    <w:rsid w:val="00FD4D5E"/>
    <w:rsid w:val="00FD61B8"/>
    <w:rsid w:val="00FD649D"/>
    <w:rsid w:val="00FE1DA0"/>
    <w:rsid w:val="00FE48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421BF"/>
  <w15:chartTrackingRefBased/>
  <w15:docId w15:val="{12077A1F-10AA-428B-B20F-4A709FE5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D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autoRedefine/>
    <w:uiPriority w:val="9"/>
    <w:qFormat/>
    <w:rsid w:val="00C54F9C"/>
    <w:pPr>
      <w:keepNext/>
      <w:keepLines/>
      <w:numPr>
        <w:numId w:val="12"/>
      </w:numPr>
      <w:spacing w:before="120" w:after="120"/>
      <w:jc w:val="center"/>
      <w:outlineLvl w:val="0"/>
    </w:pPr>
    <w:rPr>
      <w:rFonts w:eastAsiaTheme="majorEastAsia" w:cstheme="majorBidi"/>
      <w:caps/>
      <w:szCs w:val="32"/>
      <w:lang w:eastAsia="en-US"/>
    </w:rPr>
  </w:style>
  <w:style w:type="paragraph" w:styleId="Heading2">
    <w:name w:val="heading 2"/>
    <w:basedOn w:val="Normal"/>
    <w:next w:val="Normal"/>
    <w:link w:val="Heading2Char"/>
    <w:autoRedefine/>
    <w:uiPriority w:val="9"/>
    <w:unhideWhenUsed/>
    <w:qFormat/>
    <w:rsid w:val="004B722B"/>
    <w:pPr>
      <w:keepNext/>
      <w:keepLines/>
      <w:spacing w:before="240" w:after="240" w:line="259" w:lineRule="auto"/>
      <w:jc w:val="center"/>
      <w:outlineLvl w:val="1"/>
    </w:pPr>
    <w:rPr>
      <w:rFonts w:eastAsiaTheme="majorEastAsia" w:cstheme="majorBidi"/>
      <w:szCs w:val="26"/>
      <w:lang w:eastAsia="en-US"/>
    </w:rPr>
  </w:style>
  <w:style w:type="paragraph" w:styleId="Heading3">
    <w:name w:val="heading 3"/>
    <w:basedOn w:val="Normal"/>
    <w:next w:val="Normal"/>
    <w:link w:val="Heading3Char"/>
    <w:autoRedefine/>
    <w:uiPriority w:val="9"/>
    <w:unhideWhenUsed/>
    <w:qFormat/>
    <w:rsid w:val="00C54F9C"/>
    <w:pPr>
      <w:numPr>
        <w:numId w:val="40"/>
      </w:numPr>
      <w:spacing w:before="120" w:after="120"/>
      <w:jc w:val="center"/>
      <w:outlineLvl w:val="2"/>
    </w:pPr>
    <w:rPr>
      <w:rFonts w:eastAsiaTheme="majorEastAsia"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AF"/>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1AF"/>
    <w:pPr>
      <w:spacing w:after="0" w:line="240" w:lineRule="auto"/>
    </w:pPr>
  </w:style>
  <w:style w:type="paragraph" w:styleId="Header">
    <w:name w:val="header"/>
    <w:basedOn w:val="Normal"/>
    <w:link w:val="HeaderChar"/>
    <w:uiPriority w:val="99"/>
    <w:unhideWhenUsed/>
    <w:rsid w:val="00C061AF"/>
    <w:pPr>
      <w:tabs>
        <w:tab w:val="center" w:pos="4536"/>
        <w:tab w:val="right" w:pos="9072"/>
      </w:tabs>
    </w:pPr>
  </w:style>
  <w:style w:type="character" w:customStyle="1" w:styleId="HeaderChar">
    <w:name w:val="Header Char"/>
    <w:basedOn w:val="DefaultParagraphFont"/>
    <w:link w:val="Header"/>
    <w:uiPriority w:val="99"/>
    <w:rsid w:val="00C061A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061AF"/>
    <w:pPr>
      <w:tabs>
        <w:tab w:val="center" w:pos="4536"/>
        <w:tab w:val="right" w:pos="9072"/>
      </w:tabs>
    </w:pPr>
  </w:style>
  <w:style w:type="character" w:customStyle="1" w:styleId="FooterChar">
    <w:name w:val="Footer Char"/>
    <w:basedOn w:val="DefaultParagraphFont"/>
    <w:link w:val="Footer"/>
    <w:uiPriority w:val="99"/>
    <w:rsid w:val="00C061AF"/>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C54F9C"/>
    <w:rPr>
      <w:rFonts w:ascii="Times New Roman" w:eastAsiaTheme="majorEastAsia" w:hAnsi="Times New Roman" w:cstheme="majorBidi"/>
      <w:caps/>
      <w:sz w:val="24"/>
      <w:szCs w:val="32"/>
    </w:rPr>
  </w:style>
  <w:style w:type="character" w:customStyle="1" w:styleId="Heading2Char">
    <w:name w:val="Heading 2 Char"/>
    <w:basedOn w:val="DefaultParagraphFont"/>
    <w:link w:val="Heading2"/>
    <w:uiPriority w:val="9"/>
    <w:rsid w:val="004B722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C54F9C"/>
    <w:rPr>
      <w:rFonts w:ascii="Times New Roman" w:eastAsiaTheme="majorEastAsia" w:hAnsi="Times New Roman" w:cstheme="majorBidi"/>
      <w:sz w:val="24"/>
      <w:szCs w:val="24"/>
    </w:rPr>
  </w:style>
  <w:style w:type="numbering" w:customStyle="1" w:styleId="NoList1">
    <w:name w:val="No List1"/>
    <w:next w:val="NoList"/>
    <w:uiPriority w:val="99"/>
    <w:semiHidden/>
    <w:unhideWhenUsed/>
    <w:rsid w:val="00FA5AEB"/>
  </w:style>
  <w:style w:type="paragraph" w:styleId="ListParagraph">
    <w:name w:val="List Paragraph"/>
    <w:basedOn w:val="Normal"/>
    <w:uiPriority w:val="34"/>
    <w:qFormat/>
    <w:rsid w:val="00FA5AEB"/>
    <w:pPr>
      <w:spacing w:after="160" w:line="259" w:lineRule="auto"/>
      <w:ind w:left="720"/>
      <w:contextualSpacing/>
    </w:pPr>
    <w:rPr>
      <w:rFonts w:eastAsiaTheme="minorHAnsi" w:cstheme="minorBidi"/>
      <w:szCs w:val="22"/>
      <w:lang w:eastAsia="en-US"/>
    </w:rPr>
  </w:style>
  <w:style w:type="table" w:customStyle="1" w:styleId="TableGrid1">
    <w:name w:val="Table Grid1"/>
    <w:basedOn w:val="TableNormal"/>
    <w:next w:val="TableGrid"/>
    <w:uiPriority w:val="39"/>
    <w:rsid w:val="00FA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A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A5AEB"/>
    <w:rPr>
      <w:rFonts w:ascii="Segoe UI" w:hAnsi="Segoe UI" w:cs="Segoe UI"/>
      <w:sz w:val="18"/>
      <w:szCs w:val="18"/>
    </w:rPr>
  </w:style>
  <w:style w:type="character" w:styleId="CommentReference">
    <w:name w:val="annotation reference"/>
    <w:basedOn w:val="DefaultParagraphFont"/>
    <w:uiPriority w:val="99"/>
    <w:semiHidden/>
    <w:unhideWhenUsed/>
    <w:rsid w:val="00FA5AEB"/>
    <w:rPr>
      <w:sz w:val="16"/>
      <w:szCs w:val="16"/>
    </w:rPr>
  </w:style>
  <w:style w:type="paragraph" w:styleId="CommentText">
    <w:name w:val="annotation text"/>
    <w:basedOn w:val="Normal"/>
    <w:link w:val="CommentTextChar"/>
    <w:uiPriority w:val="99"/>
    <w:semiHidden/>
    <w:unhideWhenUsed/>
    <w:rsid w:val="00FA5AEB"/>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FA5A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5AEB"/>
    <w:rPr>
      <w:b/>
      <w:bCs/>
    </w:rPr>
  </w:style>
  <w:style w:type="character" w:customStyle="1" w:styleId="CommentSubjectChar">
    <w:name w:val="Comment Subject Char"/>
    <w:basedOn w:val="CommentTextChar"/>
    <w:link w:val="CommentSubject"/>
    <w:uiPriority w:val="99"/>
    <w:semiHidden/>
    <w:rsid w:val="00FA5AEB"/>
    <w:rPr>
      <w:rFonts w:ascii="Times New Roman" w:hAnsi="Times New Roman"/>
      <w:b/>
      <w:bCs/>
      <w:sz w:val="20"/>
      <w:szCs w:val="20"/>
    </w:rPr>
  </w:style>
  <w:style w:type="paragraph" w:styleId="Title">
    <w:name w:val="Title"/>
    <w:basedOn w:val="Normal"/>
    <w:next w:val="Normal"/>
    <w:link w:val="TitleChar"/>
    <w:uiPriority w:val="10"/>
    <w:qFormat/>
    <w:rsid w:val="00FA5AEB"/>
    <w:pPr>
      <w:spacing w:before="360" w:after="360"/>
      <w:jc w:val="center"/>
    </w:pPr>
    <w:rPr>
      <w:rFonts w:eastAsiaTheme="majorEastAsia" w:cstheme="majorBidi"/>
      <w:b/>
      <w:spacing w:val="-10"/>
      <w:kern w:val="28"/>
      <w:szCs w:val="56"/>
      <w:lang w:eastAsia="en-US"/>
    </w:rPr>
  </w:style>
  <w:style w:type="character" w:customStyle="1" w:styleId="TitleChar">
    <w:name w:val="Title Char"/>
    <w:basedOn w:val="DefaultParagraphFont"/>
    <w:link w:val="Title"/>
    <w:uiPriority w:val="10"/>
    <w:rsid w:val="00FA5AEB"/>
    <w:rPr>
      <w:rFonts w:ascii="Times New Roman" w:eastAsiaTheme="majorEastAsia" w:hAnsi="Times New Roman" w:cstheme="majorBidi"/>
      <w:b/>
      <w:spacing w:val="-10"/>
      <w:kern w:val="28"/>
      <w:sz w:val="24"/>
      <w:szCs w:val="56"/>
    </w:rPr>
  </w:style>
  <w:style w:type="numbering" w:customStyle="1" w:styleId="Style1">
    <w:name w:val="Style1"/>
    <w:uiPriority w:val="99"/>
    <w:rsid w:val="00FA5AEB"/>
    <w:pPr>
      <w:numPr>
        <w:numId w:val="9"/>
      </w:numPr>
    </w:pPr>
  </w:style>
  <w:style w:type="numbering" w:customStyle="1" w:styleId="NoList2">
    <w:name w:val="No List2"/>
    <w:next w:val="NoList"/>
    <w:uiPriority w:val="99"/>
    <w:semiHidden/>
    <w:unhideWhenUsed/>
    <w:rsid w:val="00BA50EA"/>
  </w:style>
  <w:style w:type="paragraph" w:customStyle="1" w:styleId="tb-na16">
    <w:name w:val="tb-na16"/>
    <w:basedOn w:val="Normal"/>
    <w:rsid w:val="00BA50EA"/>
    <w:pPr>
      <w:spacing w:before="100" w:beforeAutospacing="1" w:after="100" w:afterAutospacing="1"/>
      <w:ind w:firstLine="425"/>
      <w:jc w:val="both"/>
    </w:pPr>
  </w:style>
  <w:style w:type="paragraph" w:customStyle="1" w:styleId="t-12-9-fett-s">
    <w:name w:val="t-12-9-fett-s"/>
    <w:basedOn w:val="Normal"/>
    <w:rsid w:val="00BA50EA"/>
    <w:pPr>
      <w:spacing w:before="100" w:beforeAutospacing="1" w:after="100" w:afterAutospacing="1"/>
      <w:ind w:firstLine="425"/>
      <w:jc w:val="both"/>
    </w:pPr>
  </w:style>
  <w:style w:type="table" w:customStyle="1" w:styleId="TableGrid2">
    <w:name w:val="Table Grid2"/>
    <w:basedOn w:val="TableNormal"/>
    <w:next w:val="TableGrid"/>
    <w:uiPriority w:val="39"/>
    <w:rsid w:val="00BA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4AE7"/>
    <w:rPr>
      <w:sz w:val="20"/>
      <w:szCs w:val="20"/>
    </w:rPr>
  </w:style>
  <w:style w:type="character" w:customStyle="1" w:styleId="FootnoteTextChar">
    <w:name w:val="Footnote Text Char"/>
    <w:basedOn w:val="DefaultParagraphFont"/>
    <w:link w:val="FootnoteText"/>
    <w:uiPriority w:val="99"/>
    <w:semiHidden/>
    <w:rsid w:val="00AD4AE7"/>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AD4AE7"/>
    <w:rPr>
      <w:vertAlign w:val="superscript"/>
    </w:rPr>
  </w:style>
  <w:style w:type="table" w:customStyle="1" w:styleId="Reetkatablice1">
    <w:name w:val="Rešetka tablice1"/>
    <w:basedOn w:val="TableNormal"/>
    <w:next w:val="TableGrid"/>
    <w:uiPriority w:val="59"/>
    <w:rsid w:val="00507845"/>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FA1645"/>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BE30-5EDA-497E-91EB-010CF208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4443</Words>
  <Characters>25326</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Ines Uglešić</cp:lastModifiedBy>
  <cp:revision>5</cp:revision>
  <cp:lastPrinted>2023-06-15T10:11:00Z</cp:lastPrinted>
  <dcterms:created xsi:type="dcterms:W3CDTF">2023-06-26T09:34:00Z</dcterms:created>
  <dcterms:modified xsi:type="dcterms:W3CDTF">2023-06-27T12:08:00Z</dcterms:modified>
</cp:coreProperties>
</file>