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F061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006E21" wp14:editId="5B8DE87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DF676FA" w14:textId="77777777" w:rsidR="0009048B" w:rsidRPr="00E97554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33F487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AAEA7" w14:textId="2FD3251D" w:rsidR="0009048B" w:rsidRPr="00E97554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52528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bookmarkStart w:id="0" w:name="_GoBack"/>
      <w:bookmarkEnd w:id="0"/>
      <w:r w:rsidR="000A12C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</w:t>
      </w:r>
    </w:p>
    <w:p w14:paraId="739B1ED2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20FA5C8C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9048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171"/>
      </w:tblGrid>
      <w:tr w:rsidR="0009048B" w:rsidRPr="008E2A59" w14:paraId="7743C8AD" w14:textId="77777777" w:rsidTr="008E2A59">
        <w:trPr>
          <w:trHeight w:val="395"/>
          <w:jc w:val="center"/>
        </w:trPr>
        <w:tc>
          <w:tcPr>
            <w:tcW w:w="1962" w:type="dxa"/>
          </w:tcPr>
          <w:p w14:paraId="3FBD1CE2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Predlagatelj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</w:tcPr>
          <w:p w14:paraId="5509E284" w14:textId="77777777" w:rsidR="0009048B" w:rsidRPr="008E2A59" w:rsidRDefault="00F923A8" w:rsidP="0009048B">
            <w:pPr>
              <w:spacing w:line="360" w:lineRule="auto"/>
              <w:rPr>
                <w:sz w:val="24"/>
                <w:szCs w:val="24"/>
              </w:rPr>
            </w:pPr>
            <w:r w:rsidRPr="008E2A59">
              <w:rPr>
                <w:sz w:val="24"/>
                <w:szCs w:val="24"/>
              </w:rPr>
              <w:t>Ministarstvo financija</w:t>
            </w:r>
          </w:p>
        </w:tc>
      </w:tr>
    </w:tbl>
    <w:p w14:paraId="7E76962C" w14:textId="77777777" w:rsidR="0009048B" w:rsidRPr="008E2A59" w:rsidRDefault="008E2A59" w:rsidP="008E2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9048B" w:rsidRPr="008E2A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09048B"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048B" w:rsidRPr="008E2A59" w14:paraId="76AFB38B" w14:textId="77777777" w:rsidTr="006C5211">
        <w:tc>
          <w:tcPr>
            <w:tcW w:w="1951" w:type="dxa"/>
          </w:tcPr>
          <w:p w14:paraId="266C039B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Predmet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D32143" w14:textId="6739BE1D" w:rsidR="0009048B" w:rsidRPr="008E2A59" w:rsidRDefault="000A12C6" w:rsidP="000A12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</w:t>
            </w:r>
            <w:r w:rsidR="00271DC7">
              <w:rPr>
                <w:sz w:val="24"/>
                <w:szCs w:val="24"/>
              </w:rPr>
              <w:t xml:space="preserve"> o provedbi </w:t>
            </w:r>
            <w:r w:rsidR="00F923A8" w:rsidRPr="008E2A59">
              <w:rPr>
                <w:sz w:val="24"/>
                <w:szCs w:val="24"/>
              </w:rPr>
              <w:t>Akcijskog plana za unaprjeđenje financijske pismenosti potrošača za 20</w:t>
            </w:r>
            <w:r w:rsidR="000D17F4" w:rsidRPr="008E2A59">
              <w:rPr>
                <w:sz w:val="24"/>
                <w:szCs w:val="24"/>
              </w:rPr>
              <w:t>2</w:t>
            </w:r>
            <w:r w:rsidR="00271DC7">
              <w:rPr>
                <w:sz w:val="24"/>
                <w:szCs w:val="24"/>
              </w:rPr>
              <w:t>1</w:t>
            </w:r>
            <w:r w:rsidR="00F923A8" w:rsidRPr="008E2A59">
              <w:rPr>
                <w:sz w:val="24"/>
                <w:szCs w:val="24"/>
              </w:rPr>
              <w:t>.</w:t>
            </w:r>
            <w:r w:rsidR="00892985">
              <w:rPr>
                <w:sz w:val="24"/>
                <w:szCs w:val="24"/>
              </w:rPr>
              <w:t xml:space="preserve"> </w:t>
            </w:r>
            <w:r w:rsidR="00B845E1" w:rsidRPr="008E2A59">
              <w:rPr>
                <w:sz w:val="24"/>
                <w:szCs w:val="24"/>
              </w:rPr>
              <w:t>i 202</w:t>
            </w:r>
            <w:r w:rsidR="00271DC7">
              <w:rPr>
                <w:sz w:val="24"/>
                <w:szCs w:val="24"/>
              </w:rPr>
              <w:t>2</w:t>
            </w:r>
            <w:r w:rsidR="00B845E1" w:rsidRPr="008E2A59">
              <w:rPr>
                <w:sz w:val="24"/>
                <w:szCs w:val="24"/>
              </w:rPr>
              <w:t>.</w:t>
            </w:r>
            <w:r w:rsidR="00F923A8" w:rsidRPr="008E2A59">
              <w:rPr>
                <w:sz w:val="24"/>
                <w:szCs w:val="24"/>
              </w:rPr>
              <w:t xml:space="preserve"> godinu </w:t>
            </w:r>
          </w:p>
        </w:tc>
      </w:tr>
    </w:tbl>
    <w:p w14:paraId="4D87E224" w14:textId="77777777" w:rsidR="0009048B" w:rsidRPr="00E97554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14:paraId="70FB68A6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AA5E2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AB96C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85AD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1FEF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006C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FE19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E6925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4A3F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3B17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C27E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3A48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CBB0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07E91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47E54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F4DCF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8CA41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3E11A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F72D8" w14:textId="77777777" w:rsidR="008E2A59" w:rsidRPr="00E97554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DFB79" w14:textId="77777777" w:rsidR="000A12C6" w:rsidRDefault="000A12C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2F59E7C" w14:textId="2D3F4244" w:rsidR="001770D1" w:rsidRPr="00E97554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53CDE8F7" w14:textId="77777777" w:rsidR="001770D1" w:rsidRPr="00E97554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304AC" w14:textId="55D6078F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</w:t>
      </w:r>
      <w:r w:rsidR="00157F4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157F4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119/14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F0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 točkom </w:t>
      </w:r>
      <w:r w:rsidR="0020210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Zaključka Vlade Republike Hrvatske o prihvaćanju Akcijskog</w:t>
      </w:r>
      <w:r w:rsidR="00FB2409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B2409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unaprjeđenje financijske pismenosti potrošača za 202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2409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2022. </w:t>
      </w:r>
      <w:r w:rsidR="00FB2409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5F28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68/21.)</w:t>
      </w:r>
      <w:r w:rsidR="00FB24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2409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____________________ 20</w:t>
      </w:r>
      <w:r w:rsidR="006D391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F0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44C71C44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4381E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A174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3AEB7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1A827893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86DEE" w14:textId="77777777" w:rsidR="001770D1" w:rsidRPr="00FF0BA6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522E984" w14:textId="77777777" w:rsidR="002740F8" w:rsidRDefault="00FB2409" w:rsidP="00061050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770D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Prihvaća se</w:t>
      </w:r>
      <w:r w:rsidR="00B845E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C5303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Izvješće o provedbi </w:t>
      </w:r>
      <w:r w:rsidR="001770D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Akcijsk</w:t>
      </w:r>
      <w:r w:rsidR="00DC5303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og</w:t>
      </w:r>
      <w:r w:rsidR="001770D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plan</w:t>
      </w:r>
      <w:r w:rsidR="00DC5303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1770D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unaprjeđenje financijske pismenosti potrošača za 20</w:t>
      </w:r>
      <w:r w:rsidR="006D3915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DC5303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1770D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B845E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202</w:t>
      </w:r>
      <w:r w:rsidR="00DC5303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B845E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F50E2B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770D1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godinu</w:t>
      </w:r>
      <w:r w:rsidR="00FF0BA6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157F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</w:t>
      </w:r>
      <w:r w:rsidR="00533DA0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157F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Vladi Republike Hrvatske d</w:t>
      </w:r>
      <w:r w:rsidR="00533DA0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ostavilo Ministarstvo financija</w:t>
      </w:r>
      <w:r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aktom KLASA: 011-01/23-01/1, URBROJ: 513-06-04-23-76 od 31. svibnja 2023. </w:t>
      </w:r>
    </w:p>
    <w:p w14:paraId="237F09BD" w14:textId="77777777" w:rsidR="002740F8" w:rsidRDefault="002740F8" w:rsidP="00061050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1F5AF2" w14:textId="176547C5" w:rsidR="00533DA0" w:rsidRDefault="00FB2409" w:rsidP="00061050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</w:t>
      </w:r>
      <w:r w:rsidR="00533DA0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Ministarstvo financija će o ovome Zaključku izvijestiti sve nositelje </w:t>
      </w:r>
      <w:r w:rsidR="0094568F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provedbe mjera i aktivnosti iz Akcijskog plana za unaprjeđenje financijske pismenosti potrošača za 2021. i 2022. godinu.</w:t>
      </w:r>
    </w:p>
    <w:p w14:paraId="6B057432" w14:textId="77777777" w:rsidR="00061050" w:rsidRDefault="00061050" w:rsidP="00061050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DC8D4" w14:textId="5B3C92B5" w:rsidR="00277C31" w:rsidRPr="00FB2409" w:rsidRDefault="00277C31" w:rsidP="00061050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 </w:t>
      </w:r>
      <w:r w:rsidR="008C0C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financija 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Izvješće iz točke 1. ovoga </w:t>
      </w:r>
      <w:r w:rsidR="00B06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Zaključka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objavi na </w:t>
      </w:r>
      <w:r w:rsidR="008C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svojim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mrežnim stranicama</w:t>
      </w:r>
      <w:r w:rsidR="008C0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EC06F6D" w14:textId="77777777" w:rsidR="0094568F" w:rsidRPr="0094568F" w:rsidRDefault="0094568F" w:rsidP="00061050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DC014D" w14:textId="1D2AA7CA" w:rsidR="00533DA0" w:rsidRDefault="00533DA0" w:rsidP="008E2A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73A86F" w14:textId="77777777" w:rsidR="00533DA0" w:rsidRPr="00FF0BA6" w:rsidRDefault="00533DA0" w:rsidP="008E2A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CB6BB31" w14:textId="77777777" w:rsidR="001770D1" w:rsidRPr="00FF0BA6" w:rsidRDefault="001770D1" w:rsidP="008E2A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C088582" w14:textId="77777777" w:rsidR="001770D1" w:rsidRPr="00157F4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DF6A9A9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7A5A5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DFA57FA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80DCBAA" w14:textId="77777777" w:rsidR="001770D1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44B1B4A" w14:textId="77777777" w:rsidR="008111EC" w:rsidRPr="00E97554" w:rsidRDefault="008111EC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111EC" w14:paraId="081DF8E4" w14:textId="77777777" w:rsidTr="008111EC">
        <w:tc>
          <w:tcPr>
            <w:tcW w:w="5244" w:type="dxa"/>
          </w:tcPr>
          <w:p w14:paraId="7062BA40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PREDSJEDNIK</w:t>
            </w:r>
          </w:p>
          <w:p w14:paraId="16901753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30DB782F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6E9E8348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521F43B0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mr.sc. Andrej Plenković</w:t>
            </w:r>
          </w:p>
          <w:p w14:paraId="14748B62" w14:textId="77777777" w:rsidR="008111EC" w:rsidRDefault="008111EC" w:rsidP="008111EC">
            <w:pPr>
              <w:jc w:val="center"/>
              <w:rPr>
                <w:sz w:val="24"/>
                <w:szCs w:val="24"/>
              </w:rPr>
            </w:pPr>
          </w:p>
          <w:p w14:paraId="5613FD46" w14:textId="77777777" w:rsidR="008111EC" w:rsidRDefault="008111EC" w:rsidP="001770D1">
            <w:pPr>
              <w:rPr>
                <w:sz w:val="24"/>
                <w:szCs w:val="24"/>
              </w:rPr>
            </w:pPr>
          </w:p>
          <w:p w14:paraId="57E85BFE" w14:textId="77777777" w:rsidR="008111EC" w:rsidRDefault="008111EC" w:rsidP="001770D1">
            <w:pPr>
              <w:rPr>
                <w:sz w:val="24"/>
                <w:szCs w:val="24"/>
              </w:rPr>
            </w:pPr>
          </w:p>
        </w:tc>
      </w:tr>
    </w:tbl>
    <w:p w14:paraId="6E2DAFBC" w14:textId="77777777" w:rsidR="00DC5303" w:rsidRDefault="00DC5303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898775" w14:textId="77777777" w:rsidR="00DC5303" w:rsidRDefault="00DC5303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C2AA37" w14:textId="7008E714" w:rsidR="00DC5303" w:rsidRDefault="00DC530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2644DFE2" w14:textId="3A1E76DC" w:rsidR="001770D1" w:rsidRPr="00985710" w:rsidRDefault="001770D1" w:rsidP="0092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B4DA417" w14:textId="77777777" w:rsidR="008111EC" w:rsidRDefault="008111EC" w:rsidP="00921FF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401FA" w14:textId="5A77ED74" w:rsidR="00DC5303" w:rsidRDefault="00DC5303" w:rsidP="002740F8">
      <w:pPr>
        <w:spacing w:before="12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A3E">
        <w:rPr>
          <w:rFonts w:ascii="Times New Roman" w:eastAsia="Calibri" w:hAnsi="Times New Roman" w:cs="Times New Roman"/>
          <w:sz w:val="24"/>
          <w:szCs w:val="24"/>
        </w:rPr>
        <w:t xml:space="preserve">Temeljem Nacionalnog strateškog okvira financijske pismenosti potrošača za razdoblje od 2021. do 2026. godine („Narodne novine“, broj 68/21.) izrađuju se akcijski planovi za unaprjeđenje financijske pismenosti potrošača </w:t>
      </w:r>
      <w:r w:rsidR="004A5AA9" w:rsidRPr="004A5AA9">
        <w:rPr>
          <w:rFonts w:ascii="Times New Roman" w:eastAsia="Calibri" w:hAnsi="Times New Roman" w:cs="Times New Roman"/>
          <w:sz w:val="24"/>
          <w:szCs w:val="24"/>
        </w:rPr>
        <w:t xml:space="preserve">građana Republike Hrvatske </w:t>
      </w:r>
      <w:r w:rsidRPr="00206A3E">
        <w:rPr>
          <w:rFonts w:ascii="Times New Roman" w:eastAsia="Calibri" w:hAnsi="Times New Roman" w:cs="Times New Roman"/>
          <w:sz w:val="24"/>
          <w:szCs w:val="24"/>
        </w:rPr>
        <w:t xml:space="preserve">kojima se definiraju mjere i aktivnosti, </w:t>
      </w:r>
      <w:r>
        <w:rPr>
          <w:rFonts w:ascii="Times New Roman" w:eastAsia="Calibri" w:hAnsi="Times New Roman" w:cs="Times New Roman"/>
          <w:sz w:val="24"/>
          <w:szCs w:val="24"/>
        </w:rPr>
        <w:t>su/</w:t>
      </w:r>
      <w:r w:rsidRPr="00206A3E">
        <w:rPr>
          <w:rFonts w:ascii="Times New Roman" w:eastAsia="Calibri" w:hAnsi="Times New Roman" w:cs="Times New Roman"/>
          <w:sz w:val="24"/>
          <w:szCs w:val="24"/>
        </w:rPr>
        <w:t xml:space="preserve">nositelji aktivnosti,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korisnici, </w:t>
      </w:r>
      <w:r w:rsidRPr="00206A3E">
        <w:rPr>
          <w:rFonts w:ascii="Times New Roman" w:eastAsia="Calibri" w:hAnsi="Times New Roman" w:cs="Times New Roman"/>
          <w:sz w:val="24"/>
          <w:szCs w:val="24"/>
        </w:rPr>
        <w:t>rokovi za njihovu provedbu, izvori financiranja i pokazatelji uspješnosti.</w:t>
      </w:r>
    </w:p>
    <w:p w14:paraId="730E63DB" w14:textId="6460F729" w:rsidR="00DC5303" w:rsidRDefault="004A5AA9" w:rsidP="002740F8">
      <w:pPr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Planiranje, ostvarivanje i praćenje mjera i a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ktivnosti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>financijsk</w:t>
      </w:r>
      <w:r>
        <w:rPr>
          <w:rFonts w:ascii="Times New Roman" w:eastAsia="Calibri" w:hAnsi="Times New Roman" w:cs="Times New Roman"/>
          <w:sz w:val="24"/>
          <w:szCs w:val="24"/>
        </w:rPr>
        <w:t>og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opismenjavanja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provode članovi </w:t>
      </w:r>
      <w:r w:rsidR="00DC5303" w:rsidRPr="004A5AA9">
        <w:rPr>
          <w:rFonts w:ascii="Times New Roman" w:eastAsia="Calibri" w:hAnsi="Times New Roman" w:cs="Times New Roman"/>
          <w:i/>
          <w:sz w:val="24"/>
          <w:szCs w:val="24"/>
        </w:rPr>
        <w:t>Operativne radne grupe za koordinaciju zajedničkih aktivnosti za provedbu Nacionalnog strateškog okvira financijske pismenosti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 koju imenuje ministar financija, koji</w:t>
      </w:r>
      <w:r w:rsidR="00EF4E97">
        <w:rPr>
          <w:rFonts w:ascii="Times New Roman" w:eastAsia="Calibri" w:hAnsi="Times New Roman" w:cs="Times New Roman"/>
          <w:sz w:val="24"/>
          <w:szCs w:val="24"/>
        </w:rPr>
        <w:t xml:space="preserve"> o tome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 izvještavaju Ministarstvo financija te raspravljaju </w:t>
      </w:r>
      <w:r w:rsidR="00B61F5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EF4E97">
        <w:rPr>
          <w:rFonts w:ascii="Times New Roman" w:eastAsia="Calibri" w:hAnsi="Times New Roman" w:cs="Times New Roman"/>
          <w:sz w:val="24"/>
          <w:szCs w:val="24"/>
        </w:rPr>
        <w:t xml:space="preserve">predlažu </w:t>
      </w:r>
      <w:r w:rsidR="00B61F53">
        <w:rPr>
          <w:rFonts w:ascii="Times New Roman" w:eastAsia="Calibri" w:hAnsi="Times New Roman" w:cs="Times New Roman"/>
          <w:sz w:val="24"/>
          <w:szCs w:val="24"/>
        </w:rPr>
        <w:t>unaprjeđ</w:t>
      </w:r>
      <w:r w:rsidR="00EF4E97">
        <w:rPr>
          <w:rFonts w:ascii="Times New Roman" w:eastAsia="Calibri" w:hAnsi="Times New Roman" w:cs="Times New Roman"/>
          <w:sz w:val="24"/>
          <w:szCs w:val="24"/>
        </w:rPr>
        <w:t>ivanje</w:t>
      </w:r>
      <w:r w:rsidR="00B61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E97">
        <w:rPr>
          <w:rFonts w:ascii="Times New Roman" w:eastAsia="Calibri" w:hAnsi="Times New Roman" w:cs="Times New Roman"/>
          <w:sz w:val="24"/>
          <w:szCs w:val="24"/>
        </w:rPr>
        <w:t>stanja u području financijskog opismenjavanja.</w:t>
      </w:r>
    </w:p>
    <w:p w14:paraId="30291C0B" w14:textId="1E4B8D39" w:rsidR="00FF0BA6" w:rsidRPr="00FF0BA6" w:rsidRDefault="00FF0BA6" w:rsidP="002740F8">
      <w:pPr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BA6">
        <w:rPr>
          <w:rFonts w:ascii="Times New Roman" w:eastAsia="Calibri" w:hAnsi="Times New Roman" w:cs="Times New Roman"/>
          <w:sz w:val="24"/>
          <w:szCs w:val="24"/>
        </w:rPr>
        <w:t>Ministarstvo financija, kao nosi</w:t>
      </w:r>
      <w:r w:rsidR="004F0F6E">
        <w:rPr>
          <w:rFonts w:ascii="Times New Roman" w:eastAsia="Calibri" w:hAnsi="Times New Roman" w:cs="Times New Roman"/>
          <w:sz w:val="24"/>
          <w:szCs w:val="24"/>
        </w:rPr>
        <w:t xml:space="preserve">telj i koordinator aktivnosti u </w:t>
      </w:r>
      <w:r w:rsidRPr="00FF0BA6">
        <w:rPr>
          <w:rFonts w:ascii="Times New Roman" w:eastAsia="Calibri" w:hAnsi="Times New Roman" w:cs="Times New Roman"/>
          <w:sz w:val="24"/>
          <w:szCs w:val="24"/>
        </w:rPr>
        <w:t xml:space="preserve">vezi </w:t>
      </w:r>
      <w:r w:rsidR="00EF4E9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FF0BA6">
        <w:rPr>
          <w:rFonts w:ascii="Times New Roman" w:eastAsia="Calibri" w:hAnsi="Times New Roman" w:cs="Times New Roman"/>
          <w:sz w:val="24"/>
          <w:szCs w:val="24"/>
        </w:rPr>
        <w:t>financijsk</w:t>
      </w:r>
      <w:r w:rsidR="00EF4E97">
        <w:rPr>
          <w:rFonts w:ascii="Times New Roman" w:eastAsia="Calibri" w:hAnsi="Times New Roman" w:cs="Times New Roman"/>
          <w:sz w:val="24"/>
          <w:szCs w:val="24"/>
        </w:rPr>
        <w:t>om</w:t>
      </w:r>
      <w:r w:rsidRPr="00FF0BA6">
        <w:rPr>
          <w:rFonts w:ascii="Times New Roman" w:eastAsia="Calibri" w:hAnsi="Times New Roman" w:cs="Times New Roman"/>
          <w:sz w:val="24"/>
          <w:szCs w:val="24"/>
        </w:rPr>
        <w:t xml:space="preserve"> pismeno</w:t>
      </w:r>
      <w:r w:rsidR="00EF4E97">
        <w:rPr>
          <w:rFonts w:ascii="Times New Roman" w:eastAsia="Calibri" w:hAnsi="Times New Roman" w:cs="Times New Roman"/>
          <w:sz w:val="24"/>
          <w:szCs w:val="24"/>
        </w:rPr>
        <w:t>šću</w:t>
      </w:r>
      <w:r w:rsidRPr="00FF0BA6">
        <w:rPr>
          <w:rFonts w:ascii="Times New Roman" w:eastAsia="Calibri" w:hAnsi="Times New Roman" w:cs="Times New Roman"/>
          <w:sz w:val="24"/>
          <w:szCs w:val="24"/>
        </w:rPr>
        <w:t>, izrađuje prijedloge akcijskih planova za unaprjeđenje financijske pismenosti potrošača</w:t>
      </w:r>
      <w:r w:rsidR="00EF4E9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FF0BA6">
        <w:rPr>
          <w:rFonts w:ascii="Times New Roman" w:eastAsia="Calibri" w:hAnsi="Times New Roman" w:cs="Times New Roman"/>
          <w:sz w:val="24"/>
          <w:szCs w:val="24"/>
        </w:rPr>
        <w:t>prijedloge izvješća o njihovoj provedbi, te iste podnosi Vladi Republike Hrvatske.</w:t>
      </w:r>
    </w:p>
    <w:p w14:paraId="59A0DA3D" w14:textId="38BACF49" w:rsidR="00921FFF" w:rsidRDefault="00DC5303" w:rsidP="002740F8">
      <w:pPr>
        <w:spacing w:before="12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A1">
        <w:rPr>
          <w:rFonts w:ascii="Times New Roman" w:eastAsia="Calibri" w:hAnsi="Times New Roman" w:cs="Times New Roman"/>
          <w:sz w:val="24"/>
          <w:szCs w:val="24"/>
        </w:rPr>
        <w:t>Istekom dvogodišnjeg razdoblja važenja Akcijskog plana za unaprjeđenje financijske pismenosti za 2021. i 2022. godinu („Narodne novine“, br</w:t>
      </w:r>
      <w:r w:rsidR="004F0F6E">
        <w:rPr>
          <w:rFonts w:ascii="Times New Roman" w:eastAsia="Calibri" w:hAnsi="Times New Roman" w:cs="Times New Roman"/>
          <w:sz w:val="24"/>
          <w:szCs w:val="24"/>
        </w:rPr>
        <w:t>oj</w:t>
      </w:r>
      <w:r w:rsidRPr="00F31DA1">
        <w:rPr>
          <w:rFonts w:ascii="Times New Roman" w:eastAsia="Calibri" w:hAnsi="Times New Roman" w:cs="Times New Roman"/>
          <w:sz w:val="24"/>
          <w:szCs w:val="24"/>
        </w:rPr>
        <w:t xml:space="preserve"> 68/21.),</w:t>
      </w:r>
      <w:r w:rsidR="00FF0BA6" w:rsidRPr="00F31DA1">
        <w:t xml:space="preserve"> </w:t>
      </w:r>
      <w:r w:rsidR="00FF0BA6" w:rsidRPr="00F31DA1">
        <w:rPr>
          <w:rFonts w:ascii="Times New Roman" w:eastAsia="Calibri" w:hAnsi="Times New Roman" w:cs="Times New Roman"/>
          <w:sz w:val="24"/>
          <w:szCs w:val="24"/>
        </w:rPr>
        <w:t>na temelju točke 3. Zaključka Vlade Republike Hrvatske o prihvaćanju Akcijsk</w:t>
      </w:r>
      <w:r w:rsidR="00EF4E97" w:rsidRPr="00F31DA1">
        <w:rPr>
          <w:rFonts w:ascii="Times New Roman" w:eastAsia="Calibri" w:hAnsi="Times New Roman" w:cs="Times New Roman"/>
          <w:sz w:val="24"/>
          <w:szCs w:val="24"/>
        </w:rPr>
        <w:t>og</w:t>
      </w:r>
      <w:r w:rsidR="00FF0BA6" w:rsidRPr="00F31DA1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 w:rsidR="00EF4E97" w:rsidRPr="00F31DA1">
        <w:rPr>
          <w:rFonts w:ascii="Times New Roman" w:eastAsia="Calibri" w:hAnsi="Times New Roman" w:cs="Times New Roman"/>
          <w:sz w:val="24"/>
          <w:szCs w:val="24"/>
        </w:rPr>
        <w:t>a</w:t>
      </w:r>
      <w:r w:rsidR="00FF0BA6" w:rsidRPr="00F31DA1">
        <w:rPr>
          <w:rFonts w:ascii="Times New Roman" w:eastAsia="Calibri" w:hAnsi="Times New Roman" w:cs="Times New Roman"/>
          <w:sz w:val="24"/>
          <w:szCs w:val="24"/>
        </w:rPr>
        <w:t xml:space="preserve"> za unaprjeđenje financijske pismenosti potrošača za 2021. i 2022. godinu</w:t>
      </w:r>
      <w:r w:rsidR="00EF4E97" w:rsidRPr="00F31DA1">
        <w:rPr>
          <w:rFonts w:ascii="Times New Roman" w:eastAsia="Calibri" w:hAnsi="Times New Roman" w:cs="Times New Roman"/>
          <w:sz w:val="24"/>
          <w:szCs w:val="24"/>
        </w:rPr>
        <w:t>,</w:t>
      </w:r>
      <w:r w:rsidR="00FF0BA6" w:rsidRPr="00F31DA1">
        <w:rPr>
          <w:rFonts w:ascii="Times New Roman" w:eastAsia="Calibri" w:hAnsi="Times New Roman" w:cs="Times New Roman"/>
          <w:sz w:val="24"/>
          <w:szCs w:val="24"/>
        </w:rPr>
        <w:t xml:space="preserve"> KLASA: 022-03/21-07/02, URBROJ: 50301-05/31-21-8 od 18. lipnja 2021. godine („Narodne novine“, br. 68/21.)</w:t>
      </w:r>
      <w:r w:rsidRPr="00F31DA1">
        <w:rPr>
          <w:rFonts w:ascii="Times New Roman" w:eastAsia="Calibri" w:hAnsi="Times New Roman" w:cs="Times New Roman"/>
          <w:sz w:val="24"/>
          <w:szCs w:val="24"/>
        </w:rPr>
        <w:t xml:space="preserve"> potrebno je donijeti Izvješće o provedbi Akcijskog plana za unaprjeđenje financijske pismenosti potrošača za 2021. i 2022. godinu (u daljnjem tekstu: Izvješće)</w:t>
      </w:r>
      <w:r w:rsidR="00EF4E97" w:rsidRPr="00F31D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344BC2" w14:textId="77777777" w:rsidR="00921FFF" w:rsidRPr="00921FFF" w:rsidRDefault="00921FFF" w:rsidP="00921FFF">
      <w:pPr>
        <w:spacing w:before="120" w:after="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FD995B6" w14:textId="697DADE1" w:rsidR="0041105B" w:rsidRDefault="00EF4E97" w:rsidP="002740F8">
      <w:pPr>
        <w:spacing w:before="120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Izvješće 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prikazuje </w:t>
      </w:r>
      <w:r w:rsidR="00151D56">
        <w:rPr>
          <w:rFonts w:ascii="Times New Roman" w:eastAsia="Calibri" w:hAnsi="Times New Roman" w:cs="Times New Roman"/>
          <w:sz w:val="24"/>
          <w:szCs w:val="24"/>
        </w:rPr>
        <w:t>djelovanje i postignuća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 članova Operativne r</w:t>
      </w:r>
      <w:r>
        <w:rPr>
          <w:rFonts w:ascii="Times New Roman" w:eastAsia="Calibri" w:hAnsi="Times New Roman" w:cs="Times New Roman"/>
          <w:sz w:val="24"/>
          <w:szCs w:val="24"/>
        </w:rPr>
        <w:t>adne grupe i njihovih suradnika</w:t>
      </w:r>
      <w:r w:rsidR="00DC5303" w:rsidRPr="00DC5303">
        <w:rPr>
          <w:rFonts w:ascii="Times New Roman" w:eastAsia="Calibri" w:hAnsi="Times New Roman" w:cs="Times New Roman"/>
          <w:sz w:val="24"/>
          <w:szCs w:val="24"/>
        </w:rPr>
        <w:t xml:space="preserve"> u provedbi mjera i</w:t>
      </w:r>
      <w:r w:rsidR="00DC5303" w:rsidRPr="00206A3E">
        <w:rPr>
          <w:rFonts w:ascii="Times New Roman" w:eastAsia="Calibri" w:hAnsi="Times New Roman" w:cs="Times New Roman"/>
          <w:sz w:val="24"/>
          <w:szCs w:val="24"/>
        </w:rPr>
        <w:t xml:space="preserve"> aktivnosti</w:t>
      </w:r>
      <w:r w:rsidR="00DC5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303" w:rsidRPr="00206A3E">
        <w:rPr>
          <w:rFonts w:ascii="Times New Roman" w:eastAsia="Calibri" w:hAnsi="Times New Roman" w:cs="Times New Roman"/>
          <w:sz w:val="24"/>
          <w:szCs w:val="24"/>
        </w:rPr>
        <w:t>financijskog opismenjavanja u 2021. i 2022. godini.</w:t>
      </w:r>
      <w:r w:rsidR="00DC5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 xml:space="preserve">Operativnu radnu grupu </w:t>
      </w:r>
      <w:r w:rsidR="0041105B">
        <w:rPr>
          <w:rFonts w:ascii="Times New Roman" w:eastAsia="Calibri" w:hAnsi="Times New Roman" w:cs="Times New Roman"/>
          <w:sz w:val="24"/>
          <w:szCs w:val="24"/>
        </w:rPr>
        <w:t>u odnosnom razdoblju čine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>: Ministarstvo financija (MFIN), Ministarstvo financija, Porezna uprava (PU), Ministarstvo znanosti i obrazovanja (MZO), Ministarstvo gospodarstva i održivog razvoja (MINGOR), Ministarstvo pravosuđa i uprave</w:t>
      </w:r>
      <w:r w:rsidR="0041105B">
        <w:rPr>
          <w:rFonts w:ascii="Times New Roman" w:eastAsia="Calibri" w:hAnsi="Times New Roman" w:cs="Times New Roman"/>
          <w:sz w:val="24"/>
          <w:szCs w:val="24"/>
        </w:rPr>
        <w:t xml:space="preserve"> (MPU)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105B">
        <w:rPr>
          <w:rFonts w:ascii="Times New Roman" w:eastAsia="Calibri" w:hAnsi="Times New Roman" w:cs="Times New Roman"/>
          <w:sz w:val="24"/>
          <w:szCs w:val="24"/>
        </w:rPr>
        <w:t xml:space="preserve">Ministarstvo rada, mirovinskog sustava, obitelji i socijalne politike (MROSP),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>Agencija za odgoj i obrazovanje (AZOO), Hrvatska agencija za nadzor financijskih usluga (HANFA), Financijska agencija (FINA),</w:t>
      </w:r>
      <w:r w:rsidR="00F81684">
        <w:rPr>
          <w:rFonts w:ascii="Times New Roman" w:eastAsia="Calibri" w:hAnsi="Times New Roman" w:cs="Times New Roman"/>
          <w:sz w:val="24"/>
          <w:szCs w:val="24"/>
        </w:rPr>
        <w:t xml:space="preserve"> Hrvatska narodna banka (HNB),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 xml:space="preserve">Hrvatski ured za osiguranje (HUO), </w:t>
      </w:r>
      <w:r w:rsidR="00B61F53">
        <w:rPr>
          <w:rFonts w:ascii="Times New Roman" w:eastAsia="Calibri" w:hAnsi="Times New Roman" w:cs="Times New Roman"/>
          <w:sz w:val="24"/>
          <w:szCs w:val="24"/>
        </w:rPr>
        <w:t xml:space="preserve">Hrvatska udruga banaka (HUB),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 xml:space="preserve">Štedopis, Institut za financijsko obrazovanje Zagreb (ŠTEDOPIS), Hrvatski institut za financijsku edukaciju (HIFE), Savez samostalnih sindikata Hrvatske (SSSH), Hrvatska udruga poslodavaca (HUP), Udruga društava za upravljanje mirovinskim fondovima i mirovinskih osiguravajućih društava (UMFO), Ekonomski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lastRenderedPageBreak/>
        <w:t>fakultet Zagreb (EFZG), Hrvatska gospodarska komora (HGK)</w:t>
      </w:r>
      <w:r w:rsidR="0041105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1105B" w:rsidRPr="0041105B">
        <w:rPr>
          <w:rFonts w:ascii="Times New Roman" w:eastAsia="Calibri" w:hAnsi="Times New Roman" w:cs="Times New Roman"/>
          <w:sz w:val="24"/>
          <w:szCs w:val="24"/>
        </w:rPr>
        <w:t>Zagrebačka burza d.d. (ZSE).</w:t>
      </w:r>
    </w:p>
    <w:p w14:paraId="7553498D" w14:textId="26356F63" w:rsidR="00157F44" w:rsidRPr="00921FFF" w:rsidRDefault="00DC5303" w:rsidP="002740F8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03">
        <w:rPr>
          <w:rFonts w:ascii="Times New Roman" w:eastAsia="Calibri" w:hAnsi="Times New Roman" w:cs="Times New Roman"/>
          <w:sz w:val="24"/>
          <w:szCs w:val="24"/>
        </w:rPr>
        <w:t xml:space="preserve">Izvješće se sastoji od tekstualnog dijela i detaljnijeg </w:t>
      </w:r>
      <w:r w:rsidR="00151D56" w:rsidRPr="00151D56">
        <w:rPr>
          <w:rFonts w:ascii="Times New Roman" w:eastAsia="Calibri" w:hAnsi="Times New Roman" w:cs="Times New Roman"/>
          <w:sz w:val="24"/>
          <w:szCs w:val="24"/>
        </w:rPr>
        <w:t xml:space="preserve">tabličnog </w:t>
      </w:r>
      <w:r w:rsidRPr="00DC5303">
        <w:rPr>
          <w:rFonts w:ascii="Times New Roman" w:eastAsia="Calibri" w:hAnsi="Times New Roman" w:cs="Times New Roman"/>
          <w:sz w:val="24"/>
          <w:szCs w:val="24"/>
        </w:rPr>
        <w:t>dijela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</w:t>
      </w:r>
      <w:r w:rsidRPr="00DC5303">
        <w:rPr>
          <w:rFonts w:ascii="Times New Roman" w:eastAsia="Calibri" w:hAnsi="Times New Roman" w:cs="Times New Roman"/>
          <w:sz w:val="24"/>
          <w:szCs w:val="24"/>
        </w:rPr>
        <w:t xml:space="preserve"> slijedi strukturu i sadržaj Akcijskog plana</w:t>
      </w:r>
      <w:r w:rsidR="00151D56" w:rsidRPr="00151D56">
        <w:t xml:space="preserve"> </w:t>
      </w:r>
      <w:r w:rsidR="00151D56" w:rsidRPr="00151D56">
        <w:rPr>
          <w:rFonts w:ascii="Times New Roman" w:eastAsia="Calibri" w:hAnsi="Times New Roman" w:cs="Times New Roman"/>
          <w:sz w:val="24"/>
          <w:szCs w:val="24"/>
        </w:rPr>
        <w:t>za unaprjeđenje financijske pismenosti potrošača za 2021. i 2022. godinu</w:t>
      </w:r>
      <w:r w:rsidR="00921FFF">
        <w:rPr>
          <w:rFonts w:ascii="Times New Roman" w:eastAsia="Calibri" w:hAnsi="Times New Roman" w:cs="Times New Roman"/>
          <w:sz w:val="24"/>
          <w:szCs w:val="24"/>
        </w:rPr>
        <w:t xml:space="preserve">. U tablicama je u zadnjem stupcu </w:t>
      </w:r>
      <w:r w:rsidRPr="00DC5303">
        <w:rPr>
          <w:rFonts w:ascii="Times New Roman" w:eastAsia="Calibri" w:hAnsi="Times New Roman" w:cs="Times New Roman"/>
          <w:sz w:val="24"/>
          <w:szCs w:val="24"/>
        </w:rPr>
        <w:t xml:space="preserve">za svaku od ciljnih skupina (za djecu i mlade, odrasle osobe mlađe dobi, odrasle osobe koje ostvaruju prihode i osobe starije dobi) naznačeno u kojoj je mjeri aktivnost provedena („Provedeno“, „Djelomično provedeno“ ili „Nije provedeno“), a u zagradama su sažeto </w:t>
      </w:r>
      <w:r w:rsidR="00151D56">
        <w:rPr>
          <w:rFonts w:ascii="Times New Roman" w:eastAsia="Calibri" w:hAnsi="Times New Roman" w:cs="Times New Roman"/>
          <w:sz w:val="24"/>
          <w:szCs w:val="24"/>
        </w:rPr>
        <w:t xml:space="preserve">navedeni </w:t>
      </w:r>
      <w:r w:rsidRPr="00DC5303">
        <w:rPr>
          <w:rFonts w:ascii="Times New Roman" w:eastAsia="Calibri" w:hAnsi="Times New Roman" w:cs="Times New Roman"/>
          <w:sz w:val="24"/>
          <w:szCs w:val="24"/>
        </w:rPr>
        <w:t>pokazatelji njihove realizacije brojem provedenih aktivnosti</w:t>
      </w:r>
      <w:r w:rsidR="00151D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5303">
        <w:rPr>
          <w:rFonts w:ascii="Times New Roman" w:eastAsia="Calibri" w:hAnsi="Times New Roman" w:cs="Times New Roman"/>
          <w:sz w:val="24"/>
          <w:szCs w:val="24"/>
        </w:rPr>
        <w:t>brojem sudionika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Pr="00DC5303">
        <w:rPr>
          <w:rFonts w:ascii="Times New Roman" w:eastAsia="Calibri" w:hAnsi="Times New Roman" w:cs="Times New Roman"/>
          <w:sz w:val="24"/>
          <w:szCs w:val="24"/>
        </w:rPr>
        <w:t xml:space="preserve"> drugim indikatorima </w:t>
      </w:r>
      <w:r w:rsidR="00921FFF">
        <w:rPr>
          <w:rFonts w:ascii="Times New Roman" w:eastAsia="Calibri" w:hAnsi="Times New Roman" w:cs="Times New Roman"/>
          <w:sz w:val="24"/>
          <w:szCs w:val="24"/>
        </w:rPr>
        <w:t>uspješnosti</w:t>
      </w:r>
      <w:r w:rsidRPr="00DC5303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157F44" w:rsidRPr="00921FFF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3986" w14:textId="77777777" w:rsidR="00AC5D3A" w:rsidRDefault="00AC5D3A">
      <w:pPr>
        <w:spacing w:after="0" w:line="240" w:lineRule="auto"/>
      </w:pPr>
      <w:r>
        <w:separator/>
      </w:r>
    </w:p>
  </w:endnote>
  <w:endnote w:type="continuationSeparator" w:id="0">
    <w:p w14:paraId="5BFE43C6" w14:textId="77777777" w:rsidR="00AC5D3A" w:rsidRDefault="00A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2410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F905" w14:textId="77777777" w:rsidR="00AC5D3A" w:rsidRDefault="00AC5D3A">
      <w:pPr>
        <w:spacing w:after="0" w:line="240" w:lineRule="auto"/>
      </w:pPr>
      <w:r>
        <w:separator/>
      </w:r>
    </w:p>
  </w:footnote>
  <w:footnote w:type="continuationSeparator" w:id="0">
    <w:p w14:paraId="089E1BF3" w14:textId="77777777" w:rsidR="00AC5D3A" w:rsidRDefault="00AC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D43"/>
    <w:multiLevelType w:val="hybridMultilevel"/>
    <w:tmpl w:val="84925D20"/>
    <w:lvl w:ilvl="0" w:tplc="F8EE4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302A"/>
    <w:multiLevelType w:val="hybridMultilevel"/>
    <w:tmpl w:val="F83A8B42"/>
    <w:lvl w:ilvl="0" w:tplc="3DC28FF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6AC3"/>
    <w:multiLevelType w:val="hybridMultilevel"/>
    <w:tmpl w:val="A2B46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B"/>
    <w:rsid w:val="00027E9D"/>
    <w:rsid w:val="000336AD"/>
    <w:rsid w:val="000412AE"/>
    <w:rsid w:val="00054829"/>
    <w:rsid w:val="00061050"/>
    <w:rsid w:val="0009048B"/>
    <w:rsid w:val="000A12C6"/>
    <w:rsid w:val="000D17F4"/>
    <w:rsid w:val="00151D56"/>
    <w:rsid w:val="00152528"/>
    <w:rsid w:val="001528BB"/>
    <w:rsid w:val="00157F44"/>
    <w:rsid w:val="001770D1"/>
    <w:rsid w:val="001B58A2"/>
    <w:rsid w:val="001B5F28"/>
    <w:rsid w:val="00202105"/>
    <w:rsid w:val="002706D7"/>
    <w:rsid w:val="00271DC7"/>
    <w:rsid w:val="002740F8"/>
    <w:rsid w:val="00277C31"/>
    <w:rsid w:val="0028150F"/>
    <w:rsid w:val="002E5DB3"/>
    <w:rsid w:val="00354E50"/>
    <w:rsid w:val="003651E0"/>
    <w:rsid w:val="003758FB"/>
    <w:rsid w:val="00383FC8"/>
    <w:rsid w:val="003A2F9F"/>
    <w:rsid w:val="003F4ED0"/>
    <w:rsid w:val="00407842"/>
    <w:rsid w:val="0041105B"/>
    <w:rsid w:val="004236EA"/>
    <w:rsid w:val="00491BB1"/>
    <w:rsid w:val="004A5AA9"/>
    <w:rsid w:val="004F0F6E"/>
    <w:rsid w:val="00515B59"/>
    <w:rsid w:val="005172C9"/>
    <w:rsid w:val="00531778"/>
    <w:rsid w:val="00533DA0"/>
    <w:rsid w:val="005501AB"/>
    <w:rsid w:val="005A07D6"/>
    <w:rsid w:val="00622F41"/>
    <w:rsid w:val="00640AD9"/>
    <w:rsid w:val="006C3E3C"/>
    <w:rsid w:val="006D3915"/>
    <w:rsid w:val="00717D2E"/>
    <w:rsid w:val="00724F9F"/>
    <w:rsid w:val="00755DD8"/>
    <w:rsid w:val="008111EC"/>
    <w:rsid w:val="0088371B"/>
    <w:rsid w:val="00892985"/>
    <w:rsid w:val="008964E9"/>
    <w:rsid w:val="008C0C01"/>
    <w:rsid w:val="008E2A59"/>
    <w:rsid w:val="00905D29"/>
    <w:rsid w:val="009161FF"/>
    <w:rsid w:val="00921FFF"/>
    <w:rsid w:val="0094568F"/>
    <w:rsid w:val="009666CB"/>
    <w:rsid w:val="00985710"/>
    <w:rsid w:val="009A2570"/>
    <w:rsid w:val="009A4FD5"/>
    <w:rsid w:val="009F6E65"/>
    <w:rsid w:val="00A659C9"/>
    <w:rsid w:val="00AC5D3A"/>
    <w:rsid w:val="00B06D03"/>
    <w:rsid w:val="00B25228"/>
    <w:rsid w:val="00B61F53"/>
    <w:rsid w:val="00B845E1"/>
    <w:rsid w:val="00B93E21"/>
    <w:rsid w:val="00BA24FF"/>
    <w:rsid w:val="00BE0D87"/>
    <w:rsid w:val="00C62827"/>
    <w:rsid w:val="00CA6CFD"/>
    <w:rsid w:val="00CB27EF"/>
    <w:rsid w:val="00D22F81"/>
    <w:rsid w:val="00D27765"/>
    <w:rsid w:val="00D53287"/>
    <w:rsid w:val="00D558EE"/>
    <w:rsid w:val="00D6259E"/>
    <w:rsid w:val="00DA121C"/>
    <w:rsid w:val="00DC5303"/>
    <w:rsid w:val="00DD2DEC"/>
    <w:rsid w:val="00E06475"/>
    <w:rsid w:val="00E073BD"/>
    <w:rsid w:val="00E12B12"/>
    <w:rsid w:val="00E703DD"/>
    <w:rsid w:val="00E9191E"/>
    <w:rsid w:val="00E97554"/>
    <w:rsid w:val="00ED5CF1"/>
    <w:rsid w:val="00EF4E97"/>
    <w:rsid w:val="00F31DA1"/>
    <w:rsid w:val="00F50E2B"/>
    <w:rsid w:val="00F76A68"/>
    <w:rsid w:val="00F81684"/>
    <w:rsid w:val="00F923A8"/>
    <w:rsid w:val="00F92733"/>
    <w:rsid w:val="00FB2409"/>
    <w:rsid w:val="00FD3E7E"/>
    <w:rsid w:val="00FE00CF"/>
    <w:rsid w:val="00FE1112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B3E"/>
  <w15:docId w15:val="{E79290E5-3363-4343-B963-F1674C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05D29"/>
  </w:style>
  <w:style w:type="character" w:styleId="CommentReference">
    <w:name w:val="annotation reference"/>
    <w:basedOn w:val="DefaultParagraphFont"/>
    <w:uiPriority w:val="99"/>
    <w:semiHidden/>
    <w:unhideWhenUsed/>
    <w:rsid w:val="00DA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AZJMDCZ6QSYZ-1849078857-29025</_dlc_DocId>
    <_dlc_DocIdUrl xmlns="a494813a-d0d8-4dad-94cb-0d196f36ba15">
      <Url>https://ekoordinacije.vlada.hr/koordinacija-gospodarstvo/_layouts/15/DocIdRedir.aspx?ID=AZJMDCZ6QSYZ-1849078857-29025</Url>
      <Description>AZJMDCZ6QSYZ-1849078857-29025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12A44-50B7-4461-A10C-663BF7320C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7BD623-149D-4DE8-B305-BCBBA2F9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A5142-C716-45D7-AD31-48A2932315F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6D84CD-5CCD-48C9-9C09-93EE26E3E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Ines Uglešić</cp:lastModifiedBy>
  <cp:revision>8</cp:revision>
  <cp:lastPrinted>2023-06-05T09:16:00Z</cp:lastPrinted>
  <dcterms:created xsi:type="dcterms:W3CDTF">2023-06-19T08:01:00Z</dcterms:created>
  <dcterms:modified xsi:type="dcterms:W3CDTF">2023-06-28T05:22:00Z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d0c159a2-3f54-4ca2-b95b-e70752310521</vt:lpwstr>
  </property>
</Properties>
</file>