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D446A" w14:textId="77777777" w:rsidR="00C33C72" w:rsidRPr="0017323B" w:rsidRDefault="00C33C72" w:rsidP="00C33C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68D57" w14:textId="77777777" w:rsidR="00C33C72" w:rsidRPr="0017323B" w:rsidRDefault="00C33C72" w:rsidP="00C33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23B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55C3231" wp14:editId="5CFE5605">
            <wp:extent cx="381000" cy="5429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23B">
        <w:rPr>
          <w:rFonts w:ascii="Times New Roman" w:hAnsi="Times New Roman" w:cs="Times New Roman"/>
          <w:sz w:val="24"/>
          <w:szCs w:val="24"/>
        </w:rPr>
        <w:fldChar w:fldCharType="begin"/>
      </w:r>
      <w:r w:rsidRPr="0017323B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17323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F09461A" w14:textId="77777777" w:rsidR="00C33C72" w:rsidRPr="0017323B" w:rsidRDefault="00C33C72" w:rsidP="00C33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23B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1D34B41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FAE78A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</w:t>
      </w:r>
    </w:p>
    <w:p w14:paraId="01915455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5CE106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317A18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25EAFF" w14:textId="77777777" w:rsidR="00C33C72" w:rsidRDefault="00C33C72" w:rsidP="00C33C72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12. listopada 2023.</w:t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BB51148" w14:textId="77777777" w:rsidR="00C33C72" w:rsidRPr="0017323B" w:rsidRDefault="00C33C72" w:rsidP="00C33C72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4A610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438269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EEE4BD" w14:textId="77777777" w:rsidR="00C33C72" w:rsidRPr="0017323B" w:rsidRDefault="00C33C72" w:rsidP="00C33C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CA0466" w14:textId="77777777" w:rsidR="00C33C72" w:rsidRPr="0017323B" w:rsidRDefault="00C33C72" w:rsidP="00C33C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77973" w14:textId="77777777" w:rsidR="00C33C72" w:rsidRPr="0017323B" w:rsidRDefault="00C33C72" w:rsidP="00C33C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9AF3B1" w14:textId="77777777" w:rsidR="00C33C72" w:rsidRPr="0017323B" w:rsidRDefault="00C33C72" w:rsidP="00C33C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68388A5" w14:textId="77777777" w:rsidR="00C33C72" w:rsidRPr="0017323B" w:rsidRDefault="00C33C72" w:rsidP="00C33C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2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PREDLAGATELJ:</w:t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Ministarstvo  pravosuđa i uprave</w:t>
      </w:r>
    </w:p>
    <w:p w14:paraId="3F1DF663" w14:textId="77777777" w:rsidR="00C33C72" w:rsidRPr="0017323B" w:rsidRDefault="00C33C72" w:rsidP="00C33C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B8202A3" w14:textId="77777777" w:rsidR="00C33C72" w:rsidRPr="0017323B" w:rsidRDefault="00C33C72" w:rsidP="00C33C72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2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PREDMET:</w:t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Izvješće predsjednika Vrhovnog suda Republike Hrvatske o stanju sudbene vlasti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– mišljenje Vlade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5AC1CC7" w14:textId="77777777" w:rsidR="00C33C72" w:rsidRPr="0017323B" w:rsidRDefault="00C33C72" w:rsidP="00C33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D8D7FB" w14:textId="77777777" w:rsidR="00C33C72" w:rsidRPr="0017323B" w:rsidRDefault="00C33C72" w:rsidP="00C33C72">
      <w:pPr>
        <w:spacing w:after="0" w:line="36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2A247" w14:textId="77777777" w:rsidR="00C33C72" w:rsidRPr="0017323B" w:rsidRDefault="00C33C72" w:rsidP="00C33C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7885CA" w14:textId="77777777" w:rsidR="00C33C72" w:rsidRPr="0017323B" w:rsidRDefault="00C33C72" w:rsidP="00C33C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163EF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53A197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6AE890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689375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DE3B7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45D91D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A734A2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9AF183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2FED14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A704D6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16727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8EFBBE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C60D1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FB25FE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D429D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21437F" w14:textId="77777777" w:rsidR="00C33C72" w:rsidRPr="0017323B" w:rsidRDefault="00C33C72" w:rsidP="00C33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273D66" w14:textId="77777777" w:rsidR="00C33C72" w:rsidRPr="0017323B" w:rsidRDefault="00C33C72" w:rsidP="00C33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___________________________________________________________________________  </w:t>
      </w:r>
    </w:p>
    <w:p w14:paraId="056B38DE" w14:textId="77777777" w:rsidR="00C33C72" w:rsidRPr="0017323B" w:rsidRDefault="00C33C72" w:rsidP="00C33C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17323B">
        <w:rPr>
          <w:rFonts w:ascii="Times New Roman" w:eastAsia="Times New Roman" w:hAnsi="Times New Roman" w:cs="Times New Roman"/>
          <w:lang w:eastAsia="hr-HR"/>
        </w:rPr>
        <w:t>Banski dvori | Trg Sv. Marka 2 | 10000 Zagreb | tel. 01 4569 222 | vlada.gov.hr</w:t>
      </w:r>
    </w:p>
    <w:p w14:paraId="7D7142B5" w14:textId="77777777" w:rsidR="00C33C72" w:rsidRPr="0017323B" w:rsidRDefault="00C33C72" w:rsidP="00C33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92471" w14:textId="77777777" w:rsidR="00C33C72" w:rsidRPr="0017323B" w:rsidRDefault="00C33C72" w:rsidP="00C33C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980BA5" w14:textId="77777777" w:rsidR="00C33C72" w:rsidRPr="0017323B" w:rsidRDefault="00C33C72" w:rsidP="00C33C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0397E1" w14:textId="77777777" w:rsidR="00C33C72" w:rsidRPr="0017323B" w:rsidRDefault="00C33C72" w:rsidP="00C33C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E64B8A" w14:textId="77777777" w:rsidR="00C33C72" w:rsidRDefault="00C33C72" w:rsidP="00C33C72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PRIJEDLOG</w:t>
      </w:r>
    </w:p>
    <w:p w14:paraId="1DEC9479" w14:textId="77777777" w:rsidR="00C33C72" w:rsidRDefault="00C33C72" w:rsidP="00C33C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08A74C" w14:textId="77777777" w:rsidR="00C33C72" w:rsidRDefault="00C33C72" w:rsidP="00C33C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06DC93" w14:textId="77777777" w:rsidR="00C33C72" w:rsidRPr="00691202" w:rsidRDefault="00C33C72" w:rsidP="00C33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1202"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6548B9F2" w14:textId="77777777" w:rsidR="00C33C72" w:rsidRPr="00691202" w:rsidRDefault="00C33C72" w:rsidP="00C33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1202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3212667F" w14:textId="77777777" w:rsidR="00C33C72" w:rsidRPr="00691202" w:rsidRDefault="00C33C72" w:rsidP="00C33C72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F2F5C0" w14:textId="77777777" w:rsidR="00C33C72" w:rsidRPr="00691202" w:rsidRDefault="00C33C72" w:rsidP="00C33C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91202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69120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1CA7189" w14:textId="77777777" w:rsidR="00C33C72" w:rsidRPr="0017323B" w:rsidRDefault="00C33C72" w:rsidP="00C33C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7263BF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5695B19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5D89736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7323B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PREDSJEDNIKU HRVATSKOGA SABORA</w:t>
      </w:r>
    </w:p>
    <w:p w14:paraId="112DD740" w14:textId="77777777" w:rsidR="00C33C72" w:rsidRDefault="00C33C72" w:rsidP="00C33C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6A763A1" w14:textId="77777777" w:rsidR="00C33C72" w:rsidRDefault="00C33C72" w:rsidP="00C33C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EA5E5DC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3D7028FA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</w:p>
    <w:p w14:paraId="12E0C2A2" w14:textId="77777777" w:rsidR="00C33C72" w:rsidRPr="00932F8D" w:rsidRDefault="00C33C72" w:rsidP="00C33C72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32F8D">
        <w:rPr>
          <w:rFonts w:ascii="Times New Roman" w:eastAsia="Times New Roman" w:hAnsi="Times New Roman"/>
          <w:sz w:val="24"/>
          <w:szCs w:val="24"/>
          <w:lang w:eastAsia="hr-HR"/>
        </w:rPr>
        <w:t>PREDMET:</w:t>
      </w:r>
      <w:r w:rsidRPr="00932F8D">
        <w:rPr>
          <w:rFonts w:ascii="Times New Roman" w:eastAsia="Times New Roman" w:hAnsi="Times New Roman"/>
          <w:sz w:val="24"/>
          <w:szCs w:val="24"/>
          <w:lang w:eastAsia="hr-HR"/>
        </w:rPr>
        <w:tab/>
        <w:t>Izvješće predsjednika Vrhovnog suda Republike Hrvatske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 stanju sudbene vlasti za 2022</w:t>
      </w:r>
      <w:r w:rsidRPr="00932F8D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932F8D">
        <w:rPr>
          <w:rFonts w:ascii="Times New Roman" w:eastAsia="Times New Roman" w:hAnsi="Times New Roman"/>
          <w:sz w:val="24"/>
          <w:szCs w:val="24"/>
          <w:lang w:eastAsia="hr-HR"/>
        </w:rPr>
        <w:t xml:space="preserve"> mišljenje Vlade</w:t>
      </w:r>
      <w:r w:rsidRPr="00B7750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3978316" w14:textId="77777777" w:rsidR="00C33C72" w:rsidRPr="00932F8D" w:rsidRDefault="00C33C72" w:rsidP="00C33C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68CD2B5" w14:textId="77777777" w:rsidR="00C33C72" w:rsidRPr="00932F8D" w:rsidRDefault="00C33C72" w:rsidP="00C33C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37C634A" w14:textId="77777777" w:rsidR="00C33C72" w:rsidRPr="008C5E93" w:rsidRDefault="00C33C72" w:rsidP="00C33C72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932F8D">
        <w:rPr>
          <w:rFonts w:ascii="Times New Roman" w:hAnsi="Times New Roman"/>
          <w:sz w:val="24"/>
          <w:szCs w:val="24"/>
        </w:rPr>
        <w:t xml:space="preserve">Veza: </w:t>
      </w:r>
      <w:r w:rsidRPr="00932F8D">
        <w:rPr>
          <w:rFonts w:ascii="Times New Roman" w:hAnsi="Times New Roman"/>
          <w:sz w:val="24"/>
          <w:szCs w:val="24"/>
        </w:rPr>
        <w:tab/>
      </w:r>
      <w:r w:rsidRPr="00932F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Pismo Hrvatskoga sabora, </w:t>
      </w:r>
      <w:r w:rsidRPr="00932F8D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021-03/23-09/33</w:t>
      </w:r>
      <w:r>
        <w:rPr>
          <w:rFonts w:ascii="Times New Roman" w:hAnsi="Times New Roman"/>
          <w:sz w:val="24"/>
          <w:szCs w:val="24"/>
        </w:rPr>
        <w:t>, URBROJ: 65-23-03, od 3. svibnja 2023.</w:t>
      </w:r>
    </w:p>
    <w:p w14:paraId="25F9D956" w14:textId="77777777" w:rsidR="00C33C72" w:rsidRPr="00932F8D" w:rsidRDefault="00C33C72" w:rsidP="00C33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138EB5" w14:textId="77777777" w:rsidR="00C33C72" w:rsidRPr="00932F8D" w:rsidRDefault="00C33C72" w:rsidP="00C33C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56A71E" w14:textId="77777777" w:rsidR="00C33C72" w:rsidRPr="00985B8C" w:rsidRDefault="00C33C72" w:rsidP="00C33C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5B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122. stavka 2. </w:t>
      </w:r>
      <w:r w:rsidRPr="00985B8C">
        <w:rPr>
          <w:rFonts w:ascii="Times New Roman" w:hAnsi="Times New Roman" w:cs="Times New Roman"/>
          <w:sz w:val="24"/>
          <w:szCs w:val="24"/>
        </w:rPr>
        <w:t xml:space="preserve">Poslovnika Hrvatskoga sabora („Narodne novine“, br. 81/13., 113/16., 69/17., 29/18., 53/20., 119/20. - Odluka Ustavnog suda Republike Hrvatske, 123/20. i 86/23. - Odluka Ustavnog suda Republike Hrvatske), </w:t>
      </w:r>
      <w:r w:rsidRPr="00985B8C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o Izvješću predsjednika Vrhovnog suda Republike Hrvatske o stanju sudbene vlasti za 2022. godinu, daje sljedeće</w:t>
      </w:r>
    </w:p>
    <w:p w14:paraId="0156235D" w14:textId="77777777" w:rsidR="00C33C72" w:rsidRPr="00985B8C" w:rsidRDefault="00C33C72" w:rsidP="00C33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9744D4" w14:textId="77777777" w:rsidR="00C33C72" w:rsidRPr="00932F8D" w:rsidRDefault="00C33C72" w:rsidP="00C33C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6387300" w14:textId="77777777" w:rsidR="00C33C72" w:rsidRPr="00EE7845" w:rsidRDefault="00C33C72" w:rsidP="00C33C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32F8D">
        <w:rPr>
          <w:rFonts w:ascii="Times New Roman" w:eastAsia="Times New Roman" w:hAnsi="Times New Roman"/>
          <w:b/>
          <w:sz w:val="24"/>
          <w:szCs w:val="24"/>
          <w:lang w:eastAsia="hr-HR"/>
        </w:rPr>
        <w:t>M I Š L J E N J E</w:t>
      </w:r>
    </w:p>
    <w:p w14:paraId="5EA0A136" w14:textId="77777777" w:rsidR="00C33C72" w:rsidRDefault="00C33C72" w:rsidP="00C33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2F8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3558921" w14:textId="77777777" w:rsidR="00C33C72" w:rsidRPr="00932F8D" w:rsidRDefault="00C33C72" w:rsidP="00C33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37AA224" w14:textId="77777777" w:rsidR="00C33C72" w:rsidRPr="005F7167" w:rsidRDefault="00C33C72" w:rsidP="00C33C72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7167">
        <w:rPr>
          <w:rFonts w:ascii="Times New Roman" w:hAnsi="Times New Roman" w:cs="Times New Roman"/>
          <w:sz w:val="24"/>
          <w:szCs w:val="24"/>
        </w:rPr>
        <w:t>Temeljem članka 45. stavka 1. Zakona o sudovima („Narodne novine“, broj 28/13., 33/15., 82/15., 82/16., 67/18., 126/19., 130/20., 21/22., 60/22. i 16/23.) predsjednik Vrhovnog suda Republike Hrvatske dužan je jednom godišnje, najkasnije do 30. travnja tekuće godine, Hrvatskome saboru podnijeti izvješće o stanju sudbene vlasti u protekloj godini (u daljnjem tekstu: Izvješće).</w:t>
      </w:r>
    </w:p>
    <w:p w14:paraId="62AAE8D0" w14:textId="77777777" w:rsidR="00C33C72" w:rsidRPr="00EE7845" w:rsidRDefault="00C33C72" w:rsidP="00C33C72">
      <w:pPr>
        <w:spacing w:after="0" w:line="240" w:lineRule="auto"/>
        <w:ind w:firstLine="1416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E7845">
        <w:rPr>
          <w:rFonts w:ascii="Times New Roman" w:hAnsi="Times New Roman"/>
          <w:sz w:val="24"/>
          <w:szCs w:val="24"/>
        </w:rPr>
        <w:tab/>
        <w:t xml:space="preserve">    </w:t>
      </w:r>
    </w:p>
    <w:p w14:paraId="51B25412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 xml:space="preserve">U  Izvješću </w:t>
      </w:r>
      <w:r>
        <w:rPr>
          <w:rFonts w:ascii="Times New Roman" w:hAnsi="Times New Roman"/>
          <w:sz w:val="24"/>
          <w:szCs w:val="24"/>
        </w:rPr>
        <w:t xml:space="preserve">je dan </w:t>
      </w:r>
      <w:r w:rsidRPr="00EE7845">
        <w:rPr>
          <w:rFonts w:ascii="Times New Roman" w:hAnsi="Times New Roman"/>
          <w:sz w:val="24"/>
          <w:szCs w:val="24"/>
        </w:rPr>
        <w:t>prikaz organizacije mreže sudova i njihove zakonom propisane nadležnosti, analizirano je stanje ljudskih potencijala u sudovima, izloženi su sumarni podaci o kretanju predmeta na sudovima, podaci o kretanju predmeta na poje</w:t>
      </w:r>
      <w:r>
        <w:rPr>
          <w:rFonts w:ascii="Times New Roman" w:hAnsi="Times New Roman"/>
          <w:sz w:val="24"/>
          <w:szCs w:val="24"/>
        </w:rPr>
        <w:t>dinim vrstama i razinama sudova,</w:t>
      </w:r>
      <w:r w:rsidRPr="00EE7845">
        <w:rPr>
          <w:rFonts w:ascii="Times New Roman" w:hAnsi="Times New Roman"/>
          <w:sz w:val="24"/>
          <w:szCs w:val="24"/>
        </w:rPr>
        <w:t xml:space="preserve"> kao i podaci o pokazateljima uspješnosti rada za svaki pojedini sud, uz poseban osvrt na rezultate rada općinskih, trgovačkih i županijskih sudova te Visokog trgovačkog suda Republike Hrvatske na predmetima u kojima postupak traje duže od 10 godina. </w:t>
      </w:r>
    </w:p>
    <w:p w14:paraId="41500E94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Mreža sudova prema kojoj su sudovi djelovali tijek</w:t>
      </w:r>
      <w:r>
        <w:rPr>
          <w:rFonts w:ascii="Times New Roman" w:hAnsi="Times New Roman"/>
          <w:sz w:val="24"/>
          <w:szCs w:val="24"/>
        </w:rPr>
        <w:t xml:space="preserve">om 2022. uspostavljena je još </w:t>
      </w:r>
      <w:r w:rsidRPr="00EE7845">
        <w:rPr>
          <w:rFonts w:ascii="Times New Roman" w:hAnsi="Times New Roman"/>
          <w:sz w:val="24"/>
          <w:szCs w:val="24"/>
        </w:rPr>
        <w:t>1. siječnja 2019., nakon reorganizacije provedene sukladno Zakonu o područjima i sjedištima sudo</w:t>
      </w:r>
      <w:r>
        <w:rPr>
          <w:rFonts w:ascii="Times New Roman" w:hAnsi="Times New Roman"/>
          <w:sz w:val="24"/>
          <w:szCs w:val="24"/>
        </w:rPr>
        <w:t>va („Narodne novine“, broj 67/</w:t>
      </w:r>
      <w:r w:rsidRPr="00EE7845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Pr="00EE7845">
        <w:rPr>
          <w:rFonts w:ascii="Times New Roman" w:hAnsi="Times New Roman"/>
          <w:sz w:val="24"/>
          <w:szCs w:val="24"/>
        </w:rPr>
        <w:t xml:space="preserve">), a čini je ukupno 67 sudova, i to: 34 općinska suda unutar kojih djeluje 35 stalnih službi izvan sjedišta suda, 15 županijskih unutar kojih djeluju četiri stalne službe izvan sjedišta suda, 9 trgovačkih, 4 upravna te Visoki trgovački sud Republike Hrvatske, Visoki upravni sud Republike Hrvatske, Visoki prekršajni sud Republike Hrvatske, Visoki kazneni sud Republike Hrvatske i </w:t>
      </w:r>
      <w:r>
        <w:rPr>
          <w:rFonts w:ascii="Times New Roman" w:hAnsi="Times New Roman"/>
          <w:sz w:val="24"/>
          <w:szCs w:val="24"/>
        </w:rPr>
        <w:t>Vrhovni sud Republike Hrvatske.</w:t>
      </w:r>
    </w:p>
    <w:p w14:paraId="374C2E04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Na kraju 2022. u svim sudovima bilo je ukupno 8.067 zaposlenih (od kojih 6.730 žena), što predstavlja smanjenje od 1</w:t>
      </w:r>
      <w:r>
        <w:rPr>
          <w:rFonts w:ascii="Times New Roman" w:hAnsi="Times New Roman"/>
          <w:sz w:val="24"/>
          <w:szCs w:val="24"/>
        </w:rPr>
        <w:t xml:space="preserve"> % u odnosu na prethodnu godinu.</w:t>
      </w:r>
    </w:p>
    <w:p w14:paraId="008E18AA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Od navedenog broja zaposlenika 1.652 su suci, što znači da se nastavlja trend smanjivanja broja sudaca (</w:t>
      </w:r>
      <w:r>
        <w:rPr>
          <w:rFonts w:ascii="Times New Roman" w:hAnsi="Times New Roman"/>
          <w:sz w:val="24"/>
          <w:szCs w:val="24"/>
        </w:rPr>
        <w:t>na kraju 2021. ih je bilo 1680).</w:t>
      </w:r>
    </w:p>
    <w:p w14:paraId="6654D0A0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 xml:space="preserve">Najveći broj čine suci općinskih sudova (1.006),  slijede suci županijskih (364) te suci trgovačkih sudova (119). Udio žena </w:t>
      </w:r>
      <w:r>
        <w:rPr>
          <w:rFonts w:ascii="Times New Roman" w:hAnsi="Times New Roman"/>
          <w:sz w:val="24"/>
          <w:szCs w:val="24"/>
        </w:rPr>
        <w:t xml:space="preserve">u ukupnom broju sudaca je 72 %. </w:t>
      </w:r>
    </w:p>
    <w:p w14:paraId="5ED48408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U 2022. bilo je zaposleno 38 vježbenika pravne struke koji su raspoređeni u općinske (30), trgovačke (</w:t>
      </w:r>
      <w:r>
        <w:rPr>
          <w:rFonts w:ascii="Times New Roman" w:hAnsi="Times New Roman"/>
          <w:sz w:val="24"/>
          <w:szCs w:val="24"/>
        </w:rPr>
        <w:t>4) i upravne sudove (4).</w:t>
      </w:r>
    </w:p>
    <w:p w14:paraId="19DA2084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 xml:space="preserve">Broj </w:t>
      </w:r>
      <w:r>
        <w:rPr>
          <w:rFonts w:ascii="Times New Roman" w:hAnsi="Times New Roman"/>
          <w:sz w:val="24"/>
          <w:szCs w:val="24"/>
        </w:rPr>
        <w:t xml:space="preserve">službenika na administrativnim, </w:t>
      </w:r>
      <w:r w:rsidRPr="00EE7845">
        <w:rPr>
          <w:rFonts w:ascii="Times New Roman" w:hAnsi="Times New Roman"/>
          <w:sz w:val="24"/>
          <w:szCs w:val="24"/>
        </w:rPr>
        <w:t xml:space="preserve">materijalno-financijskim i stručnim poslovima (sudski zapisničari, upisničari, zemljišnoknjižni referenti, informatički referenti) u svim sudovima iznosio je 5.038 i manji je za 77 u odnosu na prethodnu godinu. I među službenicima veći dio zaposlenih </w:t>
      </w:r>
      <w:r>
        <w:rPr>
          <w:rFonts w:ascii="Times New Roman" w:hAnsi="Times New Roman"/>
          <w:sz w:val="24"/>
          <w:szCs w:val="24"/>
        </w:rPr>
        <w:t>predstavljaju žene (</w:t>
      </w:r>
      <w:r w:rsidRPr="00EE7845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 zaposlenih)</w:t>
      </w:r>
      <w:r>
        <w:rPr>
          <w:rFonts w:ascii="Times New Roman" w:hAnsi="Times New Roman"/>
          <w:sz w:val="24"/>
          <w:szCs w:val="24"/>
        </w:rPr>
        <w:t>.</w:t>
      </w:r>
      <w:r w:rsidRPr="00EE7845">
        <w:rPr>
          <w:rFonts w:ascii="Times New Roman" w:hAnsi="Times New Roman"/>
          <w:sz w:val="24"/>
          <w:szCs w:val="24"/>
        </w:rPr>
        <w:t xml:space="preserve"> </w:t>
      </w:r>
    </w:p>
    <w:p w14:paraId="601E3A39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lastRenderedPageBreak/>
        <w:t>Iz podataka o dobnoj strukturi zaključuje se da je najviše sudaca u dobnoj skupini između 60 i 64 godine (489),  nema sudaca mlađih od 30 godina, a svega 4 ih j</w:t>
      </w:r>
      <w:r>
        <w:rPr>
          <w:rFonts w:ascii="Times New Roman" w:hAnsi="Times New Roman"/>
          <w:sz w:val="24"/>
          <w:szCs w:val="24"/>
        </w:rPr>
        <w:t>e u dobi između 30 i 34 godine.</w:t>
      </w:r>
    </w:p>
    <w:p w14:paraId="02AC877C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U Izvješću su navedeni podaci o predmetima sudske uprave kojih je u svim sudovima zaprimlj</w:t>
      </w:r>
      <w:r>
        <w:rPr>
          <w:rFonts w:ascii="Times New Roman" w:hAnsi="Times New Roman"/>
          <w:sz w:val="24"/>
          <w:szCs w:val="24"/>
        </w:rPr>
        <w:t xml:space="preserve">eno 72.829, a riješeno 68.331. </w:t>
      </w:r>
    </w:p>
    <w:p w14:paraId="2FD64D4E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Posebno su istaknuti podaci o zaprimljenim predstavkama ili pritužbama na rad sudova kojih je u svim sudovima zapri</w:t>
      </w:r>
      <w:r>
        <w:rPr>
          <w:rFonts w:ascii="Times New Roman" w:hAnsi="Times New Roman"/>
          <w:sz w:val="24"/>
          <w:szCs w:val="24"/>
        </w:rPr>
        <w:t>mljeno 5.959, a riješeno 5.346.</w:t>
      </w:r>
    </w:p>
    <w:p w14:paraId="4B607816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U 137 predmeta je prekoračen rok za okončanje postupka određen u predmeti</w:t>
      </w:r>
      <w:r>
        <w:rPr>
          <w:rFonts w:ascii="Times New Roman" w:hAnsi="Times New Roman"/>
          <w:sz w:val="24"/>
          <w:szCs w:val="24"/>
        </w:rPr>
        <w:t xml:space="preserve">ma za zaštitu prava na suđenje </w:t>
      </w:r>
      <w:r w:rsidRPr="00EE7845">
        <w:rPr>
          <w:rFonts w:ascii="Times New Roman" w:hAnsi="Times New Roman"/>
          <w:sz w:val="24"/>
          <w:szCs w:val="24"/>
        </w:rPr>
        <w:t>u razumnom roku. Ukupno je isplaćeno 59.117,65 kuna na ime naknade zbog utvrđene povrede pr</w:t>
      </w:r>
      <w:r>
        <w:rPr>
          <w:rFonts w:ascii="Times New Roman" w:hAnsi="Times New Roman"/>
          <w:sz w:val="24"/>
          <w:szCs w:val="24"/>
        </w:rPr>
        <w:t>ava na suđenje u razumnom roku.</w:t>
      </w:r>
    </w:p>
    <w:p w14:paraId="4EEBD12A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Viši sudovi su proveli ukupno 30 nadzora nižih sudova. Županijski sudovi su proveli 20 nadzora u 20 općinskih sudova, Visoki trgovački sud Republike Hrvatske je proveo nadzor u tri trgovačka suda, a Vrhovni sud Republike Hrvatske je proveo nadzor u kaznenoj grani sudovanja u dva županijska suda i Visokom k</w:t>
      </w:r>
      <w:r>
        <w:rPr>
          <w:rFonts w:ascii="Times New Roman" w:hAnsi="Times New Roman"/>
          <w:sz w:val="24"/>
          <w:szCs w:val="24"/>
        </w:rPr>
        <w:t>aznenom sudu Republike Hrvatske</w:t>
      </w:r>
    </w:p>
    <w:p w14:paraId="47C404AF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U Izvješću su prikazani zbirni podaci o radu sudova u petogodišnjem razdoblju od 2018. do 2022., iz kojih proizlazi da je u odnosu na 2021. priljev predmeta smanjen  sa 1.335.695 na 1.292.764,  što predstavlja smanjenje za 42.931 predmeta odnosno  3</w:t>
      </w:r>
      <w:r>
        <w:rPr>
          <w:rFonts w:ascii="Times New Roman" w:hAnsi="Times New Roman"/>
          <w:sz w:val="24"/>
          <w:szCs w:val="24"/>
        </w:rPr>
        <w:t xml:space="preserve">,2 %. </w:t>
      </w:r>
    </w:p>
    <w:p w14:paraId="45F491E7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No, treba istaknuti da je tijekom 2021. u rad zaprimljen najveći broj predmeta u prethodnom petogodišnjem razdoblju tako da, iako je 2022. priljev predmeta smanj</w:t>
      </w:r>
      <w:r>
        <w:rPr>
          <w:rFonts w:ascii="Times New Roman" w:hAnsi="Times New Roman"/>
          <w:sz w:val="24"/>
          <w:szCs w:val="24"/>
        </w:rPr>
        <w:t xml:space="preserve">en u odnosu na prethodnu godinu, </w:t>
      </w:r>
      <w:r w:rsidRPr="00EE7845">
        <w:rPr>
          <w:rFonts w:ascii="Times New Roman" w:hAnsi="Times New Roman"/>
          <w:sz w:val="24"/>
          <w:szCs w:val="24"/>
        </w:rPr>
        <w:t xml:space="preserve">on je i dalje visok i veći od prosječnog priljeva u prethodnih pet godina. </w:t>
      </w:r>
    </w:p>
    <w:p w14:paraId="528E2D13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Priljev predmeta je povećan u </w:t>
      </w:r>
      <w:r w:rsidRPr="00EE7845">
        <w:rPr>
          <w:rFonts w:ascii="Times New Roman" w:hAnsi="Times New Roman"/>
          <w:sz w:val="24"/>
          <w:szCs w:val="24"/>
        </w:rPr>
        <w:t xml:space="preserve">odnosu na prethodnu godinu na Visokom kaznenom sudu Republike Hrvatske, na približno istoj </w:t>
      </w:r>
      <w:r>
        <w:rPr>
          <w:rFonts w:ascii="Times New Roman" w:hAnsi="Times New Roman"/>
          <w:sz w:val="24"/>
          <w:szCs w:val="24"/>
        </w:rPr>
        <w:t xml:space="preserve">razini kao prethodne godine je </w:t>
      </w:r>
      <w:r w:rsidRPr="00EE7845">
        <w:rPr>
          <w:rFonts w:ascii="Times New Roman" w:hAnsi="Times New Roman"/>
          <w:sz w:val="24"/>
          <w:szCs w:val="24"/>
        </w:rPr>
        <w:t>na Visokom prekršajnom sudu Republi</w:t>
      </w:r>
      <w:r>
        <w:rPr>
          <w:rFonts w:ascii="Times New Roman" w:hAnsi="Times New Roman"/>
          <w:sz w:val="24"/>
          <w:szCs w:val="24"/>
        </w:rPr>
        <w:t xml:space="preserve">ke Hrvatske i Visokom upravnom </w:t>
      </w:r>
      <w:r w:rsidRPr="00EE7845">
        <w:rPr>
          <w:rFonts w:ascii="Times New Roman" w:hAnsi="Times New Roman"/>
          <w:sz w:val="24"/>
          <w:szCs w:val="24"/>
        </w:rPr>
        <w:t>sudu Republike Hrvatske, dok je na svim ostalim sudovima zabilježeno s</w:t>
      </w:r>
      <w:r>
        <w:rPr>
          <w:rFonts w:ascii="Times New Roman" w:hAnsi="Times New Roman"/>
          <w:sz w:val="24"/>
          <w:szCs w:val="24"/>
        </w:rPr>
        <w:t xml:space="preserve">manjivanje priljeva predmeta.  </w:t>
      </w:r>
    </w:p>
    <w:p w14:paraId="336409CB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Broj riješenih predmeta na svim sudovima od</w:t>
      </w:r>
      <w:r>
        <w:rPr>
          <w:rFonts w:ascii="Times New Roman" w:hAnsi="Times New Roman"/>
          <w:sz w:val="24"/>
          <w:szCs w:val="24"/>
        </w:rPr>
        <w:t>nosu na 2021. je povećan  sa 1.</w:t>
      </w:r>
      <w:r w:rsidRPr="00EE7845">
        <w:rPr>
          <w:rFonts w:ascii="Times New Roman" w:hAnsi="Times New Roman"/>
          <w:sz w:val="24"/>
          <w:szCs w:val="24"/>
        </w:rPr>
        <w:t>294.014  na 1.339.065 ili za 3,5 %. Povećanje broja riješenih predmeta u odnosu na prethodnu godinu se bilježi na općinskom sudovima, upravnim sudovima, Visokom prekršajnom sudu Republi</w:t>
      </w:r>
      <w:r>
        <w:rPr>
          <w:rFonts w:ascii="Times New Roman" w:hAnsi="Times New Roman"/>
          <w:sz w:val="24"/>
          <w:szCs w:val="24"/>
        </w:rPr>
        <w:t>ke Hrvatske</w:t>
      </w:r>
      <w:r w:rsidRPr="00EE7845">
        <w:rPr>
          <w:rFonts w:ascii="Times New Roman" w:hAnsi="Times New Roman"/>
          <w:sz w:val="24"/>
          <w:szCs w:val="24"/>
        </w:rPr>
        <w:t>,  Visokom kaznenom sudu Republi</w:t>
      </w:r>
      <w:r>
        <w:rPr>
          <w:rFonts w:ascii="Times New Roman" w:hAnsi="Times New Roman"/>
          <w:sz w:val="24"/>
          <w:szCs w:val="24"/>
        </w:rPr>
        <w:t>ke Hrvatske</w:t>
      </w:r>
      <w:r w:rsidRPr="00EE7845">
        <w:rPr>
          <w:rFonts w:ascii="Times New Roman" w:hAnsi="Times New Roman"/>
          <w:sz w:val="24"/>
          <w:szCs w:val="24"/>
        </w:rPr>
        <w:t xml:space="preserve"> i Vrhovnom sudu Republi</w:t>
      </w:r>
      <w:r>
        <w:rPr>
          <w:rFonts w:ascii="Times New Roman" w:hAnsi="Times New Roman"/>
          <w:sz w:val="24"/>
          <w:szCs w:val="24"/>
        </w:rPr>
        <w:t>ke Hrvatske</w:t>
      </w:r>
      <w:r w:rsidRPr="00EE7845">
        <w:rPr>
          <w:rFonts w:ascii="Times New Roman" w:hAnsi="Times New Roman"/>
          <w:sz w:val="24"/>
          <w:szCs w:val="24"/>
        </w:rPr>
        <w:t>, dok su župani</w:t>
      </w:r>
      <w:r>
        <w:rPr>
          <w:rFonts w:ascii="Times New Roman" w:hAnsi="Times New Roman"/>
          <w:sz w:val="24"/>
          <w:szCs w:val="24"/>
        </w:rPr>
        <w:t xml:space="preserve">jski sudovi, trgovački sudovi, </w:t>
      </w:r>
      <w:r w:rsidRPr="00EE7845">
        <w:rPr>
          <w:rFonts w:ascii="Times New Roman" w:hAnsi="Times New Roman"/>
          <w:sz w:val="24"/>
          <w:szCs w:val="24"/>
        </w:rPr>
        <w:t>Visoki trgovački sud Republi</w:t>
      </w:r>
      <w:r>
        <w:rPr>
          <w:rFonts w:ascii="Times New Roman" w:hAnsi="Times New Roman"/>
          <w:sz w:val="24"/>
          <w:szCs w:val="24"/>
        </w:rPr>
        <w:t>ke Hrvatske</w:t>
      </w:r>
      <w:r w:rsidRPr="00EE7845">
        <w:rPr>
          <w:rFonts w:ascii="Times New Roman" w:hAnsi="Times New Roman"/>
          <w:sz w:val="24"/>
          <w:szCs w:val="24"/>
        </w:rPr>
        <w:t xml:space="preserve"> i Visoki upravni sud Republi</w:t>
      </w:r>
      <w:r>
        <w:rPr>
          <w:rFonts w:ascii="Times New Roman" w:hAnsi="Times New Roman"/>
          <w:sz w:val="24"/>
          <w:szCs w:val="24"/>
        </w:rPr>
        <w:t>ke Hrvatske</w:t>
      </w:r>
      <w:r w:rsidRPr="00EE7845">
        <w:rPr>
          <w:rFonts w:ascii="Times New Roman" w:hAnsi="Times New Roman"/>
          <w:sz w:val="24"/>
          <w:szCs w:val="24"/>
        </w:rPr>
        <w:t xml:space="preserve"> riješili manje predmeta ne</w:t>
      </w:r>
      <w:r>
        <w:rPr>
          <w:rFonts w:ascii="Times New Roman" w:hAnsi="Times New Roman"/>
          <w:sz w:val="24"/>
          <w:szCs w:val="24"/>
        </w:rPr>
        <w:t>go 2021.</w:t>
      </w:r>
    </w:p>
    <w:p w14:paraId="1FD88D0F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U odnosu na prethodnu godinu je smanj</w:t>
      </w:r>
      <w:r>
        <w:rPr>
          <w:rFonts w:ascii="Times New Roman" w:hAnsi="Times New Roman"/>
          <w:sz w:val="24"/>
          <w:szCs w:val="24"/>
        </w:rPr>
        <w:t>en broj neriješenih predmeta, s</w:t>
      </w:r>
      <w:r w:rsidRPr="00EE7845">
        <w:rPr>
          <w:rFonts w:ascii="Times New Roman" w:hAnsi="Times New Roman"/>
          <w:sz w:val="24"/>
          <w:szCs w:val="24"/>
        </w:rPr>
        <w:t xml:space="preserve"> 508.837 n</w:t>
      </w:r>
      <w:r>
        <w:rPr>
          <w:rFonts w:ascii="Times New Roman" w:hAnsi="Times New Roman"/>
          <w:sz w:val="24"/>
          <w:szCs w:val="24"/>
        </w:rPr>
        <w:t>a 452.850 ili za značajnih 11 %.</w:t>
      </w:r>
    </w:p>
    <w:p w14:paraId="51A849E5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lastRenderedPageBreak/>
        <w:t>Iz analize broja neriješenih predmeta po sudovima proizlazi da je na kraju 2022</w:t>
      </w:r>
      <w:r>
        <w:rPr>
          <w:rFonts w:ascii="Times New Roman" w:hAnsi="Times New Roman"/>
          <w:sz w:val="24"/>
          <w:szCs w:val="24"/>
        </w:rPr>
        <w:t xml:space="preserve">. u odnosu na prethodnu godinu </w:t>
      </w:r>
      <w:r w:rsidRPr="00EE7845">
        <w:rPr>
          <w:rFonts w:ascii="Times New Roman" w:hAnsi="Times New Roman"/>
          <w:sz w:val="24"/>
          <w:szCs w:val="24"/>
        </w:rPr>
        <w:t>smanjen broj neriješenih predmeta općinskih sudova, upravnih sudova, trgovačkih sudova, Visokog trgovačkog suda Republike Hrvatske i Vrhovnog suda Republike Hrvatske, dok povećanje broja neriješenih predmeta bilježe županijski sudovi, Visoki u</w:t>
      </w:r>
      <w:r>
        <w:rPr>
          <w:rFonts w:ascii="Times New Roman" w:hAnsi="Times New Roman"/>
          <w:sz w:val="24"/>
          <w:szCs w:val="24"/>
        </w:rPr>
        <w:t xml:space="preserve">pravni sud Republike Hrvatske, </w:t>
      </w:r>
      <w:r w:rsidRPr="00EE7845">
        <w:rPr>
          <w:rFonts w:ascii="Times New Roman" w:hAnsi="Times New Roman"/>
          <w:sz w:val="24"/>
          <w:szCs w:val="24"/>
        </w:rPr>
        <w:t xml:space="preserve">Visoki prekršajni sud Republike Hrvatske i Visoki </w:t>
      </w:r>
      <w:r>
        <w:rPr>
          <w:rFonts w:ascii="Times New Roman" w:hAnsi="Times New Roman"/>
          <w:sz w:val="24"/>
          <w:szCs w:val="24"/>
        </w:rPr>
        <w:t>kazneni sud Republike Hrvatske.</w:t>
      </w:r>
    </w:p>
    <w:p w14:paraId="4027C10A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Indikatori uspješnosti rada sudova za 2022. su bolji u usporedbi s ranijim godinama. Stopa ažurnosti je povećana sa 96,88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 na 103,58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%, a procijenjeno vrijeme trajanja postupka se u odnosu na pretho</w:t>
      </w:r>
      <w:r>
        <w:rPr>
          <w:rFonts w:ascii="Times New Roman" w:hAnsi="Times New Roman"/>
          <w:sz w:val="24"/>
          <w:szCs w:val="24"/>
        </w:rPr>
        <w:t xml:space="preserve">dnu godinu smanjilo za 21 dan. </w:t>
      </w:r>
    </w:p>
    <w:p w14:paraId="50257738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Tijekom 2022. prosječno je svaki rješavatelj (sudac/sudski savjetnik) riješio 596 predmeta, što je najbolji rezultat u preth</w:t>
      </w:r>
      <w:r>
        <w:rPr>
          <w:rFonts w:ascii="Times New Roman" w:hAnsi="Times New Roman"/>
          <w:sz w:val="24"/>
          <w:szCs w:val="24"/>
        </w:rPr>
        <w:t xml:space="preserve">odnom petogodišnjem razdoblju. </w:t>
      </w:r>
    </w:p>
    <w:p w14:paraId="485B9056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Analizom starosne strukture neriješenih predmeta uočava se da je broj neriješenih predmeta u kojima postupak traje od tri do sedam godina za 26,87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 povećan u odnosu na 2020., a smanjen broj predmeta u kojima postupak traje duže od sedam godina za 18,15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 xml:space="preserve">% u odnosu na 2020.      </w:t>
      </w:r>
      <w:r w:rsidRPr="00EE7845">
        <w:rPr>
          <w:rFonts w:ascii="Times New Roman" w:hAnsi="Times New Roman"/>
          <w:sz w:val="24"/>
          <w:szCs w:val="24"/>
        </w:rPr>
        <w:tab/>
      </w:r>
    </w:p>
    <w:p w14:paraId="7BBD09C8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Iz podataka o kretanju predmeta u pojedinim vrstama i razinama sudova proizlazi da su tijekom 2022. svi općinski sudovi (uzimajući u obzir novu nadležnost za postupanje u prekršajnim predmetima) zaprimili ukupno 1.018.958 predmeta, riješili 1.061.434 predmeta te je na kraju 2022. ostalo 365.661 neriješenih predmeta, što ukazuje na trend smanj</w:t>
      </w:r>
      <w:r>
        <w:rPr>
          <w:rFonts w:ascii="Times New Roman" w:hAnsi="Times New Roman"/>
          <w:sz w:val="24"/>
          <w:szCs w:val="24"/>
        </w:rPr>
        <w:t xml:space="preserve">enja broja neriješenih predmeta, kako u ukupnosti, </w:t>
      </w:r>
      <w:r w:rsidRPr="00EE784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ako i pojedinačno po sucu. </w:t>
      </w:r>
    </w:p>
    <w:p w14:paraId="1E2D35FE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 xml:space="preserve">Pokazatelji uspješnosti rada općinskih sudova ukazuju </w:t>
      </w:r>
      <w:r>
        <w:rPr>
          <w:rFonts w:ascii="Times New Roman" w:hAnsi="Times New Roman"/>
          <w:sz w:val="24"/>
          <w:szCs w:val="24"/>
        </w:rPr>
        <w:t>na povećanje stope ažurnosti (s</w:t>
      </w:r>
      <w:r w:rsidRPr="00EE7845">
        <w:rPr>
          <w:rFonts w:ascii="Times New Roman" w:hAnsi="Times New Roman"/>
          <w:sz w:val="24"/>
          <w:szCs w:val="24"/>
        </w:rPr>
        <w:t xml:space="preserve"> 94,89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 na 104,17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%) što ukazuje da općinski sudovi rješavaju više predmeta od priljeva u toj godini. Očekivano vrijeme rješavanja predmeta (DT) se skraćuje te je u 2022. iznosilo 126 dana (</w:t>
      </w:r>
      <w:r>
        <w:rPr>
          <w:rFonts w:ascii="Times New Roman" w:hAnsi="Times New Roman"/>
          <w:sz w:val="24"/>
          <w:szCs w:val="24"/>
        </w:rPr>
        <w:t>u 2021. je iznosilo 155 dana).</w:t>
      </w:r>
    </w:p>
    <w:p w14:paraId="477D2053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Osim zbirnih podataka o radu općinskih sudova, Izvješće prikazuje podatke o pojedinačnom radu općinskih sudova u svim vrstama predmeta, osim zemljišnoknjižnih koji s</w:t>
      </w:r>
      <w:r>
        <w:rPr>
          <w:rFonts w:ascii="Times New Roman" w:hAnsi="Times New Roman"/>
          <w:sz w:val="24"/>
          <w:szCs w:val="24"/>
        </w:rPr>
        <w:t>e</w:t>
      </w:r>
      <w:r w:rsidRPr="00EE7845">
        <w:rPr>
          <w:rFonts w:ascii="Times New Roman" w:hAnsi="Times New Roman"/>
          <w:sz w:val="24"/>
          <w:szCs w:val="24"/>
        </w:rPr>
        <w:t xml:space="preserve"> zbog specifičnosti postupka prate odvojeno. Za objektivnu ocjenu rada pojedinog suda potrebno je uzeti u obzir</w:t>
      </w:r>
      <w:r>
        <w:rPr>
          <w:rFonts w:ascii="Times New Roman" w:hAnsi="Times New Roman"/>
          <w:sz w:val="24"/>
          <w:szCs w:val="24"/>
        </w:rPr>
        <w:t xml:space="preserve"> sve indikatore uspješnosti.   </w:t>
      </w:r>
    </w:p>
    <w:p w14:paraId="264DDBD5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Županijski sudovi su zaprimili ukupno 90.966 predmet</w:t>
      </w:r>
      <w:r>
        <w:rPr>
          <w:rFonts w:ascii="Times New Roman" w:hAnsi="Times New Roman"/>
          <w:sz w:val="24"/>
          <w:szCs w:val="24"/>
        </w:rPr>
        <w:t>a</w:t>
      </w:r>
      <w:r w:rsidRPr="00EE7845">
        <w:rPr>
          <w:rFonts w:ascii="Times New Roman" w:hAnsi="Times New Roman"/>
          <w:sz w:val="24"/>
          <w:szCs w:val="24"/>
        </w:rPr>
        <w:t xml:space="preserve">, riješili 89.048 predmeta te je na kraju 2022. </w:t>
      </w:r>
      <w:r>
        <w:rPr>
          <w:rFonts w:ascii="Times New Roman" w:hAnsi="Times New Roman"/>
          <w:sz w:val="24"/>
          <w:szCs w:val="24"/>
        </w:rPr>
        <w:t>ostalo 34.010 neriješenih</w:t>
      </w:r>
      <w:r w:rsidRPr="00EE7845">
        <w:rPr>
          <w:rFonts w:ascii="Times New Roman" w:hAnsi="Times New Roman"/>
          <w:sz w:val="24"/>
          <w:szCs w:val="24"/>
        </w:rPr>
        <w:t xml:space="preserve"> predmeta, što u odnosu na 2021. (kada je ostalo neriješenih 32.085) predstavlja povećanje za 3,7 %.</w:t>
      </w:r>
    </w:p>
    <w:p w14:paraId="13F73F64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Indikator vremena rješavanja ukazuje na činjenicu kako se vrijeme potrebno za rješavanje predmeta produljilo sa 124 na 139 dana, što je povećanje za 15 dana.   Stopa ažurnosti je najniža u prethodnom petogodišnjem razdoblju, ali i dalje je na visokih 97,89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 i ukazuje da su županijski sudovi gotovo usp</w:t>
      </w:r>
      <w:r>
        <w:rPr>
          <w:rFonts w:ascii="Times New Roman" w:hAnsi="Times New Roman"/>
          <w:sz w:val="24"/>
          <w:szCs w:val="24"/>
        </w:rPr>
        <w:t>jeli riješiti priljev predmeta.</w:t>
      </w:r>
    </w:p>
    <w:p w14:paraId="0F479DF9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Najveći udio u broju primljenih predmeta odnosi se na građanske predmete drugog stupnja</w:t>
      </w:r>
      <w:r>
        <w:rPr>
          <w:rFonts w:ascii="Times New Roman" w:hAnsi="Times New Roman"/>
          <w:sz w:val="24"/>
          <w:szCs w:val="24"/>
        </w:rPr>
        <w:t>,</w:t>
      </w:r>
      <w:r w:rsidRPr="00EE7845">
        <w:rPr>
          <w:rFonts w:ascii="Times New Roman" w:hAnsi="Times New Roman"/>
          <w:sz w:val="24"/>
          <w:szCs w:val="24"/>
        </w:rPr>
        <w:t xml:space="preserve"> i to one u kojima županijski sudovi odlučuju po žalbama na </w:t>
      </w:r>
      <w:r w:rsidRPr="00EE7845">
        <w:rPr>
          <w:rFonts w:ascii="Times New Roman" w:hAnsi="Times New Roman"/>
          <w:sz w:val="24"/>
          <w:szCs w:val="24"/>
        </w:rPr>
        <w:lastRenderedPageBreak/>
        <w:t>odluke općinskih sudova. Ovi predmeti predstavljaju najveći udio u broju nerije</w:t>
      </w:r>
      <w:r>
        <w:rPr>
          <w:rFonts w:ascii="Times New Roman" w:hAnsi="Times New Roman"/>
          <w:sz w:val="24"/>
          <w:szCs w:val="24"/>
        </w:rPr>
        <w:t>šenih predmeta na kraju godine.</w:t>
      </w:r>
    </w:p>
    <w:p w14:paraId="4984073D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 xml:space="preserve">Iz podataka o načinu rješavanja predmeta u kojima županijski sudovi odlučuju o žalbama protiv odluka koje su općinski sudovi donijeli u prvom stupnju, vidljivo je kako su županijski sudovi u najvećem broju predmeta potvrdili odluku suda prvog stupnja, što </w:t>
      </w:r>
      <w:r>
        <w:rPr>
          <w:rFonts w:ascii="Times New Roman" w:hAnsi="Times New Roman"/>
          <w:sz w:val="24"/>
          <w:szCs w:val="24"/>
        </w:rPr>
        <w:t xml:space="preserve">po ocjeni iznesenoj u Izvješću </w:t>
      </w:r>
      <w:r w:rsidRPr="00EE7845">
        <w:rPr>
          <w:rFonts w:ascii="Times New Roman" w:hAnsi="Times New Roman"/>
          <w:sz w:val="24"/>
          <w:szCs w:val="24"/>
        </w:rPr>
        <w:t>ukazuje na kvalitetu rada općinskih sudova. Naime, u građanskoj grani sudovanja je potvrđeno 58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 odluka općinskih s</w:t>
      </w:r>
      <w:r>
        <w:rPr>
          <w:rFonts w:ascii="Times New Roman" w:hAnsi="Times New Roman"/>
          <w:sz w:val="24"/>
          <w:szCs w:val="24"/>
        </w:rPr>
        <w:t xml:space="preserve">udova, a u kaznenoj grani 69 %. </w:t>
      </w:r>
    </w:p>
    <w:p w14:paraId="69168853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Osim zbirnih podataka o radu županijskih sudova, Izvješće prikazuje podatke o pojedinačnom radu županijskih sudova u svim vrstama predmeta. Za objektivnu ocjenu rada pojedinog suda potrebno je uzeti u obzir</w:t>
      </w:r>
      <w:r>
        <w:rPr>
          <w:rFonts w:ascii="Times New Roman" w:hAnsi="Times New Roman"/>
          <w:sz w:val="24"/>
          <w:szCs w:val="24"/>
        </w:rPr>
        <w:t xml:space="preserve"> sve indikatore uspješnosti.   </w:t>
      </w:r>
    </w:p>
    <w:p w14:paraId="2078B7D7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 xml:space="preserve">U 2022. Visoki prekršajni sud Republike </w:t>
      </w:r>
      <w:r>
        <w:rPr>
          <w:rFonts w:ascii="Times New Roman" w:hAnsi="Times New Roman"/>
          <w:sz w:val="24"/>
          <w:szCs w:val="24"/>
        </w:rPr>
        <w:t>Hrvatske zaprimio je ukupno 14.</w:t>
      </w:r>
      <w:r w:rsidRPr="00EE7845">
        <w:rPr>
          <w:rFonts w:ascii="Times New Roman" w:hAnsi="Times New Roman"/>
          <w:sz w:val="24"/>
          <w:szCs w:val="24"/>
        </w:rPr>
        <w:t>862 predmeta, približno isti broj kao i prethodne godine (2021. je zaprimio 14.900 predmeta). Riješio</w:t>
      </w:r>
      <w:r>
        <w:rPr>
          <w:rFonts w:ascii="Times New Roman" w:hAnsi="Times New Roman"/>
          <w:sz w:val="24"/>
          <w:szCs w:val="24"/>
        </w:rPr>
        <w:t xml:space="preserve"> je 13.</w:t>
      </w:r>
      <w:r w:rsidRPr="00EE7845">
        <w:rPr>
          <w:rFonts w:ascii="Times New Roman" w:hAnsi="Times New Roman"/>
          <w:sz w:val="24"/>
          <w:szCs w:val="24"/>
        </w:rPr>
        <w:t>480 ili oko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 više n</w:t>
      </w:r>
      <w:r>
        <w:rPr>
          <w:rFonts w:ascii="Times New Roman" w:hAnsi="Times New Roman"/>
          <w:sz w:val="24"/>
          <w:szCs w:val="24"/>
        </w:rPr>
        <w:t xml:space="preserve">ego prethodne godine. Na kraju godine ostao je </w:t>
      </w:r>
      <w:r w:rsidRPr="00EE7845">
        <w:rPr>
          <w:rFonts w:ascii="Times New Roman" w:hAnsi="Times New Roman"/>
          <w:sz w:val="24"/>
          <w:szCs w:val="24"/>
        </w:rPr>
        <w:t>15.631 neriješen predmet, što je povećanje od 8,6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 u odnosu na prethodnu godinu. Ističe se kako je na Visokom prekršajnom sudu Republi</w:t>
      </w:r>
      <w:r>
        <w:rPr>
          <w:rFonts w:ascii="Times New Roman" w:hAnsi="Times New Roman"/>
          <w:sz w:val="24"/>
          <w:szCs w:val="24"/>
        </w:rPr>
        <w:t>ke Hrvatske</w:t>
      </w:r>
      <w:r w:rsidRPr="00EE7845">
        <w:rPr>
          <w:rFonts w:ascii="Times New Roman" w:hAnsi="Times New Roman"/>
          <w:sz w:val="24"/>
          <w:szCs w:val="24"/>
        </w:rPr>
        <w:t xml:space="preserve"> evidentno smanjivanje broja sudaca te da je broj primljenih predmeta po sucu najveći u pret</w:t>
      </w:r>
      <w:r>
        <w:rPr>
          <w:rFonts w:ascii="Times New Roman" w:hAnsi="Times New Roman"/>
          <w:sz w:val="24"/>
          <w:szCs w:val="24"/>
        </w:rPr>
        <w:t xml:space="preserve">hodnom petogodišnjem razdoblju. </w:t>
      </w:r>
    </w:p>
    <w:p w14:paraId="523164DB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Tijekom 2022. </w:t>
      </w:r>
      <w:r w:rsidRPr="00EE7845">
        <w:rPr>
          <w:rFonts w:ascii="Times New Roman" w:hAnsi="Times New Roman"/>
          <w:sz w:val="24"/>
          <w:szCs w:val="24"/>
        </w:rPr>
        <w:t>svi trgovački sudovi zaprimili su ukupno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135.102 predmeta, riješili 138.988</w:t>
      </w:r>
      <w:r>
        <w:rPr>
          <w:rFonts w:ascii="Times New Roman" w:hAnsi="Times New Roman"/>
          <w:sz w:val="24"/>
          <w:szCs w:val="24"/>
        </w:rPr>
        <w:t xml:space="preserve"> predmeta</w:t>
      </w:r>
      <w:r w:rsidRPr="00EE7845">
        <w:rPr>
          <w:rFonts w:ascii="Times New Roman" w:hAnsi="Times New Roman"/>
          <w:sz w:val="24"/>
          <w:szCs w:val="24"/>
        </w:rPr>
        <w:t xml:space="preserve"> te je na kraju godine ostalo 17.526 neriješenih predmeta, što predstavlja smanjenje broja neriješenih predmeta u odnosu na 2021. za 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%. Vremenski indikator rješavanja za sve predmete je neznatno smanjen u odnosu na prethodnu godinu, s tim da je najviši za parnične predmete (297 dana), a najmanji za predmete su</w:t>
      </w:r>
      <w:r>
        <w:rPr>
          <w:rFonts w:ascii="Times New Roman" w:hAnsi="Times New Roman"/>
          <w:sz w:val="24"/>
          <w:szCs w:val="24"/>
        </w:rPr>
        <w:t xml:space="preserve">dskog registra (8 dana). </w:t>
      </w:r>
    </w:p>
    <w:p w14:paraId="4BF716C6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U Izvješću se ističe kako su rezultati dovršenja postupka mirenjem simbolični i ukazuju da stranke nisu dovoljno motivirane za okončavanje sporova mirenjem. Kod svih trgovačkih sudova mirenjem</w:t>
      </w:r>
      <w:r>
        <w:rPr>
          <w:rFonts w:ascii="Times New Roman" w:hAnsi="Times New Roman"/>
          <w:sz w:val="24"/>
          <w:szCs w:val="24"/>
        </w:rPr>
        <w:t xml:space="preserve"> je dovršeno svega 117 predmeta.</w:t>
      </w:r>
    </w:p>
    <w:p w14:paraId="61319560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 xml:space="preserve">Za istaknuti je kako se u prethodnom trogodišnjem razdoblju smanjuje broj neriješenih predmeta u kojima postupak traje duže od tri godine do sedam godina, dok se broj onih u kojima postupak traje duže </w:t>
      </w:r>
      <w:r>
        <w:rPr>
          <w:rFonts w:ascii="Times New Roman" w:hAnsi="Times New Roman"/>
          <w:sz w:val="24"/>
          <w:szCs w:val="24"/>
        </w:rPr>
        <w:t>od sedam godina blago povećava.</w:t>
      </w:r>
    </w:p>
    <w:p w14:paraId="463C6FD9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Smanjenje broja neriješenih predmeta u odnosu na 2021. bilježi i Visoki trgovački sud Republike Hrvatske koji je zaprimio ukupno 5.355 predmeta, riješio 5.866  predmeta te je na kraju godine ostalo 2.825 neriješenih predmeta, što predstavlja smanjenje u odnosu na prethod</w:t>
      </w:r>
      <w:r>
        <w:rPr>
          <w:rFonts w:ascii="Times New Roman" w:hAnsi="Times New Roman"/>
          <w:sz w:val="24"/>
          <w:szCs w:val="24"/>
        </w:rPr>
        <w:t xml:space="preserve">nu godinu za 15 % . </w:t>
      </w:r>
    </w:p>
    <w:p w14:paraId="179BA7DC" w14:textId="77777777" w:rsidR="00C33C72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Ključni pokazatelji uspješnosti rada na predmetima ukazuju na napredak i kontinuitet u učinkovitosti ovog suda. Stopa ažurnosti je visokih 109,54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%, što ukazuje da je sud riješio 9,54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 xml:space="preserve">% više predmeta nego što je zaprimio u rad. Vrijeme </w:t>
      </w:r>
      <w:r w:rsidRPr="00EE7845">
        <w:rPr>
          <w:rFonts w:ascii="Times New Roman" w:hAnsi="Times New Roman"/>
          <w:sz w:val="24"/>
          <w:szCs w:val="24"/>
        </w:rPr>
        <w:lastRenderedPageBreak/>
        <w:t>potrebno za rješavanje predmeta se u prethodne četiri godine kontinuirano smanjivalo, a u 2022. je povećano za osa</w:t>
      </w:r>
      <w:r>
        <w:rPr>
          <w:rFonts w:ascii="Times New Roman" w:hAnsi="Times New Roman"/>
          <w:sz w:val="24"/>
          <w:szCs w:val="24"/>
        </w:rPr>
        <w:t xml:space="preserve">m dana i iznosilo je 176 dana. </w:t>
      </w:r>
    </w:p>
    <w:p w14:paraId="49835619" w14:textId="77777777" w:rsidR="00C33C72" w:rsidRPr="00864BD3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pacing w:val="-4"/>
          <w:sz w:val="24"/>
          <w:szCs w:val="24"/>
        </w:rPr>
      </w:pPr>
      <w:r w:rsidRPr="00864BD3">
        <w:rPr>
          <w:rFonts w:ascii="Times New Roman" w:hAnsi="Times New Roman"/>
          <w:spacing w:val="-4"/>
          <w:sz w:val="24"/>
          <w:szCs w:val="24"/>
        </w:rPr>
        <w:t xml:space="preserve">Odlučujući o žalbama protiv odluka trgovačkih sudova, Visoki trgovački sud Republike Hrvatske je u najvećem broju predmeta njihove odluke potvrdio (55 %), a ukinuo 14 %. </w:t>
      </w:r>
    </w:p>
    <w:p w14:paraId="4E8AD93E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Promatrajući starosnu strukturu neriješenih predmeta Visokog trgovačkog suda Republike Hrvatske vidljivo je kako najveći udio otpada na predmete u kojima postupak traje do tri godine. Broj neriješenih predmeta u kojima postupak traje preko sedam godina je u odnosu na 2</w:t>
      </w:r>
      <w:r>
        <w:rPr>
          <w:rFonts w:ascii="Times New Roman" w:hAnsi="Times New Roman"/>
          <w:sz w:val="24"/>
          <w:szCs w:val="24"/>
        </w:rPr>
        <w:t>020. smanjen za čak 80 %.</w:t>
      </w:r>
      <w:r w:rsidRPr="00EE7845">
        <w:rPr>
          <w:rFonts w:ascii="Times New Roman" w:hAnsi="Times New Roman"/>
          <w:sz w:val="24"/>
          <w:szCs w:val="24"/>
        </w:rPr>
        <w:t xml:space="preserve"> </w:t>
      </w:r>
    </w:p>
    <w:p w14:paraId="3FBD0966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Svi upravni sudovi u Republici Hrvatskoj zaprimili su u rad tijekom 2022. ukupno 12.724 predmeta, riješili 13.589 predmeta ili 6,8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 više nego što su zaprimili u rad te je na kraju godine ostalo 5.325 neriješenih predmeta il</w:t>
      </w:r>
      <w:r>
        <w:rPr>
          <w:rFonts w:ascii="Times New Roman" w:hAnsi="Times New Roman"/>
          <w:sz w:val="24"/>
          <w:szCs w:val="24"/>
        </w:rPr>
        <w:t>i 14 % manje nego na kraju 2021.</w:t>
      </w:r>
    </w:p>
    <w:p w14:paraId="521E5AC8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Ključni pokazatelji uspješnosti ukazuju na pozitivan trend rezultata rada upravnih sudova u petogodišnjem razdoblju. Stopa rješavanja predmeta je iznad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%, a očekivano vrijeme trajanja postupka se skraćuje te je na kraju 2022. iznosilo 143 dana (na kra</w:t>
      </w:r>
      <w:r>
        <w:rPr>
          <w:rFonts w:ascii="Times New Roman" w:hAnsi="Times New Roman"/>
          <w:sz w:val="24"/>
          <w:szCs w:val="24"/>
        </w:rPr>
        <w:t>ju 2018. je iznosilo 197 dana).</w:t>
      </w:r>
      <w:r w:rsidRPr="00EE7845">
        <w:rPr>
          <w:rFonts w:ascii="Times New Roman" w:hAnsi="Times New Roman"/>
          <w:sz w:val="24"/>
          <w:szCs w:val="24"/>
        </w:rPr>
        <w:t xml:space="preserve"> </w:t>
      </w:r>
    </w:p>
    <w:p w14:paraId="718D847E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Tijekom godine Visoki upravni sud Republike Hrvatske zaprimio je nešto vi</w:t>
      </w:r>
      <w:r>
        <w:rPr>
          <w:rFonts w:ascii="Times New Roman" w:hAnsi="Times New Roman"/>
          <w:sz w:val="24"/>
          <w:szCs w:val="24"/>
        </w:rPr>
        <w:t xml:space="preserve">še predmeta nego 2021., odnosno </w:t>
      </w:r>
      <w:r w:rsidRPr="00EE7845">
        <w:rPr>
          <w:rFonts w:ascii="Times New Roman" w:hAnsi="Times New Roman"/>
          <w:sz w:val="24"/>
          <w:szCs w:val="24"/>
        </w:rPr>
        <w:t>5.562 predmeta, riješio 5.034 predmeta, što predstavlja najmanji broj riješenih predmeta u petogodišnjem razdoblju. Broj neriješenih predmeta je povećan za 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 u odnosu na pretho</w:t>
      </w:r>
      <w:r>
        <w:rPr>
          <w:rFonts w:ascii="Times New Roman" w:hAnsi="Times New Roman"/>
          <w:sz w:val="24"/>
          <w:szCs w:val="24"/>
        </w:rPr>
        <w:t>dnu godinu (s 2.111 na 2.639).</w:t>
      </w:r>
    </w:p>
    <w:p w14:paraId="5D20CDCF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Stopa ažurnosti je 90,51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%, što znači da sud rješava tijekom godine manje predmeta nego što ih zaprimi u rad, a zbog čega se i broj neriješenih predmeta povećao u odnosu na prethodnu godinu. Očekivano vrijeme rješavanja predmeta je s</w:t>
      </w:r>
      <w:r>
        <w:rPr>
          <w:rFonts w:ascii="Times New Roman" w:hAnsi="Times New Roman"/>
          <w:sz w:val="24"/>
          <w:szCs w:val="24"/>
        </w:rPr>
        <w:t>a 122 dana povećano na 191 dan.</w:t>
      </w:r>
    </w:p>
    <w:p w14:paraId="4E8457BD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Iz podataka o kretanju predmeta Vrhovnog suda Republike Hrvatske u 2022. proizlazi da je taj sud zaprimio u rad  tijekom godine ukupno 7.467 predmeta, riješio 10.072 predmeta, što ukazuje da je stopa ažurnosti visokih 134,89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%, odnosno da je tijekom godine riješeno gotovo 35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 više predmeta nego što ih je zaprimljeno u rad. Indikator vremena rješavanja premeta je smanjen sa 414 dana na 317 i najniži je u pret</w:t>
      </w:r>
      <w:r>
        <w:rPr>
          <w:rFonts w:ascii="Times New Roman" w:hAnsi="Times New Roman"/>
          <w:sz w:val="24"/>
          <w:szCs w:val="24"/>
        </w:rPr>
        <w:t>hodnom petogodišnjem razdoblju.</w:t>
      </w:r>
    </w:p>
    <w:p w14:paraId="4626C9D2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Najveći broj predmeta odnosi se na građansku granu suđenja,</w:t>
      </w:r>
      <w:r>
        <w:rPr>
          <w:rFonts w:ascii="Times New Roman" w:hAnsi="Times New Roman"/>
          <w:sz w:val="24"/>
          <w:szCs w:val="24"/>
        </w:rPr>
        <w:t xml:space="preserve"> a tijekom godine je zaprimljen</w:t>
      </w:r>
      <w:r w:rsidRPr="00EE7845">
        <w:rPr>
          <w:rFonts w:ascii="Times New Roman" w:hAnsi="Times New Roman"/>
          <w:sz w:val="24"/>
          <w:szCs w:val="24"/>
        </w:rPr>
        <w:t xml:space="preserve"> 7.021</w:t>
      </w:r>
      <w:r>
        <w:rPr>
          <w:rFonts w:ascii="Times New Roman" w:hAnsi="Times New Roman"/>
          <w:sz w:val="24"/>
          <w:szCs w:val="24"/>
        </w:rPr>
        <w:t xml:space="preserve"> predmet</w:t>
      </w:r>
      <w:r w:rsidRPr="00EE7845">
        <w:rPr>
          <w:rFonts w:ascii="Times New Roman" w:hAnsi="Times New Roman"/>
          <w:sz w:val="24"/>
          <w:szCs w:val="24"/>
        </w:rPr>
        <w:t>, riješeno 9.472</w:t>
      </w:r>
      <w:r>
        <w:rPr>
          <w:rFonts w:ascii="Times New Roman" w:hAnsi="Times New Roman"/>
          <w:sz w:val="24"/>
          <w:szCs w:val="24"/>
        </w:rPr>
        <w:t xml:space="preserve"> predmeta</w:t>
      </w:r>
      <w:r w:rsidRPr="00EE7845">
        <w:rPr>
          <w:rFonts w:ascii="Times New Roman" w:hAnsi="Times New Roman"/>
          <w:sz w:val="24"/>
          <w:szCs w:val="24"/>
        </w:rPr>
        <w:t>, a ostalo je neriješenih 8.635 predmeta. Stopa ažurnosti je 134,79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%, a očekivano vrijem</w:t>
      </w:r>
      <w:r>
        <w:rPr>
          <w:rFonts w:ascii="Times New Roman" w:hAnsi="Times New Roman"/>
          <w:sz w:val="24"/>
          <w:szCs w:val="24"/>
        </w:rPr>
        <w:t xml:space="preserve">e trajanja postupka je 333 dana, </w:t>
      </w:r>
      <w:r w:rsidRPr="00EE7845">
        <w:rPr>
          <w:rFonts w:ascii="Times New Roman" w:hAnsi="Times New Roman"/>
          <w:sz w:val="24"/>
          <w:szCs w:val="24"/>
        </w:rPr>
        <w:t>odnosno krać</w:t>
      </w:r>
      <w:r>
        <w:rPr>
          <w:rFonts w:ascii="Times New Roman" w:hAnsi="Times New Roman"/>
          <w:sz w:val="24"/>
          <w:szCs w:val="24"/>
        </w:rPr>
        <w:t xml:space="preserve">e za 92 dana u odnosu na 2021. </w:t>
      </w:r>
    </w:p>
    <w:p w14:paraId="59196729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U kaznenoj grani suđenja indikator vremena rješavanja predmeta je skraćen sa 88 dana na 69, uz stopu ažurnosti od gotovo 136,36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 xml:space="preserve">%, što predstavlja smanjenje </w:t>
      </w:r>
      <w:r>
        <w:rPr>
          <w:rFonts w:ascii="Times New Roman" w:hAnsi="Times New Roman"/>
          <w:sz w:val="24"/>
          <w:szCs w:val="24"/>
        </w:rPr>
        <w:t xml:space="preserve">u odnosu na prethodnu  godinu. </w:t>
      </w:r>
    </w:p>
    <w:p w14:paraId="3E9782FC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lastRenderedPageBreak/>
        <w:t>U Izvješću se ističe kako je naročit napredak ostvaren u građanskoj grani sudovanja gdje se broj neriješenih predmeta na kraju god</w:t>
      </w:r>
      <w:r>
        <w:rPr>
          <w:rFonts w:ascii="Times New Roman" w:hAnsi="Times New Roman"/>
          <w:sz w:val="24"/>
          <w:szCs w:val="24"/>
        </w:rPr>
        <w:t xml:space="preserve">ine smanjuje iz godine u godinu, </w:t>
      </w:r>
      <w:r w:rsidRPr="00EE7845">
        <w:rPr>
          <w:rFonts w:ascii="Times New Roman" w:hAnsi="Times New Roman"/>
          <w:sz w:val="24"/>
          <w:szCs w:val="24"/>
        </w:rPr>
        <w:t xml:space="preserve">uz relativno stabilan i vrlo velik priljev novih predmeta. Razlog tome je veće zalaganje sudaca, ali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EE7845">
        <w:rPr>
          <w:rFonts w:ascii="Times New Roman" w:hAnsi="Times New Roman"/>
          <w:sz w:val="24"/>
          <w:szCs w:val="24"/>
        </w:rPr>
        <w:t>promjene u organizaciji rada na način da je svakom od sudaca dodijeljen sudski savjetnik koji pomaže u radu i izrađuje nacrte odl</w:t>
      </w:r>
      <w:r>
        <w:rPr>
          <w:rFonts w:ascii="Times New Roman" w:hAnsi="Times New Roman"/>
          <w:sz w:val="24"/>
          <w:szCs w:val="24"/>
        </w:rPr>
        <w:t xml:space="preserve">uka u jednostavnijim predmetima, </w:t>
      </w:r>
      <w:r w:rsidRPr="00EE7845">
        <w:rPr>
          <w:rFonts w:ascii="Times New Roman" w:hAnsi="Times New Roman"/>
          <w:sz w:val="24"/>
          <w:szCs w:val="24"/>
        </w:rPr>
        <w:t xml:space="preserve">tako da se na mjesečnoj i godišnjoj razini rješava veći broj predmeta. </w:t>
      </w:r>
    </w:p>
    <w:p w14:paraId="5588D763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DBBC2A2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Izvješće se posebno osvrće i na ustavnu ulogu Vrhovnog suda Republike Hrvatske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- osiguranje jedinstvene primjene propisa i ujednačavanje sudske prakse. Tijekom 2022. održano je sedam sjednica Građanskog odjela na kojima je zauzeto 12 pravnih shvaćanja. Kazneni odjel j</w:t>
      </w:r>
      <w:r>
        <w:rPr>
          <w:rFonts w:ascii="Times New Roman" w:hAnsi="Times New Roman"/>
          <w:sz w:val="24"/>
          <w:szCs w:val="24"/>
        </w:rPr>
        <w:t>e održao četiri sjednice na koji</w:t>
      </w:r>
      <w:r w:rsidRPr="00EE784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 w:rsidRPr="00EE7845">
        <w:rPr>
          <w:rFonts w:ascii="Times New Roman" w:hAnsi="Times New Roman"/>
          <w:sz w:val="24"/>
          <w:szCs w:val="24"/>
        </w:rPr>
        <w:t xml:space="preserve"> su donesena četiri pravna shvaćanja i dva zaključka. Također su održana dva sastanka s predsjednicima građanskih odjela županijskih sudova, sastanak sa svim suci</w:t>
      </w:r>
      <w:r>
        <w:rPr>
          <w:rFonts w:ascii="Times New Roman" w:hAnsi="Times New Roman"/>
          <w:sz w:val="24"/>
          <w:szCs w:val="24"/>
        </w:rPr>
        <w:t xml:space="preserve">ma izvršenja županijskih sudova, </w:t>
      </w:r>
      <w:r w:rsidRPr="00EE7845">
        <w:rPr>
          <w:rFonts w:ascii="Times New Roman" w:hAnsi="Times New Roman"/>
          <w:sz w:val="24"/>
          <w:szCs w:val="24"/>
        </w:rPr>
        <w:t>kao i sastanak s predsjednicima vijeća Visokog kaznenog suda Republi</w:t>
      </w:r>
      <w:r>
        <w:rPr>
          <w:rFonts w:ascii="Times New Roman" w:hAnsi="Times New Roman"/>
          <w:sz w:val="24"/>
          <w:szCs w:val="24"/>
        </w:rPr>
        <w:t>ke Hrvatske</w:t>
      </w:r>
      <w:r w:rsidRPr="00EE7845">
        <w:rPr>
          <w:rFonts w:ascii="Times New Roman" w:hAnsi="Times New Roman"/>
          <w:sz w:val="24"/>
          <w:szCs w:val="24"/>
        </w:rPr>
        <w:t xml:space="preserve"> i predsjednicima kazn</w:t>
      </w:r>
      <w:r>
        <w:rPr>
          <w:rFonts w:ascii="Times New Roman" w:hAnsi="Times New Roman"/>
          <w:sz w:val="24"/>
          <w:szCs w:val="24"/>
        </w:rPr>
        <w:t>enih odjela županijskih sudova.</w:t>
      </w:r>
    </w:p>
    <w:p w14:paraId="2726C09B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U Izvješću je prikazana analiza rezultata općinskih, trgovačkih i županijskih sudova i Visokog trgovačkog suda Republike Hrvatske u rješavanju predmeta u kojima postupak traje preko 10 godina („stari predmeti“). Prema predstavljenim podacima u svim sudovima je tijekom godine bilo u radu 20.514 „starih predmeta“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(7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 manje nego godinu ranije) od kojih je 8.484 (41</w:t>
      </w:r>
      <w:r>
        <w:rPr>
          <w:rFonts w:ascii="Times New Roman" w:hAnsi="Times New Roman"/>
          <w:sz w:val="24"/>
          <w:szCs w:val="24"/>
        </w:rPr>
        <w:t xml:space="preserve"> %) </w:t>
      </w:r>
      <w:r w:rsidRPr="00EE7845">
        <w:rPr>
          <w:rFonts w:ascii="Times New Roman" w:hAnsi="Times New Roman"/>
          <w:sz w:val="24"/>
          <w:szCs w:val="24"/>
        </w:rPr>
        <w:t>preneseno iz prethodnog razdoblja, a 12.230 (59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%) je, s obzirom na datum početka postupka, status „starog pred</w:t>
      </w:r>
      <w:r>
        <w:rPr>
          <w:rFonts w:ascii="Times New Roman" w:hAnsi="Times New Roman"/>
          <w:sz w:val="24"/>
          <w:szCs w:val="24"/>
        </w:rPr>
        <w:t xml:space="preserve">meta“ steklo tijekom godine.  </w:t>
      </w:r>
    </w:p>
    <w:p w14:paraId="14B7C89D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Općinski sudovi i Visoki trgovački sud Republike Hrvatske su smanjili broj neriješenih „starih predmeta“, i to općinski sudovi za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>%, a Visoki trgovački sud Republike Hrvatske za gotovo 71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 xml:space="preserve">%. Trgovački sudovi </w:t>
      </w:r>
      <w:r>
        <w:rPr>
          <w:rFonts w:ascii="Times New Roman" w:hAnsi="Times New Roman"/>
          <w:sz w:val="24"/>
          <w:szCs w:val="24"/>
        </w:rPr>
        <w:t xml:space="preserve">su povećali </w:t>
      </w:r>
      <w:r w:rsidRPr="00EE7845">
        <w:rPr>
          <w:rFonts w:ascii="Times New Roman" w:hAnsi="Times New Roman"/>
          <w:sz w:val="24"/>
          <w:szCs w:val="24"/>
        </w:rPr>
        <w:t>broj neriješenih „starih predmeta“ za 31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45">
        <w:rPr>
          <w:rFonts w:ascii="Times New Roman" w:hAnsi="Times New Roman"/>
          <w:sz w:val="24"/>
          <w:szCs w:val="24"/>
        </w:rPr>
        <w:t xml:space="preserve">%, a </w:t>
      </w:r>
      <w:r>
        <w:rPr>
          <w:rFonts w:ascii="Times New Roman" w:hAnsi="Times New Roman"/>
          <w:sz w:val="24"/>
          <w:szCs w:val="24"/>
        </w:rPr>
        <w:t>županijski sudovi za gotovo 7 %.</w:t>
      </w:r>
    </w:p>
    <w:p w14:paraId="6997DB64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Izvješće sadrži podatke o rezultatima rada svakog pojedinog općinskog</w:t>
      </w:r>
      <w:r>
        <w:rPr>
          <w:rFonts w:ascii="Times New Roman" w:hAnsi="Times New Roman"/>
          <w:sz w:val="24"/>
          <w:szCs w:val="24"/>
        </w:rPr>
        <w:t xml:space="preserve">, trgovačkog i županijskog suda, </w:t>
      </w:r>
      <w:r w:rsidRPr="00EE7845">
        <w:rPr>
          <w:rFonts w:ascii="Times New Roman" w:hAnsi="Times New Roman"/>
          <w:sz w:val="24"/>
          <w:szCs w:val="24"/>
        </w:rPr>
        <w:t>kao i Visokog trgovačkog suda Republike H</w:t>
      </w:r>
      <w:r>
        <w:rPr>
          <w:rFonts w:ascii="Times New Roman" w:hAnsi="Times New Roman"/>
          <w:sz w:val="24"/>
          <w:szCs w:val="24"/>
        </w:rPr>
        <w:t>rvatske na „starim“ predmetima.</w:t>
      </w:r>
      <w:r w:rsidRPr="00EE7845">
        <w:rPr>
          <w:rFonts w:ascii="Times New Roman" w:hAnsi="Times New Roman"/>
          <w:sz w:val="24"/>
          <w:szCs w:val="24"/>
        </w:rPr>
        <w:t xml:space="preserve">      </w:t>
      </w:r>
    </w:p>
    <w:p w14:paraId="01C8798D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U Izvješću se navode podaci o stanju infrastrukture sudova i iskazanim potrebama za osiguranjem dodatnog radnog prostora. Sudovi raspolažu s 1.421 sudnica i 2.183 ostala ureda, a is</w:t>
      </w:r>
      <w:r>
        <w:rPr>
          <w:rFonts w:ascii="Times New Roman" w:hAnsi="Times New Roman"/>
          <w:sz w:val="24"/>
          <w:szCs w:val="24"/>
        </w:rPr>
        <w:t>kazuju potrebu za još 63 sudnice i 41 ostali</w:t>
      </w:r>
      <w:r w:rsidRPr="00EE7845">
        <w:rPr>
          <w:rFonts w:ascii="Times New Roman" w:hAnsi="Times New Roman"/>
          <w:sz w:val="24"/>
          <w:szCs w:val="24"/>
        </w:rPr>
        <w:t xml:space="preserve"> ured. Sudovi su iskazali potrebu za nabavkom 3.081 računala </w:t>
      </w:r>
      <w:r>
        <w:rPr>
          <w:rFonts w:ascii="Times New Roman" w:hAnsi="Times New Roman"/>
          <w:sz w:val="24"/>
          <w:szCs w:val="24"/>
        </w:rPr>
        <w:t xml:space="preserve">te 212 prijenosnih računala. </w:t>
      </w:r>
    </w:p>
    <w:p w14:paraId="02EBD11F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Posebno su obrađeni podaci o elektroničkoj komunikaciji sa sudovima te su izneseni podaci o broju podnesaka i pismena upućenih p</w:t>
      </w:r>
      <w:r>
        <w:rPr>
          <w:rFonts w:ascii="Times New Roman" w:hAnsi="Times New Roman"/>
          <w:sz w:val="24"/>
          <w:szCs w:val="24"/>
        </w:rPr>
        <w:t>utem elektroničke komunikacije.</w:t>
      </w:r>
    </w:p>
    <w:p w14:paraId="2BC23CE6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lastRenderedPageBreak/>
        <w:t xml:space="preserve">Prema iznesenim podacima, Pravosudna akademija je tijekom 2022. održala 446 aktivnosti za 7.107 polaznika, a najveći dio </w:t>
      </w:r>
      <w:r>
        <w:rPr>
          <w:rFonts w:ascii="Times New Roman" w:hAnsi="Times New Roman"/>
          <w:sz w:val="24"/>
          <w:szCs w:val="24"/>
        </w:rPr>
        <w:t>polaznika činili su suci (40 %).</w:t>
      </w:r>
    </w:p>
    <w:p w14:paraId="55A71B97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U Izvješću se nav</w:t>
      </w:r>
      <w:r>
        <w:rPr>
          <w:rFonts w:ascii="Times New Roman" w:hAnsi="Times New Roman"/>
          <w:sz w:val="24"/>
          <w:szCs w:val="24"/>
        </w:rPr>
        <w:t xml:space="preserve">odi i iznos sredstava koja su </w:t>
      </w:r>
      <w:r w:rsidRPr="00EE7845">
        <w:rPr>
          <w:rFonts w:ascii="Times New Roman" w:hAnsi="Times New Roman"/>
          <w:sz w:val="24"/>
          <w:szCs w:val="24"/>
        </w:rPr>
        <w:t>Državnim proračunom osigurana za sudbenu vlast u 2022. iz kojeg je vidljivo da je iznos ukupnih planiranih proračunskih izdvajanja za sudove u 2022. povećan u odnosu na prethodnu godinu i iznosio je 1.454.213.18,98 k</w:t>
      </w:r>
      <w:r>
        <w:rPr>
          <w:rFonts w:ascii="Times New Roman" w:hAnsi="Times New Roman"/>
          <w:sz w:val="24"/>
          <w:szCs w:val="24"/>
        </w:rPr>
        <w:t>u</w:t>
      </w:r>
      <w:r w:rsidRPr="00EE784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 w:rsidRPr="00EE7845">
        <w:rPr>
          <w:rFonts w:ascii="Times New Roman" w:hAnsi="Times New Roman"/>
          <w:sz w:val="24"/>
          <w:szCs w:val="24"/>
        </w:rPr>
        <w:t>. Također se navodi da je, pr</w:t>
      </w:r>
      <w:r>
        <w:rPr>
          <w:rFonts w:ascii="Times New Roman" w:hAnsi="Times New Roman"/>
          <w:sz w:val="24"/>
          <w:szCs w:val="24"/>
        </w:rPr>
        <w:t xml:space="preserve">ema podacima iz sustava eSpis, </w:t>
      </w:r>
      <w:r w:rsidRPr="00EE7845">
        <w:rPr>
          <w:rFonts w:ascii="Times New Roman" w:hAnsi="Times New Roman"/>
          <w:sz w:val="24"/>
          <w:szCs w:val="24"/>
        </w:rPr>
        <w:t>u 2022. uplaćeno 113.440.145,45 kuna na ime sudskih pristojbi (bez zemljišnoknjižnih predmet</w:t>
      </w:r>
      <w:r>
        <w:rPr>
          <w:rFonts w:ascii="Times New Roman" w:hAnsi="Times New Roman"/>
          <w:sz w:val="24"/>
          <w:szCs w:val="24"/>
        </w:rPr>
        <w:t>a i predmeta sudskog registra).</w:t>
      </w:r>
    </w:p>
    <w:p w14:paraId="06DA5277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U Izvješću se ne iznosi nova  analiza stanja sudbene vlasti nego se i dalje upućuje na izneseno u Izvješću o stanju sudben vlasti za 2021. uz obrazloženje da je istim predloženo više mjera i aktivnosti za čiju je provedbu potrebno dulje od jedne godine te da se sada radi na tome, a konačni uspjeh će ovisiti o sinergiji između sudbene</w:t>
      </w:r>
      <w:r>
        <w:rPr>
          <w:rFonts w:ascii="Times New Roman" w:hAnsi="Times New Roman"/>
          <w:sz w:val="24"/>
          <w:szCs w:val="24"/>
        </w:rPr>
        <w:t>, zakonodavne i izvršne vlasti.</w:t>
      </w:r>
    </w:p>
    <w:p w14:paraId="009A5435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 xml:space="preserve">Uočava se kako se nastavlja trend smanjivanja broja sudaca te da se broj novozaprimljenih predmeta na sudove bitno ne smanjuje. </w:t>
      </w:r>
    </w:p>
    <w:p w14:paraId="3B9D38D7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 xml:space="preserve">Zaključno se ocjenjuje kako su pokazatelji uspješnosti rada sudova povoljniji nego prethodne godine, s obzirom </w:t>
      </w:r>
      <w:r>
        <w:rPr>
          <w:rFonts w:ascii="Times New Roman" w:hAnsi="Times New Roman"/>
          <w:sz w:val="24"/>
          <w:szCs w:val="24"/>
        </w:rPr>
        <w:t xml:space="preserve">na to </w:t>
      </w:r>
      <w:r w:rsidRPr="00EE7845">
        <w:rPr>
          <w:rFonts w:ascii="Times New Roman" w:hAnsi="Times New Roman"/>
          <w:sz w:val="24"/>
          <w:szCs w:val="24"/>
        </w:rPr>
        <w:t>da su sudovi riješili više predmeta nego što su tijekom godine zaprimili u rad, smanjen je broj neriješenih predmeta, povećana je stopa ažurnosti sa 96,88</w:t>
      </w:r>
      <w:r>
        <w:rPr>
          <w:rFonts w:ascii="Times New Roman" w:hAnsi="Times New Roman"/>
          <w:sz w:val="24"/>
          <w:szCs w:val="24"/>
        </w:rPr>
        <w:t xml:space="preserve"> % na 103,58 %,</w:t>
      </w:r>
      <w:r w:rsidRPr="00EE7845">
        <w:rPr>
          <w:rFonts w:ascii="Times New Roman" w:hAnsi="Times New Roman"/>
          <w:sz w:val="24"/>
          <w:szCs w:val="24"/>
        </w:rPr>
        <w:t xml:space="preserve"> skraćeno je očekivano vrijeme trajanja postupka na 123 dana, a suci su prosječno riješili 811 predmeta (2021. prosječno su riješili 770). </w:t>
      </w:r>
    </w:p>
    <w:p w14:paraId="199A63CE" w14:textId="77777777" w:rsidR="00C33C72" w:rsidRPr="00EC6041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Vlada Republike Hrvatske ukazuje na </w:t>
      </w:r>
      <w:r w:rsidRPr="00EE7845">
        <w:rPr>
          <w:rFonts w:ascii="Times New Roman" w:hAnsi="Times New Roman"/>
          <w:sz w:val="24"/>
          <w:szCs w:val="24"/>
        </w:rPr>
        <w:t>razmjerno veliki broj predmeta koje Ured zastupnice Republike Hrvatske pred Eu</w:t>
      </w:r>
      <w:r>
        <w:rPr>
          <w:rFonts w:ascii="Times New Roman" w:hAnsi="Times New Roman"/>
          <w:sz w:val="24"/>
          <w:szCs w:val="24"/>
        </w:rPr>
        <w:t xml:space="preserve">ropskim sudom za ljudska prava </w:t>
      </w:r>
      <w:r w:rsidRPr="00EE7845">
        <w:rPr>
          <w:rFonts w:ascii="Times New Roman" w:hAnsi="Times New Roman"/>
          <w:sz w:val="24"/>
          <w:szCs w:val="24"/>
        </w:rPr>
        <w:t>zaprima od E</w:t>
      </w:r>
      <w:r>
        <w:rPr>
          <w:rFonts w:ascii="Times New Roman" w:hAnsi="Times New Roman"/>
          <w:sz w:val="24"/>
          <w:szCs w:val="24"/>
        </w:rPr>
        <w:t xml:space="preserve">uropskog suda za ljudska prava </w:t>
      </w:r>
      <w:r w:rsidRPr="00EE7845">
        <w:rPr>
          <w:rFonts w:ascii="Times New Roman" w:hAnsi="Times New Roman"/>
          <w:sz w:val="24"/>
          <w:szCs w:val="24"/>
        </w:rPr>
        <w:t>u kojima podnositelji ističu kršenje jednog ili više prava zajamčenih Konvencijom za zaštitu ljudskih prava</w:t>
      </w:r>
      <w:r>
        <w:rPr>
          <w:rFonts w:ascii="Times New Roman" w:hAnsi="Times New Roman"/>
          <w:sz w:val="24"/>
          <w:szCs w:val="24"/>
        </w:rPr>
        <w:t xml:space="preserve"> i temeljnih sloboda, a </w:t>
      </w:r>
      <w:r w:rsidRPr="00EE7845">
        <w:rPr>
          <w:rFonts w:ascii="Times New Roman" w:hAnsi="Times New Roman"/>
          <w:sz w:val="24"/>
          <w:szCs w:val="24"/>
        </w:rPr>
        <w:t xml:space="preserve">gotovo 1/3 predmeta tiče se  duljine sudskog postupka. Najveći broj </w:t>
      </w:r>
      <w:r>
        <w:rPr>
          <w:rFonts w:ascii="Times New Roman" w:hAnsi="Times New Roman"/>
          <w:sz w:val="24"/>
          <w:szCs w:val="24"/>
        </w:rPr>
        <w:t xml:space="preserve">predmeta, </w:t>
      </w:r>
      <w:r w:rsidRPr="00EE7845">
        <w:rPr>
          <w:rFonts w:ascii="Times New Roman" w:hAnsi="Times New Roman"/>
          <w:sz w:val="24"/>
          <w:szCs w:val="24"/>
        </w:rPr>
        <w:t>kao i većina presuda Europskog suda u kojima su utvrđene povrede Konvencije</w:t>
      </w:r>
      <w:r>
        <w:rPr>
          <w:rFonts w:ascii="Times New Roman" w:hAnsi="Times New Roman"/>
          <w:sz w:val="24"/>
          <w:szCs w:val="24"/>
        </w:rPr>
        <w:t>,</w:t>
      </w:r>
      <w:r w:rsidRPr="00EE7845">
        <w:rPr>
          <w:rFonts w:ascii="Times New Roman" w:hAnsi="Times New Roman"/>
          <w:sz w:val="24"/>
          <w:szCs w:val="24"/>
        </w:rPr>
        <w:t xml:space="preserve"> se odnosi na kvalitetu sudovanja tj</w:t>
      </w:r>
      <w:r>
        <w:rPr>
          <w:rFonts w:ascii="Times New Roman" w:hAnsi="Times New Roman"/>
          <w:sz w:val="24"/>
          <w:szCs w:val="24"/>
        </w:rPr>
        <w:t>.</w:t>
      </w:r>
      <w:r w:rsidRPr="00EE7845">
        <w:rPr>
          <w:rFonts w:ascii="Times New Roman" w:hAnsi="Times New Roman"/>
          <w:sz w:val="24"/>
          <w:szCs w:val="24"/>
        </w:rPr>
        <w:t xml:space="preserve"> na kvalitetu provođenja raznih postupaka i kvalitetu sudskih odluka do najviše razine. </w:t>
      </w:r>
      <w:r>
        <w:rPr>
          <w:rFonts w:ascii="Times New Roman" w:hAnsi="Times New Roman"/>
          <w:sz w:val="24"/>
          <w:szCs w:val="24"/>
        </w:rPr>
        <w:t>Ujedno se</w:t>
      </w:r>
      <w:r w:rsidRPr="00EE7845">
        <w:rPr>
          <w:rFonts w:ascii="Times New Roman" w:hAnsi="Times New Roman"/>
          <w:sz w:val="24"/>
          <w:szCs w:val="24"/>
        </w:rPr>
        <w:t xml:space="preserve"> naglašava nužnost kvalitetne i kontinuirane edukacije sudaca o Konvenciji i sudskoj praksi Europskog suda i ističe kako bi službe evidencije na sudovima, koje pregledavaju i ocjenjuju sukladnost odluka sudskih vijeća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EE7845">
        <w:rPr>
          <w:rFonts w:ascii="Times New Roman" w:hAnsi="Times New Roman"/>
          <w:sz w:val="24"/>
          <w:szCs w:val="24"/>
        </w:rPr>
        <w:t xml:space="preserve">pravnim stajalištima u ranijim odlukama, trebale pregledavati i je li konkretna odluka u </w:t>
      </w:r>
      <w:r>
        <w:rPr>
          <w:rFonts w:ascii="Times New Roman" w:hAnsi="Times New Roman"/>
          <w:sz w:val="24"/>
          <w:szCs w:val="24"/>
        </w:rPr>
        <w:t>s</w:t>
      </w:r>
      <w:r w:rsidRPr="00EE7845">
        <w:rPr>
          <w:rFonts w:ascii="Times New Roman" w:hAnsi="Times New Roman"/>
          <w:sz w:val="24"/>
          <w:szCs w:val="24"/>
        </w:rPr>
        <w:t>kladu s konvencijskim standardima i sudskom praksom Europskog suda, što bi doprinijelo pravnoj sigurnosti i una</w:t>
      </w:r>
      <w:r>
        <w:rPr>
          <w:rFonts w:ascii="Times New Roman" w:hAnsi="Times New Roman"/>
          <w:sz w:val="24"/>
          <w:szCs w:val="24"/>
        </w:rPr>
        <w:t xml:space="preserve">prijedilo kvalitetu sudovanja. </w:t>
      </w:r>
    </w:p>
    <w:p w14:paraId="52F390A7" w14:textId="77777777" w:rsidR="00C33C72" w:rsidRPr="00EE7845" w:rsidRDefault="00C33C72" w:rsidP="00C33C72">
      <w:pPr>
        <w:spacing w:line="24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2F8D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2F8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2F8D"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2F8D"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2F8D"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2F8D"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2F8D"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2F8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2F8D">
        <w:rPr>
          <w:rFonts w:ascii="Times New Roman" w:hAnsi="Times New Roman"/>
          <w:b/>
          <w:bCs/>
          <w:sz w:val="24"/>
          <w:szCs w:val="24"/>
        </w:rPr>
        <w:t>K</w:t>
      </w:r>
    </w:p>
    <w:p w14:paraId="6501470F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Prema naprijed navedenom, Izvješće sadrži pregled kretanja predmeta po svim vrstama</w:t>
      </w:r>
      <w:r>
        <w:rPr>
          <w:rFonts w:ascii="Times New Roman" w:hAnsi="Times New Roman"/>
          <w:sz w:val="24"/>
          <w:szCs w:val="24"/>
        </w:rPr>
        <w:t xml:space="preserve"> sudova i svim vrstama postupka, </w:t>
      </w:r>
      <w:r w:rsidRPr="00EE7845">
        <w:rPr>
          <w:rFonts w:ascii="Times New Roman" w:hAnsi="Times New Roman"/>
          <w:sz w:val="24"/>
          <w:szCs w:val="24"/>
        </w:rPr>
        <w:t>kao i pregled pokazatelja uspješ</w:t>
      </w:r>
      <w:r w:rsidRPr="00EE7845">
        <w:rPr>
          <w:rFonts w:ascii="Times New Roman" w:hAnsi="Times New Roman"/>
          <w:sz w:val="24"/>
          <w:szCs w:val="24"/>
        </w:rPr>
        <w:lastRenderedPageBreak/>
        <w:t>nosti rada sudova iz kojih proizlazi da su sudovi tijekom 2022. post</w:t>
      </w:r>
      <w:r>
        <w:rPr>
          <w:rFonts w:ascii="Times New Roman" w:hAnsi="Times New Roman"/>
          <w:sz w:val="24"/>
          <w:szCs w:val="24"/>
        </w:rPr>
        <w:t xml:space="preserve">igli zadovoljavajuće rezultate </w:t>
      </w:r>
      <w:r w:rsidRPr="00EE7845">
        <w:rPr>
          <w:rFonts w:ascii="Times New Roman" w:hAnsi="Times New Roman"/>
          <w:sz w:val="24"/>
          <w:szCs w:val="24"/>
        </w:rPr>
        <w:t>koji se ogledaju u zadovol</w:t>
      </w:r>
      <w:r>
        <w:rPr>
          <w:rFonts w:ascii="Times New Roman" w:hAnsi="Times New Roman"/>
          <w:sz w:val="24"/>
          <w:szCs w:val="24"/>
        </w:rPr>
        <w:t xml:space="preserve">javajućoj stopi ažurnosti preko </w:t>
      </w:r>
      <w:r w:rsidRPr="00EE7845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%, skraćivanju </w:t>
      </w:r>
      <w:r w:rsidRPr="00EE7845">
        <w:rPr>
          <w:rFonts w:ascii="Times New Roman" w:hAnsi="Times New Roman"/>
          <w:sz w:val="24"/>
          <w:szCs w:val="24"/>
        </w:rPr>
        <w:t>vremena očekivanog rješavanja predmeta i najvećem broju prosječno riješenih predmeta po rješavatelju (sucu/sudskom savjetnik</w:t>
      </w:r>
      <w:r>
        <w:rPr>
          <w:rFonts w:ascii="Times New Roman" w:hAnsi="Times New Roman"/>
          <w:sz w:val="24"/>
          <w:szCs w:val="24"/>
        </w:rPr>
        <w:t xml:space="preserve">u) u proteklom razdoblju od pet godina. </w:t>
      </w:r>
    </w:p>
    <w:p w14:paraId="7D0FF5F8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Iako je Visoki kazneni sud Republike Hrvatske započeo s radom 1. siječnja 2021., podaci  o njegovom radu navedeni su s</w:t>
      </w:r>
      <w:r>
        <w:rPr>
          <w:rFonts w:ascii="Times New Roman" w:hAnsi="Times New Roman"/>
          <w:sz w:val="24"/>
          <w:szCs w:val="24"/>
        </w:rPr>
        <w:t>a</w:t>
      </w:r>
      <w:r w:rsidRPr="00EE7845">
        <w:rPr>
          <w:rFonts w:ascii="Times New Roman" w:hAnsi="Times New Roman"/>
          <w:sz w:val="24"/>
          <w:szCs w:val="24"/>
        </w:rPr>
        <w:t>mo u dijelu Izvješća u kojem se obrađuju sumarni statistički podaci o kretanju predmeta na sudovima i pokazatelji uspje</w:t>
      </w:r>
      <w:r>
        <w:rPr>
          <w:rFonts w:ascii="Times New Roman" w:hAnsi="Times New Roman"/>
          <w:sz w:val="24"/>
          <w:szCs w:val="24"/>
        </w:rPr>
        <w:t>šnosti rada na predmetima.</w:t>
      </w:r>
    </w:p>
    <w:p w14:paraId="685C1E08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Iz podataka koji se nalaze u Izvješću proizlazi smanjenje broja neriješenih predmeta općinskih, županijskih, trgovačkih sudova i Visokog trgovačkog suda Republike Hrvatske u kojima postupak traje preko 10 godina, no još uvijek se radi o r</w:t>
      </w:r>
      <w:r>
        <w:rPr>
          <w:rFonts w:ascii="Times New Roman" w:hAnsi="Times New Roman"/>
          <w:sz w:val="24"/>
          <w:szCs w:val="24"/>
        </w:rPr>
        <w:t xml:space="preserve">azmjerno visokoj brojci od oko </w:t>
      </w:r>
      <w:r w:rsidRPr="00EE7845">
        <w:rPr>
          <w:rFonts w:ascii="Times New Roman" w:hAnsi="Times New Roman"/>
          <w:sz w:val="24"/>
          <w:szCs w:val="24"/>
        </w:rPr>
        <w:t xml:space="preserve">7.909 predmeta na kraju 2022. U narednom razdoblju potrebno je uložiti dodatne napore kako bi se povećala učinkovitost sudaca i sudova u rješavanju predmeta iz njihove nadležnosti, a posebno onih u kojima postupak traje duže od 10 godina.  </w:t>
      </w:r>
    </w:p>
    <w:p w14:paraId="30F90B53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E7845">
        <w:rPr>
          <w:rFonts w:ascii="Times New Roman" w:hAnsi="Times New Roman"/>
          <w:sz w:val="24"/>
          <w:szCs w:val="24"/>
        </w:rPr>
        <w:t>Polazeći od ustavne zadaće Vrhovnog suda Republike Hrvatske, potrebno je uložiti dodatan napor radi jedinstvene primjene nacionalnih propisa i ujednačavanja nacionalne sudske prakse i radi pod</w:t>
      </w:r>
      <w:r>
        <w:rPr>
          <w:rFonts w:ascii="Times New Roman" w:hAnsi="Times New Roman"/>
          <w:sz w:val="24"/>
          <w:szCs w:val="24"/>
        </w:rPr>
        <w:t xml:space="preserve">izanja kvalitete sudskih odluka, </w:t>
      </w:r>
      <w:r w:rsidRPr="00EE7845">
        <w:rPr>
          <w:rFonts w:ascii="Times New Roman" w:hAnsi="Times New Roman"/>
          <w:sz w:val="24"/>
          <w:szCs w:val="24"/>
        </w:rPr>
        <w:t xml:space="preserve">kao i radi usklađenosti sudskih postupaka i odluka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EE7845">
        <w:rPr>
          <w:rFonts w:ascii="Times New Roman" w:hAnsi="Times New Roman"/>
          <w:sz w:val="24"/>
          <w:szCs w:val="24"/>
        </w:rPr>
        <w:t>standardima Konvencije za zaštitu ljudskih prava i temeljnih sloboda i sudskom praksom Europskog suda</w:t>
      </w:r>
      <w:r>
        <w:rPr>
          <w:rFonts w:ascii="Times New Roman" w:hAnsi="Times New Roman"/>
          <w:sz w:val="24"/>
          <w:szCs w:val="24"/>
        </w:rPr>
        <w:t xml:space="preserve"> za ljudska prava</w:t>
      </w:r>
      <w:r w:rsidRPr="00EE7845">
        <w:rPr>
          <w:rFonts w:ascii="Times New Roman" w:hAnsi="Times New Roman"/>
          <w:sz w:val="24"/>
          <w:szCs w:val="24"/>
        </w:rPr>
        <w:t>.</w:t>
      </w:r>
    </w:p>
    <w:p w14:paraId="5D3430A3" w14:textId="77777777" w:rsidR="00C33C72" w:rsidRPr="00EE7845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o</w:t>
      </w:r>
      <w:r w:rsidRPr="00EE7845">
        <w:rPr>
          <w:rFonts w:ascii="Times New Roman" w:hAnsi="Times New Roman"/>
          <w:sz w:val="24"/>
          <w:szCs w:val="24"/>
        </w:rPr>
        <w:t>bzirom na problematiku nasilja u obitelji i nasilja nad ženama i zakonodavne izmjene predložene u cilju osnaživanja prava žrtava nasilja i suzbijanja na</w:t>
      </w:r>
      <w:r>
        <w:rPr>
          <w:rFonts w:ascii="Times New Roman" w:hAnsi="Times New Roman"/>
          <w:sz w:val="24"/>
          <w:szCs w:val="24"/>
        </w:rPr>
        <w:t xml:space="preserve">silja, Vlada Republike Hrvatske </w:t>
      </w:r>
      <w:r w:rsidRPr="00EE7845">
        <w:rPr>
          <w:rFonts w:ascii="Times New Roman" w:hAnsi="Times New Roman"/>
          <w:sz w:val="24"/>
          <w:szCs w:val="24"/>
        </w:rPr>
        <w:t xml:space="preserve">ukazuje na nužnost ulaganja dodatnih napora ujednačavanja sudske prakse i osvješćivanja pravosudnih dužnosnika o pravima žrtava kaznenih i prekršajnih djela u cilju postizanja veće pravne zaštite žrtava. </w:t>
      </w:r>
    </w:p>
    <w:p w14:paraId="363AD3FA" w14:textId="3A116CD4" w:rsidR="00C33C72" w:rsidRPr="00932F8D" w:rsidRDefault="006675AF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Slijedom navedenoga, </w:t>
      </w:r>
      <w:r w:rsidR="00DB4C17">
        <w:rPr>
          <w:rFonts w:ascii="Times New Roman" w:hAnsi="Times New Roman"/>
          <w:sz w:val="24"/>
          <w:szCs w:val="24"/>
        </w:rPr>
        <w:t xml:space="preserve">Vlada Republike Hrvatske predlaže Hrvatskome saboru da </w:t>
      </w:r>
      <w:r>
        <w:rPr>
          <w:rFonts w:ascii="Times New Roman" w:hAnsi="Times New Roman"/>
          <w:sz w:val="24"/>
          <w:szCs w:val="24"/>
        </w:rPr>
        <w:t xml:space="preserve">Izvješće </w:t>
      </w:r>
      <w:r w:rsidR="0022446D" w:rsidRPr="00932F8D">
        <w:rPr>
          <w:rFonts w:ascii="Times New Roman" w:eastAsia="Times New Roman" w:hAnsi="Times New Roman"/>
          <w:sz w:val="24"/>
          <w:szCs w:val="24"/>
          <w:lang w:eastAsia="hr-HR"/>
        </w:rPr>
        <w:t>predsjednika Vrhovnog suda Republike Hrvatske</w:t>
      </w:r>
      <w:r w:rsidR="0022446D">
        <w:rPr>
          <w:rFonts w:ascii="Times New Roman" w:eastAsia="Times New Roman" w:hAnsi="Times New Roman"/>
          <w:sz w:val="24"/>
          <w:szCs w:val="24"/>
          <w:lang w:eastAsia="hr-HR"/>
        </w:rPr>
        <w:t xml:space="preserve"> o stanju sudbene vlasti za 2022</w:t>
      </w:r>
      <w:r w:rsidR="0022446D" w:rsidRPr="00932F8D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</w:t>
      </w:r>
      <w:r w:rsidR="00DB4C17">
        <w:rPr>
          <w:rFonts w:ascii="Times New Roman" w:hAnsi="Times New Roman"/>
          <w:sz w:val="24"/>
          <w:szCs w:val="24"/>
        </w:rPr>
        <w:t>primi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na znanje.</w:t>
      </w:r>
    </w:p>
    <w:p w14:paraId="09E2F3D7" w14:textId="77777777" w:rsidR="00C33C72" w:rsidRPr="00932F8D" w:rsidRDefault="00C33C72" w:rsidP="00C33C72">
      <w:pPr>
        <w:spacing w:line="242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2F8D">
        <w:rPr>
          <w:rFonts w:ascii="Times New Roman" w:eastAsia="Times New Roman" w:hAnsi="Times New Roman"/>
          <w:sz w:val="24"/>
          <w:szCs w:val="24"/>
          <w:lang w:eastAsia="hr-HR"/>
        </w:rPr>
        <w:t>Za svoje predstavnike, koji će u vezi s iznesenim mišljenjem biti nazočni na sjednicama Hrvatskoga sabora i njegovih radnih tijela, Vlada</w:t>
      </w:r>
      <w:r w:rsidRPr="00B6407A">
        <w:rPr>
          <w:rFonts w:ascii="Times New Roman" w:hAnsi="Times New Roman"/>
          <w:sz w:val="24"/>
          <w:szCs w:val="24"/>
        </w:rPr>
        <w:t xml:space="preserve"> </w:t>
      </w:r>
      <w:r w:rsidRPr="00932F8D">
        <w:rPr>
          <w:rFonts w:ascii="Times New Roman" w:eastAsia="Times New Roman" w:hAnsi="Times New Roman"/>
          <w:sz w:val="24"/>
          <w:szCs w:val="24"/>
          <w:lang w:eastAsia="hr-HR"/>
        </w:rPr>
        <w:t xml:space="preserve">je odredila ministra pravosuđa i uprave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dr. sc. Ivana Malenicu i državne tajnike Juru Martinovića, Vedranu Šimundžu Nikolić </w:t>
      </w:r>
      <w:r w:rsidRPr="00932F8D">
        <w:rPr>
          <w:rFonts w:ascii="Times New Roman" w:eastAsia="Times New Roman" w:hAnsi="Times New Roman"/>
          <w:sz w:val="24"/>
          <w:szCs w:val="24"/>
          <w:lang w:eastAsia="hr-HR"/>
        </w:rPr>
        <w:t xml:space="preserve">i Sanjina Rukavinu.  </w:t>
      </w:r>
    </w:p>
    <w:p w14:paraId="62B146A9" w14:textId="77777777" w:rsidR="00C33C72" w:rsidRPr="0017323B" w:rsidRDefault="00C33C72" w:rsidP="00C33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0AD24" w14:textId="77777777" w:rsidR="00C33C72" w:rsidRPr="0017323B" w:rsidRDefault="00C33C72" w:rsidP="00C33C7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3D2F1F8F" w14:textId="77777777" w:rsidR="00C33C72" w:rsidRPr="0017323B" w:rsidRDefault="00C33C72" w:rsidP="00C33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DA96DA" w14:textId="77777777" w:rsidR="00C33C72" w:rsidRPr="0017323B" w:rsidRDefault="00C33C72" w:rsidP="00C33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73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mr. sc. Andrej Plenković</w:t>
      </w:r>
    </w:p>
    <w:p w14:paraId="03DA043D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E13FDF" w14:textId="77777777" w:rsidR="00C33C72" w:rsidRPr="0017323B" w:rsidRDefault="00C33C72" w:rsidP="00C3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A970AB" w14:textId="77777777" w:rsidR="0017323B" w:rsidRPr="00C33C72" w:rsidRDefault="0017323B" w:rsidP="00C33C72"/>
    <w:sectPr w:rsidR="0017323B" w:rsidRPr="00C33C72" w:rsidSect="00B14605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5FA1F" w14:textId="77777777" w:rsidR="00AB4C3E" w:rsidRDefault="00AB4C3E" w:rsidP="002F7ABB">
      <w:pPr>
        <w:spacing w:after="0" w:line="240" w:lineRule="auto"/>
      </w:pPr>
      <w:r>
        <w:separator/>
      </w:r>
    </w:p>
  </w:endnote>
  <w:endnote w:type="continuationSeparator" w:id="0">
    <w:p w14:paraId="4571328C" w14:textId="77777777" w:rsidR="00AB4C3E" w:rsidRDefault="00AB4C3E" w:rsidP="002F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CBA32" w14:textId="77777777" w:rsidR="00AB4C3E" w:rsidRDefault="00AB4C3E" w:rsidP="002F7ABB">
      <w:pPr>
        <w:spacing w:after="0" w:line="240" w:lineRule="auto"/>
      </w:pPr>
      <w:r>
        <w:separator/>
      </w:r>
    </w:p>
  </w:footnote>
  <w:footnote w:type="continuationSeparator" w:id="0">
    <w:p w14:paraId="79EA0B9F" w14:textId="77777777" w:rsidR="00AB4C3E" w:rsidRDefault="00AB4C3E" w:rsidP="002F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3156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DC75D2" w14:textId="1691F254" w:rsidR="00B14605" w:rsidRPr="00B14605" w:rsidRDefault="00B14605">
        <w:pPr>
          <w:pStyle w:val="Zaglavl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46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46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46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4C1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B146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3DC75D3" w14:textId="77777777" w:rsidR="00B14605" w:rsidRDefault="00B146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E18A2"/>
    <w:multiLevelType w:val="hybridMultilevel"/>
    <w:tmpl w:val="9BFEDF18"/>
    <w:lvl w:ilvl="0" w:tplc="60AAC2D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D5"/>
    <w:rsid w:val="00007DA4"/>
    <w:rsid w:val="000115FE"/>
    <w:rsid w:val="00014BBB"/>
    <w:rsid w:val="00030DE6"/>
    <w:rsid w:val="00032606"/>
    <w:rsid w:val="00052919"/>
    <w:rsid w:val="00054022"/>
    <w:rsid w:val="00061C1B"/>
    <w:rsid w:val="0006473F"/>
    <w:rsid w:val="00070F38"/>
    <w:rsid w:val="0009703C"/>
    <w:rsid w:val="000F2EF2"/>
    <w:rsid w:val="00103B11"/>
    <w:rsid w:val="00105B74"/>
    <w:rsid w:val="00131AED"/>
    <w:rsid w:val="00143D77"/>
    <w:rsid w:val="00151CEF"/>
    <w:rsid w:val="00153169"/>
    <w:rsid w:val="00164277"/>
    <w:rsid w:val="0017153E"/>
    <w:rsid w:val="00172389"/>
    <w:rsid w:val="0017323B"/>
    <w:rsid w:val="001920E3"/>
    <w:rsid w:val="0019285E"/>
    <w:rsid w:val="001D0D82"/>
    <w:rsid w:val="001D0FE4"/>
    <w:rsid w:val="001D32D4"/>
    <w:rsid w:val="001E4712"/>
    <w:rsid w:val="001F15B0"/>
    <w:rsid w:val="00202544"/>
    <w:rsid w:val="002101F8"/>
    <w:rsid w:val="00210645"/>
    <w:rsid w:val="00220212"/>
    <w:rsid w:val="0022446D"/>
    <w:rsid w:val="002401F2"/>
    <w:rsid w:val="00262CAD"/>
    <w:rsid w:val="00267245"/>
    <w:rsid w:val="00272853"/>
    <w:rsid w:val="00272FD9"/>
    <w:rsid w:val="00276BE7"/>
    <w:rsid w:val="00280043"/>
    <w:rsid w:val="00283FD7"/>
    <w:rsid w:val="002939C1"/>
    <w:rsid w:val="002B3FF1"/>
    <w:rsid w:val="002B69DB"/>
    <w:rsid w:val="002D29F8"/>
    <w:rsid w:val="002D7EAD"/>
    <w:rsid w:val="002E2F31"/>
    <w:rsid w:val="002F7ABB"/>
    <w:rsid w:val="0032561E"/>
    <w:rsid w:val="00335676"/>
    <w:rsid w:val="0034681B"/>
    <w:rsid w:val="00357241"/>
    <w:rsid w:val="00370BC3"/>
    <w:rsid w:val="00373EED"/>
    <w:rsid w:val="0037506D"/>
    <w:rsid w:val="00394628"/>
    <w:rsid w:val="003A09AB"/>
    <w:rsid w:val="003C520E"/>
    <w:rsid w:val="003C6F9D"/>
    <w:rsid w:val="003D72A3"/>
    <w:rsid w:val="003E0183"/>
    <w:rsid w:val="003F575C"/>
    <w:rsid w:val="004037E6"/>
    <w:rsid w:val="00411C0D"/>
    <w:rsid w:val="00421FDE"/>
    <w:rsid w:val="00435F7C"/>
    <w:rsid w:val="00445ADA"/>
    <w:rsid w:val="00445D2E"/>
    <w:rsid w:val="00447CC5"/>
    <w:rsid w:val="00460446"/>
    <w:rsid w:val="004622BB"/>
    <w:rsid w:val="00475A10"/>
    <w:rsid w:val="00484CC4"/>
    <w:rsid w:val="00492FFC"/>
    <w:rsid w:val="00493EB3"/>
    <w:rsid w:val="004975CE"/>
    <w:rsid w:val="004B4295"/>
    <w:rsid w:val="004C0843"/>
    <w:rsid w:val="004D324E"/>
    <w:rsid w:val="004D3ADF"/>
    <w:rsid w:val="004D6BA6"/>
    <w:rsid w:val="004E2205"/>
    <w:rsid w:val="004F1A88"/>
    <w:rsid w:val="0051732B"/>
    <w:rsid w:val="00522AF4"/>
    <w:rsid w:val="00531808"/>
    <w:rsid w:val="00544045"/>
    <w:rsid w:val="00555876"/>
    <w:rsid w:val="005615B7"/>
    <w:rsid w:val="005652E5"/>
    <w:rsid w:val="00572100"/>
    <w:rsid w:val="00580DAD"/>
    <w:rsid w:val="00585904"/>
    <w:rsid w:val="005905CE"/>
    <w:rsid w:val="005B7ADA"/>
    <w:rsid w:val="005D19E5"/>
    <w:rsid w:val="005E1448"/>
    <w:rsid w:val="006006D5"/>
    <w:rsid w:val="00633D22"/>
    <w:rsid w:val="00637301"/>
    <w:rsid w:val="00654F52"/>
    <w:rsid w:val="00661BAD"/>
    <w:rsid w:val="00661BB5"/>
    <w:rsid w:val="006675AF"/>
    <w:rsid w:val="00681D1D"/>
    <w:rsid w:val="00684FC0"/>
    <w:rsid w:val="006B087F"/>
    <w:rsid w:val="006B7121"/>
    <w:rsid w:val="006C747A"/>
    <w:rsid w:val="006D08C6"/>
    <w:rsid w:val="006D74B6"/>
    <w:rsid w:val="006F31F1"/>
    <w:rsid w:val="00712076"/>
    <w:rsid w:val="00716985"/>
    <w:rsid w:val="00742FD5"/>
    <w:rsid w:val="007471DF"/>
    <w:rsid w:val="00753845"/>
    <w:rsid w:val="007731F1"/>
    <w:rsid w:val="007878F3"/>
    <w:rsid w:val="007A39B5"/>
    <w:rsid w:val="007C45AC"/>
    <w:rsid w:val="007C6AAA"/>
    <w:rsid w:val="007C73CF"/>
    <w:rsid w:val="007D27DC"/>
    <w:rsid w:val="007F7A06"/>
    <w:rsid w:val="008066FC"/>
    <w:rsid w:val="008159C0"/>
    <w:rsid w:val="00823AD3"/>
    <w:rsid w:val="00830955"/>
    <w:rsid w:val="00834C4F"/>
    <w:rsid w:val="00836421"/>
    <w:rsid w:val="00844479"/>
    <w:rsid w:val="008444F3"/>
    <w:rsid w:val="0086341E"/>
    <w:rsid w:val="00883642"/>
    <w:rsid w:val="00884E71"/>
    <w:rsid w:val="008A0A6E"/>
    <w:rsid w:val="008A630F"/>
    <w:rsid w:val="008B49A7"/>
    <w:rsid w:val="008B5964"/>
    <w:rsid w:val="008C33FB"/>
    <w:rsid w:val="008C3575"/>
    <w:rsid w:val="008C54E6"/>
    <w:rsid w:val="008C5E93"/>
    <w:rsid w:val="008D27C0"/>
    <w:rsid w:val="008E16AF"/>
    <w:rsid w:val="008E2B59"/>
    <w:rsid w:val="008E390E"/>
    <w:rsid w:val="0092033E"/>
    <w:rsid w:val="0092207E"/>
    <w:rsid w:val="00931FCF"/>
    <w:rsid w:val="0094011C"/>
    <w:rsid w:val="00941874"/>
    <w:rsid w:val="009521F7"/>
    <w:rsid w:val="00962197"/>
    <w:rsid w:val="00973033"/>
    <w:rsid w:val="00985B8C"/>
    <w:rsid w:val="00993092"/>
    <w:rsid w:val="009C43BD"/>
    <w:rsid w:val="00A121EA"/>
    <w:rsid w:val="00A229A7"/>
    <w:rsid w:val="00A24ECE"/>
    <w:rsid w:val="00A413D7"/>
    <w:rsid w:val="00A65E80"/>
    <w:rsid w:val="00A7095F"/>
    <w:rsid w:val="00A71C9D"/>
    <w:rsid w:val="00A81838"/>
    <w:rsid w:val="00A85019"/>
    <w:rsid w:val="00AA2347"/>
    <w:rsid w:val="00AA36B0"/>
    <w:rsid w:val="00AA44BF"/>
    <w:rsid w:val="00AB4C3E"/>
    <w:rsid w:val="00AB7B9C"/>
    <w:rsid w:val="00AC06F8"/>
    <w:rsid w:val="00AC3350"/>
    <w:rsid w:val="00AD1A2E"/>
    <w:rsid w:val="00AD586D"/>
    <w:rsid w:val="00AE593B"/>
    <w:rsid w:val="00B05E02"/>
    <w:rsid w:val="00B06979"/>
    <w:rsid w:val="00B1179E"/>
    <w:rsid w:val="00B14605"/>
    <w:rsid w:val="00B339E8"/>
    <w:rsid w:val="00B3669A"/>
    <w:rsid w:val="00B36D2D"/>
    <w:rsid w:val="00B52CD5"/>
    <w:rsid w:val="00B6407A"/>
    <w:rsid w:val="00B65701"/>
    <w:rsid w:val="00B77501"/>
    <w:rsid w:val="00B838B6"/>
    <w:rsid w:val="00B85777"/>
    <w:rsid w:val="00B96680"/>
    <w:rsid w:val="00BA3A52"/>
    <w:rsid w:val="00BB4904"/>
    <w:rsid w:val="00BB5B96"/>
    <w:rsid w:val="00BB5DD6"/>
    <w:rsid w:val="00BC0A08"/>
    <w:rsid w:val="00BC463C"/>
    <w:rsid w:val="00BD50EC"/>
    <w:rsid w:val="00BE6F01"/>
    <w:rsid w:val="00BF4232"/>
    <w:rsid w:val="00BF4A8B"/>
    <w:rsid w:val="00C0150E"/>
    <w:rsid w:val="00C33C72"/>
    <w:rsid w:val="00C438AA"/>
    <w:rsid w:val="00C524B5"/>
    <w:rsid w:val="00C668B4"/>
    <w:rsid w:val="00C8126F"/>
    <w:rsid w:val="00C87108"/>
    <w:rsid w:val="00CA34A7"/>
    <w:rsid w:val="00CB273B"/>
    <w:rsid w:val="00CB434E"/>
    <w:rsid w:val="00CB5402"/>
    <w:rsid w:val="00CD5D2D"/>
    <w:rsid w:val="00CE0AFC"/>
    <w:rsid w:val="00D10DD1"/>
    <w:rsid w:val="00D26BD7"/>
    <w:rsid w:val="00D32C08"/>
    <w:rsid w:val="00D35CD7"/>
    <w:rsid w:val="00D55693"/>
    <w:rsid w:val="00D629E1"/>
    <w:rsid w:val="00D65FEB"/>
    <w:rsid w:val="00D74798"/>
    <w:rsid w:val="00D82190"/>
    <w:rsid w:val="00D8286C"/>
    <w:rsid w:val="00D84E04"/>
    <w:rsid w:val="00D93330"/>
    <w:rsid w:val="00DA5EE7"/>
    <w:rsid w:val="00DB085A"/>
    <w:rsid w:val="00DB0D29"/>
    <w:rsid w:val="00DB3342"/>
    <w:rsid w:val="00DB4C17"/>
    <w:rsid w:val="00DB7B09"/>
    <w:rsid w:val="00DC3A91"/>
    <w:rsid w:val="00DC7564"/>
    <w:rsid w:val="00E0634B"/>
    <w:rsid w:val="00E10B8D"/>
    <w:rsid w:val="00E1119C"/>
    <w:rsid w:val="00E429B3"/>
    <w:rsid w:val="00E47280"/>
    <w:rsid w:val="00E55EE6"/>
    <w:rsid w:val="00E76A27"/>
    <w:rsid w:val="00E8723A"/>
    <w:rsid w:val="00EA0F05"/>
    <w:rsid w:val="00EA193C"/>
    <w:rsid w:val="00EA32D0"/>
    <w:rsid w:val="00EA7E51"/>
    <w:rsid w:val="00EC5741"/>
    <w:rsid w:val="00EC6041"/>
    <w:rsid w:val="00EC70B1"/>
    <w:rsid w:val="00ED0EA0"/>
    <w:rsid w:val="00EE7845"/>
    <w:rsid w:val="00F1047F"/>
    <w:rsid w:val="00F16718"/>
    <w:rsid w:val="00F33E99"/>
    <w:rsid w:val="00F42696"/>
    <w:rsid w:val="00F530CF"/>
    <w:rsid w:val="00F56987"/>
    <w:rsid w:val="00F74D3E"/>
    <w:rsid w:val="00F75901"/>
    <w:rsid w:val="00F83686"/>
    <w:rsid w:val="00F87993"/>
    <w:rsid w:val="00F97C94"/>
    <w:rsid w:val="00FA6C80"/>
    <w:rsid w:val="00FC666C"/>
    <w:rsid w:val="00FE33F2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7536"/>
  <w15:docId w15:val="{A5334D5D-C446-401A-A7EA-C56FF9BF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6006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1-9-sred">
    <w:name w:val="t-11-9-sred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6006D5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6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6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6006D5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2F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ABB"/>
  </w:style>
  <w:style w:type="paragraph" w:styleId="Podnoje">
    <w:name w:val="footer"/>
    <w:basedOn w:val="Normal"/>
    <w:link w:val="PodnojeChar"/>
    <w:uiPriority w:val="99"/>
    <w:unhideWhenUsed/>
    <w:rsid w:val="002F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ABB"/>
  </w:style>
  <w:style w:type="paragraph" w:styleId="Tekstbalonia">
    <w:name w:val="Balloon Text"/>
    <w:basedOn w:val="Normal"/>
    <w:link w:val="TekstbaloniaChar"/>
    <w:uiPriority w:val="99"/>
    <w:semiHidden/>
    <w:unhideWhenUsed/>
    <w:rsid w:val="001F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5B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14BB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E144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E1448"/>
    <w:rPr>
      <w:color w:val="808080"/>
      <w:shd w:val="clear" w:color="auto" w:fill="E6E6E6"/>
    </w:rPr>
  </w:style>
  <w:style w:type="paragraph" w:customStyle="1" w:styleId="box457765">
    <w:name w:val="box_457765"/>
    <w:basedOn w:val="Normal"/>
    <w:rsid w:val="008C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essionviewitemtitle1">
    <w:name w:val="sessionviewitemtitle1"/>
    <w:basedOn w:val="Zadanifontodlomka"/>
    <w:rsid w:val="0092033E"/>
  </w:style>
  <w:style w:type="paragraph" w:customStyle="1" w:styleId="Default">
    <w:name w:val="Default"/>
    <w:rsid w:val="00A41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1732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879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AZJMDCZ6QSYZ-7492995-13283</_dlc_DocId>
    <_dlc_DocIdUrl xmlns="a494813a-d0d8-4dad-94cb-0d196f36ba15">
      <Url>https://ekoordinacije.vlada.hr/unutarnja-vanjska-politika/_layouts/15/DocIdRedir.aspx?ID=AZJMDCZ6QSYZ-7492995-13283</Url>
      <Description>AZJMDCZ6QSYZ-7492995-13283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176E-ED02-45FD-8D23-B2253676B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16916-FEF0-4177-B2E0-764F863B1E5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CA2B12-FB58-4FA3-9902-4317A4298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2C27CD-917C-4897-9A30-222F194AD7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A765E71-BD73-46EF-B768-53694114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3340</Words>
  <Characters>19038</Characters>
  <Application>Microsoft Office Word</Application>
  <DocSecurity>0</DocSecurity>
  <Lines>158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22334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 Brkić</dc:creator>
  <cp:lastModifiedBy>Silvija Bartolec</cp:lastModifiedBy>
  <cp:revision>12</cp:revision>
  <cp:lastPrinted>2023-09-29T08:06:00Z</cp:lastPrinted>
  <dcterms:created xsi:type="dcterms:W3CDTF">2023-09-29T09:32:00Z</dcterms:created>
  <dcterms:modified xsi:type="dcterms:W3CDTF">2023-10-11T18:33:00Z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2befb3b0-84e1-446d-86c9-15d352f20954</vt:lpwstr>
  </property>
</Properties>
</file>