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97" w:rsidRPr="00EA4997" w:rsidRDefault="00EA4997" w:rsidP="00EA4997">
      <w:pPr>
        <w:jc w:val="center"/>
        <w:rPr>
          <w:sz w:val="24"/>
          <w:szCs w:val="24"/>
          <w:lang w:val="hr-HR" w:eastAsia="hr-HR"/>
        </w:rPr>
      </w:pPr>
      <w:r w:rsidRPr="00EA4997">
        <w:rPr>
          <w:noProof/>
          <w:sz w:val="24"/>
          <w:szCs w:val="24"/>
          <w:lang w:val="hr-HR" w:eastAsia="hr-HR"/>
        </w:rPr>
        <w:drawing>
          <wp:inline distT="0" distB="0" distL="0" distR="0" wp14:anchorId="60432569" wp14:editId="0AFF27C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997">
        <w:rPr>
          <w:sz w:val="24"/>
          <w:szCs w:val="24"/>
          <w:lang w:val="hr-HR" w:eastAsia="hr-HR"/>
        </w:rPr>
        <w:fldChar w:fldCharType="begin"/>
      </w:r>
      <w:r w:rsidRPr="00EA4997">
        <w:rPr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EA4997">
        <w:rPr>
          <w:sz w:val="24"/>
          <w:szCs w:val="24"/>
          <w:lang w:val="hr-HR" w:eastAsia="hr-HR"/>
        </w:rPr>
        <w:fldChar w:fldCharType="end"/>
      </w:r>
    </w:p>
    <w:p w:rsidR="00EA4997" w:rsidRPr="00EA4997" w:rsidRDefault="00EA4997" w:rsidP="00EA4997">
      <w:pPr>
        <w:spacing w:before="60" w:after="1680"/>
        <w:jc w:val="center"/>
        <w:rPr>
          <w:sz w:val="28"/>
          <w:szCs w:val="24"/>
          <w:lang w:val="hr-HR" w:eastAsia="hr-HR"/>
        </w:rPr>
      </w:pPr>
      <w:r w:rsidRPr="00EA4997">
        <w:rPr>
          <w:sz w:val="28"/>
          <w:szCs w:val="24"/>
          <w:lang w:val="hr-HR" w:eastAsia="hr-HR"/>
        </w:rPr>
        <w:t>VLADA REPUBLIKE HRVATSKE</w:t>
      </w: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spacing w:after="2400"/>
        <w:jc w:val="right"/>
        <w:rPr>
          <w:sz w:val="24"/>
          <w:szCs w:val="24"/>
          <w:lang w:val="hr-HR" w:eastAsia="hr-HR"/>
        </w:rPr>
      </w:pPr>
      <w:r w:rsidRPr="00EA4997">
        <w:rPr>
          <w:sz w:val="24"/>
          <w:szCs w:val="24"/>
          <w:lang w:val="hr-HR" w:eastAsia="hr-HR"/>
        </w:rPr>
        <w:t xml:space="preserve">Zagreb, </w:t>
      </w:r>
      <w:r>
        <w:rPr>
          <w:sz w:val="24"/>
          <w:szCs w:val="24"/>
          <w:lang w:val="hr-HR" w:eastAsia="hr-HR"/>
        </w:rPr>
        <w:t>12.</w:t>
      </w:r>
      <w:r w:rsidRPr="00EA4997">
        <w:rPr>
          <w:sz w:val="24"/>
          <w:szCs w:val="24"/>
          <w:lang w:val="hr-HR" w:eastAsia="hr-HR"/>
        </w:rPr>
        <w:t xml:space="preserve"> listopada 2023.</w:t>
      </w:r>
    </w:p>
    <w:p w:rsidR="00EA4997" w:rsidRPr="00EA4997" w:rsidRDefault="00EA4997" w:rsidP="00EA4997">
      <w:pPr>
        <w:spacing w:line="360" w:lineRule="auto"/>
        <w:rPr>
          <w:sz w:val="24"/>
          <w:szCs w:val="24"/>
          <w:lang w:val="hr-HR" w:eastAsia="hr-HR"/>
        </w:rPr>
      </w:pPr>
      <w:r w:rsidRPr="00EA4997">
        <w:rPr>
          <w:sz w:val="24"/>
          <w:szCs w:val="24"/>
          <w:lang w:val="hr-HR" w:eastAsia="hr-HR"/>
        </w:rPr>
        <w:t>__________________________________________________________________________</w:t>
      </w:r>
    </w:p>
    <w:p w:rsidR="00EA4997" w:rsidRPr="00EA4997" w:rsidRDefault="00EA4997" w:rsidP="00EA499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 w:eastAsia="hr-HR"/>
        </w:rPr>
        <w:sectPr w:rsidR="00EA4997" w:rsidRPr="00EA4997" w:rsidSect="00EA4997">
          <w:headerReference w:type="default" r:id="rId14"/>
          <w:footerReference w:type="default" r:id="rId15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A4997" w:rsidRPr="00EA4997" w:rsidTr="00E3108D">
        <w:tc>
          <w:tcPr>
            <w:tcW w:w="1951" w:type="dxa"/>
          </w:tcPr>
          <w:p w:rsidR="00EA4997" w:rsidRPr="00EA4997" w:rsidRDefault="00EA4997" w:rsidP="00EA4997">
            <w:pPr>
              <w:spacing w:line="360" w:lineRule="auto"/>
              <w:jc w:val="right"/>
              <w:rPr>
                <w:sz w:val="24"/>
                <w:szCs w:val="24"/>
                <w:lang w:val="hr-HR" w:eastAsia="hr-HR"/>
              </w:rPr>
            </w:pPr>
            <w:r w:rsidRPr="00EA4997">
              <w:rPr>
                <w:b/>
                <w:smallCaps/>
                <w:sz w:val="24"/>
                <w:szCs w:val="24"/>
                <w:lang w:val="hr-HR" w:eastAsia="hr-HR"/>
              </w:rPr>
              <w:t>Predlagatelj</w:t>
            </w:r>
            <w:r w:rsidRPr="00EA4997">
              <w:rPr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:rsidR="00EA4997" w:rsidRPr="00EA4997" w:rsidRDefault="00EA4997" w:rsidP="00EA4997">
            <w:pPr>
              <w:spacing w:line="360" w:lineRule="auto"/>
              <w:rPr>
                <w:sz w:val="24"/>
                <w:szCs w:val="24"/>
                <w:lang w:val="hr-HR" w:eastAsia="hr-HR"/>
              </w:rPr>
            </w:pPr>
            <w:r w:rsidRPr="00EA4997">
              <w:rPr>
                <w:sz w:val="24"/>
                <w:szCs w:val="24"/>
                <w:lang w:val="hr-HR" w:eastAsia="hr-HR"/>
              </w:rPr>
              <w:t xml:space="preserve">Ministarstvo zdravstva </w:t>
            </w:r>
          </w:p>
        </w:tc>
      </w:tr>
    </w:tbl>
    <w:p w:rsidR="00EA4997" w:rsidRPr="00EA4997" w:rsidRDefault="00EA4997" w:rsidP="00EA4997">
      <w:pPr>
        <w:spacing w:line="360" w:lineRule="auto"/>
        <w:rPr>
          <w:sz w:val="24"/>
          <w:szCs w:val="24"/>
          <w:lang w:val="hr-HR" w:eastAsia="hr-HR"/>
        </w:rPr>
      </w:pPr>
      <w:r w:rsidRPr="00EA4997">
        <w:rPr>
          <w:sz w:val="24"/>
          <w:szCs w:val="24"/>
          <w:lang w:val="hr-HR" w:eastAsia="hr-HR"/>
        </w:rPr>
        <w:t>__________________________________________________________________________</w:t>
      </w:r>
    </w:p>
    <w:p w:rsidR="00EA4997" w:rsidRPr="00EA4997" w:rsidRDefault="00EA4997" w:rsidP="00EA499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 w:eastAsia="hr-HR"/>
        </w:rPr>
        <w:sectPr w:rsidR="00EA4997" w:rsidRPr="00EA499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A4997" w:rsidRPr="00EA4997" w:rsidTr="00E3108D">
        <w:tc>
          <w:tcPr>
            <w:tcW w:w="1951" w:type="dxa"/>
          </w:tcPr>
          <w:p w:rsidR="00EA4997" w:rsidRPr="00EA4997" w:rsidRDefault="00EA4997" w:rsidP="00EA4997">
            <w:pPr>
              <w:spacing w:line="360" w:lineRule="auto"/>
              <w:jc w:val="right"/>
              <w:rPr>
                <w:sz w:val="24"/>
                <w:szCs w:val="24"/>
                <w:lang w:val="hr-HR" w:eastAsia="hr-HR"/>
              </w:rPr>
            </w:pPr>
            <w:r w:rsidRPr="00EA4997">
              <w:rPr>
                <w:b/>
                <w:smallCaps/>
                <w:sz w:val="24"/>
                <w:szCs w:val="24"/>
                <w:lang w:val="hr-HR" w:eastAsia="hr-HR"/>
              </w:rPr>
              <w:t>Predmet</w:t>
            </w:r>
            <w:r w:rsidRPr="00EA4997">
              <w:rPr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:rsidR="00EA4997" w:rsidRPr="00EA4997" w:rsidRDefault="00EA4997" w:rsidP="00EA4997">
            <w:pPr>
              <w:spacing w:line="360" w:lineRule="auto"/>
              <w:rPr>
                <w:sz w:val="24"/>
                <w:szCs w:val="24"/>
                <w:lang w:val="hr-HR" w:eastAsia="hr-HR"/>
              </w:rPr>
            </w:pPr>
            <w:r w:rsidRPr="00EA4997">
              <w:rPr>
                <w:sz w:val="24"/>
                <w:szCs w:val="24"/>
                <w:lang w:val="hr-HR" w:eastAsia="hr-HR"/>
              </w:rPr>
              <w:t xml:space="preserve">Prijedlog odluke o izmjeni Odluke o minimalnim financijskim standardima za decentralizirane funkcije za zdravstvene ustanove u 2023. godini </w:t>
            </w:r>
          </w:p>
        </w:tc>
      </w:tr>
    </w:tbl>
    <w:p w:rsidR="00EA4997" w:rsidRPr="00EA4997" w:rsidRDefault="00EA4997" w:rsidP="00EA4997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  <w:lang w:val="hr-HR" w:eastAsia="hr-HR"/>
        </w:rPr>
      </w:pPr>
      <w:r w:rsidRPr="00EA4997">
        <w:rPr>
          <w:sz w:val="24"/>
          <w:szCs w:val="24"/>
          <w:lang w:val="hr-HR" w:eastAsia="hr-HR"/>
        </w:rPr>
        <w:t>__________________________________________________________________________</w:t>
      </w: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</w:pPr>
    </w:p>
    <w:p w:rsidR="00EA4997" w:rsidRPr="00EA4997" w:rsidRDefault="00EA4997" w:rsidP="00EA4997">
      <w:pPr>
        <w:rPr>
          <w:sz w:val="24"/>
          <w:szCs w:val="24"/>
          <w:lang w:val="hr-HR" w:eastAsia="hr-HR"/>
        </w:rPr>
        <w:sectPr w:rsidR="00EA4997" w:rsidRPr="00EA499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EA4997" w:rsidRPr="00D87538" w:rsidRDefault="00EA4997" w:rsidP="00D87538">
      <w:pPr>
        <w:pStyle w:val="brojdesno2"/>
        <w:spacing w:after="0"/>
        <w:jc w:val="both"/>
        <w:rPr>
          <w:rFonts w:ascii="Times New Roman" w:hAnsi="Times New Roman"/>
          <w:caps/>
          <w:kern w:val="32"/>
          <w:sz w:val="24"/>
          <w:szCs w:val="24"/>
          <w:lang w:val="en-GB"/>
        </w:rPr>
      </w:pPr>
    </w:p>
    <w:p w:rsidR="00A501F4" w:rsidRPr="00D87538" w:rsidRDefault="00EA4997" w:rsidP="00D87538">
      <w:pPr>
        <w:pStyle w:val="brojdesno2"/>
        <w:spacing w:after="0"/>
        <w:rPr>
          <w:rFonts w:ascii="Times New Roman" w:hAnsi="Times New Roman"/>
          <w:caps/>
          <w:kern w:val="32"/>
          <w:sz w:val="24"/>
          <w:szCs w:val="24"/>
          <w:lang w:val="en-GB"/>
        </w:rPr>
      </w:pPr>
      <w:proofErr w:type="spellStart"/>
      <w:r w:rsidRPr="00D87538">
        <w:rPr>
          <w:rFonts w:ascii="Times New Roman" w:hAnsi="Times New Roman"/>
          <w:kern w:val="32"/>
          <w:sz w:val="24"/>
          <w:szCs w:val="24"/>
          <w:lang w:val="en-GB"/>
        </w:rPr>
        <w:t>Prijedlog</w:t>
      </w:r>
      <w:proofErr w:type="spellEnd"/>
      <w:r w:rsidRPr="00D87538">
        <w:rPr>
          <w:rFonts w:ascii="Times New Roman" w:hAnsi="Times New Roman"/>
          <w:kern w:val="32"/>
          <w:sz w:val="24"/>
          <w:szCs w:val="24"/>
          <w:lang w:val="en-GB"/>
        </w:rPr>
        <w:t xml:space="preserve"> </w:t>
      </w:r>
    </w:p>
    <w:p w:rsidR="00EC467E" w:rsidRPr="00D87538" w:rsidRDefault="00EC467E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en-GB"/>
        </w:rPr>
      </w:pPr>
    </w:p>
    <w:p w:rsidR="00EA4997" w:rsidRPr="00D87538" w:rsidRDefault="00EA4997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en-GB"/>
        </w:rPr>
      </w:pPr>
    </w:p>
    <w:p w:rsidR="00EA4997" w:rsidRPr="00D87538" w:rsidRDefault="00EA4997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en-GB"/>
        </w:rPr>
      </w:pPr>
    </w:p>
    <w:p w:rsidR="004C382E" w:rsidRPr="00D87538" w:rsidRDefault="004C382E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en-GB"/>
        </w:rPr>
      </w:pPr>
    </w:p>
    <w:p w:rsidR="00A501F4" w:rsidRPr="00D87538" w:rsidRDefault="00A501F4" w:rsidP="00D87538">
      <w:pPr>
        <w:pStyle w:val="T-98-2"/>
        <w:tabs>
          <w:tab w:val="clear" w:pos="2153"/>
          <w:tab w:val="left" w:pos="0"/>
        </w:tabs>
        <w:spacing w:after="0"/>
        <w:ind w:firstLine="1418"/>
        <w:rPr>
          <w:rFonts w:ascii="Times New Roman" w:hAnsi="Times New Roman"/>
          <w:sz w:val="24"/>
          <w:szCs w:val="24"/>
        </w:rPr>
      </w:pPr>
      <w:r w:rsidRPr="00D87538">
        <w:rPr>
          <w:rFonts w:ascii="Times New Roman" w:hAnsi="Times New Roman"/>
          <w:sz w:val="24"/>
          <w:szCs w:val="24"/>
          <w:lang w:val="en-GB"/>
        </w:rPr>
        <w:t xml:space="preserve">Na </w:t>
      </w:r>
      <w:proofErr w:type="spellStart"/>
      <w:r w:rsidRPr="00D87538">
        <w:rPr>
          <w:rFonts w:ascii="Times New Roman" w:hAnsi="Times New Roman"/>
          <w:sz w:val="24"/>
          <w:szCs w:val="24"/>
          <w:lang w:val="en-GB"/>
        </w:rPr>
        <w:t>temelju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C214E" w:rsidRPr="00D87538">
        <w:rPr>
          <w:rFonts w:ascii="Times New Roman" w:hAnsi="Times New Roman"/>
          <w:sz w:val="24"/>
          <w:szCs w:val="24"/>
          <w:lang w:val="en-GB"/>
        </w:rPr>
        <w:t>članka</w:t>
      </w:r>
      <w:proofErr w:type="spellEnd"/>
      <w:r w:rsidR="00AC214E"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20C17" w:rsidRPr="00D87538">
        <w:rPr>
          <w:rFonts w:ascii="Times New Roman" w:hAnsi="Times New Roman"/>
          <w:sz w:val="24"/>
          <w:szCs w:val="24"/>
          <w:lang w:val="hr-HR"/>
        </w:rPr>
        <w:t>11. stavka 4. Zakona o zdravstvenoj zaštiti („Narodne novine“, br. 100/18</w:t>
      </w:r>
      <w:r w:rsidR="00A12FEB" w:rsidRPr="00D87538">
        <w:rPr>
          <w:rFonts w:ascii="Times New Roman" w:hAnsi="Times New Roman"/>
          <w:sz w:val="24"/>
          <w:szCs w:val="24"/>
          <w:lang w:val="hr-HR"/>
        </w:rPr>
        <w:t>.</w:t>
      </w:r>
      <w:r w:rsidR="008F2EB0" w:rsidRPr="00D8753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743302">
        <w:rPr>
          <w:rFonts w:ascii="Times New Roman" w:hAnsi="Times New Roman"/>
          <w:sz w:val="24"/>
          <w:szCs w:val="24"/>
          <w:lang w:val="hr-HR"/>
        </w:rPr>
        <w:t xml:space="preserve">125/19., </w:t>
      </w:r>
      <w:r w:rsidR="00403DAD" w:rsidRPr="00D87538">
        <w:rPr>
          <w:rFonts w:ascii="Times New Roman" w:hAnsi="Times New Roman"/>
          <w:sz w:val="24"/>
          <w:szCs w:val="24"/>
          <w:lang w:val="hr-HR"/>
        </w:rPr>
        <w:t>1</w:t>
      </w:r>
      <w:r w:rsidR="008F2EB0" w:rsidRPr="00D87538">
        <w:rPr>
          <w:rFonts w:ascii="Times New Roman" w:hAnsi="Times New Roman"/>
          <w:sz w:val="24"/>
          <w:szCs w:val="24"/>
          <w:lang w:val="hr-HR"/>
        </w:rPr>
        <w:t>47</w:t>
      </w:r>
      <w:r w:rsidR="00403DAD" w:rsidRPr="00D87538">
        <w:rPr>
          <w:rFonts w:ascii="Times New Roman" w:hAnsi="Times New Roman"/>
          <w:sz w:val="24"/>
          <w:szCs w:val="24"/>
          <w:lang w:val="hr-HR"/>
        </w:rPr>
        <w:t>/</w:t>
      </w:r>
      <w:r w:rsidR="008F2EB0" w:rsidRPr="00D87538">
        <w:rPr>
          <w:rFonts w:ascii="Times New Roman" w:hAnsi="Times New Roman"/>
          <w:sz w:val="24"/>
          <w:szCs w:val="24"/>
          <w:lang w:val="hr-HR"/>
        </w:rPr>
        <w:t>20</w:t>
      </w:r>
      <w:r w:rsidR="00A12FEB" w:rsidRPr="00D87538">
        <w:rPr>
          <w:rFonts w:ascii="Times New Roman" w:hAnsi="Times New Roman"/>
          <w:sz w:val="24"/>
          <w:szCs w:val="24"/>
          <w:lang w:val="hr-HR"/>
        </w:rPr>
        <w:t>.</w:t>
      </w:r>
      <w:r w:rsidR="00515ECD" w:rsidRPr="00D87538">
        <w:rPr>
          <w:rFonts w:ascii="Times New Roman" w:hAnsi="Times New Roman"/>
          <w:sz w:val="24"/>
          <w:szCs w:val="24"/>
          <w:lang w:val="hr-HR"/>
        </w:rPr>
        <w:t>, 119/22</w:t>
      </w:r>
      <w:r w:rsidR="00A12FEB" w:rsidRPr="00D87538">
        <w:rPr>
          <w:rFonts w:ascii="Times New Roman" w:hAnsi="Times New Roman"/>
          <w:sz w:val="24"/>
          <w:szCs w:val="24"/>
          <w:lang w:val="hr-HR"/>
        </w:rPr>
        <w:t>.</w:t>
      </w:r>
      <w:r w:rsidR="00743302">
        <w:rPr>
          <w:rFonts w:ascii="Times New Roman" w:hAnsi="Times New Roman"/>
          <w:sz w:val="24"/>
          <w:szCs w:val="24"/>
          <w:lang w:val="hr-HR"/>
        </w:rPr>
        <w:t xml:space="preserve">, 156/22. </w:t>
      </w:r>
      <w:r w:rsidR="00515ECD" w:rsidRPr="00D87538">
        <w:rPr>
          <w:rFonts w:ascii="Times New Roman" w:hAnsi="Times New Roman"/>
          <w:sz w:val="24"/>
          <w:szCs w:val="24"/>
          <w:lang w:val="hr-HR"/>
        </w:rPr>
        <w:t>i 33/23</w:t>
      </w:r>
      <w:r w:rsidR="00A12FEB" w:rsidRPr="00D87538">
        <w:rPr>
          <w:rFonts w:ascii="Times New Roman" w:hAnsi="Times New Roman"/>
          <w:sz w:val="24"/>
          <w:szCs w:val="24"/>
          <w:lang w:val="hr-HR"/>
        </w:rPr>
        <w:t>.</w:t>
      </w:r>
      <w:r w:rsidRPr="00D87538">
        <w:rPr>
          <w:rFonts w:ascii="Times New Roman" w:hAnsi="Times New Roman"/>
          <w:sz w:val="24"/>
          <w:szCs w:val="24"/>
          <w:lang w:val="en-GB"/>
        </w:rPr>
        <w:t xml:space="preserve">), </w:t>
      </w:r>
      <w:proofErr w:type="spellStart"/>
      <w:r w:rsidRPr="00D87538">
        <w:rPr>
          <w:rFonts w:ascii="Times New Roman" w:hAnsi="Times New Roman"/>
          <w:sz w:val="24"/>
          <w:szCs w:val="24"/>
          <w:lang w:val="en-GB"/>
        </w:rPr>
        <w:t>Vlada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  <w:lang w:val="en-GB"/>
        </w:rPr>
        <w:t>Republike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  <w:lang w:val="en-GB"/>
        </w:rPr>
        <w:t>Hrvatske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proofErr w:type="gramStart"/>
      <w:r w:rsidRPr="00D87538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proofErr w:type="gramEnd"/>
      <w:r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  <w:lang w:val="en-GB"/>
        </w:rPr>
        <w:t>sjednici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  <w:lang w:val="en-GB"/>
        </w:rPr>
        <w:t>održanoj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________________ </w:t>
      </w:r>
      <w:proofErr w:type="spellStart"/>
      <w:r w:rsidRPr="00D87538">
        <w:rPr>
          <w:rFonts w:ascii="Times New Roman" w:hAnsi="Times New Roman"/>
          <w:sz w:val="24"/>
          <w:szCs w:val="24"/>
        </w:rPr>
        <w:t>donijela</w:t>
      </w:r>
      <w:proofErr w:type="spellEnd"/>
      <w:r w:rsidRPr="00D8753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A501F4" w:rsidRPr="00D87538" w:rsidRDefault="00A501F4" w:rsidP="00D87538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87100" w:rsidRPr="00D87538" w:rsidRDefault="00787100" w:rsidP="00D87538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B21AE" w:rsidRPr="00D87538" w:rsidRDefault="00EA4997" w:rsidP="00D87538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87538">
        <w:rPr>
          <w:rFonts w:ascii="Times New Roman" w:hAnsi="Times New Roman"/>
          <w:b/>
          <w:sz w:val="24"/>
          <w:szCs w:val="24"/>
        </w:rPr>
        <w:t>O</w:t>
      </w:r>
      <w:r w:rsidR="00D87538">
        <w:rPr>
          <w:rFonts w:ascii="Times New Roman" w:hAnsi="Times New Roman"/>
          <w:b/>
          <w:sz w:val="24"/>
          <w:szCs w:val="24"/>
        </w:rPr>
        <w:t xml:space="preserve"> </w:t>
      </w:r>
      <w:r w:rsidRPr="00D87538">
        <w:rPr>
          <w:rFonts w:ascii="Times New Roman" w:hAnsi="Times New Roman"/>
          <w:b/>
          <w:sz w:val="24"/>
          <w:szCs w:val="24"/>
        </w:rPr>
        <w:t>D</w:t>
      </w:r>
      <w:r w:rsidR="00D87538">
        <w:rPr>
          <w:rFonts w:ascii="Times New Roman" w:hAnsi="Times New Roman"/>
          <w:b/>
          <w:sz w:val="24"/>
          <w:szCs w:val="24"/>
        </w:rPr>
        <w:t xml:space="preserve"> </w:t>
      </w:r>
      <w:r w:rsidRPr="00D87538">
        <w:rPr>
          <w:rFonts w:ascii="Times New Roman" w:hAnsi="Times New Roman"/>
          <w:b/>
          <w:sz w:val="24"/>
          <w:szCs w:val="24"/>
        </w:rPr>
        <w:t>L</w:t>
      </w:r>
      <w:r w:rsidR="00D87538">
        <w:rPr>
          <w:rFonts w:ascii="Times New Roman" w:hAnsi="Times New Roman"/>
          <w:b/>
          <w:sz w:val="24"/>
          <w:szCs w:val="24"/>
        </w:rPr>
        <w:t xml:space="preserve"> </w:t>
      </w:r>
      <w:r w:rsidRPr="00D87538">
        <w:rPr>
          <w:rFonts w:ascii="Times New Roman" w:hAnsi="Times New Roman"/>
          <w:b/>
          <w:sz w:val="24"/>
          <w:szCs w:val="24"/>
        </w:rPr>
        <w:t>U</w:t>
      </w:r>
      <w:r w:rsidR="00D87538">
        <w:rPr>
          <w:rFonts w:ascii="Times New Roman" w:hAnsi="Times New Roman"/>
          <w:b/>
          <w:sz w:val="24"/>
          <w:szCs w:val="24"/>
        </w:rPr>
        <w:t xml:space="preserve"> </w:t>
      </w:r>
      <w:r w:rsidRPr="00D87538">
        <w:rPr>
          <w:rFonts w:ascii="Times New Roman" w:hAnsi="Times New Roman"/>
          <w:b/>
          <w:sz w:val="24"/>
          <w:szCs w:val="24"/>
        </w:rPr>
        <w:t>K</w:t>
      </w:r>
      <w:r w:rsidR="00D87538">
        <w:rPr>
          <w:rFonts w:ascii="Times New Roman" w:hAnsi="Times New Roman"/>
          <w:b/>
          <w:sz w:val="24"/>
          <w:szCs w:val="24"/>
        </w:rPr>
        <w:t xml:space="preserve"> </w:t>
      </w:r>
      <w:r w:rsidRPr="00D87538">
        <w:rPr>
          <w:rFonts w:ascii="Times New Roman" w:hAnsi="Times New Roman"/>
          <w:b/>
          <w:sz w:val="24"/>
          <w:szCs w:val="24"/>
        </w:rPr>
        <w:t>U</w:t>
      </w:r>
    </w:p>
    <w:p w:rsidR="00BB21AE" w:rsidRPr="00D87538" w:rsidRDefault="00BB21AE" w:rsidP="00D87538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501F4" w:rsidRPr="00D87538" w:rsidRDefault="000C51DE" w:rsidP="00D87538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87538">
        <w:rPr>
          <w:rFonts w:ascii="Times New Roman" w:hAnsi="Times New Roman"/>
          <w:b/>
          <w:sz w:val="24"/>
          <w:szCs w:val="24"/>
        </w:rPr>
        <w:t>o</w:t>
      </w:r>
      <w:proofErr w:type="gramEnd"/>
      <w:r w:rsidRPr="00D87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izmjeni</w:t>
      </w:r>
      <w:proofErr w:type="spellEnd"/>
      <w:r w:rsidR="008A7B35" w:rsidRPr="00D87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Odluke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minimalnim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financijskim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standardima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decentralizirane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funkcije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zdravstvene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b/>
          <w:sz w:val="24"/>
          <w:szCs w:val="24"/>
        </w:rPr>
        <w:t>ustanove</w:t>
      </w:r>
      <w:proofErr w:type="spellEnd"/>
      <w:r w:rsidRPr="00D87538">
        <w:rPr>
          <w:rFonts w:ascii="Times New Roman" w:hAnsi="Times New Roman"/>
          <w:b/>
          <w:sz w:val="24"/>
          <w:szCs w:val="24"/>
        </w:rPr>
        <w:t xml:space="preserve"> u </w:t>
      </w:r>
      <w:r w:rsidR="006573C8" w:rsidRPr="00D87538">
        <w:rPr>
          <w:rFonts w:ascii="Times New Roman" w:hAnsi="Times New Roman"/>
          <w:b/>
          <w:sz w:val="24"/>
          <w:szCs w:val="24"/>
        </w:rPr>
        <w:t>2023</w:t>
      </w:r>
      <w:r w:rsidRPr="00D8753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D87538">
        <w:rPr>
          <w:rFonts w:ascii="Times New Roman" w:hAnsi="Times New Roman"/>
          <w:b/>
          <w:sz w:val="24"/>
          <w:szCs w:val="24"/>
        </w:rPr>
        <w:t>godini</w:t>
      </w:r>
      <w:proofErr w:type="spellEnd"/>
      <w:proofErr w:type="gramEnd"/>
    </w:p>
    <w:p w:rsidR="00D52430" w:rsidRPr="00D87538" w:rsidRDefault="00D52430" w:rsidP="00D87538">
      <w:pPr>
        <w:jc w:val="center"/>
        <w:rPr>
          <w:b/>
          <w:sz w:val="24"/>
          <w:szCs w:val="24"/>
          <w:lang w:val="en-GB"/>
        </w:rPr>
      </w:pPr>
    </w:p>
    <w:p w:rsidR="006F461C" w:rsidRPr="00D87538" w:rsidRDefault="006F461C" w:rsidP="00D87538">
      <w:pPr>
        <w:jc w:val="center"/>
        <w:rPr>
          <w:b/>
          <w:sz w:val="24"/>
          <w:szCs w:val="24"/>
          <w:lang w:val="en-GB"/>
        </w:rPr>
      </w:pPr>
    </w:p>
    <w:p w:rsidR="00A501F4" w:rsidRPr="00D87538" w:rsidRDefault="00A501F4" w:rsidP="00D87538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D87538">
        <w:rPr>
          <w:rFonts w:ascii="Times New Roman" w:hAnsi="Times New Roman"/>
          <w:b/>
          <w:sz w:val="24"/>
          <w:szCs w:val="24"/>
        </w:rPr>
        <w:t>I.</w:t>
      </w:r>
    </w:p>
    <w:p w:rsidR="00813BFF" w:rsidRPr="00D87538" w:rsidRDefault="00813BFF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A501F4" w:rsidRPr="00D87538" w:rsidRDefault="00A501F4" w:rsidP="00D87538">
      <w:pPr>
        <w:pStyle w:val="T-98-2"/>
        <w:tabs>
          <w:tab w:val="clear" w:pos="2153"/>
          <w:tab w:val="left" w:pos="0"/>
        </w:tabs>
        <w:spacing w:after="0"/>
        <w:ind w:firstLine="1418"/>
        <w:rPr>
          <w:rFonts w:ascii="Times New Roman" w:hAnsi="Times New Roman"/>
          <w:sz w:val="24"/>
          <w:szCs w:val="24"/>
        </w:rPr>
      </w:pPr>
      <w:r w:rsidRPr="00D87538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D87538">
        <w:rPr>
          <w:rFonts w:ascii="Times New Roman" w:hAnsi="Times New Roman"/>
          <w:sz w:val="24"/>
          <w:szCs w:val="24"/>
        </w:rPr>
        <w:t>Odluci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87538">
        <w:rPr>
          <w:rFonts w:ascii="Times New Roman" w:hAnsi="Times New Roman"/>
          <w:sz w:val="24"/>
          <w:szCs w:val="24"/>
        </w:rPr>
        <w:t>minimalnim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financijskim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standardima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87538">
        <w:rPr>
          <w:rFonts w:ascii="Times New Roman" w:hAnsi="Times New Roman"/>
          <w:sz w:val="24"/>
          <w:szCs w:val="24"/>
        </w:rPr>
        <w:t>decentralizirane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funkcije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87538">
        <w:rPr>
          <w:rFonts w:ascii="Times New Roman" w:hAnsi="Times New Roman"/>
          <w:sz w:val="24"/>
          <w:szCs w:val="24"/>
        </w:rPr>
        <w:t>zdravstvene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ustanove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u </w:t>
      </w:r>
      <w:r w:rsidR="006573C8" w:rsidRPr="00D87538">
        <w:rPr>
          <w:rFonts w:ascii="Times New Roman" w:hAnsi="Times New Roman"/>
          <w:sz w:val="24"/>
          <w:szCs w:val="24"/>
        </w:rPr>
        <w:t>2023</w:t>
      </w:r>
      <w:r w:rsidRPr="00D8753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87538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D87538">
        <w:rPr>
          <w:rFonts w:ascii="Times New Roman" w:hAnsi="Times New Roman"/>
          <w:sz w:val="24"/>
          <w:szCs w:val="24"/>
        </w:rPr>
        <w:t xml:space="preserve"> (</w:t>
      </w:r>
      <w:r w:rsidR="00D87538" w:rsidRPr="00D87538">
        <w:rPr>
          <w:rFonts w:ascii="Times New Roman" w:hAnsi="Times New Roman"/>
          <w:sz w:val="24"/>
          <w:szCs w:val="24"/>
          <w:lang w:val="hr-HR"/>
        </w:rPr>
        <w:t>„</w:t>
      </w:r>
      <w:proofErr w:type="spellStart"/>
      <w:r w:rsidRPr="00D87538">
        <w:rPr>
          <w:rFonts w:ascii="Times New Roman" w:hAnsi="Times New Roman"/>
          <w:sz w:val="24"/>
          <w:szCs w:val="24"/>
        </w:rPr>
        <w:t>Narodne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novine</w:t>
      </w:r>
      <w:proofErr w:type="spellEnd"/>
      <w:r w:rsidR="00D87538">
        <w:rPr>
          <w:rFonts w:ascii="Times New Roman" w:hAnsi="Times New Roman"/>
          <w:sz w:val="24"/>
          <w:szCs w:val="24"/>
        </w:rPr>
        <w:t>”,</w:t>
      </w:r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br</w:t>
      </w:r>
      <w:r w:rsidR="00944C47" w:rsidRPr="00D87538">
        <w:rPr>
          <w:rFonts w:ascii="Times New Roman" w:hAnsi="Times New Roman"/>
          <w:sz w:val="24"/>
          <w:szCs w:val="24"/>
        </w:rPr>
        <w:t>oj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r w:rsidR="008E773D" w:rsidRPr="00D87538">
        <w:rPr>
          <w:rFonts w:ascii="Times New Roman" w:hAnsi="Times New Roman"/>
          <w:sz w:val="24"/>
          <w:szCs w:val="24"/>
        </w:rPr>
        <w:t>8</w:t>
      </w:r>
      <w:r w:rsidR="0013118E" w:rsidRPr="00D87538">
        <w:rPr>
          <w:rFonts w:ascii="Times New Roman" w:hAnsi="Times New Roman"/>
          <w:sz w:val="24"/>
          <w:szCs w:val="24"/>
        </w:rPr>
        <w:t>/2</w:t>
      </w:r>
      <w:r w:rsidR="006573C8" w:rsidRPr="00D87538">
        <w:rPr>
          <w:rFonts w:ascii="Times New Roman" w:hAnsi="Times New Roman"/>
          <w:sz w:val="24"/>
          <w:szCs w:val="24"/>
        </w:rPr>
        <w:t>3</w:t>
      </w:r>
      <w:r w:rsidR="00D87538">
        <w:rPr>
          <w:rFonts w:ascii="Times New Roman" w:hAnsi="Times New Roman"/>
          <w:sz w:val="24"/>
          <w:szCs w:val="24"/>
        </w:rPr>
        <w:t>.</w:t>
      </w:r>
      <w:r w:rsidRPr="00D87538">
        <w:rPr>
          <w:rFonts w:ascii="Times New Roman" w:hAnsi="Times New Roman"/>
          <w:sz w:val="24"/>
          <w:szCs w:val="24"/>
        </w:rPr>
        <w:t xml:space="preserve">), u </w:t>
      </w:r>
      <w:proofErr w:type="spellStart"/>
      <w:r w:rsidRPr="00D87538">
        <w:rPr>
          <w:rFonts w:ascii="Times New Roman" w:hAnsi="Times New Roman"/>
          <w:sz w:val="24"/>
          <w:szCs w:val="24"/>
        </w:rPr>
        <w:t>točki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I.</w:t>
      </w:r>
      <w:r w:rsidR="00944C47"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538">
        <w:rPr>
          <w:rFonts w:ascii="Times New Roman" w:hAnsi="Times New Roman"/>
          <w:sz w:val="24"/>
          <w:szCs w:val="24"/>
        </w:rPr>
        <w:t>stavk</w:t>
      </w:r>
      <w:r w:rsidR="00944C47" w:rsidRPr="00D87538">
        <w:rPr>
          <w:rFonts w:ascii="Times New Roman" w:hAnsi="Times New Roman"/>
          <w:sz w:val="24"/>
          <w:szCs w:val="24"/>
        </w:rPr>
        <w:t>u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D87538">
        <w:rPr>
          <w:rFonts w:ascii="Times New Roman" w:hAnsi="Times New Roman"/>
          <w:sz w:val="24"/>
          <w:szCs w:val="24"/>
        </w:rPr>
        <w:t>Tablica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r w:rsidR="00E030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D87538">
        <w:rPr>
          <w:rFonts w:ascii="Times New Roman" w:hAnsi="Times New Roman"/>
          <w:sz w:val="24"/>
          <w:szCs w:val="24"/>
        </w:rPr>
        <w:t>mijenja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47" w:rsidRPr="00D87538">
        <w:rPr>
          <w:rFonts w:ascii="Times New Roman" w:hAnsi="Times New Roman"/>
          <w:sz w:val="24"/>
          <w:szCs w:val="24"/>
        </w:rPr>
        <w:t>i</w:t>
      </w:r>
      <w:proofErr w:type="spellEnd"/>
      <w:r w:rsidR="00944C47" w:rsidRPr="00D87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C47" w:rsidRPr="00D87538">
        <w:rPr>
          <w:rFonts w:ascii="Times New Roman" w:hAnsi="Times New Roman"/>
          <w:sz w:val="24"/>
          <w:szCs w:val="24"/>
        </w:rPr>
        <w:t>glasi</w:t>
      </w:r>
      <w:proofErr w:type="spellEnd"/>
      <w:r w:rsidRPr="00D87538">
        <w:rPr>
          <w:rFonts w:ascii="Times New Roman" w:hAnsi="Times New Roman"/>
          <w:sz w:val="24"/>
          <w:szCs w:val="24"/>
        </w:rPr>
        <w:t xml:space="preserve">: </w:t>
      </w:r>
    </w:p>
    <w:p w:rsidR="0016099E" w:rsidRPr="00D87538" w:rsidRDefault="0016099E" w:rsidP="00D87538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2319"/>
        <w:gridCol w:w="2046"/>
        <w:gridCol w:w="2193"/>
      </w:tblGrid>
      <w:tr w:rsidR="002A1D9B" w:rsidRPr="00930265" w:rsidTr="00930265">
        <w:trPr>
          <w:trHeight w:val="1215"/>
        </w:trPr>
        <w:tc>
          <w:tcPr>
            <w:tcW w:w="1381" w:type="pct"/>
            <w:vAlign w:val="center"/>
          </w:tcPr>
          <w:p w:rsidR="002A1D9B" w:rsidRPr="00930265" w:rsidRDefault="002A1D9B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30265">
              <w:rPr>
                <w:b/>
                <w:sz w:val="24"/>
                <w:szCs w:val="24"/>
                <w:lang w:val="hr-HR" w:eastAsia="hr-HR"/>
              </w:rPr>
              <w:t>Županija/Grad Zagreb</w:t>
            </w:r>
          </w:p>
        </w:tc>
        <w:tc>
          <w:tcPr>
            <w:tcW w:w="1280" w:type="pct"/>
            <w:vAlign w:val="center"/>
          </w:tcPr>
          <w:p w:rsidR="002A1D9B" w:rsidRPr="00930265" w:rsidRDefault="002A1D9B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30265">
              <w:rPr>
                <w:b/>
                <w:sz w:val="24"/>
                <w:szCs w:val="24"/>
                <w:lang w:val="hr-HR" w:eastAsia="hr-HR"/>
              </w:rPr>
              <w:t xml:space="preserve">Iznos sredstava za investicijsko ulaganje </w:t>
            </w:r>
          </w:p>
          <w:p w:rsidR="002A1D9B" w:rsidRPr="00930265" w:rsidRDefault="002A1D9B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30265">
              <w:rPr>
                <w:b/>
                <w:sz w:val="24"/>
                <w:szCs w:val="24"/>
                <w:lang w:val="hr-HR" w:eastAsia="hr-HR"/>
              </w:rPr>
              <w:t xml:space="preserve">i </w:t>
            </w:r>
          </w:p>
          <w:p w:rsidR="002A1D9B" w:rsidRDefault="002A1D9B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30265">
              <w:rPr>
                <w:b/>
                <w:sz w:val="24"/>
                <w:szCs w:val="24"/>
                <w:lang w:val="hr-HR" w:eastAsia="hr-HR"/>
              </w:rPr>
              <w:t>investicijsko i tekuće održavanje</w:t>
            </w:r>
          </w:p>
          <w:p w:rsidR="00930265" w:rsidRPr="00930265" w:rsidRDefault="00930265" w:rsidP="00930265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(EUR)</w:t>
            </w:r>
          </w:p>
        </w:tc>
        <w:tc>
          <w:tcPr>
            <w:tcW w:w="1129" w:type="pct"/>
            <w:vAlign w:val="center"/>
          </w:tcPr>
          <w:p w:rsidR="002A1D9B" w:rsidRDefault="002A1D9B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30265">
              <w:rPr>
                <w:b/>
                <w:sz w:val="24"/>
                <w:szCs w:val="24"/>
                <w:lang w:val="hr-HR" w:eastAsia="hr-HR"/>
              </w:rPr>
              <w:t>Iznos sredstava za otplate kredita</w:t>
            </w:r>
          </w:p>
          <w:p w:rsidR="00930265" w:rsidRPr="00930265" w:rsidRDefault="00930265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(EUR)</w:t>
            </w:r>
          </w:p>
        </w:tc>
        <w:tc>
          <w:tcPr>
            <w:tcW w:w="1210" w:type="pct"/>
            <w:vAlign w:val="center"/>
          </w:tcPr>
          <w:p w:rsidR="002A1D9B" w:rsidRDefault="002A1D9B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30265">
              <w:rPr>
                <w:b/>
                <w:sz w:val="24"/>
                <w:szCs w:val="24"/>
                <w:lang w:val="hr-HR" w:eastAsia="hr-HR"/>
              </w:rPr>
              <w:t>Ukupni iznos sredstava za decentralizirane funkcije</w:t>
            </w:r>
          </w:p>
          <w:p w:rsidR="00930265" w:rsidRPr="00930265" w:rsidRDefault="00930265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(EUR)</w:t>
            </w:r>
          </w:p>
        </w:tc>
      </w:tr>
      <w:tr w:rsidR="002A1D9B" w:rsidRPr="00D87538" w:rsidTr="00930265">
        <w:trPr>
          <w:trHeight w:val="270"/>
        </w:trPr>
        <w:tc>
          <w:tcPr>
            <w:tcW w:w="1381" w:type="pct"/>
            <w:vAlign w:val="center"/>
          </w:tcPr>
          <w:p w:rsidR="002A1D9B" w:rsidRPr="00D87538" w:rsidRDefault="002A1D9B" w:rsidP="00D87538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1280" w:type="pct"/>
            <w:vAlign w:val="center"/>
          </w:tcPr>
          <w:p w:rsidR="002A1D9B" w:rsidRPr="00D87538" w:rsidRDefault="002A1D9B" w:rsidP="00D87538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29" w:type="pct"/>
            <w:vAlign w:val="center"/>
          </w:tcPr>
          <w:p w:rsidR="002A1D9B" w:rsidRPr="00D87538" w:rsidRDefault="00FF4FCC" w:rsidP="00D87538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210" w:type="pct"/>
            <w:vAlign w:val="center"/>
          </w:tcPr>
          <w:p w:rsidR="002A1D9B" w:rsidRPr="00D87538" w:rsidRDefault="00FF4FCC" w:rsidP="00D87538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3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ZAGREBAČKA 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2.003.285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265.445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2.268.730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KRAPINSKO-ZAGORSKA 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2.194.582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323.812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2.518.394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SISAČKO-MOSLAVAČKA 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E717A0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1.876.874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E717A0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776.246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2.653.120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KARLOVAČKA 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2.016.218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2.016.218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VARAŽDINSKA 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2.104.364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530.891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2.635.255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KOPRIVNIČKO-KRIŽEVAČKA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1.502.004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454.111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1.956.115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BJELOVARSKO-BILOGORSKA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1.933.173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1.933.173</w:t>
            </w:r>
          </w:p>
        </w:tc>
      </w:tr>
      <w:tr w:rsidR="00F81309" w:rsidRPr="00D87538" w:rsidTr="00930265">
        <w:trPr>
          <w:trHeight w:val="70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PRIMORSKO-GORANSKA 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3.072.135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139.326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3.211.461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 xml:space="preserve">LIČKO-SENJSKA 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1.187.703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1.187.703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VIROVITIČKO-PODRAVSKA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2.117.428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53.089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2.170.517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POŽEŠKO-SLAVONSKA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1.610.664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1.610.664</w:t>
            </w:r>
          </w:p>
        </w:tc>
      </w:tr>
      <w:tr w:rsidR="00F81309" w:rsidRPr="00D87538" w:rsidTr="00930265">
        <w:trPr>
          <w:trHeight w:val="7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lastRenderedPageBreak/>
              <w:t>BRODSKO-POSAVSKA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1.934.068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289.516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2.223.584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tcBorders>
              <w:top w:val="single" w:sz="4" w:space="0" w:color="auto"/>
            </w:tcBorders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ZADARSKA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1.856.785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161.323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2.018.108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tcBorders>
              <w:top w:val="single" w:sz="4" w:space="0" w:color="auto"/>
            </w:tcBorders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OSJEČKO-BARANJSKA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2.983.790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2.983.790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ŠIBENSKO-KNINSKA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1.906.962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1.906.962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VUKOVARSKO-SRIJEMSKA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3.037.188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3.037.188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SPLITSKO-DALMATINSKA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4.864.214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4.864.214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ISTARSKA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2.025.800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929.060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2.954.860</w:t>
            </w:r>
          </w:p>
        </w:tc>
      </w:tr>
      <w:tr w:rsidR="00F81309" w:rsidRPr="00D87538" w:rsidTr="00930265">
        <w:trPr>
          <w:trHeight w:val="300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DUBROVAČKO-NERETVANSKA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2.182.045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2.182.045</w:t>
            </w:r>
          </w:p>
        </w:tc>
      </w:tr>
      <w:tr w:rsidR="00F81309" w:rsidRPr="00D87538" w:rsidTr="00930265">
        <w:trPr>
          <w:trHeight w:val="255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MEĐIMURSKA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1.492.481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416.884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1.909.365</w:t>
            </w:r>
          </w:p>
        </w:tc>
      </w:tr>
      <w:tr w:rsidR="00F81309" w:rsidRPr="00D87538" w:rsidTr="00930265">
        <w:trPr>
          <w:trHeight w:val="270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rPr>
                <w:sz w:val="24"/>
                <w:szCs w:val="24"/>
                <w:lang w:val="hr-HR" w:eastAsia="hr-HR"/>
              </w:rPr>
            </w:pPr>
            <w:r w:rsidRPr="00D87538">
              <w:rPr>
                <w:sz w:val="24"/>
                <w:szCs w:val="24"/>
                <w:lang w:val="hr-HR" w:eastAsia="hr-HR"/>
              </w:rPr>
              <w:t>GRAD ZAGREB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4.190.667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1.658.932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F81309" w:rsidP="00D87538">
            <w:pPr>
              <w:jc w:val="right"/>
              <w:rPr>
                <w:sz w:val="24"/>
                <w:szCs w:val="24"/>
              </w:rPr>
            </w:pPr>
            <w:r w:rsidRPr="00D87538">
              <w:rPr>
                <w:sz w:val="24"/>
                <w:szCs w:val="24"/>
              </w:rPr>
              <w:t>5.849.599</w:t>
            </w:r>
          </w:p>
        </w:tc>
      </w:tr>
      <w:tr w:rsidR="00F81309" w:rsidRPr="00D87538" w:rsidTr="00930265">
        <w:trPr>
          <w:trHeight w:val="444"/>
        </w:trPr>
        <w:tc>
          <w:tcPr>
            <w:tcW w:w="1381" w:type="pct"/>
            <w:vAlign w:val="center"/>
          </w:tcPr>
          <w:p w:rsidR="00F81309" w:rsidRPr="00D87538" w:rsidRDefault="00F81309" w:rsidP="00D87538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D87538">
              <w:rPr>
                <w:b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1309" w:rsidRPr="00D87538" w:rsidRDefault="00E717A0" w:rsidP="00D87538">
            <w:pPr>
              <w:jc w:val="right"/>
              <w:rPr>
                <w:b/>
                <w:sz w:val="24"/>
                <w:szCs w:val="24"/>
              </w:rPr>
            </w:pPr>
            <w:r w:rsidRPr="00D87538">
              <w:rPr>
                <w:b/>
                <w:sz w:val="24"/>
                <w:szCs w:val="24"/>
              </w:rPr>
              <w:t>48.092.430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309" w:rsidRPr="00D87538" w:rsidRDefault="00E717A0" w:rsidP="00D87538">
            <w:pPr>
              <w:jc w:val="right"/>
              <w:rPr>
                <w:b/>
                <w:sz w:val="24"/>
                <w:szCs w:val="24"/>
              </w:rPr>
            </w:pPr>
            <w:r w:rsidRPr="00D87538">
              <w:rPr>
                <w:b/>
                <w:sz w:val="24"/>
                <w:szCs w:val="24"/>
              </w:rPr>
              <w:t>5.998.635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309" w:rsidRPr="00D87538" w:rsidRDefault="00F81309" w:rsidP="00D87538">
            <w:pPr>
              <w:jc w:val="right"/>
              <w:rPr>
                <w:b/>
                <w:sz w:val="24"/>
                <w:szCs w:val="24"/>
              </w:rPr>
            </w:pPr>
            <w:r w:rsidRPr="00D87538">
              <w:rPr>
                <w:b/>
                <w:sz w:val="24"/>
                <w:szCs w:val="24"/>
              </w:rPr>
              <w:t>54.091.065</w:t>
            </w:r>
          </w:p>
        </w:tc>
      </w:tr>
    </w:tbl>
    <w:p w:rsidR="0016099E" w:rsidRPr="00D87538" w:rsidRDefault="0016099E" w:rsidP="00D87538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A501F4" w:rsidRPr="00D87538" w:rsidRDefault="007657D3" w:rsidP="00930265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D87538">
        <w:rPr>
          <w:rFonts w:ascii="Times New Roman" w:hAnsi="Times New Roman"/>
          <w:b/>
          <w:sz w:val="24"/>
          <w:szCs w:val="24"/>
          <w:lang w:val="pl-PL"/>
        </w:rPr>
        <w:t>II.</w:t>
      </w:r>
    </w:p>
    <w:p w:rsidR="00A501F4" w:rsidRPr="00D87538" w:rsidRDefault="00A501F4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pl-PL"/>
        </w:rPr>
      </w:pPr>
    </w:p>
    <w:p w:rsidR="00A501F4" w:rsidRPr="00D87538" w:rsidRDefault="00A501F4" w:rsidP="00930265">
      <w:pPr>
        <w:pStyle w:val="T-98-2"/>
        <w:tabs>
          <w:tab w:val="clear" w:pos="2153"/>
          <w:tab w:val="left" w:pos="0"/>
        </w:tabs>
        <w:spacing w:after="0"/>
        <w:ind w:firstLine="1418"/>
        <w:rPr>
          <w:rFonts w:ascii="Times New Roman" w:hAnsi="Times New Roman"/>
          <w:sz w:val="24"/>
          <w:szCs w:val="24"/>
          <w:lang w:val="pt-BR"/>
        </w:rPr>
      </w:pPr>
      <w:r w:rsidRPr="00D87538">
        <w:rPr>
          <w:rFonts w:ascii="Times New Roman" w:hAnsi="Times New Roman"/>
          <w:sz w:val="24"/>
          <w:szCs w:val="24"/>
          <w:lang w:val="pt-BR"/>
        </w:rPr>
        <w:t xml:space="preserve">Ova Odluka </w:t>
      </w:r>
      <w:r w:rsidRPr="00D87538">
        <w:rPr>
          <w:rFonts w:ascii="Times New Roman" w:hAnsi="Times New Roman"/>
          <w:sz w:val="24"/>
          <w:szCs w:val="24"/>
          <w:lang w:val="pl-PL"/>
        </w:rPr>
        <w:t xml:space="preserve">stupa na snagu osmoga dana od dana objave u </w:t>
      </w:r>
      <w:r w:rsidR="00930265">
        <w:rPr>
          <w:rFonts w:ascii="Times New Roman" w:hAnsi="Times New Roman"/>
          <w:sz w:val="24"/>
          <w:szCs w:val="24"/>
          <w:lang w:val="pl-PL"/>
        </w:rPr>
        <w:t>„</w:t>
      </w:r>
      <w:r w:rsidRPr="00D87538">
        <w:rPr>
          <w:rFonts w:ascii="Times New Roman" w:hAnsi="Times New Roman"/>
          <w:sz w:val="24"/>
          <w:szCs w:val="24"/>
          <w:lang w:val="pl-PL"/>
        </w:rPr>
        <w:t>Narodnim novinama</w:t>
      </w:r>
      <w:r w:rsidR="00930265">
        <w:rPr>
          <w:rFonts w:ascii="Times New Roman" w:hAnsi="Times New Roman"/>
          <w:sz w:val="24"/>
          <w:szCs w:val="24"/>
          <w:lang w:val="pl-PL"/>
        </w:rPr>
        <w:t>”</w:t>
      </w:r>
      <w:r w:rsidRPr="00D87538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A501F4" w:rsidRPr="00D87538" w:rsidRDefault="00A501F4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501F4" w:rsidRDefault="00A501F4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30265" w:rsidRPr="00D87538" w:rsidRDefault="00930265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B31BB9" w:rsidRPr="00D87538" w:rsidRDefault="00B31BB9" w:rsidP="00D87538">
      <w:pPr>
        <w:pStyle w:val="Klasa2"/>
        <w:tabs>
          <w:tab w:val="clear" w:pos="215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D87538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Pr="00D87538">
        <w:rPr>
          <w:rFonts w:ascii="Times New Roman" w:hAnsi="Times New Roman"/>
          <w:sz w:val="24"/>
          <w:szCs w:val="24"/>
          <w:lang w:val="hr-HR"/>
        </w:rPr>
        <w:tab/>
      </w:r>
      <w:r w:rsidRPr="00D87538">
        <w:rPr>
          <w:rFonts w:ascii="Times New Roman" w:hAnsi="Times New Roman"/>
          <w:sz w:val="24"/>
          <w:szCs w:val="24"/>
          <w:lang w:val="hr-HR"/>
        </w:rPr>
        <w:tab/>
      </w:r>
      <w:r w:rsidRPr="00D87538">
        <w:rPr>
          <w:rFonts w:ascii="Times New Roman" w:hAnsi="Times New Roman"/>
          <w:sz w:val="24"/>
          <w:szCs w:val="24"/>
          <w:lang w:val="hr-HR"/>
        </w:rPr>
        <w:br/>
        <w:t xml:space="preserve">URBROJ: </w:t>
      </w:r>
      <w:r w:rsidRPr="00D87538">
        <w:rPr>
          <w:rFonts w:ascii="Times New Roman" w:hAnsi="Times New Roman"/>
          <w:sz w:val="24"/>
          <w:szCs w:val="24"/>
          <w:lang w:val="hr-HR"/>
        </w:rPr>
        <w:tab/>
      </w:r>
      <w:r w:rsidRPr="00D87538">
        <w:rPr>
          <w:rFonts w:ascii="Times New Roman" w:hAnsi="Times New Roman"/>
          <w:sz w:val="24"/>
          <w:szCs w:val="24"/>
          <w:lang w:val="hr-HR"/>
        </w:rPr>
        <w:br/>
      </w:r>
    </w:p>
    <w:p w:rsidR="00B31BB9" w:rsidRPr="00D87538" w:rsidRDefault="00B31BB9" w:rsidP="00D87538">
      <w:pPr>
        <w:pStyle w:val="Klasa2"/>
        <w:tabs>
          <w:tab w:val="clear" w:pos="215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D87538">
        <w:rPr>
          <w:rFonts w:ascii="Times New Roman" w:hAnsi="Times New Roman"/>
          <w:sz w:val="24"/>
          <w:szCs w:val="24"/>
          <w:lang w:val="hr-HR"/>
        </w:rPr>
        <w:t xml:space="preserve">Zagreb, </w:t>
      </w:r>
      <w:r w:rsidRPr="00D87538">
        <w:rPr>
          <w:rFonts w:ascii="Times New Roman" w:hAnsi="Times New Roman"/>
          <w:sz w:val="24"/>
          <w:szCs w:val="24"/>
          <w:lang w:val="hr-HR"/>
        </w:rPr>
        <w:tab/>
      </w:r>
    </w:p>
    <w:p w:rsidR="00B31BB9" w:rsidRPr="00D87538" w:rsidRDefault="00B31BB9" w:rsidP="00D87538">
      <w:pPr>
        <w:rPr>
          <w:sz w:val="24"/>
          <w:szCs w:val="24"/>
          <w:lang w:val="hr-HR"/>
        </w:rPr>
      </w:pPr>
    </w:p>
    <w:p w:rsidR="00B31BB9" w:rsidRPr="00D87538" w:rsidRDefault="00B31BB9" w:rsidP="00A1571A">
      <w:pPr>
        <w:pStyle w:val="t-9-8-potpis"/>
        <w:spacing w:before="0" w:beforeAutospacing="0" w:after="0" w:afterAutospacing="0"/>
        <w:ind w:left="0"/>
        <w:jc w:val="left"/>
      </w:pPr>
    </w:p>
    <w:p w:rsidR="00B31BB9" w:rsidRPr="00D87538" w:rsidRDefault="00B31BB9" w:rsidP="00D87538">
      <w:pPr>
        <w:jc w:val="both"/>
        <w:rPr>
          <w:sz w:val="24"/>
          <w:szCs w:val="24"/>
          <w:lang w:val="hr-HR"/>
        </w:rPr>
      </w:pPr>
    </w:p>
    <w:p w:rsidR="00B31BB9" w:rsidRPr="00D87538" w:rsidRDefault="00B31BB9" w:rsidP="00D87538">
      <w:pPr>
        <w:jc w:val="both"/>
        <w:rPr>
          <w:sz w:val="24"/>
          <w:szCs w:val="24"/>
          <w:lang w:val="hr-HR"/>
        </w:rPr>
      </w:pP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="00930265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  <w:t>Predsjednik</w:t>
      </w:r>
    </w:p>
    <w:p w:rsidR="00B31BB9" w:rsidRPr="00D87538" w:rsidRDefault="00B31BB9" w:rsidP="00D87538">
      <w:pPr>
        <w:jc w:val="both"/>
        <w:rPr>
          <w:sz w:val="24"/>
          <w:szCs w:val="24"/>
          <w:lang w:val="hr-HR"/>
        </w:rPr>
      </w:pPr>
    </w:p>
    <w:p w:rsidR="00B31BB9" w:rsidRPr="00D87538" w:rsidRDefault="00B31BB9" w:rsidP="00D87538">
      <w:pPr>
        <w:jc w:val="both"/>
        <w:rPr>
          <w:sz w:val="24"/>
          <w:szCs w:val="24"/>
          <w:lang w:val="hr-HR"/>
        </w:rPr>
      </w:pPr>
    </w:p>
    <w:p w:rsidR="00B31BB9" w:rsidRPr="00D87538" w:rsidRDefault="00B31BB9" w:rsidP="00D87538">
      <w:pPr>
        <w:jc w:val="both"/>
        <w:rPr>
          <w:sz w:val="24"/>
          <w:szCs w:val="24"/>
          <w:lang w:val="hr-HR"/>
        </w:rPr>
      </w:pP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="00930265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Pr="00D87538">
        <w:rPr>
          <w:sz w:val="24"/>
          <w:szCs w:val="24"/>
          <w:lang w:val="hr-HR"/>
        </w:rPr>
        <w:tab/>
      </w:r>
      <w:r w:rsidR="00FB0662" w:rsidRPr="00D87538">
        <w:rPr>
          <w:sz w:val="24"/>
          <w:szCs w:val="24"/>
          <w:lang w:val="hr-HR"/>
        </w:rPr>
        <w:t xml:space="preserve">mr. </w:t>
      </w:r>
      <w:proofErr w:type="spellStart"/>
      <w:r w:rsidR="00FB0662" w:rsidRPr="00D87538">
        <w:rPr>
          <w:sz w:val="24"/>
          <w:szCs w:val="24"/>
          <w:lang w:val="hr-HR"/>
        </w:rPr>
        <w:t>sc</w:t>
      </w:r>
      <w:proofErr w:type="spellEnd"/>
      <w:r w:rsidR="00FB0662" w:rsidRPr="00D87538">
        <w:rPr>
          <w:sz w:val="24"/>
          <w:szCs w:val="24"/>
          <w:lang w:val="hr-HR"/>
        </w:rPr>
        <w:t>. Andrej Plenković</w:t>
      </w:r>
    </w:p>
    <w:p w:rsidR="00B31BB9" w:rsidRPr="00D87538" w:rsidRDefault="00B31BB9" w:rsidP="00D87538">
      <w:pPr>
        <w:jc w:val="both"/>
        <w:rPr>
          <w:sz w:val="24"/>
          <w:szCs w:val="24"/>
          <w:lang w:val="hr-HR"/>
        </w:rPr>
      </w:pPr>
    </w:p>
    <w:p w:rsidR="00FB5EE3" w:rsidRPr="00D87538" w:rsidRDefault="00FB5EE3" w:rsidP="00D87538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9B5B48" w:rsidRDefault="009B5B48">
      <w:pPr>
        <w:rPr>
          <w:sz w:val="24"/>
          <w:szCs w:val="24"/>
          <w:lang w:val="en-US"/>
        </w:rPr>
      </w:pPr>
      <w:r>
        <w:rPr>
          <w:sz w:val="24"/>
          <w:szCs w:val="24"/>
        </w:rPr>
        <w:br w:type="page"/>
      </w:r>
    </w:p>
    <w:p w:rsidR="002B7A21" w:rsidRPr="00D87538" w:rsidRDefault="002B7A21" w:rsidP="00D87538">
      <w:pPr>
        <w:jc w:val="center"/>
        <w:rPr>
          <w:b/>
          <w:sz w:val="24"/>
          <w:szCs w:val="24"/>
          <w:lang w:val="pt-BR"/>
        </w:rPr>
      </w:pPr>
    </w:p>
    <w:p w:rsidR="002B7A21" w:rsidRPr="00D87538" w:rsidRDefault="002B7A21" w:rsidP="00D87538">
      <w:pPr>
        <w:jc w:val="center"/>
        <w:rPr>
          <w:b/>
          <w:sz w:val="24"/>
          <w:szCs w:val="24"/>
          <w:lang w:val="pt-BR"/>
        </w:rPr>
      </w:pPr>
      <w:r w:rsidRPr="00D87538">
        <w:rPr>
          <w:b/>
          <w:sz w:val="24"/>
          <w:szCs w:val="24"/>
          <w:lang w:val="pt-BR"/>
        </w:rPr>
        <w:t>O B R A Z L O Ž E NJ E</w:t>
      </w:r>
    </w:p>
    <w:p w:rsidR="002B7A21" w:rsidRPr="00D87538" w:rsidRDefault="002B7A21" w:rsidP="00D87538">
      <w:pPr>
        <w:jc w:val="both"/>
        <w:rPr>
          <w:sz w:val="24"/>
          <w:szCs w:val="24"/>
          <w:lang w:val="de-DE"/>
        </w:rPr>
      </w:pPr>
    </w:p>
    <w:p w:rsidR="008000E5" w:rsidRPr="00D87538" w:rsidRDefault="008000E5" w:rsidP="00D87538">
      <w:pPr>
        <w:jc w:val="both"/>
        <w:rPr>
          <w:sz w:val="24"/>
          <w:szCs w:val="24"/>
          <w:lang w:val="pl-PL"/>
        </w:rPr>
      </w:pPr>
      <w:r w:rsidRPr="00D87538">
        <w:rPr>
          <w:sz w:val="24"/>
          <w:szCs w:val="24"/>
          <w:lang w:val="pl-PL"/>
        </w:rPr>
        <w:t xml:space="preserve">U Odluci o minimalnim financijskim standardima za decentralizirane funkcije za zdravstvene ustanove </w:t>
      </w:r>
      <w:r w:rsidRPr="00D87538">
        <w:rPr>
          <w:sz w:val="24"/>
          <w:szCs w:val="24"/>
          <w:lang w:val="de-DE"/>
        </w:rPr>
        <w:t xml:space="preserve">u 2023. </w:t>
      </w:r>
      <w:proofErr w:type="spellStart"/>
      <w:r w:rsidRPr="00D87538">
        <w:rPr>
          <w:sz w:val="24"/>
          <w:szCs w:val="24"/>
          <w:lang w:val="de-DE"/>
        </w:rPr>
        <w:t>godini</w:t>
      </w:r>
      <w:proofErr w:type="spellEnd"/>
      <w:r w:rsidRPr="00D87538">
        <w:rPr>
          <w:sz w:val="24"/>
          <w:szCs w:val="24"/>
          <w:lang w:val="de-DE"/>
        </w:rPr>
        <w:t xml:space="preserve"> (</w:t>
      </w:r>
      <w:r w:rsidR="009B5B48">
        <w:rPr>
          <w:sz w:val="24"/>
          <w:szCs w:val="24"/>
          <w:lang w:val="de-DE"/>
        </w:rPr>
        <w:t>„</w:t>
      </w:r>
      <w:proofErr w:type="spellStart"/>
      <w:r w:rsidRPr="00D87538">
        <w:rPr>
          <w:sz w:val="24"/>
          <w:szCs w:val="24"/>
          <w:lang w:val="de-DE"/>
        </w:rPr>
        <w:t>Narodne</w:t>
      </w:r>
      <w:proofErr w:type="spellEnd"/>
      <w:r w:rsidRPr="00D87538">
        <w:rPr>
          <w:sz w:val="24"/>
          <w:szCs w:val="24"/>
          <w:lang w:val="de-DE"/>
        </w:rPr>
        <w:t xml:space="preserve"> </w:t>
      </w:r>
      <w:proofErr w:type="spellStart"/>
      <w:r w:rsidRPr="00D87538">
        <w:rPr>
          <w:sz w:val="24"/>
          <w:szCs w:val="24"/>
          <w:lang w:val="de-DE"/>
        </w:rPr>
        <w:t>novine</w:t>
      </w:r>
      <w:proofErr w:type="spellEnd"/>
      <w:r w:rsidRPr="00D87538">
        <w:rPr>
          <w:sz w:val="24"/>
          <w:szCs w:val="24"/>
          <w:lang w:val="de-DE"/>
        </w:rPr>
        <w:t>”</w:t>
      </w:r>
      <w:r w:rsidR="009B5B48">
        <w:rPr>
          <w:sz w:val="24"/>
          <w:szCs w:val="24"/>
          <w:lang w:val="de-DE"/>
        </w:rPr>
        <w:t>,</w:t>
      </w:r>
      <w:r w:rsidRPr="00D87538">
        <w:rPr>
          <w:sz w:val="24"/>
          <w:szCs w:val="24"/>
          <w:lang w:val="de-DE"/>
        </w:rPr>
        <w:t xml:space="preserve"> </w:t>
      </w:r>
      <w:proofErr w:type="spellStart"/>
      <w:r w:rsidRPr="00D87538">
        <w:rPr>
          <w:sz w:val="24"/>
          <w:szCs w:val="24"/>
          <w:lang w:val="de-DE"/>
        </w:rPr>
        <w:t>br</w:t>
      </w:r>
      <w:r w:rsidR="009B5B48">
        <w:rPr>
          <w:sz w:val="24"/>
          <w:szCs w:val="24"/>
          <w:lang w:val="de-DE"/>
        </w:rPr>
        <w:t>oj</w:t>
      </w:r>
      <w:proofErr w:type="spellEnd"/>
      <w:r w:rsidRPr="00D87538">
        <w:rPr>
          <w:sz w:val="24"/>
          <w:szCs w:val="24"/>
          <w:lang w:val="de-DE"/>
        </w:rPr>
        <w:t xml:space="preserve"> 8/23</w:t>
      </w:r>
      <w:r w:rsidR="009B5B48">
        <w:rPr>
          <w:sz w:val="24"/>
          <w:szCs w:val="24"/>
          <w:lang w:val="de-DE"/>
        </w:rPr>
        <w:t>.</w:t>
      </w:r>
      <w:r w:rsidRPr="00D87538">
        <w:rPr>
          <w:sz w:val="24"/>
          <w:szCs w:val="24"/>
          <w:lang w:val="pl-PL"/>
        </w:rPr>
        <w:t xml:space="preserve">), u točki I. stavku 2. u Tablici u stupcu 1 „Iznos sredstava za investicijsko ulaganje i investicijsko i tekuće održavanje“ za Sisačko-moslavačku županiju naveden je veći iznosi od potrebnog za investicijsko ulaganje i investicijsko i tekuće održavanje, a u stupcu 2 „Iznos sredstava za otplatu kredita“ navedeni iznos se pokazao nedostatnim. </w:t>
      </w:r>
    </w:p>
    <w:p w:rsidR="008000E5" w:rsidRPr="00D87538" w:rsidRDefault="008000E5" w:rsidP="00D87538">
      <w:pPr>
        <w:jc w:val="both"/>
        <w:rPr>
          <w:sz w:val="24"/>
          <w:szCs w:val="24"/>
          <w:lang w:val="pl-PL"/>
        </w:rPr>
      </w:pPr>
    </w:p>
    <w:p w:rsidR="007B0EC2" w:rsidRDefault="008000E5" w:rsidP="00D87538">
      <w:pPr>
        <w:jc w:val="both"/>
        <w:rPr>
          <w:sz w:val="24"/>
          <w:szCs w:val="24"/>
          <w:lang w:val="pl-PL"/>
        </w:rPr>
      </w:pPr>
      <w:r w:rsidRPr="00D87538">
        <w:rPr>
          <w:sz w:val="24"/>
          <w:szCs w:val="24"/>
          <w:lang w:val="pl-PL"/>
        </w:rPr>
        <w:t xml:space="preserve">Ovom </w:t>
      </w:r>
      <w:r w:rsidR="009B5B48">
        <w:rPr>
          <w:sz w:val="24"/>
          <w:szCs w:val="24"/>
          <w:lang w:val="pl-PL"/>
        </w:rPr>
        <w:t>o</w:t>
      </w:r>
      <w:r w:rsidRPr="00D87538">
        <w:rPr>
          <w:sz w:val="24"/>
          <w:szCs w:val="24"/>
          <w:lang w:val="pl-PL"/>
        </w:rPr>
        <w:t xml:space="preserve">dlukom o izmjeni Odluke o minimalnim financijskim standardima za decentralizirane funkcije za zdravstvene ustanove u 2023. </w:t>
      </w:r>
      <w:r w:rsidR="009B5B48">
        <w:rPr>
          <w:sz w:val="24"/>
          <w:szCs w:val="24"/>
          <w:lang w:val="pl-PL"/>
        </w:rPr>
        <w:t>godini,</w:t>
      </w:r>
      <w:r w:rsidRPr="00D87538">
        <w:rPr>
          <w:sz w:val="24"/>
          <w:szCs w:val="24"/>
          <w:lang w:val="pl-PL"/>
        </w:rPr>
        <w:t xml:space="preserve"> izvršena je izmjena iznosa potrebnih sredstava Sisačko-moslavačke županije, na način da je smanjen iznos sredstava za investicijsko ulaganje i investicijsko i tekuće održavanje s </w:t>
      </w:r>
      <w:r w:rsidR="00662DD7" w:rsidRPr="00D87538">
        <w:rPr>
          <w:sz w:val="24"/>
          <w:szCs w:val="24"/>
          <w:lang w:val="pl-PL"/>
        </w:rPr>
        <w:t>1.913.853</w:t>
      </w:r>
      <w:r w:rsidRPr="00D87538">
        <w:rPr>
          <w:sz w:val="24"/>
          <w:szCs w:val="24"/>
          <w:lang w:val="pl-PL"/>
        </w:rPr>
        <w:t xml:space="preserve"> eura na </w:t>
      </w:r>
      <w:r w:rsidR="00662DD7" w:rsidRPr="00D87538">
        <w:rPr>
          <w:sz w:val="24"/>
          <w:szCs w:val="24"/>
          <w:lang w:val="pl-PL"/>
        </w:rPr>
        <w:t>1.876.874</w:t>
      </w:r>
      <w:r w:rsidRPr="00D87538">
        <w:rPr>
          <w:sz w:val="24"/>
          <w:szCs w:val="24"/>
          <w:lang w:val="pl-PL"/>
        </w:rPr>
        <w:t xml:space="preserve"> eura, a za nastalu razliku povećan je iznos sredstava za otplatu kredita sa </w:t>
      </w:r>
      <w:r w:rsidR="00662DD7" w:rsidRPr="00D87538">
        <w:rPr>
          <w:sz w:val="24"/>
          <w:szCs w:val="24"/>
          <w:lang w:val="pl-PL"/>
        </w:rPr>
        <w:t>739.267</w:t>
      </w:r>
      <w:r w:rsidRPr="00D87538">
        <w:rPr>
          <w:sz w:val="24"/>
          <w:szCs w:val="24"/>
          <w:lang w:val="pl-PL"/>
        </w:rPr>
        <w:t xml:space="preserve"> eura na </w:t>
      </w:r>
      <w:r w:rsidR="00662DD7" w:rsidRPr="00D87538">
        <w:rPr>
          <w:sz w:val="24"/>
          <w:szCs w:val="24"/>
          <w:lang w:val="pl-PL"/>
        </w:rPr>
        <w:t>776.246</w:t>
      </w:r>
      <w:r w:rsidR="009B5B48">
        <w:rPr>
          <w:sz w:val="24"/>
          <w:szCs w:val="24"/>
          <w:lang w:val="pl-PL"/>
        </w:rPr>
        <w:t xml:space="preserve"> eura.</w:t>
      </w:r>
    </w:p>
    <w:p w:rsidR="009B5B48" w:rsidRPr="00D87538" w:rsidRDefault="009B5B48" w:rsidP="00D87538">
      <w:pPr>
        <w:jc w:val="both"/>
        <w:rPr>
          <w:sz w:val="24"/>
          <w:szCs w:val="24"/>
          <w:lang w:val="pl-PL"/>
        </w:rPr>
      </w:pPr>
    </w:p>
    <w:p w:rsidR="00BC0F95" w:rsidRDefault="00AA35C9" w:rsidP="00D87538">
      <w:pPr>
        <w:jc w:val="both"/>
        <w:rPr>
          <w:sz w:val="24"/>
          <w:szCs w:val="24"/>
          <w:lang w:val="hr-HR"/>
        </w:rPr>
      </w:pPr>
      <w:r w:rsidRPr="00D87538">
        <w:rPr>
          <w:sz w:val="24"/>
          <w:szCs w:val="24"/>
          <w:lang w:val="pl-PL"/>
        </w:rPr>
        <w:t>U iznosu sredstava za otplatu kredita u stupcu 2</w:t>
      </w:r>
      <w:r w:rsidR="0085187C" w:rsidRPr="00D87538">
        <w:rPr>
          <w:sz w:val="24"/>
          <w:szCs w:val="24"/>
          <w:lang w:val="pl-PL"/>
        </w:rPr>
        <w:t xml:space="preserve"> Tablice iz stavka 1. točke I. </w:t>
      </w:r>
      <w:r w:rsidR="009B5B48">
        <w:rPr>
          <w:sz w:val="24"/>
          <w:szCs w:val="24"/>
          <w:lang w:val="pl-PL"/>
        </w:rPr>
        <w:t>P</w:t>
      </w:r>
      <w:r w:rsidR="0085187C" w:rsidRPr="00D87538">
        <w:rPr>
          <w:sz w:val="24"/>
          <w:szCs w:val="24"/>
          <w:lang w:val="pl-PL"/>
        </w:rPr>
        <w:t xml:space="preserve">rijedloga </w:t>
      </w:r>
      <w:r w:rsidR="009B5B48">
        <w:rPr>
          <w:sz w:val="24"/>
          <w:szCs w:val="24"/>
          <w:lang w:val="pl-PL"/>
        </w:rPr>
        <w:t>o</w:t>
      </w:r>
      <w:r w:rsidR="0085187C" w:rsidRPr="00D87538">
        <w:rPr>
          <w:sz w:val="24"/>
          <w:szCs w:val="24"/>
          <w:lang w:val="pl-PL"/>
        </w:rPr>
        <w:t xml:space="preserve">dluke, povećan je </w:t>
      </w:r>
      <w:r w:rsidR="006836B4" w:rsidRPr="00D87538">
        <w:rPr>
          <w:sz w:val="24"/>
          <w:szCs w:val="24"/>
          <w:lang w:val="pl-PL"/>
        </w:rPr>
        <w:t xml:space="preserve">dio </w:t>
      </w:r>
      <w:r w:rsidR="0085187C" w:rsidRPr="00D87538">
        <w:rPr>
          <w:sz w:val="24"/>
          <w:szCs w:val="24"/>
          <w:lang w:val="pl-PL"/>
        </w:rPr>
        <w:t>iznos</w:t>
      </w:r>
      <w:r w:rsidR="006836B4" w:rsidRPr="00D87538">
        <w:rPr>
          <w:sz w:val="24"/>
          <w:szCs w:val="24"/>
          <w:lang w:val="pl-PL"/>
        </w:rPr>
        <w:t>a</w:t>
      </w:r>
      <w:r w:rsidR="0085187C" w:rsidRPr="00D87538">
        <w:rPr>
          <w:sz w:val="24"/>
          <w:szCs w:val="24"/>
          <w:lang w:val="pl-PL"/>
        </w:rPr>
        <w:t xml:space="preserve"> za </w:t>
      </w:r>
      <w:r w:rsidR="009935CC" w:rsidRPr="00D87538">
        <w:rPr>
          <w:sz w:val="24"/>
          <w:szCs w:val="24"/>
          <w:lang w:val="pl-PL"/>
        </w:rPr>
        <w:t>plaćanje kamata po</w:t>
      </w:r>
      <w:r w:rsidR="0085187C" w:rsidRPr="00D87538">
        <w:rPr>
          <w:sz w:val="24"/>
          <w:szCs w:val="24"/>
          <w:lang w:val="pl-PL"/>
        </w:rPr>
        <w:t xml:space="preserve"> kredit</w:t>
      </w:r>
      <w:r w:rsidR="009935CC" w:rsidRPr="00D87538">
        <w:rPr>
          <w:sz w:val="24"/>
          <w:szCs w:val="24"/>
          <w:lang w:val="pl-PL"/>
        </w:rPr>
        <w:t>u</w:t>
      </w:r>
      <w:r w:rsidR="0085187C" w:rsidRPr="00D87538">
        <w:rPr>
          <w:sz w:val="24"/>
          <w:szCs w:val="24"/>
          <w:lang w:val="pl-PL"/>
        </w:rPr>
        <w:t xml:space="preserve"> Opće bolnice „Dr. Ivo Pedišić” Sisak za rekonstrukciju zgrade </w:t>
      </w:r>
      <w:r w:rsidR="009935CC" w:rsidRPr="00D87538">
        <w:rPr>
          <w:sz w:val="24"/>
          <w:szCs w:val="24"/>
          <w:lang w:val="pl-PL"/>
        </w:rPr>
        <w:t>G</w:t>
      </w:r>
      <w:r w:rsidR="0085187C" w:rsidRPr="00D87538">
        <w:rPr>
          <w:sz w:val="24"/>
          <w:szCs w:val="24"/>
          <w:lang w:val="pl-PL"/>
        </w:rPr>
        <w:t>inekologije</w:t>
      </w:r>
      <w:r w:rsidR="009935CC" w:rsidRPr="00D87538">
        <w:rPr>
          <w:sz w:val="24"/>
          <w:szCs w:val="24"/>
          <w:lang w:val="pl-PL"/>
        </w:rPr>
        <w:t>,</w:t>
      </w:r>
      <w:r w:rsidR="0085187C" w:rsidRPr="00D87538">
        <w:rPr>
          <w:sz w:val="24"/>
          <w:szCs w:val="24"/>
          <w:lang w:val="pl-PL"/>
        </w:rPr>
        <w:t xml:space="preserve"> </w:t>
      </w:r>
      <w:r w:rsidR="008000E5" w:rsidRPr="00D87538">
        <w:rPr>
          <w:sz w:val="24"/>
          <w:szCs w:val="24"/>
          <w:lang w:val="pl-PL"/>
        </w:rPr>
        <w:t xml:space="preserve">temeljem Odluke Županijske skupštine Sisačko-moslavačke županije o davanju suglasnosti na Odluku Upravnog vijeća Opće bolnice „Dr. Ivo Pedišić” Sisak </w:t>
      </w:r>
      <w:r w:rsidR="007B0EC2" w:rsidRPr="00D87538">
        <w:rPr>
          <w:sz w:val="24"/>
          <w:szCs w:val="24"/>
          <w:lang w:val="pl-PL"/>
        </w:rPr>
        <w:t xml:space="preserve">kojom se prihvaća promjena ugovorene kamatne stope </w:t>
      </w:r>
      <w:r w:rsidR="008000E5" w:rsidRPr="00D87538">
        <w:rPr>
          <w:sz w:val="24"/>
          <w:szCs w:val="24"/>
          <w:lang w:val="hr-HR"/>
        </w:rPr>
        <w:t>(KLASA: 500-01/23-01/40, URBROJ: 2176-01-23-5, od 1. lipnja 2023.).</w:t>
      </w:r>
    </w:p>
    <w:p w:rsidR="0008049A" w:rsidRPr="00D87538" w:rsidRDefault="0008049A" w:rsidP="00D87538">
      <w:pPr>
        <w:jc w:val="both"/>
        <w:rPr>
          <w:sz w:val="24"/>
          <w:szCs w:val="24"/>
          <w:lang w:val="hr-HR"/>
        </w:rPr>
      </w:pPr>
    </w:p>
    <w:p w:rsidR="008000E5" w:rsidRPr="00D87538" w:rsidRDefault="008000E5" w:rsidP="00D87538">
      <w:pPr>
        <w:jc w:val="both"/>
        <w:rPr>
          <w:sz w:val="24"/>
          <w:szCs w:val="24"/>
          <w:lang w:val="de-DE"/>
        </w:rPr>
      </w:pPr>
      <w:proofErr w:type="spellStart"/>
      <w:r w:rsidRPr="00D87538">
        <w:rPr>
          <w:sz w:val="24"/>
          <w:szCs w:val="24"/>
          <w:lang w:val="de-DE"/>
        </w:rPr>
        <w:t>Ukupni</w:t>
      </w:r>
      <w:proofErr w:type="spellEnd"/>
      <w:r w:rsidRPr="00D87538">
        <w:rPr>
          <w:sz w:val="24"/>
          <w:szCs w:val="24"/>
          <w:lang w:val="de-DE"/>
        </w:rPr>
        <w:t xml:space="preserve"> </w:t>
      </w:r>
      <w:proofErr w:type="spellStart"/>
      <w:r w:rsidRPr="00D87538">
        <w:rPr>
          <w:sz w:val="24"/>
          <w:szCs w:val="24"/>
          <w:lang w:val="de-DE"/>
        </w:rPr>
        <w:t>iznos</w:t>
      </w:r>
      <w:proofErr w:type="spellEnd"/>
      <w:r w:rsidRPr="00D87538">
        <w:rPr>
          <w:sz w:val="24"/>
          <w:szCs w:val="24"/>
          <w:lang w:val="de-DE"/>
        </w:rPr>
        <w:t xml:space="preserve"> </w:t>
      </w:r>
      <w:proofErr w:type="spellStart"/>
      <w:r w:rsidRPr="00D87538">
        <w:rPr>
          <w:sz w:val="24"/>
          <w:szCs w:val="24"/>
          <w:lang w:val="de-DE"/>
        </w:rPr>
        <w:t>sredstava</w:t>
      </w:r>
      <w:proofErr w:type="spellEnd"/>
      <w:r w:rsidRPr="00D87538">
        <w:rPr>
          <w:sz w:val="24"/>
          <w:szCs w:val="24"/>
          <w:lang w:val="de-DE"/>
        </w:rPr>
        <w:t xml:space="preserve"> za </w:t>
      </w:r>
      <w:r w:rsidRPr="00D87538">
        <w:rPr>
          <w:sz w:val="24"/>
          <w:szCs w:val="24"/>
          <w:lang w:val="pl-PL"/>
        </w:rPr>
        <w:t>Sisačko-moslavačku</w:t>
      </w:r>
      <w:r w:rsidRPr="00D87538">
        <w:rPr>
          <w:sz w:val="24"/>
          <w:szCs w:val="24"/>
          <w:lang w:val="de-DE"/>
        </w:rPr>
        <w:t xml:space="preserve"> </w:t>
      </w:r>
      <w:proofErr w:type="spellStart"/>
      <w:r w:rsidRPr="00D87538">
        <w:rPr>
          <w:sz w:val="24"/>
          <w:szCs w:val="24"/>
          <w:lang w:val="de-DE"/>
        </w:rPr>
        <w:t>županiju</w:t>
      </w:r>
      <w:proofErr w:type="spellEnd"/>
      <w:r w:rsidRPr="00D87538">
        <w:rPr>
          <w:sz w:val="24"/>
          <w:szCs w:val="24"/>
          <w:lang w:val="de-DE"/>
        </w:rPr>
        <w:t xml:space="preserve"> </w:t>
      </w:r>
      <w:proofErr w:type="spellStart"/>
      <w:r w:rsidRPr="00D87538">
        <w:rPr>
          <w:sz w:val="24"/>
          <w:szCs w:val="24"/>
          <w:lang w:val="de-DE"/>
        </w:rPr>
        <w:t>ostao</w:t>
      </w:r>
      <w:proofErr w:type="spellEnd"/>
      <w:r w:rsidRPr="00D87538">
        <w:rPr>
          <w:sz w:val="24"/>
          <w:szCs w:val="24"/>
          <w:lang w:val="de-DE"/>
        </w:rPr>
        <w:t xml:space="preserve"> je </w:t>
      </w:r>
      <w:proofErr w:type="spellStart"/>
      <w:r w:rsidRPr="00D87538">
        <w:rPr>
          <w:sz w:val="24"/>
          <w:szCs w:val="24"/>
          <w:lang w:val="de-DE"/>
        </w:rPr>
        <w:t>nepromijenjen</w:t>
      </w:r>
      <w:proofErr w:type="spellEnd"/>
      <w:r w:rsidRPr="00D87538">
        <w:rPr>
          <w:sz w:val="24"/>
          <w:szCs w:val="24"/>
          <w:lang w:val="de-DE"/>
        </w:rPr>
        <w:t xml:space="preserve">. </w:t>
      </w:r>
    </w:p>
    <w:p w:rsidR="008000E5" w:rsidRPr="00D87538" w:rsidRDefault="008000E5" w:rsidP="00D87538">
      <w:pPr>
        <w:jc w:val="both"/>
        <w:rPr>
          <w:sz w:val="24"/>
          <w:szCs w:val="24"/>
          <w:lang w:val="de-DE"/>
        </w:rPr>
      </w:pPr>
    </w:p>
    <w:p w:rsidR="008000E5" w:rsidRPr="00D87538" w:rsidRDefault="008000E5" w:rsidP="00D87538">
      <w:pPr>
        <w:jc w:val="both"/>
        <w:rPr>
          <w:sz w:val="24"/>
          <w:szCs w:val="24"/>
          <w:lang w:val="pl-PL"/>
        </w:rPr>
      </w:pPr>
      <w:r w:rsidRPr="00D87538">
        <w:rPr>
          <w:sz w:val="24"/>
          <w:szCs w:val="24"/>
          <w:lang w:val="pl-PL"/>
        </w:rPr>
        <w:t xml:space="preserve">Ujedno su izvršene i korekcije ukupnih iznosa u Tablici u stupcima 1 i 2, a ukupni iznos sredstava za decentralizirane funkcije za zdravstvene ustanove za sve županije u stupcu 3 ostao je nepromijenjen. </w:t>
      </w:r>
    </w:p>
    <w:p w:rsidR="00AA35C9" w:rsidRPr="00D87538" w:rsidRDefault="00AA35C9" w:rsidP="00D87538">
      <w:pPr>
        <w:jc w:val="both"/>
        <w:rPr>
          <w:sz w:val="24"/>
          <w:szCs w:val="24"/>
          <w:lang w:val="pl-PL"/>
        </w:rPr>
      </w:pPr>
      <w:bookmarkStart w:id="0" w:name="_GoBack"/>
      <w:bookmarkEnd w:id="0"/>
    </w:p>
    <w:p w:rsidR="002B7A21" w:rsidRPr="00D87538" w:rsidRDefault="002B7A21" w:rsidP="00D87538">
      <w:pPr>
        <w:jc w:val="both"/>
        <w:rPr>
          <w:sz w:val="24"/>
          <w:szCs w:val="24"/>
          <w:lang w:val="de-DE"/>
        </w:rPr>
      </w:pPr>
    </w:p>
    <w:sectPr w:rsidR="002B7A21" w:rsidRPr="00D87538" w:rsidSect="00D442E3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20" w:rsidRDefault="00000C20">
      <w:r>
        <w:separator/>
      </w:r>
    </w:p>
  </w:endnote>
  <w:endnote w:type="continuationSeparator" w:id="0">
    <w:p w:rsidR="00000C20" w:rsidRDefault="0000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97" w:rsidRPr="00EA4997" w:rsidRDefault="00EA4997" w:rsidP="00EA4997">
    <w:pPr>
      <w:pStyle w:val="Footer"/>
      <w:pBdr>
        <w:top w:val="single" w:sz="4" w:space="1" w:color="404040"/>
      </w:pBdr>
      <w:jc w:val="center"/>
      <w:rPr>
        <w:color w:val="404040"/>
        <w:spacing w:val="20"/>
      </w:rPr>
    </w:pPr>
    <w:proofErr w:type="spellStart"/>
    <w:r w:rsidRPr="00EA4997">
      <w:rPr>
        <w:color w:val="404040"/>
        <w:spacing w:val="20"/>
      </w:rPr>
      <w:t>Banski</w:t>
    </w:r>
    <w:proofErr w:type="spellEnd"/>
    <w:r w:rsidRPr="00EA4997">
      <w:rPr>
        <w:color w:val="404040"/>
        <w:spacing w:val="20"/>
      </w:rPr>
      <w:t xml:space="preserve"> </w:t>
    </w:r>
    <w:proofErr w:type="spellStart"/>
    <w:r w:rsidRPr="00EA4997">
      <w:rPr>
        <w:color w:val="404040"/>
        <w:spacing w:val="20"/>
      </w:rPr>
      <w:t>dvori</w:t>
    </w:r>
    <w:proofErr w:type="spellEnd"/>
    <w:r w:rsidRPr="00EA4997">
      <w:rPr>
        <w:color w:val="404040"/>
        <w:spacing w:val="20"/>
      </w:rPr>
      <w:t xml:space="preserve"> | </w:t>
    </w:r>
    <w:proofErr w:type="spellStart"/>
    <w:r w:rsidRPr="00EA4997">
      <w:rPr>
        <w:color w:val="404040"/>
        <w:spacing w:val="20"/>
      </w:rPr>
      <w:t>Trg</w:t>
    </w:r>
    <w:proofErr w:type="spellEnd"/>
    <w:r w:rsidRPr="00EA4997">
      <w:rPr>
        <w:color w:val="404040"/>
        <w:spacing w:val="20"/>
      </w:rPr>
      <w:t xml:space="preserve"> </w:t>
    </w:r>
    <w:proofErr w:type="spellStart"/>
    <w:r w:rsidRPr="00EA4997">
      <w:rPr>
        <w:color w:val="404040"/>
        <w:spacing w:val="20"/>
      </w:rPr>
      <w:t>Sv</w:t>
    </w:r>
    <w:proofErr w:type="spellEnd"/>
    <w:r w:rsidRPr="00EA4997">
      <w:rPr>
        <w:color w:val="404040"/>
        <w:spacing w:val="20"/>
      </w:rPr>
      <w:t xml:space="preserve">. </w:t>
    </w:r>
    <w:proofErr w:type="spellStart"/>
    <w:r w:rsidRPr="00EA4997">
      <w:rPr>
        <w:color w:val="404040"/>
        <w:spacing w:val="20"/>
      </w:rPr>
      <w:t>Marka</w:t>
    </w:r>
    <w:proofErr w:type="spellEnd"/>
    <w:r w:rsidRPr="00EA4997">
      <w:rPr>
        <w:color w:val="404040"/>
        <w:spacing w:val="20"/>
      </w:rPr>
      <w:t xml:space="preserve"> </w:t>
    </w:r>
    <w:proofErr w:type="gramStart"/>
    <w:r w:rsidRPr="00EA4997">
      <w:rPr>
        <w:color w:val="404040"/>
        <w:spacing w:val="20"/>
      </w:rPr>
      <w:t>2  |</w:t>
    </w:r>
    <w:proofErr w:type="gramEnd"/>
    <w:r w:rsidRPr="00EA4997">
      <w:rPr>
        <w:color w:val="404040"/>
        <w:spacing w:val="20"/>
      </w:rPr>
      <w:t xml:space="preserve">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CD" w:rsidRDefault="00C82BCD" w:rsidP="00594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2BCD" w:rsidRDefault="00C82BCD">
    <w:pPr>
      <w:pStyle w:val="Footer"/>
      <w:ind w:right="360"/>
    </w:pPr>
  </w:p>
  <w:p w:rsidR="00C82BCD" w:rsidRDefault="00C82BCD"/>
  <w:p w:rsidR="00C82BCD" w:rsidRDefault="00C82B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CD" w:rsidRDefault="00C82B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20" w:rsidRDefault="00000C20">
      <w:r>
        <w:separator/>
      </w:r>
    </w:p>
  </w:footnote>
  <w:footnote w:type="continuationSeparator" w:id="0">
    <w:p w:rsidR="00000C20" w:rsidRDefault="0000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99193161"/>
      <w:docPartObj>
        <w:docPartGallery w:val="Page Numbers (Top of Page)"/>
        <w:docPartUnique/>
      </w:docPartObj>
    </w:sdtPr>
    <w:sdtContent>
      <w:p w:rsidR="00D442E3" w:rsidRPr="00D442E3" w:rsidRDefault="00D442E3" w:rsidP="00D442E3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CD" w:rsidRDefault="00C82BCD" w:rsidP="004370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2BCD" w:rsidRDefault="00C82BCD">
    <w:pPr>
      <w:pStyle w:val="Header"/>
    </w:pPr>
  </w:p>
  <w:p w:rsidR="00C82BCD" w:rsidRDefault="00C82BCD"/>
  <w:p w:rsidR="00C82BCD" w:rsidRDefault="00C82B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846367488"/>
      <w:docPartObj>
        <w:docPartGallery w:val="Page Numbers (Top of Page)"/>
        <w:docPartUnique/>
      </w:docPartObj>
    </w:sdtPr>
    <w:sdtContent>
      <w:p w:rsidR="00D442E3" w:rsidRPr="00D442E3" w:rsidRDefault="00D442E3" w:rsidP="00D442E3">
        <w:pPr>
          <w:pStyle w:val="Header"/>
          <w:jc w:val="center"/>
          <w:rPr>
            <w:sz w:val="24"/>
            <w:szCs w:val="24"/>
          </w:rPr>
        </w:pPr>
        <w:r w:rsidRPr="00D442E3">
          <w:rPr>
            <w:sz w:val="24"/>
            <w:szCs w:val="24"/>
          </w:rPr>
          <w:fldChar w:fldCharType="begin"/>
        </w:r>
        <w:r w:rsidRPr="00D442E3">
          <w:rPr>
            <w:sz w:val="24"/>
            <w:szCs w:val="24"/>
          </w:rPr>
          <w:instrText>PAGE   \* MERGEFORMAT</w:instrText>
        </w:r>
        <w:r w:rsidRPr="00D442E3">
          <w:rPr>
            <w:sz w:val="24"/>
            <w:szCs w:val="24"/>
          </w:rPr>
          <w:fldChar w:fldCharType="separate"/>
        </w:r>
        <w:r w:rsidR="0008049A" w:rsidRPr="0008049A">
          <w:rPr>
            <w:noProof/>
            <w:sz w:val="24"/>
            <w:szCs w:val="24"/>
            <w:lang w:val="hr-HR"/>
          </w:rPr>
          <w:t>2</w:t>
        </w:r>
        <w:r w:rsidRPr="00D442E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285"/>
    <w:multiLevelType w:val="hybridMultilevel"/>
    <w:tmpl w:val="3BE2A7A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C25A3"/>
    <w:multiLevelType w:val="hybridMultilevel"/>
    <w:tmpl w:val="DF0C7BB2"/>
    <w:lvl w:ilvl="0" w:tplc="1CB0E99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color w:val="0000FF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04099E"/>
    <w:multiLevelType w:val="hybridMultilevel"/>
    <w:tmpl w:val="4E240F70"/>
    <w:lvl w:ilvl="0" w:tplc="16D066FC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A97AAF"/>
    <w:multiLevelType w:val="hybridMultilevel"/>
    <w:tmpl w:val="AD8E9206"/>
    <w:lvl w:ilvl="0" w:tplc="436E3F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95"/>
    <w:rsid w:val="00000C20"/>
    <w:rsid w:val="00003136"/>
    <w:rsid w:val="0000434A"/>
    <w:rsid w:val="000058AE"/>
    <w:rsid w:val="000137C7"/>
    <w:rsid w:val="00015FDF"/>
    <w:rsid w:val="00031C02"/>
    <w:rsid w:val="000333AB"/>
    <w:rsid w:val="0003392E"/>
    <w:rsid w:val="00034B10"/>
    <w:rsid w:val="00035062"/>
    <w:rsid w:val="0003513B"/>
    <w:rsid w:val="00040385"/>
    <w:rsid w:val="00041C61"/>
    <w:rsid w:val="000475B7"/>
    <w:rsid w:val="00047A0C"/>
    <w:rsid w:val="000508CF"/>
    <w:rsid w:val="00051628"/>
    <w:rsid w:val="00056114"/>
    <w:rsid w:val="00061DBC"/>
    <w:rsid w:val="0006297B"/>
    <w:rsid w:val="00070B3D"/>
    <w:rsid w:val="00070DFC"/>
    <w:rsid w:val="000720A7"/>
    <w:rsid w:val="0008012C"/>
    <w:rsid w:val="0008049A"/>
    <w:rsid w:val="0008333C"/>
    <w:rsid w:val="000844C3"/>
    <w:rsid w:val="000876BD"/>
    <w:rsid w:val="00092135"/>
    <w:rsid w:val="00093B50"/>
    <w:rsid w:val="00095F1A"/>
    <w:rsid w:val="00097E13"/>
    <w:rsid w:val="000A09F8"/>
    <w:rsid w:val="000B1F35"/>
    <w:rsid w:val="000B431C"/>
    <w:rsid w:val="000B667B"/>
    <w:rsid w:val="000B6C02"/>
    <w:rsid w:val="000C0B15"/>
    <w:rsid w:val="000C3BED"/>
    <w:rsid w:val="000C51DE"/>
    <w:rsid w:val="000C5309"/>
    <w:rsid w:val="000C53CD"/>
    <w:rsid w:val="000C79D3"/>
    <w:rsid w:val="000D58C2"/>
    <w:rsid w:val="000E0DFB"/>
    <w:rsid w:val="000E1DA4"/>
    <w:rsid w:val="000E1F39"/>
    <w:rsid w:val="000E2181"/>
    <w:rsid w:val="000E2BBC"/>
    <w:rsid w:val="000E3212"/>
    <w:rsid w:val="000E54FB"/>
    <w:rsid w:val="000E724A"/>
    <w:rsid w:val="000F39EA"/>
    <w:rsid w:val="000F6522"/>
    <w:rsid w:val="00102632"/>
    <w:rsid w:val="0010395A"/>
    <w:rsid w:val="001056C5"/>
    <w:rsid w:val="00112BC1"/>
    <w:rsid w:val="00112D4E"/>
    <w:rsid w:val="00115AD5"/>
    <w:rsid w:val="0011795F"/>
    <w:rsid w:val="00117F68"/>
    <w:rsid w:val="001200D5"/>
    <w:rsid w:val="00126299"/>
    <w:rsid w:val="001262E2"/>
    <w:rsid w:val="0013118E"/>
    <w:rsid w:val="00134761"/>
    <w:rsid w:val="00136B64"/>
    <w:rsid w:val="001468D3"/>
    <w:rsid w:val="00151BC2"/>
    <w:rsid w:val="00153246"/>
    <w:rsid w:val="00156717"/>
    <w:rsid w:val="0016099E"/>
    <w:rsid w:val="00160C5D"/>
    <w:rsid w:val="001621EE"/>
    <w:rsid w:val="00166B1D"/>
    <w:rsid w:val="00172288"/>
    <w:rsid w:val="00177DBB"/>
    <w:rsid w:val="00183EAA"/>
    <w:rsid w:val="00185A5E"/>
    <w:rsid w:val="00190492"/>
    <w:rsid w:val="001923BA"/>
    <w:rsid w:val="001A0ADC"/>
    <w:rsid w:val="001A5884"/>
    <w:rsid w:val="001A60CA"/>
    <w:rsid w:val="001B029E"/>
    <w:rsid w:val="001D1CC8"/>
    <w:rsid w:val="001D5084"/>
    <w:rsid w:val="001D6A2F"/>
    <w:rsid w:val="001E622B"/>
    <w:rsid w:val="001E6BEF"/>
    <w:rsid w:val="001E7777"/>
    <w:rsid w:val="001F2C8A"/>
    <w:rsid w:val="001F50AE"/>
    <w:rsid w:val="001F6069"/>
    <w:rsid w:val="001F678A"/>
    <w:rsid w:val="00201777"/>
    <w:rsid w:val="00206057"/>
    <w:rsid w:val="00206CD7"/>
    <w:rsid w:val="00206CE9"/>
    <w:rsid w:val="00207C8D"/>
    <w:rsid w:val="00207E7F"/>
    <w:rsid w:val="002106CA"/>
    <w:rsid w:val="00210B5A"/>
    <w:rsid w:val="00211B29"/>
    <w:rsid w:val="0021581C"/>
    <w:rsid w:val="00215F8E"/>
    <w:rsid w:val="0021615E"/>
    <w:rsid w:val="00220C17"/>
    <w:rsid w:val="00224C34"/>
    <w:rsid w:val="00225368"/>
    <w:rsid w:val="00226038"/>
    <w:rsid w:val="002263DA"/>
    <w:rsid w:val="002263E1"/>
    <w:rsid w:val="002268D6"/>
    <w:rsid w:val="0023216A"/>
    <w:rsid w:val="00233233"/>
    <w:rsid w:val="0024418A"/>
    <w:rsid w:val="00245724"/>
    <w:rsid w:val="002471C7"/>
    <w:rsid w:val="00252946"/>
    <w:rsid w:val="00255F7D"/>
    <w:rsid w:val="00256651"/>
    <w:rsid w:val="00257257"/>
    <w:rsid w:val="002607AB"/>
    <w:rsid w:val="00260E5B"/>
    <w:rsid w:val="00261F23"/>
    <w:rsid w:val="002651FF"/>
    <w:rsid w:val="00271AA1"/>
    <w:rsid w:val="00275F02"/>
    <w:rsid w:val="0027790C"/>
    <w:rsid w:val="002801D1"/>
    <w:rsid w:val="002857C5"/>
    <w:rsid w:val="0028591A"/>
    <w:rsid w:val="00292285"/>
    <w:rsid w:val="00293D77"/>
    <w:rsid w:val="00296C01"/>
    <w:rsid w:val="002A1D9B"/>
    <w:rsid w:val="002A34CE"/>
    <w:rsid w:val="002A36A2"/>
    <w:rsid w:val="002A3DB9"/>
    <w:rsid w:val="002A7E97"/>
    <w:rsid w:val="002B3B49"/>
    <w:rsid w:val="002B73F5"/>
    <w:rsid w:val="002B7A21"/>
    <w:rsid w:val="002B7C82"/>
    <w:rsid w:val="002C0ADC"/>
    <w:rsid w:val="002C3411"/>
    <w:rsid w:val="002C536B"/>
    <w:rsid w:val="002C7E60"/>
    <w:rsid w:val="002D122B"/>
    <w:rsid w:val="002D5445"/>
    <w:rsid w:val="002D56EF"/>
    <w:rsid w:val="002D6504"/>
    <w:rsid w:val="002D74E9"/>
    <w:rsid w:val="002E11FB"/>
    <w:rsid w:val="002E487E"/>
    <w:rsid w:val="002E645A"/>
    <w:rsid w:val="002E702A"/>
    <w:rsid w:val="002F5061"/>
    <w:rsid w:val="002F6BFA"/>
    <w:rsid w:val="002F6E59"/>
    <w:rsid w:val="002F7323"/>
    <w:rsid w:val="00301359"/>
    <w:rsid w:val="0030160D"/>
    <w:rsid w:val="00302213"/>
    <w:rsid w:val="00303315"/>
    <w:rsid w:val="00303BC9"/>
    <w:rsid w:val="00304A1B"/>
    <w:rsid w:val="00304C5F"/>
    <w:rsid w:val="003056C6"/>
    <w:rsid w:val="00306AC0"/>
    <w:rsid w:val="00306DA1"/>
    <w:rsid w:val="003076C3"/>
    <w:rsid w:val="00310149"/>
    <w:rsid w:val="003143C0"/>
    <w:rsid w:val="0031469F"/>
    <w:rsid w:val="003151D7"/>
    <w:rsid w:val="003161EC"/>
    <w:rsid w:val="00316207"/>
    <w:rsid w:val="003200C3"/>
    <w:rsid w:val="0032310C"/>
    <w:rsid w:val="00327FF8"/>
    <w:rsid w:val="003351F8"/>
    <w:rsid w:val="00346A37"/>
    <w:rsid w:val="00347330"/>
    <w:rsid w:val="00347593"/>
    <w:rsid w:val="00347C2C"/>
    <w:rsid w:val="00352DD9"/>
    <w:rsid w:val="0035384A"/>
    <w:rsid w:val="00356302"/>
    <w:rsid w:val="00356B51"/>
    <w:rsid w:val="00357D91"/>
    <w:rsid w:val="003614CB"/>
    <w:rsid w:val="00362CDA"/>
    <w:rsid w:val="00364CE8"/>
    <w:rsid w:val="00367D66"/>
    <w:rsid w:val="00375F92"/>
    <w:rsid w:val="00377ABD"/>
    <w:rsid w:val="003827EB"/>
    <w:rsid w:val="0038731F"/>
    <w:rsid w:val="003917FE"/>
    <w:rsid w:val="00391D1E"/>
    <w:rsid w:val="0039394B"/>
    <w:rsid w:val="00393F5E"/>
    <w:rsid w:val="00394972"/>
    <w:rsid w:val="003A0D86"/>
    <w:rsid w:val="003A2323"/>
    <w:rsid w:val="003A5456"/>
    <w:rsid w:val="003A77AB"/>
    <w:rsid w:val="003A77F2"/>
    <w:rsid w:val="003A7C8D"/>
    <w:rsid w:val="003B00FA"/>
    <w:rsid w:val="003B1508"/>
    <w:rsid w:val="003B1907"/>
    <w:rsid w:val="003B27C1"/>
    <w:rsid w:val="003B3D83"/>
    <w:rsid w:val="003B4BFC"/>
    <w:rsid w:val="003B6675"/>
    <w:rsid w:val="003B6FFC"/>
    <w:rsid w:val="003C0F8F"/>
    <w:rsid w:val="003C2016"/>
    <w:rsid w:val="003C218C"/>
    <w:rsid w:val="003C2CAD"/>
    <w:rsid w:val="003C4CCA"/>
    <w:rsid w:val="003C773A"/>
    <w:rsid w:val="003D20A3"/>
    <w:rsid w:val="003D49E8"/>
    <w:rsid w:val="003D5661"/>
    <w:rsid w:val="003E0116"/>
    <w:rsid w:val="003E05FE"/>
    <w:rsid w:val="003E2427"/>
    <w:rsid w:val="003E5B4F"/>
    <w:rsid w:val="003F20C4"/>
    <w:rsid w:val="003F2113"/>
    <w:rsid w:val="003F5CA4"/>
    <w:rsid w:val="00400499"/>
    <w:rsid w:val="00403DAD"/>
    <w:rsid w:val="00406E02"/>
    <w:rsid w:val="00415CCB"/>
    <w:rsid w:val="00416F2A"/>
    <w:rsid w:val="00417D0F"/>
    <w:rsid w:val="00420A86"/>
    <w:rsid w:val="00421910"/>
    <w:rsid w:val="00423264"/>
    <w:rsid w:val="00423FB6"/>
    <w:rsid w:val="004301B6"/>
    <w:rsid w:val="00435BE9"/>
    <w:rsid w:val="00437048"/>
    <w:rsid w:val="00437D71"/>
    <w:rsid w:val="00444D70"/>
    <w:rsid w:val="00446F03"/>
    <w:rsid w:val="0045255C"/>
    <w:rsid w:val="00453790"/>
    <w:rsid w:val="00462EE0"/>
    <w:rsid w:val="00464AA7"/>
    <w:rsid w:val="004708D5"/>
    <w:rsid w:val="00473FC7"/>
    <w:rsid w:val="00476412"/>
    <w:rsid w:val="00480BD7"/>
    <w:rsid w:val="00487DF3"/>
    <w:rsid w:val="00487F3C"/>
    <w:rsid w:val="004928FA"/>
    <w:rsid w:val="004931B6"/>
    <w:rsid w:val="00496089"/>
    <w:rsid w:val="00496385"/>
    <w:rsid w:val="00497CDA"/>
    <w:rsid w:val="004A3A2D"/>
    <w:rsid w:val="004A3C82"/>
    <w:rsid w:val="004A4A79"/>
    <w:rsid w:val="004A76AB"/>
    <w:rsid w:val="004B36A7"/>
    <w:rsid w:val="004B3F29"/>
    <w:rsid w:val="004B4849"/>
    <w:rsid w:val="004C01E5"/>
    <w:rsid w:val="004C382E"/>
    <w:rsid w:val="004E12B8"/>
    <w:rsid w:val="004E2132"/>
    <w:rsid w:val="004E3994"/>
    <w:rsid w:val="004E4609"/>
    <w:rsid w:val="004E6D16"/>
    <w:rsid w:val="004E6EA0"/>
    <w:rsid w:val="004F0F3C"/>
    <w:rsid w:val="004F2968"/>
    <w:rsid w:val="004F2F1A"/>
    <w:rsid w:val="004F3D57"/>
    <w:rsid w:val="004F4D2F"/>
    <w:rsid w:val="004F52C3"/>
    <w:rsid w:val="00500398"/>
    <w:rsid w:val="00500D2A"/>
    <w:rsid w:val="0050226A"/>
    <w:rsid w:val="0050412D"/>
    <w:rsid w:val="005106CD"/>
    <w:rsid w:val="00512842"/>
    <w:rsid w:val="00515ECD"/>
    <w:rsid w:val="00516396"/>
    <w:rsid w:val="00527A4D"/>
    <w:rsid w:val="00532F46"/>
    <w:rsid w:val="00536328"/>
    <w:rsid w:val="00536CAA"/>
    <w:rsid w:val="0054417A"/>
    <w:rsid w:val="005452A7"/>
    <w:rsid w:val="00547C2A"/>
    <w:rsid w:val="00550133"/>
    <w:rsid w:val="00556047"/>
    <w:rsid w:val="00560C67"/>
    <w:rsid w:val="00561E69"/>
    <w:rsid w:val="0056206A"/>
    <w:rsid w:val="00566EED"/>
    <w:rsid w:val="00580F6D"/>
    <w:rsid w:val="005816F4"/>
    <w:rsid w:val="00586CBD"/>
    <w:rsid w:val="0059470E"/>
    <w:rsid w:val="005952AC"/>
    <w:rsid w:val="00596C17"/>
    <w:rsid w:val="005A0C0B"/>
    <w:rsid w:val="005A0C68"/>
    <w:rsid w:val="005A4A30"/>
    <w:rsid w:val="005A5D28"/>
    <w:rsid w:val="005B4DB8"/>
    <w:rsid w:val="005C13D6"/>
    <w:rsid w:val="005C72E9"/>
    <w:rsid w:val="005D3F3F"/>
    <w:rsid w:val="005D45B6"/>
    <w:rsid w:val="005D4BDA"/>
    <w:rsid w:val="005D5799"/>
    <w:rsid w:val="005D72C4"/>
    <w:rsid w:val="005D7B0D"/>
    <w:rsid w:val="005E1025"/>
    <w:rsid w:val="005F0916"/>
    <w:rsid w:val="005F293E"/>
    <w:rsid w:val="005F5175"/>
    <w:rsid w:val="005F5721"/>
    <w:rsid w:val="005F787F"/>
    <w:rsid w:val="00610ECC"/>
    <w:rsid w:val="00611253"/>
    <w:rsid w:val="006160A1"/>
    <w:rsid w:val="0061726A"/>
    <w:rsid w:val="006216FD"/>
    <w:rsid w:val="006232C9"/>
    <w:rsid w:val="00625169"/>
    <w:rsid w:val="00630145"/>
    <w:rsid w:val="006317A6"/>
    <w:rsid w:val="006349D1"/>
    <w:rsid w:val="00643F00"/>
    <w:rsid w:val="00644D84"/>
    <w:rsid w:val="00645A46"/>
    <w:rsid w:val="00646980"/>
    <w:rsid w:val="00652612"/>
    <w:rsid w:val="0065614E"/>
    <w:rsid w:val="00657372"/>
    <w:rsid w:val="006573C8"/>
    <w:rsid w:val="00657EAF"/>
    <w:rsid w:val="00660BAE"/>
    <w:rsid w:val="00662DD7"/>
    <w:rsid w:val="00664CB6"/>
    <w:rsid w:val="006652E0"/>
    <w:rsid w:val="00666190"/>
    <w:rsid w:val="00666710"/>
    <w:rsid w:val="00666B65"/>
    <w:rsid w:val="006678A5"/>
    <w:rsid w:val="0066794B"/>
    <w:rsid w:val="00667B6A"/>
    <w:rsid w:val="00667FDD"/>
    <w:rsid w:val="00671B49"/>
    <w:rsid w:val="00672C01"/>
    <w:rsid w:val="006836B4"/>
    <w:rsid w:val="0068610C"/>
    <w:rsid w:val="006862CB"/>
    <w:rsid w:val="00687F2A"/>
    <w:rsid w:val="00691E0B"/>
    <w:rsid w:val="00694B09"/>
    <w:rsid w:val="00695C99"/>
    <w:rsid w:val="00696DC9"/>
    <w:rsid w:val="006A1929"/>
    <w:rsid w:val="006A2778"/>
    <w:rsid w:val="006A3937"/>
    <w:rsid w:val="006A5DB4"/>
    <w:rsid w:val="006A78F9"/>
    <w:rsid w:val="006A7FE4"/>
    <w:rsid w:val="006B0B41"/>
    <w:rsid w:val="006B0EE0"/>
    <w:rsid w:val="006B5565"/>
    <w:rsid w:val="006B67D8"/>
    <w:rsid w:val="006B6BE6"/>
    <w:rsid w:val="006C201A"/>
    <w:rsid w:val="006C339C"/>
    <w:rsid w:val="006D163E"/>
    <w:rsid w:val="006D4D25"/>
    <w:rsid w:val="006D5B26"/>
    <w:rsid w:val="006E3AFA"/>
    <w:rsid w:val="006E5244"/>
    <w:rsid w:val="006F09B7"/>
    <w:rsid w:val="006F3979"/>
    <w:rsid w:val="006F3C45"/>
    <w:rsid w:val="006F461C"/>
    <w:rsid w:val="006F4DAC"/>
    <w:rsid w:val="006F521B"/>
    <w:rsid w:val="006F58B5"/>
    <w:rsid w:val="006F67A4"/>
    <w:rsid w:val="006F73FF"/>
    <w:rsid w:val="006F7C98"/>
    <w:rsid w:val="00702EE1"/>
    <w:rsid w:val="00703667"/>
    <w:rsid w:val="00704CEC"/>
    <w:rsid w:val="00706C92"/>
    <w:rsid w:val="00707448"/>
    <w:rsid w:val="00707C60"/>
    <w:rsid w:val="0071645A"/>
    <w:rsid w:val="00717C4A"/>
    <w:rsid w:val="00720B8F"/>
    <w:rsid w:val="007214C4"/>
    <w:rsid w:val="00721966"/>
    <w:rsid w:val="00723C7F"/>
    <w:rsid w:val="00731B2C"/>
    <w:rsid w:val="007354FB"/>
    <w:rsid w:val="007361DA"/>
    <w:rsid w:val="0074054A"/>
    <w:rsid w:val="00740781"/>
    <w:rsid w:val="00741421"/>
    <w:rsid w:val="00741E75"/>
    <w:rsid w:val="00743302"/>
    <w:rsid w:val="007438EE"/>
    <w:rsid w:val="007448D8"/>
    <w:rsid w:val="0075118E"/>
    <w:rsid w:val="00752529"/>
    <w:rsid w:val="00754880"/>
    <w:rsid w:val="00754DBB"/>
    <w:rsid w:val="00756770"/>
    <w:rsid w:val="00757B05"/>
    <w:rsid w:val="00760BFD"/>
    <w:rsid w:val="00761BE8"/>
    <w:rsid w:val="00762E3F"/>
    <w:rsid w:val="00763309"/>
    <w:rsid w:val="007657D3"/>
    <w:rsid w:val="00765FA7"/>
    <w:rsid w:val="0077184B"/>
    <w:rsid w:val="00772E96"/>
    <w:rsid w:val="007730A6"/>
    <w:rsid w:val="00774486"/>
    <w:rsid w:val="00776724"/>
    <w:rsid w:val="00777634"/>
    <w:rsid w:val="00780339"/>
    <w:rsid w:val="00781FF2"/>
    <w:rsid w:val="007832EB"/>
    <w:rsid w:val="007851BB"/>
    <w:rsid w:val="00785576"/>
    <w:rsid w:val="00785709"/>
    <w:rsid w:val="00785758"/>
    <w:rsid w:val="00787100"/>
    <w:rsid w:val="00787BCA"/>
    <w:rsid w:val="0079176F"/>
    <w:rsid w:val="007A54CA"/>
    <w:rsid w:val="007B01C8"/>
    <w:rsid w:val="007B0EC2"/>
    <w:rsid w:val="007B194A"/>
    <w:rsid w:val="007B3336"/>
    <w:rsid w:val="007B3BFB"/>
    <w:rsid w:val="007B4FE8"/>
    <w:rsid w:val="007B590C"/>
    <w:rsid w:val="007C14DF"/>
    <w:rsid w:val="007C3EF6"/>
    <w:rsid w:val="007C77E2"/>
    <w:rsid w:val="007D5511"/>
    <w:rsid w:val="007D5E4C"/>
    <w:rsid w:val="007D6F38"/>
    <w:rsid w:val="007E41D7"/>
    <w:rsid w:val="007E6269"/>
    <w:rsid w:val="007E70B2"/>
    <w:rsid w:val="007E7783"/>
    <w:rsid w:val="007F0D51"/>
    <w:rsid w:val="007F10EA"/>
    <w:rsid w:val="007F2A1A"/>
    <w:rsid w:val="007F2AE4"/>
    <w:rsid w:val="007F3485"/>
    <w:rsid w:val="007F6FD6"/>
    <w:rsid w:val="007F772E"/>
    <w:rsid w:val="007F7D18"/>
    <w:rsid w:val="008000E5"/>
    <w:rsid w:val="008010D0"/>
    <w:rsid w:val="00801ACD"/>
    <w:rsid w:val="00803099"/>
    <w:rsid w:val="00804B05"/>
    <w:rsid w:val="00805FC9"/>
    <w:rsid w:val="008064C8"/>
    <w:rsid w:val="00810DFE"/>
    <w:rsid w:val="00810E16"/>
    <w:rsid w:val="00813BFF"/>
    <w:rsid w:val="00813E6E"/>
    <w:rsid w:val="00814287"/>
    <w:rsid w:val="00814701"/>
    <w:rsid w:val="00814EDA"/>
    <w:rsid w:val="0081576E"/>
    <w:rsid w:val="008159D7"/>
    <w:rsid w:val="0081622C"/>
    <w:rsid w:val="00816651"/>
    <w:rsid w:val="00816BBB"/>
    <w:rsid w:val="0082264B"/>
    <w:rsid w:val="00822E80"/>
    <w:rsid w:val="00831526"/>
    <w:rsid w:val="008379F1"/>
    <w:rsid w:val="00837FD8"/>
    <w:rsid w:val="008400F3"/>
    <w:rsid w:val="00841B9D"/>
    <w:rsid w:val="00841BC6"/>
    <w:rsid w:val="00843B2A"/>
    <w:rsid w:val="008476BD"/>
    <w:rsid w:val="0085187C"/>
    <w:rsid w:val="008520FD"/>
    <w:rsid w:val="0085476B"/>
    <w:rsid w:val="008640D4"/>
    <w:rsid w:val="00865EFB"/>
    <w:rsid w:val="00867E41"/>
    <w:rsid w:val="008703EE"/>
    <w:rsid w:val="0087263C"/>
    <w:rsid w:val="00872891"/>
    <w:rsid w:val="0087674B"/>
    <w:rsid w:val="008846D6"/>
    <w:rsid w:val="00885AB7"/>
    <w:rsid w:val="0088609A"/>
    <w:rsid w:val="00887DA2"/>
    <w:rsid w:val="00891B00"/>
    <w:rsid w:val="00896D01"/>
    <w:rsid w:val="008A09BB"/>
    <w:rsid w:val="008A3C52"/>
    <w:rsid w:val="008A7B35"/>
    <w:rsid w:val="008B0B95"/>
    <w:rsid w:val="008B15D4"/>
    <w:rsid w:val="008B756F"/>
    <w:rsid w:val="008C0329"/>
    <w:rsid w:val="008C0A24"/>
    <w:rsid w:val="008C0D71"/>
    <w:rsid w:val="008C335B"/>
    <w:rsid w:val="008C63DF"/>
    <w:rsid w:val="008C68CB"/>
    <w:rsid w:val="008C6F61"/>
    <w:rsid w:val="008D2053"/>
    <w:rsid w:val="008D2062"/>
    <w:rsid w:val="008D2D35"/>
    <w:rsid w:val="008D5089"/>
    <w:rsid w:val="008D580C"/>
    <w:rsid w:val="008D5C66"/>
    <w:rsid w:val="008E0AEC"/>
    <w:rsid w:val="008E1D12"/>
    <w:rsid w:val="008E1D85"/>
    <w:rsid w:val="008E375F"/>
    <w:rsid w:val="008E3999"/>
    <w:rsid w:val="008E6100"/>
    <w:rsid w:val="008E72DF"/>
    <w:rsid w:val="008E773D"/>
    <w:rsid w:val="008F14AD"/>
    <w:rsid w:val="008F2EB0"/>
    <w:rsid w:val="008F3A6E"/>
    <w:rsid w:val="008F42AB"/>
    <w:rsid w:val="008F59CD"/>
    <w:rsid w:val="008F6EEF"/>
    <w:rsid w:val="00900362"/>
    <w:rsid w:val="009021B9"/>
    <w:rsid w:val="00902F84"/>
    <w:rsid w:val="0090728F"/>
    <w:rsid w:val="0091291D"/>
    <w:rsid w:val="009130FD"/>
    <w:rsid w:val="00913ACD"/>
    <w:rsid w:val="00914352"/>
    <w:rsid w:val="00914AD0"/>
    <w:rsid w:val="00914DB9"/>
    <w:rsid w:val="00914E3F"/>
    <w:rsid w:val="00923103"/>
    <w:rsid w:val="0092364E"/>
    <w:rsid w:val="00925345"/>
    <w:rsid w:val="00925C4C"/>
    <w:rsid w:val="00926362"/>
    <w:rsid w:val="00926A0E"/>
    <w:rsid w:val="00930265"/>
    <w:rsid w:val="00930372"/>
    <w:rsid w:val="00930A28"/>
    <w:rsid w:val="00931B3F"/>
    <w:rsid w:val="009428F7"/>
    <w:rsid w:val="00943330"/>
    <w:rsid w:val="00943426"/>
    <w:rsid w:val="009448B1"/>
    <w:rsid w:val="009449AD"/>
    <w:rsid w:val="00944C47"/>
    <w:rsid w:val="009515F0"/>
    <w:rsid w:val="00955954"/>
    <w:rsid w:val="00955C26"/>
    <w:rsid w:val="009651B9"/>
    <w:rsid w:val="00967D2A"/>
    <w:rsid w:val="00974927"/>
    <w:rsid w:val="0097688D"/>
    <w:rsid w:val="00981D92"/>
    <w:rsid w:val="00983A32"/>
    <w:rsid w:val="00990AD9"/>
    <w:rsid w:val="009915EB"/>
    <w:rsid w:val="009932B7"/>
    <w:rsid w:val="009935CC"/>
    <w:rsid w:val="00993622"/>
    <w:rsid w:val="0099514B"/>
    <w:rsid w:val="00995FC2"/>
    <w:rsid w:val="00997EDE"/>
    <w:rsid w:val="009A2071"/>
    <w:rsid w:val="009A3141"/>
    <w:rsid w:val="009A67DA"/>
    <w:rsid w:val="009B231D"/>
    <w:rsid w:val="009B30B1"/>
    <w:rsid w:val="009B3AB6"/>
    <w:rsid w:val="009B53AF"/>
    <w:rsid w:val="009B586C"/>
    <w:rsid w:val="009B5B48"/>
    <w:rsid w:val="009B633E"/>
    <w:rsid w:val="009C015F"/>
    <w:rsid w:val="009C0329"/>
    <w:rsid w:val="009C28D2"/>
    <w:rsid w:val="009C79F6"/>
    <w:rsid w:val="009D0382"/>
    <w:rsid w:val="009D04F3"/>
    <w:rsid w:val="009D422A"/>
    <w:rsid w:val="009D5AB0"/>
    <w:rsid w:val="009D6624"/>
    <w:rsid w:val="009D7EF5"/>
    <w:rsid w:val="009E2012"/>
    <w:rsid w:val="009E3215"/>
    <w:rsid w:val="009E51C2"/>
    <w:rsid w:val="009E5DD1"/>
    <w:rsid w:val="009E667A"/>
    <w:rsid w:val="009E6E6A"/>
    <w:rsid w:val="009F1FFA"/>
    <w:rsid w:val="009F4414"/>
    <w:rsid w:val="00A0130A"/>
    <w:rsid w:val="00A06592"/>
    <w:rsid w:val="00A07950"/>
    <w:rsid w:val="00A1216E"/>
    <w:rsid w:val="00A12FEB"/>
    <w:rsid w:val="00A137DB"/>
    <w:rsid w:val="00A1531A"/>
    <w:rsid w:val="00A1571A"/>
    <w:rsid w:val="00A210A5"/>
    <w:rsid w:val="00A23E79"/>
    <w:rsid w:val="00A31974"/>
    <w:rsid w:val="00A32847"/>
    <w:rsid w:val="00A34554"/>
    <w:rsid w:val="00A433E3"/>
    <w:rsid w:val="00A45AE0"/>
    <w:rsid w:val="00A45EC5"/>
    <w:rsid w:val="00A501F4"/>
    <w:rsid w:val="00A50777"/>
    <w:rsid w:val="00A51BC1"/>
    <w:rsid w:val="00A52881"/>
    <w:rsid w:val="00A54609"/>
    <w:rsid w:val="00A57333"/>
    <w:rsid w:val="00A62B56"/>
    <w:rsid w:val="00A62F64"/>
    <w:rsid w:val="00A67BDE"/>
    <w:rsid w:val="00A717EC"/>
    <w:rsid w:val="00A76CE5"/>
    <w:rsid w:val="00A865E5"/>
    <w:rsid w:val="00A87C1A"/>
    <w:rsid w:val="00A90231"/>
    <w:rsid w:val="00A90AA3"/>
    <w:rsid w:val="00A9227E"/>
    <w:rsid w:val="00A94741"/>
    <w:rsid w:val="00A9492A"/>
    <w:rsid w:val="00AA17B4"/>
    <w:rsid w:val="00AA35C9"/>
    <w:rsid w:val="00AA3EE8"/>
    <w:rsid w:val="00AA4C29"/>
    <w:rsid w:val="00AA5BB1"/>
    <w:rsid w:val="00AB031D"/>
    <w:rsid w:val="00AB1E3C"/>
    <w:rsid w:val="00AB321B"/>
    <w:rsid w:val="00AB66C2"/>
    <w:rsid w:val="00AB7DDA"/>
    <w:rsid w:val="00AB7F3D"/>
    <w:rsid w:val="00AC010C"/>
    <w:rsid w:val="00AC03A5"/>
    <w:rsid w:val="00AC1D31"/>
    <w:rsid w:val="00AC214E"/>
    <w:rsid w:val="00AC273A"/>
    <w:rsid w:val="00AD2F7A"/>
    <w:rsid w:val="00AD5590"/>
    <w:rsid w:val="00AE3EE3"/>
    <w:rsid w:val="00AE4516"/>
    <w:rsid w:val="00AE47A8"/>
    <w:rsid w:val="00AF3BF2"/>
    <w:rsid w:val="00AF565D"/>
    <w:rsid w:val="00AF7114"/>
    <w:rsid w:val="00B01524"/>
    <w:rsid w:val="00B01F39"/>
    <w:rsid w:val="00B02725"/>
    <w:rsid w:val="00B03BC9"/>
    <w:rsid w:val="00B110D4"/>
    <w:rsid w:val="00B1151E"/>
    <w:rsid w:val="00B12A58"/>
    <w:rsid w:val="00B14E08"/>
    <w:rsid w:val="00B15CE6"/>
    <w:rsid w:val="00B208B4"/>
    <w:rsid w:val="00B21B58"/>
    <w:rsid w:val="00B240FB"/>
    <w:rsid w:val="00B27111"/>
    <w:rsid w:val="00B273E1"/>
    <w:rsid w:val="00B31BB9"/>
    <w:rsid w:val="00B33B47"/>
    <w:rsid w:val="00B35CDA"/>
    <w:rsid w:val="00B35DAD"/>
    <w:rsid w:val="00B37B9D"/>
    <w:rsid w:val="00B37E6C"/>
    <w:rsid w:val="00B40CFA"/>
    <w:rsid w:val="00B41F05"/>
    <w:rsid w:val="00B422AE"/>
    <w:rsid w:val="00B45527"/>
    <w:rsid w:val="00B45D8D"/>
    <w:rsid w:val="00B462E4"/>
    <w:rsid w:val="00B470EE"/>
    <w:rsid w:val="00B519AA"/>
    <w:rsid w:val="00B51FE7"/>
    <w:rsid w:val="00B52C45"/>
    <w:rsid w:val="00B561FF"/>
    <w:rsid w:val="00B65EEF"/>
    <w:rsid w:val="00B66335"/>
    <w:rsid w:val="00B66343"/>
    <w:rsid w:val="00B67804"/>
    <w:rsid w:val="00B70D10"/>
    <w:rsid w:val="00B757C0"/>
    <w:rsid w:val="00B83019"/>
    <w:rsid w:val="00B83E62"/>
    <w:rsid w:val="00B851FE"/>
    <w:rsid w:val="00B8695A"/>
    <w:rsid w:val="00B872C7"/>
    <w:rsid w:val="00B90CD0"/>
    <w:rsid w:val="00B91323"/>
    <w:rsid w:val="00B96EFA"/>
    <w:rsid w:val="00B97A23"/>
    <w:rsid w:val="00BA626B"/>
    <w:rsid w:val="00BA6FEC"/>
    <w:rsid w:val="00BA7FA7"/>
    <w:rsid w:val="00BB21AE"/>
    <w:rsid w:val="00BB5C3C"/>
    <w:rsid w:val="00BB6BE8"/>
    <w:rsid w:val="00BC0432"/>
    <w:rsid w:val="00BC0F95"/>
    <w:rsid w:val="00BC2842"/>
    <w:rsid w:val="00BC3335"/>
    <w:rsid w:val="00BC5A09"/>
    <w:rsid w:val="00BC5B55"/>
    <w:rsid w:val="00BC6D3E"/>
    <w:rsid w:val="00BD0398"/>
    <w:rsid w:val="00BD32FE"/>
    <w:rsid w:val="00BD5A2E"/>
    <w:rsid w:val="00BD5FA2"/>
    <w:rsid w:val="00BD6392"/>
    <w:rsid w:val="00BE017E"/>
    <w:rsid w:val="00BE18B3"/>
    <w:rsid w:val="00BE223F"/>
    <w:rsid w:val="00BE486E"/>
    <w:rsid w:val="00BE5C38"/>
    <w:rsid w:val="00BE75A2"/>
    <w:rsid w:val="00BF0D38"/>
    <w:rsid w:val="00BF24ED"/>
    <w:rsid w:val="00BF473B"/>
    <w:rsid w:val="00BF5339"/>
    <w:rsid w:val="00BF660A"/>
    <w:rsid w:val="00BF7366"/>
    <w:rsid w:val="00BF7D14"/>
    <w:rsid w:val="00C01ACA"/>
    <w:rsid w:val="00C04195"/>
    <w:rsid w:val="00C1689E"/>
    <w:rsid w:val="00C17EC3"/>
    <w:rsid w:val="00C24691"/>
    <w:rsid w:val="00C2612C"/>
    <w:rsid w:val="00C336F0"/>
    <w:rsid w:val="00C33A72"/>
    <w:rsid w:val="00C3598E"/>
    <w:rsid w:val="00C369E4"/>
    <w:rsid w:val="00C377DD"/>
    <w:rsid w:val="00C37D50"/>
    <w:rsid w:val="00C409A8"/>
    <w:rsid w:val="00C41BCC"/>
    <w:rsid w:val="00C43F71"/>
    <w:rsid w:val="00C447F2"/>
    <w:rsid w:val="00C5132D"/>
    <w:rsid w:val="00C532AF"/>
    <w:rsid w:val="00C542A0"/>
    <w:rsid w:val="00C56384"/>
    <w:rsid w:val="00C60342"/>
    <w:rsid w:val="00C637EC"/>
    <w:rsid w:val="00C660B4"/>
    <w:rsid w:val="00C700BE"/>
    <w:rsid w:val="00C74778"/>
    <w:rsid w:val="00C75A0D"/>
    <w:rsid w:val="00C767CC"/>
    <w:rsid w:val="00C80131"/>
    <w:rsid w:val="00C82BCD"/>
    <w:rsid w:val="00C84598"/>
    <w:rsid w:val="00C850DD"/>
    <w:rsid w:val="00C875A6"/>
    <w:rsid w:val="00C914ED"/>
    <w:rsid w:val="00C93763"/>
    <w:rsid w:val="00C96315"/>
    <w:rsid w:val="00CA010D"/>
    <w:rsid w:val="00CA15DB"/>
    <w:rsid w:val="00CA6CDC"/>
    <w:rsid w:val="00CA7B5B"/>
    <w:rsid w:val="00CB10A1"/>
    <w:rsid w:val="00CB2240"/>
    <w:rsid w:val="00CC3771"/>
    <w:rsid w:val="00CC3C58"/>
    <w:rsid w:val="00CC4D1C"/>
    <w:rsid w:val="00CC5493"/>
    <w:rsid w:val="00CC64FF"/>
    <w:rsid w:val="00CC6AE5"/>
    <w:rsid w:val="00CC7473"/>
    <w:rsid w:val="00CD0A98"/>
    <w:rsid w:val="00CD0E59"/>
    <w:rsid w:val="00CD10C3"/>
    <w:rsid w:val="00CD18AC"/>
    <w:rsid w:val="00CD492D"/>
    <w:rsid w:val="00CD4FB4"/>
    <w:rsid w:val="00CD73AB"/>
    <w:rsid w:val="00CE00A1"/>
    <w:rsid w:val="00CE4716"/>
    <w:rsid w:val="00CE739B"/>
    <w:rsid w:val="00CF0B15"/>
    <w:rsid w:val="00CF19A5"/>
    <w:rsid w:val="00CF35B4"/>
    <w:rsid w:val="00CF39CD"/>
    <w:rsid w:val="00CF4FFF"/>
    <w:rsid w:val="00D00469"/>
    <w:rsid w:val="00D04127"/>
    <w:rsid w:val="00D05055"/>
    <w:rsid w:val="00D10AC5"/>
    <w:rsid w:val="00D12FB0"/>
    <w:rsid w:val="00D136C3"/>
    <w:rsid w:val="00D172F2"/>
    <w:rsid w:val="00D17959"/>
    <w:rsid w:val="00D23009"/>
    <w:rsid w:val="00D2588D"/>
    <w:rsid w:val="00D31B73"/>
    <w:rsid w:val="00D32140"/>
    <w:rsid w:val="00D345C6"/>
    <w:rsid w:val="00D35AA8"/>
    <w:rsid w:val="00D35BC2"/>
    <w:rsid w:val="00D36D23"/>
    <w:rsid w:val="00D442E3"/>
    <w:rsid w:val="00D464FA"/>
    <w:rsid w:val="00D46840"/>
    <w:rsid w:val="00D50658"/>
    <w:rsid w:val="00D52430"/>
    <w:rsid w:val="00D52B73"/>
    <w:rsid w:val="00D52F2D"/>
    <w:rsid w:val="00D576A7"/>
    <w:rsid w:val="00D6223D"/>
    <w:rsid w:val="00D63B60"/>
    <w:rsid w:val="00D65FCB"/>
    <w:rsid w:val="00D668DF"/>
    <w:rsid w:val="00D75791"/>
    <w:rsid w:val="00D77D34"/>
    <w:rsid w:val="00D807CF"/>
    <w:rsid w:val="00D839D7"/>
    <w:rsid w:val="00D87538"/>
    <w:rsid w:val="00D93C06"/>
    <w:rsid w:val="00D964AC"/>
    <w:rsid w:val="00D96C7D"/>
    <w:rsid w:val="00D96DF9"/>
    <w:rsid w:val="00DA294D"/>
    <w:rsid w:val="00DA6647"/>
    <w:rsid w:val="00DA6889"/>
    <w:rsid w:val="00DA7933"/>
    <w:rsid w:val="00DB1778"/>
    <w:rsid w:val="00DB1CA8"/>
    <w:rsid w:val="00DB219F"/>
    <w:rsid w:val="00DB2B69"/>
    <w:rsid w:val="00DB2E98"/>
    <w:rsid w:val="00DB4AE4"/>
    <w:rsid w:val="00DC05B5"/>
    <w:rsid w:val="00DC1B54"/>
    <w:rsid w:val="00DC628E"/>
    <w:rsid w:val="00DC70AB"/>
    <w:rsid w:val="00DD4DBE"/>
    <w:rsid w:val="00DD63C8"/>
    <w:rsid w:val="00DE1577"/>
    <w:rsid w:val="00DE37FA"/>
    <w:rsid w:val="00DF1BF8"/>
    <w:rsid w:val="00DF3634"/>
    <w:rsid w:val="00DF4E3F"/>
    <w:rsid w:val="00DF56DA"/>
    <w:rsid w:val="00DF7BD8"/>
    <w:rsid w:val="00DF7C76"/>
    <w:rsid w:val="00E01A1A"/>
    <w:rsid w:val="00E01DDE"/>
    <w:rsid w:val="00E0307A"/>
    <w:rsid w:val="00E1096D"/>
    <w:rsid w:val="00E11C00"/>
    <w:rsid w:val="00E1360D"/>
    <w:rsid w:val="00E15E9B"/>
    <w:rsid w:val="00E16B19"/>
    <w:rsid w:val="00E25A93"/>
    <w:rsid w:val="00E263BE"/>
    <w:rsid w:val="00E2737B"/>
    <w:rsid w:val="00E30AD7"/>
    <w:rsid w:val="00E40C01"/>
    <w:rsid w:val="00E512BE"/>
    <w:rsid w:val="00E60BB9"/>
    <w:rsid w:val="00E61ED6"/>
    <w:rsid w:val="00E700DB"/>
    <w:rsid w:val="00E717A0"/>
    <w:rsid w:val="00E808CB"/>
    <w:rsid w:val="00E83497"/>
    <w:rsid w:val="00E875E1"/>
    <w:rsid w:val="00E93EA0"/>
    <w:rsid w:val="00E93FF6"/>
    <w:rsid w:val="00E962FB"/>
    <w:rsid w:val="00EA4997"/>
    <w:rsid w:val="00EA6467"/>
    <w:rsid w:val="00EB2505"/>
    <w:rsid w:val="00EB3D06"/>
    <w:rsid w:val="00EB4A58"/>
    <w:rsid w:val="00EB4A7C"/>
    <w:rsid w:val="00EB5E6A"/>
    <w:rsid w:val="00EB6BA1"/>
    <w:rsid w:val="00EB7EC0"/>
    <w:rsid w:val="00EC0285"/>
    <w:rsid w:val="00EC09DF"/>
    <w:rsid w:val="00EC2ABF"/>
    <w:rsid w:val="00EC3858"/>
    <w:rsid w:val="00EC38EE"/>
    <w:rsid w:val="00EC3E14"/>
    <w:rsid w:val="00EC40D1"/>
    <w:rsid w:val="00EC467E"/>
    <w:rsid w:val="00EC6AA5"/>
    <w:rsid w:val="00ED1DA2"/>
    <w:rsid w:val="00ED56F6"/>
    <w:rsid w:val="00EE0748"/>
    <w:rsid w:val="00EF0374"/>
    <w:rsid w:val="00EF078C"/>
    <w:rsid w:val="00EF1186"/>
    <w:rsid w:val="00EF490C"/>
    <w:rsid w:val="00EF603D"/>
    <w:rsid w:val="00EF703D"/>
    <w:rsid w:val="00F01321"/>
    <w:rsid w:val="00F02FC8"/>
    <w:rsid w:val="00F04C41"/>
    <w:rsid w:val="00F04C99"/>
    <w:rsid w:val="00F06AAE"/>
    <w:rsid w:val="00F104B9"/>
    <w:rsid w:val="00F1681E"/>
    <w:rsid w:val="00F21036"/>
    <w:rsid w:val="00F21063"/>
    <w:rsid w:val="00F21D32"/>
    <w:rsid w:val="00F26B71"/>
    <w:rsid w:val="00F3396F"/>
    <w:rsid w:val="00F40869"/>
    <w:rsid w:val="00F42FB9"/>
    <w:rsid w:val="00F43759"/>
    <w:rsid w:val="00F4414C"/>
    <w:rsid w:val="00F47C4B"/>
    <w:rsid w:val="00F5142C"/>
    <w:rsid w:val="00F52FF7"/>
    <w:rsid w:val="00F53FE5"/>
    <w:rsid w:val="00F5472A"/>
    <w:rsid w:val="00F57500"/>
    <w:rsid w:val="00F57AAC"/>
    <w:rsid w:val="00F608B0"/>
    <w:rsid w:val="00F62BAC"/>
    <w:rsid w:val="00F63B43"/>
    <w:rsid w:val="00F66EFC"/>
    <w:rsid w:val="00F66F73"/>
    <w:rsid w:val="00F72E02"/>
    <w:rsid w:val="00F73583"/>
    <w:rsid w:val="00F7372F"/>
    <w:rsid w:val="00F80489"/>
    <w:rsid w:val="00F81309"/>
    <w:rsid w:val="00F82FE9"/>
    <w:rsid w:val="00F83BE5"/>
    <w:rsid w:val="00F83F69"/>
    <w:rsid w:val="00F84A92"/>
    <w:rsid w:val="00F92679"/>
    <w:rsid w:val="00F93637"/>
    <w:rsid w:val="00F94CFD"/>
    <w:rsid w:val="00F94E55"/>
    <w:rsid w:val="00F965AF"/>
    <w:rsid w:val="00FA0D77"/>
    <w:rsid w:val="00FA2D91"/>
    <w:rsid w:val="00FA373E"/>
    <w:rsid w:val="00FB0662"/>
    <w:rsid w:val="00FB1F65"/>
    <w:rsid w:val="00FB5EE3"/>
    <w:rsid w:val="00FC2035"/>
    <w:rsid w:val="00FC27E3"/>
    <w:rsid w:val="00FC35C2"/>
    <w:rsid w:val="00FC5767"/>
    <w:rsid w:val="00FD0238"/>
    <w:rsid w:val="00FD05A8"/>
    <w:rsid w:val="00FD26DC"/>
    <w:rsid w:val="00FD30E6"/>
    <w:rsid w:val="00FD4269"/>
    <w:rsid w:val="00FD534D"/>
    <w:rsid w:val="00FD6EB8"/>
    <w:rsid w:val="00FD7133"/>
    <w:rsid w:val="00FE6DF9"/>
    <w:rsid w:val="00FF0817"/>
    <w:rsid w:val="00FF4FCC"/>
    <w:rsid w:val="00FF644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1AAE9"/>
  <w15:chartTrackingRefBased/>
  <w15:docId w15:val="{4545B629-083D-4530-8726-12B2C7CA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19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36"/>
      <w:szCs w:val="28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brojdesno2">
    <w:name w:val="brojdesno2"/>
    <w:basedOn w:val="Normal"/>
    <w:next w:val="T-98-2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val="en-US"/>
    </w:rPr>
  </w:style>
  <w:style w:type="paragraph" w:customStyle="1" w:styleId="Klasa2">
    <w:name w:val="Klasa2"/>
    <w:next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Potpisnik">
    <w:name w:val="Potpisnik"/>
    <w:basedOn w:val="Normal"/>
    <w:next w:val="Normal"/>
    <w:pPr>
      <w:jc w:val="center"/>
    </w:pPr>
    <w:rPr>
      <w:sz w:val="24"/>
      <w:szCs w:val="24"/>
      <w:lang w:val="en-GB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 w:eastAsia="en-US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sid w:val="00AA17B4"/>
    <w:rPr>
      <w:b/>
      <w:bCs/>
    </w:rPr>
  </w:style>
  <w:style w:type="paragraph" w:customStyle="1" w:styleId="t-9-8-potpis">
    <w:name w:val="t-9-8-potpis"/>
    <w:basedOn w:val="Normal"/>
    <w:rsid w:val="00CF35B4"/>
    <w:pPr>
      <w:spacing w:before="100" w:beforeAutospacing="1" w:after="100" w:afterAutospacing="1"/>
      <w:ind w:left="7344"/>
      <w:jc w:val="center"/>
    </w:pPr>
    <w:rPr>
      <w:sz w:val="24"/>
      <w:szCs w:val="24"/>
      <w:lang w:val="hr-HR" w:eastAsia="hr-HR"/>
    </w:rPr>
  </w:style>
  <w:style w:type="character" w:customStyle="1" w:styleId="bold1">
    <w:name w:val="bold1"/>
    <w:rsid w:val="00CF35B4"/>
    <w:rPr>
      <w:b/>
      <w:bCs/>
    </w:rPr>
  </w:style>
  <w:style w:type="paragraph" w:styleId="Header">
    <w:name w:val="header"/>
    <w:basedOn w:val="Normal"/>
    <w:link w:val="HeaderChar"/>
    <w:uiPriority w:val="99"/>
    <w:rsid w:val="00437048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7F0D51"/>
    <w:pPr>
      <w:spacing w:before="100" w:beforeAutospacing="1" w:after="100" w:afterAutospacing="1"/>
    </w:pPr>
    <w:rPr>
      <w:rFonts w:eastAsia="SimSun"/>
      <w:sz w:val="24"/>
      <w:szCs w:val="24"/>
      <w:lang w:val="hr-HR" w:eastAsia="zh-CN"/>
    </w:rPr>
  </w:style>
  <w:style w:type="table" w:styleId="TableGrid">
    <w:name w:val="Table Grid"/>
    <w:basedOn w:val="TableNormal"/>
    <w:rsid w:val="00EA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2E3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750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66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AZJMDCZ6QSYZ-12-11423</_dlc_DocId>
    <_dlc_DocIdUrl xmlns="a494813a-d0d8-4dad-94cb-0d196f36ba15">
      <Url>https://ekoordinacije.vlada.hr/sjednice-drustvo/_layouts/15/DocIdRedir.aspx?ID=AZJMDCZ6QSYZ-12-11423</Url>
      <Description>AZJMDCZ6QSYZ-12-11423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746F-FE0A-4828-9B0F-AE23C87E79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5CAA28-345E-42D6-A352-9924EE97942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7BC8BE-5C9C-4FA3-9845-AB00ACAB55B8}"/>
</file>

<file path=customXml/itemProps4.xml><?xml version="1.0" encoding="utf-8"?>
<ds:datastoreItem xmlns:ds="http://schemas.openxmlformats.org/officeDocument/2006/customXml" ds:itemID="{582FADB2-3852-4C2B-A778-69462D4EE0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7E0647-2342-4109-89A2-9496B780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F32253F-FADA-4982-B202-CC604540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VLADA REPUBLIKE HRVATSKE</vt:lpstr>
      <vt:lpstr>VLADA REPUBLIKE HRVATSKE</vt:lpstr>
    </vt:vector>
  </TitlesOfParts>
  <Company>MIZ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subject/>
  <dc:creator>bcopic</dc:creator>
  <cp:keywords/>
  <cp:lastModifiedBy>Marija Pišonić</cp:lastModifiedBy>
  <cp:revision>15</cp:revision>
  <cp:lastPrinted>2017-07-26T07:45:00Z</cp:lastPrinted>
  <dcterms:created xsi:type="dcterms:W3CDTF">2023-10-02T08:25:00Z</dcterms:created>
  <dcterms:modified xsi:type="dcterms:W3CDTF">2023-10-02T08:57:00Z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AZJMDCZ6QSYZ-1335579144-53282</vt:lpwstr>
  </property>
  <property fmtid="{D5CDD505-2E9C-101B-9397-08002B2CF9AE}" pid="3" name="_dlc_DocIdItemGuid">
    <vt:lpwstr>104897ec-b17a-44e0-9829-dffbbe9283f3</vt:lpwstr>
  </property>
  <property fmtid="{D5CDD505-2E9C-101B-9397-08002B2CF9AE}" pid="4" name="_dlc_DocIdUrl">
    <vt:lpwstr>https://ekoordinacije.vlada.hr/_layouts/15/DocIdRedir.aspx?ID=AZJMDCZ6QSYZ-1335579144-53282, AZJMDCZ6QSYZ-1335579144-53282</vt:lpwstr>
  </property>
  <property fmtid="{D5CDD505-2E9C-101B-9397-08002B2CF9AE}" pid="5" name="ContentTypeId">
    <vt:lpwstr>0x010100A6240CC48D505041921B2DD2C8F3149D</vt:lpwstr>
  </property>
</Properties>
</file>