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810B6" w14:textId="77777777" w:rsidR="00F67BD4" w:rsidRPr="00F67BD4" w:rsidRDefault="00BF14DB" w:rsidP="00F67BD4">
      <w:pPr>
        <w:spacing w:after="200" w:line="276" w:lineRule="auto"/>
        <w:jc w:val="center"/>
        <w:rPr>
          <w:rFonts w:ascii="Calibri" w:eastAsia="Calibri" w:hAnsi="Calibri"/>
          <w:sz w:val="22"/>
          <w:szCs w:val="22"/>
          <w:lang w:eastAsia="en-US"/>
        </w:rPr>
      </w:pPr>
      <w:r w:rsidRPr="00F67BD4">
        <w:rPr>
          <w:rFonts w:ascii="Calibri" w:eastAsia="Calibri" w:hAnsi="Calibri"/>
          <w:noProof/>
          <w:sz w:val="22"/>
          <w:szCs w:val="22"/>
        </w:rPr>
        <w:drawing>
          <wp:inline distT="0" distB="0" distL="0" distR="0" wp14:anchorId="266C7A1C" wp14:editId="2A954B21">
            <wp:extent cx="501015"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685800"/>
                    </a:xfrm>
                    <a:prstGeom prst="rect">
                      <a:avLst/>
                    </a:prstGeom>
                    <a:noFill/>
                    <a:ln>
                      <a:noFill/>
                    </a:ln>
                  </pic:spPr>
                </pic:pic>
              </a:graphicData>
            </a:graphic>
          </wp:inline>
        </w:drawing>
      </w:r>
      <w:r w:rsidR="00F67BD4" w:rsidRPr="00F67BD4">
        <w:rPr>
          <w:rFonts w:ascii="Calibri" w:eastAsia="Calibri" w:hAnsi="Calibri"/>
          <w:sz w:val="22"/>
          <w:szCs w:val="22"/>
          <w:lang w:eastAsia="en-US"/>
        </w:rPr>
        <w:fldChar w:fldCharType="begin"/>
      </w:r>
      <w:r w:rsidR="00F67BD4" w:rsidRPr="00F67BD4">
        <w:rPr>
          <w:rFonts w:ascii="Calibri" w:eastAsia="Calibri" w:hAnsi="Calibri"/>
          <w:sz w:val="22"/>
          <w:szCs w:val="22"/>
          <w:lang w:eastAsia="en-US"/>
        </w:rPr>
        <w:instrText xml:space="preserve"> INCLUDEPICTURE "http://www.inet.hr/~box/images/grb-rh.gif" \* MERGEFORMATINET </w:instrText>
      </w:r>
      <w:r w:rsidR="00F67BD4" w:rsidRPr="00F67BD4">
        <w:rPr>
          <w:rFonts w:ascii="Calibri" w:eastAsia="Calibri" w:hAnsi="Calibri"/>
          <w:sz w:val="22"/>
          <w:szCs w:val="22"/>
          <w:lang w:eastAsia="en-US"/>
        </w:rPr>
        <w:fldChar w:fldCharType="end"/>
      </w:r>
    </w:p>
    <w:p w14:paraId="4665DD4D" w14:textId="77777777" w:rsidR="00F67BD4" w:rsidRPr="00F67BD4" w:rsidRDefault="00F67BD4" w:rsidP="00F67BD4">
      <w:pPr>
        <w:spacing w:before="60" w:after="1680" w:line="276" w:lineRule="auto"/>
        <w:jc w:val="center"/>
        <w:rPr>
          <w:rFonts w:eastAsia="Calibri"/>
          <w:sz w:val="28"/>
          <w:szCs w:val="22"/>
          <w:lang w:eastAsia="en-US"/>
        </w:rPr>
      </w:pPr>
      <w:r w:rsidRPr="00F67BD4">
        <w:rPr>
          <w:rFonts w:eastAsia="Calibri"/>
          <w:sz w:val="28"/>
          <w:szCs w:val="22"/>
          <w:lang w:eastAsia="en-US"/>
        </w:rPr>
        <w:t>VLADA REPUBLIKE HRVATSKE</w:t>
      </w:r>
    </w:p>
    <w:p w14:paraId="4CE79BE1" w14:textId="77777777" w:rsidR="00F67BD4" w:rsidRPr="00F67BD4" w:rsidRDefault="00F67BD4" w:rsidP="00F67BD4">
      <w:pPr>
        <w:spacing w:after="200" w:line="276" w:lineRule="auto"/>
        <w:jc w:val="both"/>
        <w:rPr>
          <w:rFonts w:eastAsia="Calibri"/>
          <w:lang w:eastAsia="en-US"/>
        </w:rPr>
      </w:pPr>
    </w:p>
    <w:p w14:paraId="6C53D676" w14:textId="1AC04857" w:rsidR="00F67BD4" w:rsidRPr="00F67BD4" w:rsidRDefault="00F67BD4" w:rsidP="00F67BD4">
      <w:pPr>
        <w:spacing w:after="200" w:line="276" w:lineRule="auto"/>
        <w:jc w:val="right"/>
        <w:rPr>
          <w:rFonts w:eastAsia="Calibri"/>
          <w:lang w:eastAsia="en-US"/>
        </w:rPr>
      </w:pPr>
      <w:r w:rsidRPr="00F67BD4">
        <w:rPr>
          <w:rFonts w:eastAsia="Calibri"/>
          <w:lang w:eastAsia="en-US"/>
        </w:rPr>
        <w:t xml:space="preserve">Zagreb, </w:t>
      </w:r>
      <w:r w:rsidR="005E727E">
        <w:rPr>
          <w:rFonts w:eastAsia="Calibri"/>
          <w:lang w:eastAsia="en-US"/>
        </w:rPr>
        <w:t xml:space="preserve">19. </w:t>
      </w:r>
      <w:r w:rsidR="00431329">
        <w:rPr>
          <w:rFonts w:eastAsia="Calibri"/>
          <w:lang w:eastAsia="en-US"/>
        </w:rPr>
        <w:t>listopad</w:t>
      </w:r>
      <w:r w:rsidR="00977593">
        <w:rPr>
          <w:rFonts w:eastAsia="Calibri"/>
          <w:lang w:eastAsia="en-US"/>
        </w:rPr>
        <w:t>a</w:t>
      </w:r>
      <w:r w:rsidR="00431329">
        <w:rPr>
          <w:rFonts w:eastAsia="Calibri"/>
          <w:lang w:eastAsia="en-US"/>
        </w:rPr>
        <w:t xml:space="preserve"> </w:t>
      </w:r>
      <w:r w:rsidR="00307141">
        <w:rPr>
          <w:rFonts w:eastAsia="Calibri"/>
          <w:lang w:eastAsia="en-US"/>
        </w:rPr>
        <w:t>2023</w:t>
      </w:r>
      <w:r w:rsidRPr="00F67BD4">
        <w:rPr>
          <w:rFonts w:eastAsia="Calibri"/>
          <w:lang w:eastAsia="en-US"/>
        </w:rPr>
        <w:t>.</w:t>
      </w:r>
    </w:p>
    <w:p w14:paraId="675750E5" w14:textId="77777777" w:rsidR="00F67BD4" w:rsidRPr="00F67BD4" w:rsidRDefault="00F67BD4" w:rsidP="00F67BD4">
      <w:pPr>
        <w:spacing w:after="200" w:line="276" w:lineRule="auto"/>
        <w:jc w:val="right"/>
        <w:rPr>
          <w:rFonts w:eastAsia="Calibri"/>
          <w:lang w:eastAsia="en-US"/>
        </w:rPr>
      </w:pPr>
    </w:p>
    <w:p w14:paraId="1BC74DEA" w14:textId="77777777" w:rsidR="00F67BD4" w:rsidRPr="00F67BD4" w:rsidRDefault="00F67BD4" w:rsidP="00F67BD4">
      <w:pPr>
        <w:spacing w:after="200" w:line="276" w:lineRule="auto"/>
        <w:jc w:val="right"/>
        <w:rPr>
          <w:rFonts w:eastAsia="Calibri"/>
          <w:lang w:eastAsia="en-US"/>
        </w:rPr>
      </w:pPr>
    </w:p>
    <w:p w14:paraId="4804D2FD" w14:textId="77777777" w:rsidR="00F67BD4" w:rsidRPr="00F67BD4" w:rsidRDefault="00F67BD4" w:rsidP="00F67BD4">
      <w:pPr>
        <w:spacing w:after="200" w:line="276" w:lineRule="auto"/>
        <w:jc w:val="right"/>
        <w:rPr>
          <w:rFonts w:eastAsia="Calibri"/>
          <w:lang w:eastAsia="en-US"/>
        </w:rPr>
      </w:pPr>
    </w:p>
    <w:p w14:paraId="7C1F0A99" w14:textId="77777777" w:rsidR="00F67BD4" w:rsidRPr="00F67BD4" w:rsidRDefault="00F67BD4" w:rsidP="00F67BD4">
      <w:pPr>
        <w:spacing w:after="200" w:line="276" w:lineRule="auto"/>
        <w:jc w:val="both"/>
        <w:rPr>
          <w:rFonts w:eastAsia="Calibri"/>
          <w:lang w:eastAsia="en-US"/>
        </w:rPr>
      </w:pPr>
      <w:r w:rsidRPr="00F67BD4">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F67BD4" w:rsidRPr="00F67BD4" w14:paraId="504157D5" w14:textId="77777777" w:rsidTr="002A3D6C">
        <w:tc>
          <w:tcPr>
            <w:tcW w:w="1951" w:type="dxa"/>
            <w:shd w:val="clear" w:color="auto" w:fill="auto"/>
          </w:tcPr>
          <w:p w14:paraId="4DE695DA" w14:textId="77777777" w:rsidR="00F67BD4" w:rsidRPr="00F67BD4" w:rsidRDefault="00F67BD4" w:rsidP="002A3D6C">
            <w:pPr>
              <w:spacing w:line="360" w:lineRule="auto"/>
              <w:jc w:val="right"/>
            </w:pPr>
            <w:r w:rsidRPr="00F67BD4">
              <w:t xml:space="preserve"> </w:t>
            </w:r>
            <w:r w:rsidRPr="00F67BD4">
              <w:rPr>
                <w:b/>
                <w:smallCaps/>
              </w:rPr>
              <w:t>Predlagatelj</w:t>
            </w:r>
            <w:r w:rsidRPr="00F67BD4">
              <w:rPr>
                <w:b/>
              </w:rPr>
              <w:t>:</w:t>
            </w:r>
          </w:p>
        </w:tc>
        <w:tc>
          <w:tcPr>
            <w:tcW w:w="7229" w:type="dxa"/>
            <w:shd w:val="clear" w:color="auto" w:fill="auto"/>
          </w:tcPr>
          <w:p w14:paraId="220FB938" w14:textId="77777777" w:rsidR="00F67BD4" w:rsidRPr="00F67BD4" w:rsidRDefault="00F67BD4" w:rsidP="00307141">
            <w:pPr>
              <w:spacing w:line="360" w:lineRule="auto"/>
            </w:pPr>
            <w:r w:rsidRPr="00F67BD4">
              <w:t xml:space="preserve">Ministarstvo </w:t>
            </w:r>
            <w:r w:rsidR="00307141">
              <w:t>pravosuđa i uprave</w:t>
            </w:r>
          </w:p>
        </w:tc>
      </w:tr>
    </w:tbl>
    <w:p w14:paraId="75D372F2" w14:textId="77777777" w:rsidR="00F67BD4" w:rsidRPr="00F67BD4" w:rsidRDefault="00F67BD4" w:rsidP="00F67BD4">
      <w:pPr>
        <w:spacing w:after="200" w:line="276" w:lineRule="auto"/>
        <w:jc w:val="both"/>
        <w:rPr>
          <w:rFonts w:eastAsia="Calibri"/>
          <w:lang w:eastAsia="en-US"/>
        </w:rPr>
      </w:pPr>
      <w:r w:rsidRPr="00F67BD4">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39"/>
        <w:gridCol w:w="7133"/>
      </w:tblGrid>
      <w:tr w:rsidR="00F67BD4" w:rsidRPr="00F67BD4" w14:paraId="6D282F62" w14:textId="77777777" w:rsidTr="002A3D6C">
        <w:tc>
          <w:tcPr>
            <w:tcW w:w="1951" w:type="dxa"/>
            <w:shd w:val="clear" w:color="auto" w:fill="auto"/>
          </w:tcPr>
          <w:p w14:paraId="4BEDB5AF" w14:textId="77777777" w:rsidR="00F67BD4" w:rsidRPr="00F67BD4" w:rsidRDefault="00F67BD4" w:rsidP="002A3D6C">
            <w:pPr>
              <w:spacing w:line="360" w:lineRule="auto"/>
              <w:jc w:val="right"/>
            </w:pPr>
            <w:r w:rsidRPr="00F67BD4">
              <w:rPr>
                <w:b/>
                <w:smallCaps/>
              </w:rPr>
              <w:t>Predmet</w:t>
            </w:r>
            <w:r w:rsidRPr="00F67BD4">
              <w:rPr>
                <w:b/>
              </w:rPr>
              <w:t>:</w:t>
            </w:r>
          </w:p>
        </w:tc>
        <w:tc>
          <w:tcPr>
            <w:tcW w:w="7229" w:type="dxa"/>
            <w:shd w:val="clear" w:color="auto" w:fill="auto"/>
          </w:tcPr>
          <w:p w14:paraId="795FD981" w14:textId="77777777" w:rsidR="00F67BD4" w:rsidRPr="00F67BD4" w:rsidRDefault="00F67BD4" w:rsidP="00244D84">
            <w:pPr>
              <w:jc w:val="both"/>
            </w:pPr>
            <w:r w:rsidRPr="002A3D6C">
              <w:rPr>
                <w:rFonts w:eastAsia="Calibri"/>
              </w:rPr>
              <w:t xml:space="preserve">Nacrt konačnog </w:t>
            </w:r>
            <w:r w:rsidRPr="00993937">
              <w:t xml:space="preserve">prijedloga zakona o potvrđivanju </w:t>
            </w:r>
            <w:bookmarkStart w:id="0" w:name="_Hlk146289995"/>
            <w:r w:rsidR="00307141">
              <w:t>Konvencije</w:t>
            </w:r>
            <w:r w:rsidR="00244D84">
              <w:t xml:space="preserve"> </w:t>
            </w:r>
            <w:r w:rsidR="00244D84" w:rsidRPr="00244D84">
              <w:t>o borbi protiv podmićivanja stranih javnih službenika u međunarodnim poslovnim transakcijama</w:t>
            </w:r>
            <w:bookmarkEnd w:id="0"/>
          </w:p>
        </w:tc>
      </w:tr>
    </w:tbl>
    <w:p w14:paraId="39AEB6D1" w14:textId="77777777" w:rsidR="00F67BD4" w:rsidRPr="00F67BD4" w:rsidRDefault="00F67BD4" w:rsidP="00F67BD4">
      <w:pPr>
        <w:spacing w:after="200" w:line="276" w:lineRule="auto"/>
        <w:jc w:val="both"/>
        <w:rPr>
          <w:rFonts w:eastAsia="Calibri"/>
          <w:lang w:eastAsia="en-US"/>
        </w:rPr>
      </w:pPr>
      <w:r w:rsidRPr="00F67BD4">
        <w:rPr>
          <w:rFonts w:eastAsia="Calibri"/>
          <w:lang w:eastAsia="en-US"/>
        </w:rPr>
        <w:t>__________________________________________________________________________</w:t>
      </w:r>
    </w:p>
    <w:p w14:paraId="7EA83F45" w14:textId="77777777" w:rsidR="00F67BD4" w:rsidRPr="00F67BD4" w:rsidRDefault="00F67BD4" w:rsidP="00F67BD4">
      <w:pPr>
        <w:spacing w:after="200" w:line="276" w:lineRule="auto"/>
        <w:jc w:val="both"/>
        <w:rPr>
          <w:rFonts w:eastAsia="Calibri"/>
          <w:lang w:eastAsia="en-US"/>
        </w:rPr>
      </w:pPr>
    </w:p>
    <w:p w14:paraId="179047FC" w14:textId="77777777" w:rsidR="00F67BD4" w:rsidRPr="00F67BD4" w:rsidRDefault="00F67BD4" w:rsidP="00F67BD4">
      <w:pPr>
        <w:spacing w:after="200" w:line="276" w:lineRule="auto"/>
        <w:jc w:val="both"/>
        <w:rPr>
          <w:rFonts w:eastAsia="Calibri"/>
          <w:lang w:eastAsia="en-US"/>
        </w:rPr>
      </w:pPr>
    </w:p>
    <w:p w14:paraId="15264339" w14:textId="77777777" w:rsidR="00F67BD4" w:rsidRPr="00F67BD4" w:rsidRDefault="00F67BD4" w:rsidP="00F67BD4">
      <w:pPr>
        <w:spacing w:after="200" w:line="276" w:lineRule="auto"/>
        <w:jc w:val="both"/>
        <w:rPr>
          <w:rFonts w:eastAsia="Calibri"/>
          <w:lang w:eastAsia="en-US"/>
        </w:rPr>
      </w:pPr>
    </w:p>
    <w:p w14:paraId="77EDAFC7" w14:textId="77777777" w:rsidR="00F67BD4" w:rsidRPr="00F67BD4" w:rsidRDefault="00F67BD4" w:rsidP="00F67BD4">
      <w:pPr>
        <w:spacing w:after="200" w:line="276" w:lineRule="auto"/>
        <w:jc w:val="both"/>
        <w:rPr>
          <w:rFonts w:eastAsia="Calibri"/>
          <w:lang w:eastAsia="en-US"/>
        </w:rPr>
      </w:pPr>
    </w:p>
    <w:p w14:paraId="747D6FD5" w14:textId="77777777" w:rsidR="00F67BD4" w:rsidRPr="00F67BD4" w:rsidRDefault="00F67BD4" w:rsidP="00F67BD4">
      <w:pPr>
        <w:spacing w:after="200" w:line="276" w:lineRule="auto"/>
        <w:jc w:val="both"/>
        <w:rPr>
          <w:rFonts w:eastAsia="Calibri"/>
          <w:lang w:eastAsia="en-US"/>
        </w:rPr>
      </w:pPr>
    </w:p>
    <w:p w14:paraId="0B38390A" w14:textId="77777777" w:rsidR="00F67BD4" w:rsidRPr="00F67BD4" w:rsidRDefault="00F67BD4" w:rsidP="00F67BD4">
      <w:pPr>
        <w:tabs>
          <w:tab w:val="center" w:pos="4536"/>
          <w:tab w:val="right" w:pos="9072"/>
        </w:tabs>
        <w:rPr>
          <w:rFonts w:ascii="Calibri" w:eastAsia="Calibri" w:hAnsi="Calibri"/>
          <w:sz w:val="22"/>
          <w:szCs w:val="22"/>
          <w:lang w:eastAsia="en-US"/>
        </w:rPr>
      </w:pPr>
    </w:p>
    <w:p w14:paraId="06F0F573" w14:textId="77777777" w:rsidR="00F67BD4" w:rsidRPr="00F67BD4" w:rsidRDefault="00F67BD4" w:rsidP="00F67BD4">
      <w:pPr>
        <w:spacing w:after="200" w:line="276" w:lineRule="auto"/>
        <w:rPr>
          <w:rFonts w:ascii="Calibri" w:eastAsia="Calibri" w:hAnsi="Calibri"/>
          <w:sz w:val="22"/>
          <w:szCs w:val="22"/>
          <w:lang w:eastAsia="en-US"/>
        </w:rPr>
      </w:pPr>
    </w:p>
    <w:p w14:paraId="6504F4D2" w14:textId="77777777" w:rsidR="00F67BD4" w:rsidRPr="00F67BD4" w:rsidRDefault="00F67BD4" w:rsidP="00F67BD4">
      <w:pPr>
        <w:tabs>
          <w:tab w:val="center" w:pos="4536"/>
          <w:tab w:val="right" w:pos="9072"/>
        </w:tabs>
        <w:rPr>
          <w:rFonts w:ascii="Calibri" w:eastAsia="Calibri" w:hAnsi="Calibri"/>
          <w:sz w:val="22"/>
          <w:szCs w:val="22"/>
          <w:lang w:eastAsia="en-US"/>
        </w:rPr>
      </w:pPr>
    </w:p>
    <w:p w14:paraId="0A311766" w14:textId="77777777" w:rsidR="00F67BD4" w:rsidRDefault="00F67BD4" w:rsidP="00F67BD4">
      <w:pPr>
        <w:spacing w:after="200" w:line="276" w:lineRule="auto"/>
        <w:rPr>
          <w:rFonts w:ascii="Calibri" w:eastAsia="Calibri" w:hAnsi="Calibri"/>
          <w:sz w:val="22"/>
          <w:szCs w:val="22"/>
          <w:lang w:eastAsia="en-US"/>
        </w:rPr>
      </w:pPr>
    </w:p>
    <w:p w14:paraId="185B683E" w14:textId="77777777" w:rsidR="00F67BD4" w:rsidRPr="00F67BD4" w:rsidRDefault="00F67BD4" w:rsidP="00F67BD4">
      <w:pPr>
        <w:spacing w:after="200" w:line="276" w:lineRule="auto"/>
        <w:rPr>
          <w:rFonts w:ascii="Calibri" w:eastAsia="Calibri" w:hAnsi="Calibri"/>
          <w:sz w:val="22"/>
          <w:szCs w:val="22"/>
          <w:lang w:eastAsia="en-US"/>
        </w:rPr>
      </w:pPr>
    </w:p>
    <w:p w14:paraId="05BAD13E" w14:textId="77777777" w:rsidR="00F67BD4" w:rsidRPr="00F67BD4" w:rsidRDefault="00F67BD4" w:rsidP="00F67BD4">
      <w:pPr>
        <w:pBdr>
          <w:top w:val="single" w:sz="4" w:space="1" w:color="404040"/>
        </w:pBdr>
        <w:tabs>
          <w:tab w:val="center" w:pos="4536"/>
          <w:tab w:val="right" w:pos="9072"/>
        </w:tabs>
        <w:jc w:val="center"/>
        <w:rPr>
          <w:rFonts w:eastAsia="Calibri"/>
          <w:color w:val="404040"/>
          <w:spacing w:val="20"/>
          <w:sz w:val="20"/>
          <w:szCs w:val="22"/>
          <w:lang w:eastAsia="en-US"/>
        </w:rPr>
      </w:pPr>
      <w:r w:rsidRPr="00F67BD4">
        <w:rPr>
          <w:rFonts w:eastAsia="Calibri"/>
          <w:color w:val="404040"/>
          <w:spacing w:val="20"/>
          <w:sz w:val="20"/>
          <w:szCs w:val="22"/>
          <w:lang w:eastAsia="en-US"/>
        </w:rPr>
        <w:t>Banski dvori | Trg Sv. Marka 2  | 10000 Zagreb | tel. 01 4569 222 | vlada.gov.hr</w:t>
      </w:r>
    </w:p>
    <w:p w14:paraId="6AF9EC45" w14:textId="77777777" w:rsidR="00F67BD4" w:rsidRPr="00F67BD4" w:rsidRDefault="00F67BD4" w:rsidP="00F67BD4">
      <w:pPr>
        <w:jc w:val="right"/>
        <w:rPr>
          <w:b/>
          <w:lang w:eastAsia="zh-CN"/>
        </w:rPr>
      </w:pPr>
    </w:p>
    <w:p w14:paraId="10EA0E7A" w14:textId="77777777" w:rsidR="005C0E6A" w:rsidRPr="00491A7E" w:rsidRDefault="00F67BD4" w:rsidP="005C0E6A">
      <w:pPr>
        <w:pBdr>
          <w:bottom w:val="single" w:sz="12" w:space="1" w:color="auto"/>
        </w:pBdr>
        <w:suppressAutoHyphens/>
        <w:jc w:val="center"/>
        <w:rPr>
          <w:rFonts w:eastAsia="Calibri"/>
          <w:b/>
          <w:color w:val="000000"/>
          <w:spacing w:val="-3"/>
          <w:lang w:eastAsia="en-US"/>
        </w:rPr>
      </w:pPr>
      <w:r>
        <w:rPr>
          <w:rFonts w:eastAsia="Calibri"/>
          <w:b/>
          <w:color w:val="000000"/>
          <w:spacing w:val="-3"/>
          <w:lang w:eastAsia="en-US"/>
        </w:rPr>
        <w:br w:type="page"/>
      </w:r>
      <w:r w:rsidR="005C0E6A" w:rsidRPr="00491A7E">
        <w:rPr>
          <w:rFonts w:eastAsia="Calibri"/>
          <w:b/>
          <w:color w:val="000000"/>
          <w:spacing w:val="-3"/>
          <w:lang w:eastAsia="en-US"/>
        </w:rPr>
        <w:lastRenderedPageBreak/>
        <w:t>VLADA REPUBLIKE HRVATSKE</w:t>
      </w:r>
    </w:p>
    <w:p w14:paraId="7E3A1816" w14:textId="77777777" w:rsidR="005C0E6A" w:rsidRPr="00491A7E" w:rsidRDefault="005C0E6A" w:rsidP="005C0E6A">
      <w:pPr>
        <w:suppressAutoHyphens/>
        <w:jc w:val="center"/>
        <w:rPr>
          <w:rFonts w:eastAsia="Calibri"/>
          <w:b/>
          <w:color w:val="000000"/>
          <w:spacing w:val="-3"/>
          <w:lang w:eastAsia="en-US"/>
        </w:rPr>
      </w:pPr>
    </w:p>
    <w:p w14:paraId="15BB05EC" w14:textId="77777777" w:rsidR="005C0E6A" w:rsidRPr="00730BEC" w:rsidRDefault="00730BEC" w:rsidP="005C0E6A">
      <w:pPr>
        <w:suppressAutoHyphens/>
        <w:jc w:val="center"/>
        <w:rPr>
          <w:rFonts w:eastAsia="Calibri"/>
          <w:b/>
          <w:i/>
          <w:color w:val="000000"/>
          <w:spacing w:val="-3"/>
          <w:lang w:eastAsia="en-US"/>
        </w:rPr>
      </w:pPr>
      <w:r>
        <w:rPr>
          <w:rFonts w:eastAsia="Calibri"/>
          <w:b/>
          <w:color w:val="000000"/>
          <w:spacing w:val="-3"/>
          <w:lang w:eastAsia="en-US"/>
        </w:rPr>
        <w:tab/>
      </w:r>
      <w:r>
        <w:rPr>
          <w:rFonts w:eastAsia="Calibri"/>
          <w:b/>
          <w:color w:val="000000"/>
          <w:spacing w:val="-3"/>
          <w:lang w:eastAsia="en-US"/>
        </w:rPr>
        <w:tab/>
      </w:r>
      <w:r>
        <w:rPr>
          <w:rFonts w:eastAsia="Calibri"/>
          <w:b/>
          <w:color w:val="000000"/>
          <w:spacing w:val="-3"/>
          <w:lang w:eastAsia="en-US"/>
        </w:rPr>
        <w:tab/>
      </w:r>
      <w:r>
        <w:rPr>
          <w:rFonts w:eastAsia="Calibri"/>
          <w:b/>
          <w:color w:val="000000"/>
          <w:spacing w:val="-3"/>
          <w:lang w:eastAsia="en-US"/>
        </w:rPr>
        <w:tab/>
      </w:r>
      <w:r>
        <w:rPr>
          <w:rFonts w:eastAsia="Calibri"/>
          <w:b/>
          <w:color w:val="000000"/>
          <w:spacing w:val="-3"/>
          <w:lang w:eastAsia="en-US"/>
        </w:rPr>
        <w:tab/>
      </w:r>
      <w:r>
        <w:rPr>
          <w:rFonts w:eastAsia="Calibri"/>
          <w:b/>
          <w:color w:val="000000"/>
          <w:spacing w:val="-3"/>
          <w:lang w:eastAsia="en-US"/>
        </w:rPr>
        <w:tab/>
      </w:r>
      <w:r>
        <w:rPr>
          <w:rFonts w:eastAsia="Calibri"/>
          <w:b/>
          <w:color w:val="000000"/>
          <w:spacing w:val="-3"/>
          <w:lang w:eastAsia="en-US"/>
        </w:rPr>
        <w:tab/>
      </w:r>
      <w:r>
        <w:rPr>
          <w:rFonts w:eastAsia="Calibri"/>
          <w:b/>
          <w:color w:val="000000"/>
          <w:spacing w:val="-3"/>
          <w:lang w:eastAsia="en-US"/>
        </w:rPr>
        <w:tab/>
      </w:r>
      <w:r>
        <w:rPr>
          <w:rFonts w:eastAsia="Calibri"/>
          <w:b/>
          <w:color w:val="000000"/>
          <w:spacing w:val="-3"/>
          <w:lang w:eastAsia="en-US"/>
        </w:rPr>
        <w:tab/>
      </w:r>
      <w:r>
        <w:rPr>
          <w:rFonts w:eastAsia="Calibri"/>
          <w:b/>
          <w:color w:val="000000"/>
          <w:spacing w:val="-3"/>
          <w:lang w:eastAsia="en-US"/>
        </w:rPr>
        <w:tab/>
      </w:r>
      <w:r w:rsidRPr="00730BEC">
        <w:rPr>
          <w:rFonts w:eastAsia="Calibri"/>
          <w:b/>
          <w:i/>
          <w:color w:val="000000"/>
          <w:spacing w:val="-3"/>
          <w:lang w:eastAsia="en-US"/>
        </w:rPr>
        <w:t>Nacrt</w:t>
      </w:r>
    </w:p>
    <w:p w14:paraId="42DEE103" w14:textId="77777777" w:rsidR="005C0E6A" w:rsidRPr="00491A7E" w:rsidRDefault="005C0E6A" w:rsidP="005C0E6A">
      <w:pPr>
        <w:suppressAutoHyphens/>
        <w:jc w:val="center"/>
        <w:rPr>
          <w:rFonts w:eastAsia="Calibri"/>
          <w:b/>
          <w:color w:val="000000"/>
          <w:spacing w:val="-3"/>
          <w:lang w:eastAsia="en-US"/>
        </w:rPr>
      </w:pPr>
    </w:p>
    <w:p w14:paraId="7B6B055B" w14:textId="77777777" w:rsidR="009D718C" w:rsidRPr="00491A7E" w:rsidRDefault="009D718C" w:rsidP="005C0E6A">
      <w:pPr>
        <w:suppressAutoHyphens/>
        <w:jc w:val="center"/>
        <w:rPr>
          <w:rFonts w:eastAsia="Calibri"/>
          <w:b/>
          <w:color w:val="000000"/>
          <w:spacing w:val="-3"/>
          <w:lang w:eastAsia="en-US"/>
        </w:rPr>
      </w:pPr>
    </w:p>
    <w:p w14:paraId="53B96905" w14:textId="77777777" w:rsidR="005C0E6A" w:rsidRPr="00491A7E" w:rsidRDefault="005C0E6A" w:rsidP="005C0E6A">
      <w:pPr>
        <w:suppressAutoHyphens/>
        <w:jc w:val="center"/>
        <w:rPr>
          <w:rFonts w:eastAsia="Calibri"/>
          <w:b/>
          <w:color w:val="000000"/>
          <w:spacing w:val="-3"/>
          <w:lang w:eastAsia="en-US"/>
        </w:rPr>
      </w:pPr>
    </w:p>
    <w:p w14:paraId="0AFED37D" w14:textId="77777777" w:rsidR="005C0E6A" w:rsidRPr="00491A7E" w:rsidRDefault="005C0E6A" w:rsidP="005C0E6A">
      <w:pPr>
        <w:suppressAutoHyphens/>
        <w:jc w:val="center"/>
        <w:rPr>
          <w:rFonts w:eastAsia="Calibri"/>
          <w:b/>
          <w:color w:val="000000"/>
          <w:spacing w:val="-3"/>
          <w:lang w:eastAsia="en-US"/>
        </w:rPr>
      </w:pPr>
    </w:p>
    <w:p w14:paraId="6D0420C0" w14:textId="77777777" w:rsidR="005C0E6A" w:rsidRPr="00491A7E" w:rsidRDefault="005C0E6A" w:rsidP="005C0E6A">
      <w:pPr>
        <w:suppressAutoHyphens/>
        <w:jc w:val="center"/>
        <w:rPr>
          <w:rFonts w:eastAsia="Calibri"/>
          <w:b/>
          <w:color w:val="000000"/>
          <w:spacing w:val="-3"/>
          <w:lang w:eastAsia="en-US"/>
        </w:rPr>
      </w:pPr>
    </w:p>
    <w:p w14:paraId="52694462" w14:textId="77777777" w:rsidR="005C0E6A" w:rsidRPr="00491A7E" w:rsidRDefault="005C0E6A" w:rsidP="005C0E6A">
      <w:pPr>
        <w:suppressAutoHyphens/>
        <w:jc w:val="center"/>
        <w:rPr>
          <w:rFonts w:eastAsia="Calibri"/>
          <w:b/>
          <w:color w:val="000000"/>
          <w:spacing w:val="-3"/>
          <w:lang w:eastAsia="en-US"/>
        </w:rPr>
      </w:pPr>
    </w:p>
    <w:p w14:paraId="2B714D54" w14:textId="77777777" w:rsidR="005C0E6A" w:rsidRPr="00491A7E" w:rsidRDefault="005C0E6A" w:rsidP="005C0E6A">
      <w:pPr>
        <w:suppressAutoHyphens/>
        <w:jc w:val="center"/>
        <w:rPr>
          <w:rFonts w:eastAsia="Calibri"/>
          <w:b/>
          <w:color w:val="000000"/>
          <w:spacing w:val="-3"/>
          <w:lang w:eastAsia="en-US"/>
        </w:rPr>
      </w:pPr>
    </w:p>
    <w:p w14:paraId="34B04E4E" w14:textId="77777777" w:rsidR="005C0E6A" w:rsidRPr="00491A7E" w:rsidRDefault="005C0E6A" w:rsidP="005C0E6A">
      <w:pPr>
        <w:suppressAutoHyphens/>
        <w:jc w:val="center"/>
        <w:rPr>
          <w:rFonts w:eastAsia="Calibri"/>
          <w:b/>
          <w:color w:val="000000"/>
          <w:spacing w:val="-3"/>
          <w:lang w:eastAsia="en-US"/>
        </w:rPr>
      </w:pPr>
    </w:p>
    <w:p w14:paraId="6AB8E86A" w14:textId="77777777" w:rsidR="005C0E6A" w:rsidRPr="00491A7E" w:rsidRDefault="005C0E6A" w:rsidP="005C0E6A">
      <w:pPr>
        <w:suppressAutoHyphens/>
        <w:jc w:val="center"/>
        <w:rPr>
          <w:rFonts w:eastAsia="Calibri"/>
          <w:b/>
          <w:color w:val="000000"/>
          <w:spacing w:val="-3"/>
          <w:lang w:eastAsia="en-US"/>
        </w:rPr>
      </w:pPr>
    </w:p>
    <w:p w14:paraId="52B921CB" w14:textId="77777777" w:rsidR="005C0E6A" w:rsidRPr="00491A7E" w:rsidRDefault="005C0E6A" w:rsidP="005C0E6A">
      <w:pPr>
        <w:suppressAutoHyphens/>
        <w:jc w:val="center"/>
        <w:rPr>
          <w:rFonts w:eastAsia="Calibri"/>
          <w:b/>
          <w:color w:val="000000"/>
          <w:spacing w:val="-3"/>
          <w:lang w:eastAsia="en-US"/>
        </w:rPr>
      </w:pPr>
    </w:p>
    <w:p w14:paraId="2352492E" w14:textId="77777777" w:rsidR="005C0E6A" w:rsidRPr="00491A7E" w:rsidRDefault="005C0E6A" w:rsidP="005C0E6A">
      <w:pPr>
        <w:suppressAutoHyphens/>
        <w:jc w:val="center"/>
        <w:rPr>
          <w:rFonts w:eastAsia="Calibri"/>
          <w:b/>
          <w:color w:val="000000"/>
          <w:spacing w:val="-3"/>
          <w:lang w:eastAsia="en-US"/>
        </w:rPr>
      </w:pPr>
    </w:p>
    <w:p w14:paraId="26CE3AC9" w14:textId="77777777" w:rsidR="005C0E6A" w:rsidRPr="00491A7E" w:rsidRDefault="005C0E6A" w:rsidP="005C0E6A">
      <w:pPr>
        <w:suppressAutoHyphens/>
        <w:jc w:val="center"/>
        <w:rPr>
          <w:rFonts w:eastAsia="Calibri"/>
          <w:b/>
          <w:color w:val="000000"/>
          <w:spacing w:val="-3"/>
          <w:lang w:eastAsia="en-US"/>
        </w:rPr>
      </w:pPr>
    </w:p>
    <w:p w14:paraId="50B1F906" w14:textId="77777777" w:rsidR="005C0E6A" w:rsidRPr="00491A7E" w:rsidRDefault="005C0E6A" w:rsidP="005C0E6A">
      <w:pPr>
        <w:suppressAutoHyphens/>
        <w:jc w:val="center"/>
        <w:rPr>
          <w:rFonts w:eastAsia="Calibri"/>
          <w:b/>
          <w:color w:val="000000"/>
          <w:spacing w:val="-3"/>
          <w:lang w:eastAsia="en-US"/>
        </w:rPr>
      </w:pPr>
    </w:p>
    <w:p w14:paraId="56AB4A5F" w14:textId="77777777" w:rsidR="005C0E6A" w:rsidRPr="00491A7E" w:rsidRDefault="005C0E6A" w:rsidP="005C0E6A">
      <w:pPr>
        <w:suppressAutoHyphens/>
        <w:jc w:val="center"/>
        <w:rPr>
          <w:rFonts w:eastAsia="Calibri"/>
          <w:b/>
          <w:color w:val="000000"/>
          <w:spacing w:val="-3"/>
          <w:lang w:eastAsia="en-US"/>
        </w:rPr>
      </w:pPr>
    </w:p>
    <w:p w14:paraId="04510DA2" w14:textId="77777777" w:rsidR="005C0E6A" w:rsidRPr="00491A7E" w:rsidRDefault="005C0E6A" w:rsidP="005C0E6A">
      <w:pPr>
        <w:suppressAutoHyphens/>
        <w:jc w:val="center"/>
        <w:rPr>
          <w:rFonts w:eastAsia="Calibri"/>
          <w:b/>
          <w:color w:val="000000"/>
          <w:spacing w:val="-3"/>
          <w:lang w:eastAsia="en-US"/>
        </w:rPr>
      </w:pPr>
    </w:p>
    <w:p w14:paraId="3484C1A4" w14:textId="77777777" w:rsidR="005C0E6A" w:rsidRPr="00491A7E" w:rsidRDefault="005C0E6A" w:rsidP="005C0E6A">
      <w:pPr>
        <w:suppressAutoHyphens/>
        <w:jc w:val="center"/>
        <w:rPr>
          <w:rFonts w:eastAsia="Calibri"/>
          <w:b/>
          <w:color w:val="000000"/>
          <w:spacing w:val="-3"/>
          <w:lang w:eastAsia="en-US"/>
        </w:rPr>
      </w:pPr>
    </w:p>
    <w:p w14:paraId="6405767C" w14:textId="77777777" w:rsidR="005C0E6A" w:rsidRPr="00491A7E" w:rsidRDefault="005C0E6A" w:rsidP="005C0E6A">
      <w:pPr>
        <w:suppressAutoHyphens/>
        <w:jc w:val="center"/>
        <w:rPr>
          <w:rFonts w:eastAsia="Calibri"/>
          <w:b/>
          <w:color w:val="000000"/>
          <w:spacing w:val="-3"/>
          <w:lang w:eastAsia="en-US"/>
        </w:rPr>
      </w:pPr>
    </w:p>
    <w:p w14:paraId="409F5EF2" w14:textId="77777777" w:rsidR="005C0E6A" w:rsidRPr="00491A7E" w:rsidRDefault="005C0E6A" w:rsidP="005C0E6A">
      <w:pPr>
        <w:suppressAutoHyphens/>
        <w:jc w:val="center"/>
        <w:rPr>
          <w:rFonts w:eastAsia="Calibri"/>
          <w:b/>
          <w:color w:val="000000"/>
          <w:spacing w:val="-3"/>
          <w:lang w:eastAsia="en-US"/>
        </w:rPr>
      </w:pPr>
    </w:p>
    <w:p w14:paraId="3D0A32F8" w14:textId="77777777" w:rsidR="005C0E6A" w:rsidRPr="00491A7E" w:rsidRDefault="005C0E6A" w:rsidP="005C0E6A">
      <w:pPr>
        <w:suppressAutoHyphens/>
        <w:jc w:val="center"/>
        <w:rPr>
          <w:rFonts w:eastAsia="Calibri"/>
          <w:b/>
          <w:color w:val="000000"/>
          <w:spacing w:val="-3"/>
          <w:lang w:eastAsia="en-US"/>
        </w:rPr>
      </w:pPr>
    </w:p>
    <w:p w14:paraId="4B5231C1" w14:textId="77777777" w:rsidR="005C0E6A" w:rsidRPr="00491A7E" w:rsidRDefault="005C0E6A" w:rsidP="005C0E6A">
      <w:pPr>
        <w:suppressAutoHyphens/>
        <w:jc w:val="center"/>
        <w:rPr>
          <w:rFonts w:eastAsia="Calibri"/>
          <w:b/>
          <w:color w:val="000000"/>
          <w:lang w:eastAsia="en-US"/>
        </w:rPr>
      </w:pPr>
    </w:p>
    <w:p w14:paraId="2B4B94E7" w14:textId="77777777" w:rsidR="005C0E6A" w:rsidRPr="00491A7E" w:rsidRDefault="005C0E6A" w:rsidP="005C0E6A">
      <w:pPr>
        <w:tabs>
          <w:tab w:val="left" w:pos="-720"/>
        </w:tabs>
        <w:suppressAutoHyphens/>
        <w:jc w:val="center"/>
        <w:rPr>
          <w:rFonts w:eastAsia="Calibri"/>
          <w:b/>
          <w:color w:val="000000"/>
          <w:spacing w:val="-3"/>
          <w:lang w:eastAsia="en-US"/>
        </w:rPr>
      </w:pPr>
      <w:r w:rsidRPr="00491A7E">
        <w:rPr>
          <w:rFonts w:eastAsia="Calibri"/>
          <w:b/>
          <w:color w:val="000000"/>
          <w:spacing w:val="-3"/>
          <w:lang w:eastAsia="en-US"/>
        </w:rPr>
        <w:t>KONAČNI PRIJEDLOG ZAKONA O POTVRĐIVANJU</w:t>
      </w:r>
    </w:p>
    <w:p w14:paraId="0D9C28F4" w14:textId="77777777" w:rsidR="005C0E6A" w:rsidRPr="00491A7E" w:rsidRDefault="00307141" w:rsidP="005C0E6A">
      <w:pPr>
        <w:tabs>
          <w:tab w:val="left" w:pos="-720"/>
        </w:tabs>
        <w:suppressAutoHyphens/>
        <w:jc w:val="center"/>
        <w:rPr>
          <w:rFonts w:eastAsia="Calibri"/>
          <w:color w:val="000000"/>
          <w:spacing w:val="-3"/>
          <w:lang w:eastAsia="en-US"/>
        </w:rPr>
      </w:pPr>
      <w:r>
        <w:rPr>
          <w:rFonts w:eastAsia="Calibri"/>
          <w:b/>
          <w:color w:val="000000"/>
          <w:spacing w:val="-3"/>
          <w:lang w:eastAsia="en-US"/>
        </w:rPr>
        <w:t>KONVENCIJE</w:t>
      </w:r>
      <w:r w:rsidR="00244D84">
        <w:rPr>
          <w:rFonts w:eastAsia="Calibri"/>
          <w:b/>
          <w:color w:val="000000"/>
          <w:spacing w:val="-3"/>
          <w:lang w:eastAsia="en-US"/>
        </w:rPr>
        <w:t xml:space="preserve"> </w:t>
      </w:r>
      <w:r w:rsidR="00244D84" w:rsidRPr="00244D84">
        <w:rPr>
          <w:b/>
          <w:caps/>
        </w:rPr>
        <w:t>O BORBI PROTIV PODMIĆIVANJA STRANIH JAVNIH SLUŽBENIKA U MEĐUNARODNIM POSLOVNIM TRANSAKCIJAMA</w:t>
      </w:r>
    </w:p>
    <w:p w14:paraId="3ADBD39C" w14:textId="77777777" w:rsidR="005C0E6A" w:rsidRPr="00491A7E" w:rsidRDefault="005C0E6A" w:rsidP="005C0E6A">
      <w:pPr>
        <w:suppressAutoHyphens/>
        <w:jc w:val="center"/>
        <w:rPr>
          <w:rFonts w:eastAsia="Calibri"/>
          <w:b/>
          <w:color w:val="000000"/>
          <w:lang w:eastAsia="en-US"/>
        </w:rPr>
      </w:pPr>
    </w:p>
    <w:p w14:paraId="1E51DFA4" w14:textId="77777777" w:rsidR="005C0E6A" w:rsidRPr="00491A7E" w:rsidRDefault="005C0E6A" w:rsidP="005C0E6A">
      <w:pPr>
        <w:suppressAutoHyphens/>
        <w:jc w:val="center"/>
        <w:rPr>
          <w:rFonts w:eastAsia="Calibri"/>
          <w:b/>
          <w:color w:val="000000"/>
          <w:lang w:eastAsia="en-US"/>
        </w:rPr>
      </w:pPr>
    </w:p>
    <w:p w14:paraId="45FD537F" w14:textId="77777777" w:rsidR="005C0E6A" w:rsidRPr="00491A7E" w:rsidRDefault="005C0E6A" w:rsidP="005C0E6A">
      <w:pPr>
        <w:suppressAutoHyphens/>
        <w:jc w:val="center"/>
        <w:rPr>
          <w:rFonts w:eastAsia="Calibri"/>
          <w:b/>
          <w:color w:val="000000"/>
          <w:lang w:eastAsia="en-US"/>
        </w:rPr>
      </w:pPr>
    </w:p>
    <w:p w14:paraId="2278FC77" w14:textId="77777777" w:rsidR="005C0E6A" w:rsidRPr="00491A7E" w:rsidRDefault="005C0E6A" w:rsidP="005C0E6A">
      <w:pPr>
        <w:suppressAutoHyphens/>
        <w:jc w:val="center"/>
        <w:rPr>
          <w:rFonts w:eastAsia="Calibri"/>
          <w:b/>
          <w:color w:val="000000"/>
          <w:lang w:eastAsia="en-US"/>
        </w:rPr>
      </w:pPr>
    </w:p>
    <w:p w14:paraId="167A2618" w14:textId="77777777" w:rsidR="005C0E6A" w:rsidRPr="00491A7E" w:rsidRDefault="005C0E6A" w:rsidP="005C0E6A">
      <w:pPr>
        <w:suppressAutoHyphens/>
        <w:jc w:val="center"/>
        <w:rPr>
          <w:rFonts w:eastAsia="Calibri"/>
          <w:b/>
          <w:color w:val="000000"/>
          <w:lang w:eastAsia="en-US"/>
        </w:rPr>
      </w:pPr>
    </w:p>
    <w:p w14:paraId="6714176C" w14:textId="77777777" w:rsidR="005C0E6A" w:rsidRPr="00491A7E" w:rsidRDefault="005C0E6A" w:rsidP="005C0E6A">
      <w:pPr>
        <w:suppressAutoHyphens/>
        <w:jc w:val="center"/>
        <w:rPr>
          <w:rFonts w:eastAsia="Calibri"/>
          <w:b/>
          <w:color w:val="000000"/>
          <w:lang w:eastAsia="en-US"/>
        </w:rPr>
      </w:pPr>
    </w:p>
    <w:p w14:paraId="08D366A0" w14:textId="77777777" w:rsidR="005C0E6A" w:rsidRPr="00491A7E" w:rsidRDefault="005C0E6A" w:rsidP="005C0E6A">
      <w:pPr>
        <w:suppressAutoHyphens/>
        <w:jc w:val="center"/>
        <w:rPr>
          <w:rFonts w:eastAsia="Calibri"/>
          <w:b/>
          <w:color w:val="000000"/>
          <w:lang w:eastAsia="en-US"/>
        </w:rPr>
      </w:pPr>
    </w:p>
    <w:p w14:paraId="3114BA2E" w14:textId="77777777" w:rsidR="005C0E6A" w:rsidRPr="00491A7E" w:rsidRDefault="005C0E6A" w:rsidP="005C0E6A">
      <w:pPr>
        <w:suppressAutoHyphens/>
        <w:jc w:val="center"/>
        <w:rPr>
          <w:rFonts w:eastAsia="Calibri"/>
          <w:b/>
          <w:color w:val="000000"/>
          <w:lang w:eastAsia="en-US"/>
        </w:rPr>
      </w:pPr>
    </w:p>
    <w:p w14:paraId="03373714" w14:textId="77777777" w:rsidR="005C0E6A" w:rsidRPr="00491A7E" w:rsidRDefault="005C0E6A" w:rsidP="005C0E6A">
      <w:pPr>
        <w:suppressAutoHyphens/>
        <w:jc w:val="center"/>
        <w:rPr>
          <w:rFonts w:eastAsia="Calibri"/>
          <w:b/>
          <w:color w:val="000000"/>
          <w:lang w:eastAsia="en-US"/>
        </w:rPr>
      </w:pPr>
    </w:p>
    <w:p w14:paraId="7848AEDD" w14:textId="77777777" w:rsidR="005C0E6A" w:rsidRPr="00491A7E" w:rsidRDefault="005C0E6A" w:rsidP="005C0E6A">
      <w:pPr>
        <w:suppressAutoHyphens/>
        <w:jc w:val="center"/>
        <w:rPr>
          <w:rFonts w:eastAsia="Calibri"/>
          <w:b/>
          <w:color w:val="000000"/>
          <w:lang w:eastAsia="en-US"/>
        </w:rPr>
      </w:pPr>
    </w:p>
    <w:p w14:paraId="176941C3" w14:textId="77777777" w:rsidR="005C0E6A" w:rsidRPr="00491A7E" w:rsidRDefault="005C0E6A" w:rsidP="005C0E6A">
      <w:pPr>
        <w:suppressAutoHyphens/>
        <w:jc w:val="center"/>
        <w:rPr>
          <w:rFonts w:eastAsia="Calibri"/>
          <w:b/>
          <w:color w:val="000000"/>
          <w:lang w:eastAsia="en-US"/>
        </w:rPr>
      </w:pPr>
    </w:p>
    <w:p w14:paraId="3C0C886B" w14:textId="77777777" w:rsidR="005C0E6A" w:rsidRPr="00491A7E" w:rsidRDefault="005C0E6A" w:rsidP="005C0E6A">
      <w:pPr>
        <w:suppressAutoHyphens/>
        <w:jc w:val="center"/>
        <w:rPr>
          <w:rFonts w:eastAsia="Calibri"/>
          <w:b/>
          <w:color w:val="000000"/>
          <w:lang w:eastAsia="en-US"/>
        </w:rPr>
      </w:pPr>
    </w:p>
    <w:p w14:paraId="47DA3BA6" w14:textId="77777777" w:rsidR="005C0E6A" w:rsidRPr="00491A7E" w:rsidRDefault="005C0E6A" w:rsidP="005C0E6A">
      <w:pPr>
        <w:pBdr>
          <w:bottom w:val="single" w:sz="12" w:space="1" w:color="auto"/>
        </w:pBdr>
        <w:suppressAutoHyphens/>
        <w:jc w:val="center"/>
        <w:rPr>
          <w:rFonts w:eastAsia="Calibri"/>
          <w:b/>
          <w:color w:val="000000"/>
          <w:lang w:eastAsia="en-US"/>
        </w:rPr>
      </w:pPr>
    </w:p>
    <w:p w14:paraId="1A2F33C9" w14:textId="77777777" w:rsidR="005C0E6A" w:rsidRPr="00491A7E" w:rsidRDefault="005C0E6A" w:rsidP="005C0E6A">
      <w:pPr>
        <w:pBdr>
          <w:bottom w:val="single" w:sz="12" w:space="1" w:color="auto"/>
        </w:pBdr>
        <w:suppressAutoHyphens/>
        <w:jc w:val="center"/>
        <w:rPr>
          <w:rFonts w:eastAsia="Calibri"/>
          <w:b/>
          <w:color w:val="000000"/>
          <w:lang w:eastAsia="en-US"/>
        </w:rPr>
      </w:pPr>
    </w:p>
    <w:p w14:paraId="1FE26FC0" w14:textId="77777777" w:rsidR="005C0E6A" w:rsidRPr="00491A7E" w:rsidRDefault="005C0E6A" w:rsidP="005C0E6A">
      <w:pPr>
        <w:pBdr>
          <w:bottom w:val="single" w:sz="12" w:space="1" w:color="auto"/>
        </w:pBdr>
        <w:suppressAutoHyphens/>
        <w:jc w:val="center"/>
        <w:rPr>
          <w:rFonts w:eastAsia="Calibri"/>
          <w:b/>
          <w:color w:val="000000"/>
          <w:lang w:eastAsia="en-US"/>
        </w:rPr>
      </w:pPr>
    </w:p>
    <w:p w14:paraId="4CE5E866" w14:textId="77777777" w:rsidR="0044104B" w:rsidRPr="00491A7E" w:rsidRDefault="0044104B" w:rsidP="005C0E6A">
      <w:pPr>
        <w:pBdr>
          <w:bottom w:val="single" w:sz="12" w:space="1" w:color="auto"/>
        </w:pBdr>
        <w:suppressAutoHyphens/>
        <w:jc w:val="center"/>
        <w:rPr>
          <w:rFonts w:eastAsia="Calibri"/>
          <w:b/>
          <w:color w:val="000000"/>
          <w:lang w:eastAsia="en-US"/>
        </w:rPr>
      </w:pPr>
    </w:p>
    <w:p w14:paraId="2B116E1E" w14:textId="77777777" w:rsidR="005C0E6A" w:rsidRPr="00491A7E" w:rsidRDefault="005C0E6A" w:rsidP="005C0E6A">
      <w:pPr>
        <w:pBdr>
          <w:bottom w:val="single" w:sz="12" w:space="1" w:color="auto"/>
        </w:pBdr>
        <w:suppressAutoHyphens/>
        <w:jc w:val="center"/>
        <w:rPr>
          <w:rFonts w:eastAsia="Calibri"/>
          <w:b/>
          <w:color w:val="000000"/>
          <w:lang w:eastAsia="en-US"/>
        </w:rPr>
      </w:pPr>
    </w:p>
    <w:p w14:paraId="56BA3F4D" w14:textId="77777777" w:rsidR="005C0E6A" w:rsidRPr="00491A7E" w:rsidRDefault="005C0E6A" w:rsidP="005C0E6A">
      <w:pPr>
        <w:pBdr>
          <w:bottom w:val="single" w:sz="12" w:space="1" w:color="auto"/>
        </w:pBdr>
        <w:suppressAutoHyphens/>
        <w:jc w:val="center"/>
        <w:rPr>
          <w:rFonts w:eastAsia="Calibri"/>
          <w:b/>
          <w:color w:val="000000"/>
          <w:lang w:eastAsia="en-US"/>
        </w:rPr>
      </w:pPr>
    </w:p>
    <w:p w14:paraId="421B54F9" w14:textId="77777777" w:rsidR="005C0E6A" w:rsidRPr="00491A7E" w:rsidRDefault="005C0E6A" w:rsidP="005C0E6A">
      <w:pPr>
        <w:pBdr>
          <w:bottom w:val="single" w:sz="12" w:space="1" w:color="auto"/>
        </w:pBdr>
        <w:suppressAutoHyphens/>
        <w:jc w:val="center"/>
        <w:rPr>
          <w:rFonts w:eastAsia="Calibri"/>
          <w:b/>
          <w:color w:val="000000"/>
          <w:lang w:eastAsia="en-US"/>
        </w:rPr>
      </w:pPr>
    </w:p>
    <w:p w14:paraId="2D97B2CB" w14:textId="77777777" w:rsidR="005C0E6A" w:rsidRPr="00491A7E" w:rsidRDefault="005C0E6A" w:rsidP="005C0E6A">
      <w:pPr>
        <w:pBdr>
          <w:bottom w:val="single" w:sz="12" w:space="1" w:color="auto"/>
        </w:pBdr>
        <w:suppressAutoHyphens/>
        <w:jc w:val="center"/>
        <w:rPr>
          <w:rFonts w:eastAsia="Calibri"/>
          <w:b/>
          <w:color w:val="000000"/>
          <w:lang w:eastAsia="en-US"/>
        </w:rPr>
      </w:pPr>
    </w:p>
    <w:p w14:paraId="2FB2E386" w14:textId="77777777" w:rsidR="005C0E6A" w:rsidRPr="00491A7E" w:rsidRDefault="005C0E6A" w:rsidP="005C0E6A">
      <w:pPr>
        <w:pBdr>
          <w:bottom w:val="single" w:sz="12" w:space="1" w:color="auto"/>
        </w:pBdr>
        <w:suppressAutoHyphens/>
        <w:jc w:val="center"/>
        <w:rPr>
          <w:rFonts w:eastAsia="Calibri"/>
          <w:b/>
          <w:color w:val="000000"/>
          <w:lang w:eastAsia="en-US"/>
        </w:rPr>
      </w:pPr>
    </w:p>
    <w:p w14:paraId="7CCF53FB" w14:textId="77777777" w:rsidR="005C0E6A" w:rsidRPr="00491A7E" w:rsidRDefault="005C0E6A" w:rsidP="005C0E6A">
      <w:pPr>
        <w:widowControl w:val="0"/>
        <w:suppressAutoHyphens/>
        <w:jc w:val="center"/>
        <w:rPr>
          <w:rFonts w:eastAsia="Calibri"/>
          <w:b/>
          <w:color w:val="000000"/>
          <w:lang w:eastAsia="en-US"/>
        </w:rPr>
      </w:pPr>
      <w:r w:rsidRPr="00491A7E">
        <w:rPr>
          <w:rFonts w:eastAsia="Calibri"/>
          <w:b/>
          <w:color w:val="000000"/>
          <w:lang w:eastAsia="en-US"/>
        </w:rPr>
        <w:t xml:space="preserve">Zagreb, </w:t>
      </w:r>
      <w:r w:rsidR="00431329">
        <w:rPr>
          <w:rFonts w:eastAsia="Calibri"/>
          <w:b/>
          <w:color w:val="000000"/>
          <w:lang w:eastAsia="en-US"/>
        </w:rPr>
        <w:t xml:space="preserve">listopad </w:t>
      </w:r>
      <w:r w:rsidR="00307141">
        <w:rPr>
          <w:rFonts w:eastAsia="Calibri"/>
          <w:b/>
          <w:color w:val="000000"/>
          <w:lang w:eastAsia="en-US"/>
        </w:rPr>
        <w:t>2023</w:t>
      </w:r>
      <w:r w:rsidRPr="00491A7E">
        <w:rPr>
          <w:rFonts w:eastAsia="Calibri"/>
          <w:b/>
          <w:color w:val="000000"/>
          <w:lang w:eastAsia="en-US"/>
        </w:rPr>
        <w:t>.</w:t>
      </w:r>
    </w:p>
    <w:p w14:paraId="38D5CF40" w14:textId="77777777" w:rsidR="00134B98" w:rsidRPr="00491A7E" w:rsidRDefault="005C0E6A" w:rsidP="0044104B">
      <w:pPr>
        <w:jc w:val="center"/>
        <w:rPr>
          <w:b/>
          <w:bCs/>
        </w:rPr>
      </w:pPr>
      <w:r w:rsidRPr="00491A7E">
        <w:rPr>
          <w:b/>
          <w:bCs/>
        </w:rPr>
        <w:br w:type="page"/>
      </w:r>
    </w:p>
    <w:p w14:paraId="7D7CA8E2" w14:textId="77777777" w:rsidR="00A85730" w:rsidRPr="00491A7E" w:rsidRDefault="00A85730" w:rsidP="0044104B">
      <w:pPr>
        <w:jc w:val="center"/>
        <w:rPr>
          <w:b/>
          <w:bCs/>
        </w:rPr>
      </w:pPr>
      <w:r w:rsidRPr="00491A7E">
        <w:rPr>
          <w:b/>
          <w:bCs/>
        </w:rPr>
        <w:lastRenderedPageBreak/>
        <w:t>KONAČNI PRIJEDLOG ZAKONA O POTVRĐIVANJU</w:t>
      </w:r>
    </w:p>
    <w:p w14:paraId="3267CFC0" w14:textId="77777777" w:rsidR="00A85730" w:rsidRPr="00491A7E" w:rsidRDefault="00307141" w:rsidP="00A85730">
      <w:pPr>
        <w:jc w:val="center"/>
        <w:rPr>
          <w:b/>
        </w:rPr>
      </w:pPr>
      <w:r>
        <w:rPr>
          <w:b/>
          <w:caps/>
        </w:rPr>
        <w:t>KONVENCIJE</w:t>
      </w:r>
      <w:r w:rsidR="00244D84">
        <w:rPr>
          <w:b/>
          <w:caps/>
        </w:rPr>
        <w:t xml:space="preserve"> </w:t>
      </w:r>
      <w:r w:rsidR="00244D84" w:rsidRPr="00244D84">
        <w:rPr>
          <w:b/>
          <w:caps/>
        </w:rPr>
        <w:t>O BORBI PROTIV PODMIĆIVANJA STRANIH JAVNIH SLUŽBENIKA U MEĐUNARODNIM POSLOVNIM TRANSAKCIJAMA</w:t>
      </w:r>
    </w:p>
    <w:p w14:paraId="5399D715" w14:textId="77777777" w:rsidR="00A85730" w:rsidRPr="00491A7E" w:rsidRDefault="00A85730" w:rsidP="00A85730">
      <w:pPr>
        <w:jc w:val="both"/>
        <w:rPr>
          <w:b/>
          <w:caps/>
        </w:rPr>
      </w:pPr>
    </w:p>
    <w:p w14:paraId="4FDD34C4" w14:textId="77777777" w:rsidR="00134B98" w:rsidRPr="00491A7E" w:rsidRDefault="00134B98" w:rsidP="00A85730">
      <w:pPr>
        <w:jc w:val="both"/>
        <w:rPr>
          <w:b/>
          <w:caps/>
        </w:rPr>
      </w:pPr>
    </w:p>
    <w:p w14:paraId="743E31DF" w14:textId="77777777" w:rsidR="00A85730" w:rsidRPr="00491A7E" w:rsidRDefault="00A85730" w:rsidP="00A85730">
      <w:pPr>
        <w:autoSpaceDE w:val="0"/>
        <w:autoSpaceDN w:val="0"/>
        <w:adjustRightInd w:val="0"/>
        <w:jc w:val="both"/>
        <w:rPr>
          <w:b/>
          <w:bCs/>
        </w:rPr>
      </w:pPr>
      <w:r w:rsidRPr="00491A7E">
        <w:rPr>
          <w:b/>
          <w:bCs/>
        </w:rPr>
        <w:t xml:space="preserve"> </w:t>
      </w:r>
    </w:p>
    <w:p w14:paraId="110C1CB8" w14:textId="77777777" w:rsidR="00A85730" w:rsidRPr="00491A7E" w:rsidRDefault="00A85730" w:rsidP="005C0E6A">
      <w:pPr>
        <w:numPr>
          <w:ilvl w:val="0"/>
          <w:numId w:val="1"/>
        </w:numPr>
        <w:tabs>
          <w:tab w:val="num" w:pos="0"/>
          <w:tab w:val="num" w:pos="720"/>
        </w:tabs>
        <w:autoSpaceDE w:val="0"/>
        <w:autoSpaceDN w:val="0"/>
        <w:adjustRightInd w:val="0"/>
        <w:ind w:hanging="1080"/>
        <w:jc w:val="both"/>
        <w:rPr>
          <w:b/>
          <w:bCs/>
        </w:rPr>
      </w:pPr>
      <w:r w:rsidRPr="00491A7E">
        <w:rPr>
          <w:b/>
          <w:bCs/>
        </w:rPr>
        <w:t>USTAVNA OSNOVA</w:t>
      </w:r>
    </w:p>
    <w:p w14:paraId="18B6771E" w14:textId="77777777" w:rsidR="00A85730" w:rsidRPr="00491A7E" w:rsidRDefault="00A85730" w:rsidP="005C0E6A">
      <w:pPr>
        <w:tabs>
          <w:tab w:val="num" w:pos="0"/>
        </w:tabs>
        <w:autoSpaceDE w:val="0"/>
        <w:autoSpaceDN w:val="0"/>
        <w:adjustRightInd w:val="0"/>
        <w:jc w:val="both"/>
        <w:rPr>
          <w:b/>
          <w:bCs/>
        </w:rPr>
      </w:pPr>
    </w:p>
    <w:p w14:paraId="2B047D30" w14:textId="01398988" w:rsidR="00A85730" w:rsidRPr="00491A7E" w:rsidRDefault="00A85730" w:rsidP="005C0E6A">
      <w:pPr>
        <w:jc w:val="both"/>
      </w:pPr>
      <w:r w:rsidRPr="00491A7E">
        <w:tab/>
        <w:t xml:space="preserve">Ustavna osnova za donošenje </w:t>
      </w:r>
      <w:r w:rsidR="005C0E6A" w:rsidRPr="00491A7E">
        <w:t xml:space="preserve">ovoga </w:t>
      </w:r>
      <w:r w:rsidR="00307141">
        <w:t>Z</w:t>
      </w:r>
      <w:r w:rsidRPr="00491A7E">
        <w:t xml:space="preserve">akona </w:t>
      </w:r>
      <w:r w:rsidR="0043262E">
        <w:t xml:space="preserve">o potvrđivanju Konvencije o borbi protiv podmićivanja stranih javnih službenika u međunarodnim poslovnim transakcijama </w:t>
      </w:r>
      <w:r w:rsidR="0043262E" w:rsidRPr="00211C84">
        <w:t>(u daljnjem tekstu</w:t>
      </w:r>
      <w:r w:rsidR="00211C84">
        <w:t xml:space="preserve">: </w:t>
      </w:r>
      <w:r w:rsidR="00F710FC" w:rsidRPr="00211C84">
        <w:t>Zakon</w:t>
      </w:r>
      <w:r w:rsidR="0043262E" w:rsidRPr="00211C84">
        <w:t>)</w:t>
      </w:r>
      <w:r w:rsidR="0043262E">
        <w:t xml:space="preserve"> </w:t>
      </w:r>
      <w:r w:rsidRPr="00491A7E">
        <w:t>sadržana je u članku 140. stavku 1. Ustava Republike Hrvatske (</w:t>
      </w:r>
      <w:r w:rsidR="005C0E6A" w:rsidRPr="00491A7E">
        <w:t>„</w:t>
      </w:r>
      <w:r w:rsidRPr="00491A7E">
        <w:t>Narodne novine</w:t>
      </w:r>
      <w:r w:rsidR="005C0E6A" w:rsidRPr="00491A7E">
        <w:t>“</w:t>
      </w:r>
      <w:r w:rsidRPr="00491A7E">
        <w:t>, br. 85/10</w:t>
      </w:r>
      <w:r w:rsidR="00E12660" w:rsidRPr="00491A7E">
        <w:t>.</w:t>
      </w:r>
      <w:r w:rsidRPr="00491A7E">
        <w:t xml:space="preserve"> - </w:t>
      </w:r>
      <w:r w:rsidR="005C0E6A" w:rsidRPr="00491A7E">
        <w:t>pročišćeni tekst i 5/14</w:t>
      </w:r>
      <w:r w:rsidR="00E12660" w:rsidRPr="00491A7E">
        <w:t>.</w:t>
      </w:r>
      <w:r w:rsidR="005C0E6A" w:rsidRPr="00491A7E">
        <w:t xml:space="preserve"> -</w:t>
      </w:r>
      <w:r w:rsidRPr="00491A7E">
        <w:t xml:space="preserve"> Odluka Ustavnog suda Republike Hrvatske).</w:t>
      </w:r>
    </w:p>
    <w:p w14:paraId="66435242" w14:textId="77777777" w:rsidR="00A85730" w:rsidRPr="00491A7E" w:rsidRDefault="00A85730" w:rsidP="005C0E6A">
      <w:pPr>
        <w:tabs>
          <w:tab w:val="num" w:pos="0"/>
        </w:tabs>
        <w:autoSpaceDE w:val="0"/>
        <w:autoSpaceDN w:val="0"/>
        <w:adjustRightInd w:val="0"/>
        <w:jc w:val="both"/>
      </w:pPr>
    </w:p>
    <w:p w14:paraId="3FB7942E" w14:textId="77777777" w:rsidR="00134B98" w:rsidRPr="00491A7E" w:rsidRDefault="00134B98" w:rsidP="005C0E6A">
      <w:pPr>
        <w:tabs>
          <w:tab w:val="num" w:pos="0"/>
        </w:tabs>
        <w:autoSpaceDE w:val="0"/>
        <w:autoSpaceDN w:val="0"/>
        <w:adjustRightInd w:val="0"/>
        <w:jc w:val="both"/>
      </w:pPr>
    </w:p>
    <w:p w14:paraId="00BC7943" w14:textId="77777777" w:rsidR="00A85730" w:rsidRPr="00491A7E" w:rsidRDefault="00A85730" w:rsidP="005C0E6A">
      <w:pPr>
        <w:numPr>
          <w:ilvl w:val="0"/>
          <w:numId w:val="1"/>
        </w:numPr>
        <w:tabs>
          <w:tab w:val="num" w:pos="0"/>
          <w:tab w:val="num" w:pos="720"/>
        </w:tabs>
        <w:autoSpaceDE w:val="0"/>
        <w:autoSpaceDN w:val="0"/>
        <w:adjustRightInd w:val="0"/>
        <w:ind w:hanging="1080"/>
        <w:jc w:val="both"/>
        <w:rPr>
          <w:b/>
          <w:bCs/>
        </w:rPr>
      </w:pPr>
      <w:r w:rsidRPr="00491A7E">
        <w:rPr>
          <w:b/>
          <w:bCs/>
        </w:rPr>
        <w:t>OCJENA STANJA I CILJ KOJI SE DONOŠENJEM ZAKONA ŽELI POSTIĆI</w:t>
      </w:r>
    </w:p>
    <w:p w14:paraId="5984BCEE" w14:textId="77777777" w:rsidR="00A85730" w:rsidRPr="00491A7E" w:rsidRDefault="00A85730" w:rsidP="00307141">
      <w:pPr>
        <w:tabs>
          <w:tab w:val="num" w:pos="0"/>
        </w:tabs>
        <w:autoSpaceDE w:val="0"/>
        <w:autoSpaceDN w:val="0"/>
        <w:adjustRightInd w:val="0"/>
        <w:jc w:val="both"/>
      </w:pPr>
      <w:r w:rsidRPr="00491A7E">
        <w:tab/>
        <w:t xml:space="preserve"> </w:t>
      </w:r>
    </w:p>
    <w:p w14:paraId="5450DC24" w14:textId="77777777" w:rsidR="00D61925" w:rsidRDefault="00D61925" w:rsidP="008156EE">
      <w:pPr>
        <w:ind w:firstLine="709"/>
        <w:jc w:val="both"/>
      </w:pPr>
      <w:r>
        <w:t xml:space="preserve">Organizacija za gospodarsku suradnju i razvoj (OECD) međunarodna je organizacija koja okuplja </w:t>
      </w:r>
      <w:r w:rsidR="003067F4">
        <w:t>države</w:t>
      </w:r>
      <w:r>
        <w:t xml:space="preserve"> opredijeljene za demokraciju i tržišno gospodarstvo s ciljem potpore održivom gospodarskom razvoju, podizanju životnog standarda, unapređenju nacionalnih sektorskih politika kao i rastu svjetske trgovine. Razmjenom znanja i iskustava te iznalaženjem praktičnih rješenja za nacionalne, regionalne ili globalne probleme, kroz rad svojih više od 250 specijaliziranih odbora, radnih skupina i mreža, OECD predstavlja jedinstven multilateralni forum na kome se raspravlja o najboljim praksama u provedbi ključnih gospodarskih i razvojnih reformi među 38 država članica, koje nedvojbeno pripadaju najrazvijenijem dijelu svijeta.</w:t>
      </w:r>
    </w:p>
    <w:p w14:paraId="3D1A22AD" w14:textId="77777777" w:rsidR="00E7226C" w:rsidRDefault="00E7226C" w:rsidP="008156EE">
      <w:pPr>
        <w:ind w:firstLine="709"/>
        <w:jc w:val="both"/>
      </w:pPr>
    </w:p>
    <w:p w14:paraId="2EB11945" w14:textId="74EC77BC" w:rsidR="00E7226C" w:rsidRDefault="00E7226C" w:rsidP="00E7226C">
      <w:pPr>
        <w:ind w:firstLine="709"/>
        <w:jc w:val="both"/>
      </w:pPr>
      <w:r>
        <w:t>Službeno pismo namjere za pristupanjem OECD-u, Republika Hrvatska uputila je u siječnju 2017. godine. Republika Hrvatska je od Vijeća OECD-a 25. siječnja 2022. zaprimila pozivnicu za otvaranje pregovora s OECD-om,</w:t>
      </w:r>
      <w:r w:rsidRPr="00E7226C">
        <w:t xml:space="preserve"> </w:t>
      </w:r>
      <w:r>
        <w:t>zajedno</w:t>
      </w:r>
      <w:r w:rsidRPr="00E7226C">
        <w:t xml:space="preserve"> s pet drugih </w:t>
      </w:r>
      <w:r>
        <w:t>država.</w:t>
      </w:r>
      <w:r w:rsidR="00FB02C2">
        <w:t xml:space="preserve"> </w:t>
      </w:r>
      <w:r>
        <w:t>P</w:t>
      </w:r>
      <w:r w:rsidR="0043262E">
        <w:t>ostupak</w:t>
      </w:r>
      <w:r>
        <w:t xml:space="preserve"> pristupanja OECD-u uključuje rigoroznu i dubinsku ocjenu od strane više od 20 značajnih odbora o spremnosti i sposobnosti za usvajanjem svih pravnih instrumenata OECD-a u okviru nadležnosti odbora, kao i ocjenu politika i praksi države kandidatkinje u usporedbi s najboljim politikama i praksama OECD-a, a sukladno Planu pristupanja.</w:t>
      </w:r>
    </w:p>
    <w:p w14:paraId="5B233E69" w14:textId="77777777" w:rsidR="00E7226C" w:rsidRDefault="00E7226C" w:rsidP="00E7226C">
      <w:pPr>
        <w:ind w:firstLine="709"/>
        <w:jc w:val="both"/>
      </w:pPr>
    </w:p>
    <w:p w14:paraId="721E33E2" w14:textId="77777777" w:rsidR="00E7226C" w:rsidRDefault="00E7226C" w:rsidP="00E7226C">
      <w:pPr>
        <w:ind w:firstLine="709"/>
        <w:jc w:val="both"/>
      </w:pPr>
      <w:r>
        <w:lastRenderedPageBreak/>
        <w:t>U lipnju 2022. godine, Vijeće OECD-a je na ministarskom sastanku usvojilo Plan pristupanja Republike Hrvatske OECD-u. Prvi korak u pristupnom procesu</w:t>
      </w:r>
      <w:r w:rsidR="003B6BEA">
        <w:t xml:space="preserve"> bila</w:t>
      </w:r>
      <w:r>
        <w:t xml:space="preserve"> je izrada samoprocjene u odnosu na važeće pravne instrumente OECD</w:t>
      </w:r>
      <w:r w:rsidR="003B6BEA">
        <w:t>-a</w:t>
      </w:r>
      <w:r>
        <w:t xml:space="preserve"> kroz Inicijalni memorandum</w:t>
      </w:r>
      <w:r w:rsidR="003B6BEA">
        <w:t xml:space="preserve">, kojeg je Republika Hrvatska pripremila </w:t>
      </w:r>
      <w:r w:rsidR="00AA610A">
        <w:t>i</w:t>
      </w:r>
      <w:r w:rsidR="003B6BEA">
        <w:t xml:space="preserve"> dostavila </w:t>
      </w:r>
      <w:r w:rsidR="003B6BEA" w:rsidRPr="003B6BEA">
        <w:t>OECD-u</w:t>
      </w:r>
      <w:r w:rsidR="003B6BEA">
        <w:t xml:space="preserve"> u listopadu 2022</w:t>
      </w:r>
      <w:r>
        <w:t>.</w:t>
      </w:r>
      <w:r w:rsidR="003B6BEA" w:rsidRPr="003B6BEA">
        <w:t xml:space="preserve"> Inicijalni memorandum je dokument kojim se utvrđuje prva samoprocjena usklađenosti hrvatskog zakonodavstva, politika i praksi </w:t>
      </w:r>
      <w:r w:rsidR="003B6BEA">
        <w:t>s</w:t>
      </w:r>
      <w:r w:rsidR="003B6BEA" w:rsidRPr="003B6BEA">
        <w:t xml:space="preserve"> pravnim instrument</w:t>
      </w:r>
      <w:r w:rsidR="003B6BEA">
        <w:t>ima</w:t>
      </w:r>
      <w:r w:rsidR="003B6BEA" w:rsidRPr="003B6BEA">
        <w:t xml:space="preserve"> OECD-a koji </w:t>
      </w:r>
      <w:r w:rsidR="003B6BEA">
        <w:t>su</w:t>
      </w:r>
      <w:r w:rsidR="003B6BEA" w:rsidRPr="003B6BEA">
        <w:t xml:space="preserve"> na snazi i koji se primjenjuje na sve članice OECD-a</w:t>
      </w:r>
      <w:r w:rsidR="00AA610A">
        <w:t>, a</w:t>
      </w:r>
      <w:r w:rsidR="003B6BEA" w:rsidRPr="003B6BEA">
        <w:t xml:space="preserve"> služi</w:t>
      </w:r>
      <w:r w:rsidR="00AA610A">
        <w:t xml:space="preserve"> i</w:t>
      </w:r>
      <w:r w:rsidR="003B6BEA" w:rsidRPr="003B6BEA">
        <w:t xml:space="preserve"> kao </w:t>
      </w:r>
      <w:r w:rsidR="003B6BEA">
        <w:t>temelj</w:t>
      </w:r>
      <w:r w:rsidR="003B6BEA" w:rsidRPr="003B6BEA">
        <w:t xml:space="preserve"> za tehničke preglede u odborima OECD-a koji su dio procesa pristupanja Republike Hrvatske OECD-u. </w:t>
      </w:r>
    </w:p>
    <w:p w14:paraId="0BB95AF8" w14:textId="77777777" w:rsidR="00D61925" w:rsidRDefault="00D61925" w:rsidP="008156EE">
      <w:pPr>
        <w:ind w:firstLine="709"/>
        <w:jc w:val="both"/>
      </w:pPr>
    </w:p>
    <w:p w14:paraId="60E384EE" w14:textId="7FF95A47" w:rsidR="00D61925" w:rsidRDefault="00D61925" w:rsidP="0080682B">
      <w:pPr>
        <w:ind w:firstLine="709"/>
        <w:jc w:val="both"/>
        <w:rPr>
          <w:color w:val="222222"/>
          <w:shd w:val="clear" w:color="auto" w:fill="FFFFFF"/>
        </w:rPr>
      </w:pPr>
      <w:r w:rsidRPr="00D61925">
        <w:rPr>
          <w:color w:val="000000"/>
        </w:rPr>
        <w:t>Borba protiv podmićivanja u međunarodn</w:t>
      </w:r>
      <w:r w:rsidR="00AA610A">
        <w:rPr>
          <w:color w:val="000000"/>
        </w:rPr>
        <w:t>im</w:t>
      </w:r>
      <w:r w:rsidRPr="00D61925">
        <w:rPr>
          <w:color w:val="000000"/>
        </w:rPr>
        <w:t xml:space="preserve"> poslov</w:t>
      </w:r>
      <w:r w:rsidR="00AA610A">
        <w:rPr>
          <w:color w:val="000000"/>
        </w:rPr>
        <w:t>nim transakcijama</w:t>
      </w:r>
      <w:r w:rsidRPr="00D61925">
        <w:rPr>
          <w:color w:val="000000"/>
        </w:rPr>
        <w:t xml:space="preserve"> sve je važnija za osiguranje dobrog upravljanja i održivog gospodarskog razvoja, kao i za integritet međunarodnih tržišta. To je osobito važno za </w:t>
      </w:r>
      <w:r w:rsidR="00087309">
        <w:rPr>
          <w:color w:val="000000"/>
        </w:rPr>
        <w:t>države</w:t>
      </w:r>
      <w:r w:rsidRPr="00D61925">
        <w:rPr>
          <w:color w:val="000000"/>
        </w:rPr>
        <w:t xml:space="preserve"> na jedinstvenom europskom tržištu poput Republike Hrvatske.</w:t>
      </w:r>
      <w:r w:rsidR="003B6BEA">
        <w:rPr>
          <w:color w:val="000000"/>
        </w:rPr>
        <w:t xml:space="preserve"> </w:t>
      </w:r>
      <w:r w:rsidR="00D106B7" w:rsidRPr="00D106B7">
        <w:rPr>
          <w:color w:val="000000"/>
        </w:rPr>
        <w:t>Vodeći instrument OECD-a protiv podmićivanja je</w:t>
      </w:r>
      <w:r w:rsidR="00D106B7">
        <w:rPr>
          <w:color w:val="000000"/>
        </w:rPr>
        <w:t xml:space="preserve"> </w:t>
      </w:r>
      <w:r w:rsidR="005F2ED9">
        <w:rPr>
          <w:color w:val="222222"/>
          <w:shd w:val="clear" w:color="auto" w:fill="FFFFFF"/>
        </w:rPr>
        <w:t xml:space="preserve">Konvencija o borbi protiv podmićivanja stranih javnih službenika u međunarodnim poslovnim </w:t>
      </w:r>
      <w:r w:rsidR="005F2ED9" w:rsidRPr="00211C84">
        <w:rPr>
          <w:color w:val="222222"/>
          <w:shd w:val="clear" w:color="auto" w:fill="FFFFFF"/>
        </w:rPr>
        <w:t>transakcijama</w:t>
      </w:r>
      <w:r w:rsidR="00F710FC" w:rsidRPr="00211C84">
        <w:rPr>
          <w:color w:val="222222"/>
          <w:shd w:val="clear" w:color="auto" w:fill="FFFFFF"/>
        </w:rPr>
        <w:t xml:space="preserve"> </w:t>
      </w:r>
      <w:r w:rsidR="00F710FC" w:rsidRPr="00211C84">
        <w:t>(u daljnjem tekstu</w:t>
      </w:r>
      <w:r w:rsidR="00211C84">
        <w:t xml:space="preserve">: </w:t>
      </w:r>
      <w:r w:rsidR="00F710FC" w:rsidRPr="00211C84">
        <w:t>Konvencija)</w:t>
      </w:r>
      <w:r w:rsidR="00D106B7" w:rsidRPr="00211C84">
        <w:rPr>
          <w:color w:val="222222"/>
          <w:shd w:val="clear" w:color="auto" w:fill="FFFFFF"/>
        </w:rPr>
        <w:t>,</w:t>
      </w:r>
      <w:r w:rsidR="00D106B7">
        <w:rPr>
          <w:color w:val="222222"/>
          <w:shd w:val="clear" w:color="auto" w:fill="FFFFFF"/>
        </w:rPr>
        <w:t xml:space="preserve"> </w:t>
      </w:r>
      <w:r w:rsidR="005F2ED9">
        <w:rPr>
          <w:color w:val="222222"/>
          <w:shd w:val="clear" w:color="auto" w:fill="FFFFFF"/>
        </w:rPr>
        <w:t>sastavljena u Parizu, 17. prosinca 1997</w:t>
      </w:r>
      <w:r w:rsidR="005B4B76">
        <w:rPr>
          <w:color w:val="222222"/>
          <w:shd w:val="clear" w:color="auto" w:fill="FFFFFF"/>
        </w:rPr>
        <w:t>.</w:t>
      </w:r>
      <w:r w:rsidR="005F2ED9">
        <w:rPr>
          <w:color w:val="222222"/>
          <w:shd w:val="clear" w:color="auto" w:fill="FFFFFF"/>
        </w:rPr>
        <w:t xml:space="preserve"> </w:t>
      </w:r>
      <w:r w:rsidR="00D106B7">
        <w:rPr>
          <w:color w:val="222222"/>
          <w:shd w:val="clear" w:color="auto" w:fill="FFFFFF"/>
        </w:rPr>
        <w:t>Konvencija je stupila na</w:t>
      </w:r>
      <w:r w:rsidR="005F2ED9" w:rsidRPr="00DC0521">
        <w:rPr>
          <w:color w:val="000000" w:themeColor="text1"/>
          <w:shd w:val="clear" w:color="auto" w:fill="FFFFFF"/>
        </w:rPr>
        <w:t xml:space="preserve"> snagu 5. veljače 1999.</w:t>
      </w:r>
      <w:r w:rsidR="00D106B7" w:rsidRPr="00DC0521">
        <w:rPr>
          <w:color w:val="000000" w:themeColor="text1"/>
          <w:shd w:val="clear" w:color="auto" w:fill="FFFFFF"/>
        </w:rPr>
        <w:t>, ima 4</w:t>
      </w:r>
      <w:r w:rsidR="00592071" w:rsidRPr="00DC0521">
        <w:rPr>
          <w:color w:val="000000" w:themeColor="text1"/>
          <w:shd w:val="clear" w:color="auto" w:fill="FFFFFF"/>
        </w:rPr>
        <w:t>5</w:t>
      </w:r>
      <w:r w:rsidR="00D106B7" w:rsidRPr="00DC0521">
        <w:rPr>
          <w:color w:val="000000" w:themeColor="text1"/>
          <w:shd w:val="clear" w:color="auto" w:fill="FFFFFF"/>
        </w:rPr>
        <w:t xml:space="preserve"> stran</w:t>
      </w:r>
      <w:r w:rsidR="0043262E">
        <w:rPr>
          <w:color w:val="000000" w:themeColor="text1"/>
          <w:shd w:val="clear" w:color="auto" w:fill="FFFFFF"/>
        </w:rPr>
        <w:t>aka</w:t>
      </w:r>
      <w:r w:rsidR="00D106B7" w:rsidRPr="0006651A">
        <w:rPr>
          <w:color w:val="000000" w:themeColor="text1"/>
          <w:shd w:val="clear" w:color="auto" w:fill="FFFFFF"/>
        </w:rPr>
        <w:t xml:space="preserve">, od koji je 38 država članica OECD-a i </w:t>
      </w:r>
      <w:r w:rsidR="00592071" w:rsidRPr="0006651A">
        <w:rPr>
          <w:color w:val="000000" w:themeColor="text1"/>
          <w:shd w:val="clear" w:color="auto" w:fill="FFFFFF"/>
        </w:rPr>
        <w:t>7</w:t>
      </w:r>
      <w:r w:rsidR="00D106B7" w:rsidRPr="0006651A">
        <w:rPr>
          <w:color w:val="000000" w:themeColor="text1"/>
          <w:shd w:val="clear" w:color="auto" w:fill="FFFFFF"/>
        </w:rPr>
        <w:t xml:space="preserve"> država nečlanica</w:t>
      </w:r>
      <w:r w:rsidR="00D106B7">
        <w:rPr>
          <w:color w:val="222222"/>
          <w:shd w:val="clear" w:color="auto" w:fill="FFFFFF"/>
        </w:rPr>
        <w:t xml:space="preserve"> (stanje: </w:t>
      </w:r>
      <w:r w:rsidR="005B4B76">
        <w:rPr>
          <w:color w:val="222222"/>
          <w:shd w:val="clear" w:color="auto" w:fill="FFFFFF"/>
        </w:rPr>
        <w:t>rujan</w:t>
      </w:r>
      <w:r w:rsidR="00D106B7">
        <w:rPr>
          <w:color w:val="222222"/>
          <w:shd w:val="clear" w:color="auto" w:fill="FFFFFF"/>
        </w:rPr>
        <w:t xml:space="preserve"> 2023.).</w:t>
      </w:r>
      <w:r w:rsidR="005F2ED9">
        <w:rPr>
          <w:color w:val="222222"/>
          <w:shd w:val="clear" w:color="auto" w:fill="FFFFFF"/>
        </w:rPr>
        <w:t xml:space="preserve"> </w:t>
      </w:r>
      <w:r w:rsidR="00CE2E3B">
        <w:rPr>
          <w:color w:val="222222"/>
          <w:shd w:val="clear" w:color="auto" w:fill="FFFFFF"/>
        </w:rPr>
        <w:t xml:space="preserve">Provedba </w:t>
      </w:r>
      <w:r w:rsidR="00CE2E3B" w:rsidRPr="00CE2E3B">
        <w:rPr>
          <w:color w:val="222222"/>
          <w:shd w:val="clear" w:color="auto" w:fill="FFFFFF"/>
        </w:rPr>
        <w:t>Konvencij</w:t>
      </w:r>
      <w:r w:rsidR="00CE2E3B">
        <w:rPr>
          <w:color w:val="222222"/>
          <w:shd w:val="clear" w:color="auto" w:fill="FFFFFF"/>
        </w:rPr>
        <w:t>e</w:t>
      </w:r>
      <w:r w:rsidR="00CE2E3B" w:rsidRPr="00CE2E3B">
        <w:rPr>
          <w:color w:val="222222"/>
          <w:shd w:val="clear" w:color="auto" w:fill="FFFFFF"/>
        </w:rPr>
        <w:t xml:space="preserve"> dopunjena je Preporukom Vijeća za daljnju borbu protiv podmićivanja</w:t>
      </w:r>
      <w:r w:rsidR="00CE2E3B">
        <w:rPr>
          <w:color w:val="222222"/>
          <w:shd w:val="clear" w:color="auto" w:fill="FFFFFF"/>
        </w:rPr>
        <w:t xml:space="preserve"> </w:t>
      </w:r>
      <w:r w:rsidR="00CE2E3B" w:rsidRPr="00CE2E3B">
        <w:rPr>
          <w:color w:val="222222"/>
          <w:shd w:val="clear" w:color="auto" w:fill="FFFFFF"/>
        </w:rPr>
        <w:t xml:space="preserve">stranih javnih </w:t>
      </w:r>
      <w:r w:rsidR="00CE2E3B">
        <w:rPr>
          <w:color w:val="222222"/>
          <w:shd w:val="clear" w:color="auto" w:fill="FFFFFF"/>
        </w:rPr>
        <w:t>službenika</w:t>
      </w:r>
      <w:r w:rsidR="00CE2E3B" w:rsidRPr="00CE2E3B">
        <w:rPr>
          <w:color w:val="222222"/>
          <w:shd w:val="clear" w:color="auto" w:fill="FFFFFF"/>
        </w:rPr>
        <w:t xml:space="preserve"> u međunarodnim poslovnim transakcijama </w:t>
      </w:r>
      <w:bookmarkStart w:id="1" w:name="_Hlk143138125"/>
      <w:r w:rsidR="00CE2E3B" w:rsidRPr="00CE2E3B">
        <w:rPr>
          <w:color w:val="222222"/>
          <w:shd w:val="clear" w:color="auto" w:fill="FFFFFF"/>
        </w:rPr>
        <w:t>iz 2021</w:t>
      </w:r>
      <w:bookmarkEnd w:id="1"/>
      <w:r w:rsidR="00CE2E3B">
        <w:rPr>
          <w:color w:val="222222"/>
          <w:shd w:val="clear" w:color="auto" w:fill="FFFFFF"/>
        </w:rPr>
        <w:t>.</w:t>
      </w:r>
      <w:r w:rsidR="00CE2E3B" w:rsidRPr="00CE2E3B">
        <w:rPr>
          <w:color w:val="222222"/>
          <w:shd w:val="clear" w:color="auto" w:fill="FFFFFF"/>
        </w:rPr>
        <w:t xml:space="preserve"> </w:t>
      </w:r>
      <w:r w:rsidR="00CE2E3B" w:rsidRPr="00211C84">
        <w:rPr>
          <w:color w:val="222222"/>
          <w:shd w:val="clear" w:color="auto" w:fill="FFFFFF"/>
        </w:rPr>
        <w:t>(</w:t>
      </w:r>
      <w:r w:rsidR="00FA05DF" w:rsidRPr="00211C84">
        <w:rPr>
          <w:color w:val="222222"/>
          <w:shd w:val="clear" w:color="auto" w:fill="FFFFFF"/>
        </w:rPr>
        <w:t>Preporuk</w:t>
      </w:r>
      <w:r w:rsidR="003D7E41" w:rsidRPr="00211C84">
        <w:rPr>
          <w:color w:val="222222"/>
          <w:shd w:val="clear" w:color="auto" w:fill="FFFFFF"/>
        </w:rPr>
        <w:t>a</w:t>
      </w:r>
      <w:r w:rsidR="00FA05DF" w:rsidRPr="00FA05DF">
        <w:rPr>
          <w:color w:val="222222"/>
          <w:shd w:val="clear" w:color="auto" w:fill="FFFFFF"/>
        </w:rPr>
        <w:t xml:space="preserve"> iz 2021.</w:t>
      </w:r>
      <w:r w:rsidR="0043262E">
        <w:rPr>
          <w:color w:val="222222"/>
          <w:shd w:val="clear" w:color="auto" w:fill="FFFFFF"/>
        </w:rPr>
        <w:t xml:space="preserve"> godine</w:t>
      </w:r>
      <w:r w:rsidR="00FA05DF">
        <w:rPr>
          <w:color w:val="222222"/>
          <w:shd w:val="clear" w:color="auto" w:fill="FFFFFF"/>
        </w:rPr>
        <w:t xml:space="preserve">, </w:t>
      </w:r>
      <w:r w:rsidR="00AA610A" w:rsidRPr="00AA610A">
        <w:rPr>
          <w:color w:val="222222"/>
          <w:shd w:val="clear" w:color="auto" w:fill="FFFFFF"/>
        </w:rPr>
        <w:t>OECD/LEGAL/0378</w:t>
      </w:r>
      <w:r w:rsidR="00CE2E3B" w:rsidRPr="00CE2E3B">
        <w:rPr>
          <w:color w:val="222222"/>
          <w:shd w:val="clear" w:color="auto" w:fill="FFFFFF"/>
        </w:rPr>
        <w:t xml:space="preserve">). Preporuka je ažurirana </w:t>
      </w:r>
      <w:r w:rsidR="00CE2E3B">
        <w:rPr>
          <w:color w:val="222222"/>
          <w:shd w:val="clear" w:color="auto" w:fill="FFFFFF"/>
        </w:rPr>
        <w:t>inačica</w:t>
      </w:r>
      <w:r w:rsidR="00CE2E3B" w:rsidRPr="00CE2E3B">
        <w:rPr>
          <w:color w:val="222222"/>
          <w:shd w:val="clear" w:color="auto" w:fill="FFFFFF"/>
        </w:rPr>
        <w:t xml:space="preserve"> ranije usvojene </w:t>
      </w:r>
      <w:r w:rsidR="00CE2E3B">
        <w:rPr>
          <w:color w:val="222222"/>
          <w:shd w:val="clear" w:color="auto" w:fill="FFFFFF"/>
        </w:rPr>
        <w:t>Preporuke</w:t>
      </w:r>
      <w:r w:rsidR="00CE2E3B" w:rsidRPr="00CE2E3B">
        <w:rPr>
          <w:color w:val="222222"/>
          <w:shd w:val="clear" w:color="auto" w:fill="FFFFFF"/>
        </w:rPr>
        <w:t xml:space="preserve"> iz 2009</w:t>
      </w:r>
      <w:r w:rsidR="00CE2E3B">
        <w:rPr>
          <w:color w:val="222222"/>
          <w:shd w:val="clear" w:color="auto" w:fill="FFFFFF"/>
        </w:rPr>
        <w:t>.</w:t>
      </w:r>
      <w:r w:rsidR="00CE2E3B" w:rsidRPr="00CE2E3B">
        <w:rPr>
          <w:color w:val="222222"/>
          <w:shd w:val="clear" w:color="auto" w:fill="FFFFFF"/>
        </w:rPr>
        <w:t xml:space="preserve"> godine. </w:t>
      </w:r>
    </w:p>
    <w:p w14:paraId="136F7814" w14:textId="77777777" w:rsidR="00AA610A" w:rsidRDefault="00AA610A" w:rsidP="0080682B">
      <w:pPr>
        <w:ind w:firstLine="709"/>
        <w:jc w:val="both"/>
        <w:rPr>
          <w:color w:val="222222"/>
          <w:shd w:val="clear" w:color="auto" w:fill="FFFFFF"/>
        </w:rPr>
      </w:pPr>
    </w:p>
    <w:p w14:paraId="365E5409" w14:textId="33BCAF15" w:rsidR="00696D70" w:rsidRDefault="00FA05DF" w:rsidP="008156EE">
      <w:pPr>
        <w:ind w:firstLine="709"/>
        <w:jc w:val="both"/>
        <w:rPr>
          <w:color w:val="222222"/>
          <w:shd w:val="clear" w:color="auto" w:fill="FFFFFF"/>
        </w:rPr>
      </w:pPr>
      <w:r w:rsidRPr="00FA05DF">
        <w:rPr>
          <w:color w:val="222222"/>
          <w:shd w:val="clear" w:color="auto" w:fill="FFFFFF"/>
        </w:rPr>
        <w:t xml:space="preserve">Radna skupina OECD-a </w:t>
      </w:r>
      <w:r>
        <w:rPr>
          <w:color w:val="222222"/>
          <w:shd w:val="clear" w:color="auto" w:fill="FFFFFF"/>
        </w:rPr>
        <w:t>protiv</w:t>
      </w:r>
      <w:r w:rsidRPr="00FA05DF">
        <w:rPr>
          <w:color w:val="222222"/>
          <w:shd w:val="clear" w:color="auto" w:fill="FFFFFF"/>
        </w:rPr>
        <w:t xml:space="preserve"> podmićivanj</w:t>
      </w:r>
      <w:r>
        <w:rPr>
          <w:color w:val="222222"/>
          <w:shd w:val="clear" w:color="auto" w:fill="FFFFFF"/>
        </w:rPr>
        <w:t>a</w:t>
      </w:r>
      <w:r w:rsidRPr="00FA05DF">
        <w:rPr>
          <w:color w:val="222222"/>
          <w:shd w:val="clear" w:color="auto" w:fill="FFFFFF"/>
        </w:rPr>
        <w:t xml:space="preserve"> u međunarodnim poslovnim transakcijama </w:t>
      </w:r>
      <w:r>
        <w:rPr>
          <w:color w:val="222222"/>
          <w:shd w:val="clear" w:color="auto" w:fill="FFFFFF"/>
        </w:rPr>
        <w:t xml:space="preserve">(u daljnjem tekstu: Radna skupina), osnovana 1994. godine, </w:t>
      </w:r>
      <w:r w:rsidRPr="005B0ADA">
        <w:rPr>
          <w:shd w:val="clear" w:color="auto" w:fill="FFFFFF"/>
        </w:rPr>
        <w:t xml:space="preserve">odgovorna je za nadzor i praćenje provedbe Konvencije, Preporuke iz 2021. i povezanih instrumenata. </w:t>
      </w:r>
      <w:r w:rsidR="00696D70" w:rsidRPr="005B0ADA">
        <w:rPr>
          <w:shd w:val="clear" w:color="auto" w:fill="FFFFFF"/>
        </w:rPr>
        <w:t>Radna skupi</w:t>
      </w:r>
      <w:r w:rsidR="007359AA" w:rsidRPr="005B0ADA">
        <w:rPr>
          <w:shd w:val="clear" w:color="auto" w:fill="FFFFFF"/>
        </w:rPr>
        <w:t>n</w:t>
      </w:r>
      <w:r w:rsidR="00696D70" w:rsidRPr="005B0ADA">
        <w:rPr>
          <w:shd w:val="clear" w:color="auto" w:fill="FFFFFF"/>
        </w:rPr>
        <w:t xml:space="preserve">a usvojila je kriterije i postupak za pristup Konvenciji i za članstvo u Radnoj skupini. </w:t>
      </w:r>
      <w:r w:rsidR="006E2E8A" w:rsidRPr="005B0ADA">
        <w:rPr>
          <w:shd w:val="clear" w:color="auto" w:fill="FFFFFF"/>
        </w:rPr>
        <w:t xml:space="preserve">Po ispunjenju utvrđenih kriterija, o zahtjevu za pristup Konvenciji i članstvo u Radnoj </w:t>
      </w:r>
      <w:r w:rsidR="006E2E8A" w:rsidRPr="006E2E8A">
        <w:rPr>
          <w:color w:val="222222"/>
          <w:shd w:val="clear" w:color="auto" w:fill="FFFFFF"/>
        </w:rPr>
        <w:t>skupini odlučuju države članice Radne skupine, koje su istovremeno i stranke Konvencije.</w:t>
      </w:r>
    </w:p>
    <w:p w14:paraId="5BCA9CA8" w14:textId="77777777" w:rsidR="00BB064B" w:rsidRDefault="00BB064B" w:rsidP="008156EE">
      <w:pPr>
        <w:ind w:firstLine="709"/>
        <w:jc w:val="both"/>
        <w:rPr>
          <w:color w:val="222222"/>
          <w:shd w:val="clear" w:color="auto" w:fill="FFFFFF"/>
        </w:rPr>
      </w:pPr>
    </w:p>
    <w:p w14:paraId="06E8CC80" w14:textId="77777777" w:rsidR="00576F0B" w:rsidRDefault="00D61925" w:rsidP="00576F0B">
      <w:pPr>
        <w:ind w:firstLine="709"/>
        <w:jc w:val="both"/>
        <w:rPr>
          <w:color w:val="222222"/>
          <w:shd w:val="clear" w:color="auto" w:fill="FFFFFF"/>
        </w:rPr>
      </w:pPr>
      <w:r w:rsidRPr="00D61925">
        <w:rPr>
          <w:color w:val="222222"/>
          <w:shd w:val="clear" w:color="auto" w:fill="FFFFFF"/>
        </w:rPr>
        <w:t>Republika Hrvatska je</w:t>
      </w:r>
      <w:r>
        <w:rPr>
          <w:color w:val="222222"/>
          <w:shd w:val="clear" w:color="auto" w:fill="FFFFFF"/>
        </w:rPr>
        <w:t xml:space="preserve"> </w:t>
      </w:r>
      <w:r w:rsidR="006E3ACE">
        <w:rPr>
          <w:color w:val="222222"/>
          <w:shd w:val="clear" w:color="auto" w:fill="FFFFFF"/>
        </w:rPr>
        <w:t xml:space="preserve">9. listopada </w:t>
      </w:r>
      <w:r w:rsidRPr="00D61925">
        <w:rPr>
          <w:color w:val="222222"/>
          <w:shd w:val="clear" w:color="auto" w:fill="FFFFFF"/>
        </w:rPr>
        <w:t xml:space="preserve">2017. iskazala interes za </w:t>
      </w:r>
      <w:r w:rsidR="00BB064B" w:rsidRPr="00D61925">
        <w:rPr>
          <w:color w:val="222222"/>
          <w:shd w:val="clear" w:color="auto" w:fill="FFFFFF"/>
        </w:rPr>
        <w:t xml:space="preserve">članstvo u Radnoj skupini </w:t>
      </w:r>
      <w:r w:rsidR="00696D70">
        <w:rPr>
          <w:color w:val="222222"/>
          <w:shd w:val="clear" w:color="auto" w:fill="FFFFFF"/>
        </w:rPr>
        <w:t>te za pristup</w:t>
      </w:r>
      <w:r w:rsidRPr="00D61925">
        <w:rPr>
          <w:color w:val="222222"/>
          <w:shd w:val="clear" w:color="auto" w:fill="FFFFFF"/>
        </w:rPr>
        <w:t xml:space="preserve"> Konvenciji</w:t>
      </w:r>
      <w:r w:rsidR="005B4B76">
        <w:rPr>
          <w:color w:val="222222"/>
          <w:shd w:val="clear" w:color="auto" w:fill="FFFFFF"/>
        </w:rPr>
        <w:t xml:space="preserve"> upućivanjem pisma namjere </w:t>
      </w:r>
      <w:r w:rsidR="006E3ACE">
        <w:rPr>
          <w:color w:val="222222"/>
          <w:shd w:val="clear" w:color="auto" w:fill="FFFFFF"/>
        </w:rPr>
        <w:t>glavnom tajniku OECD-a</w:t>
      </w:r>
      <w:r w:rsidR="00863C5E">
        <w:rPr>
          <w:color w:val="222222"/>
          <w:shd w:val="clear" w:color="auto" w:fill="FFFFFF"/>
        </w:rPr>
        <w:t xml:space="preserve">, </w:t>
      </w:r>
      <w:r w:rsidR="00696D70">
        <w:rPr>
          <w:color w:val="222222"/>
          <w:shd w:val="clear" w:color="auto" w:fill="FFFFFF"/>
        </w:rPr>
        <w:t>a taj interes</w:t>
      </w:r>
      <w:r w:rsidR="00863C5E">
        <w:rPr>
          <w:color w:val="222222"/>
          <w:shd w:val="clear" w:color="auto" w:fill="FFFFFF"/>
        </w:rPr>
        <w:t xml:space="preserve"> ponovno</w:t>
      </w:r>
      <w:r w:rsidR="00696D70">
        <w:rPr>
          <w:color w:val="222222"/>
          <w:shd w:val="clear" w:color="auto" w:fill="FFFFFF"/>
        </w:rPr>
        <w:t xml:space="preserve"> je </w:t>
      </w:r>
      <w:r w:rsidR="00863C5E">
        <w:rPr>
          <w:color w:val="222222"/>
          <w:shd w:val="clear" w:color="auto" w:fill="FFFFFF"/>
        </w:rPr>
        <w:t xml:space="preserve">potvrđen u pismu ministra pravosuđa i uprave </w:t>
      </w:r>
      <w:r w:rsidR="006E3ACE">
        <w:rPr>
          <w:color w:val="222222"/>
          <w:shd w:val="clear" w:color="auto" w:fill="FFFFFF"/>
        </w:rPr>
        <w:t>18.</w:t>
      </w:r>
      <w:r w:rsidR="00863C5E">
        <w:rPr>
          <w:color w:val="222222"/>
          <w:shd w:val="clear" w:color="auto" w:fill="FFFFFF"/>
        </w:rPr>
        <w:t xml:space="preserve"> listopada 2022. </w:t>
      </w:r>
    </w:p>
    <w:p w14:paraId="2BF9FA75" w14:textId="77777777" w:rsidR="00576F0B" w:rsidRPr="005B0ADA" w:rsidRDefault="00576F0B" w:rsidP="00576F0B">
      <w:pPr>
        <w:ind w:firstLine="709"/>
        <w:jc w:val="both"/>
        <w:rPr>
          <w:shd w:val="clear" w:color="auto" w:fill="FFFFFF"/>
        </w:rPr>
      </w:pPr>
    </w:p>
    <w:p w14:paraId="300A1792" w14:textId="77777777" w:rsidR="00ED0F40" w:rsidRPr="005B0ADA" w:rsidRDefault="00576F0B" w:rsidP="00576F0B">
      <w:pPr>
        <w:ind w:firstLine="709"/>
        <w:jc w:val="both"/>
        <w:rPr>
          <w:shd w:val="clear" w:color="auto" w:fill="FFFFFF"/>
        </w:rPr>
      </w:pPr>
      <w:r w:rsidRPr="005B0ADA">
        <w:rPr>
          <w:shd w:val="clear" w:color="auto" w:fill="FFFFFF"/>
        </w:rPr>
        <w:t xml:space="preserve">U </w:t>
      </w:r>
      <w:r w:rsidR="00ED0F40" w:rsidRPr="005B0ADA">
        <w:t>okviru projekta</w:t>
      </w:r>
      <w:r w:rsidRPr="005B0ADA">
        <w:t xml:space="preserve"> </w:t>
      </w:r>
      <w:r w:rsidRPr="005B0ADA">
        <w:rPr>
          <w:shd w:val="clear" w:color="auto" w:fill="FFFFFF"/>
        </w:rPr>
        <w:t xml:space="preserve">„Podizanje svijesti i standarda borbe protiv podmićivanja u međunarodnim poslovnim transakcijama“, kojeg su zajednički proveli Ministarstvo pravosuđa i uprave, Europska komisija i OECD u razdoblju od 2020. do 2022., </w:t>
      </w:r>
      <w:r w:rsidR="00ED0F40" w:rsidRPr="005B0ADA">
        <w:lastRenderedPageBreak/>
        <w:t>izrađena je analiza zakonodavnog i institucionalnog okvira Republike Hrvatske u odnosu na odredbe Konvencije</w:t>
      </w:r>
      <w:r w:rsidRPr="005B0ADA">
        <w:t xml:space="preserve">. </w:t>
      </w:r>
      <w:r w:rsidR="00ED0F40" w:rsidRPr="005B0ADA">
        <w:t xml:space="preserve"> Izvješće OECD-a za Republiku Hrvatsku</w:t>
      </w:r>
      <w:r w:rsidRPr="005B0ADA">
        <w:t xml:space="preserve"> koje je pripremljeno u okviru projekta, </w:t>
      </w:r>
      <w:r w:rsidR="00ED0F40" w:rsidRPr="005B0ADA">
        <w:t xml:space="preserve">objavljeno </w:t>
      </w:r>
      <w:r w:rsidRPr="005B0ADA">
        <w:t xml:space="preserve">je </w:t>
      </w:r>
      <w:r w:rsidR="00ED0F40" w:rsidRPr="005B0ADA">
        <w:t xml:space="preserve">u svibnju 2022., </w:t>
      </w:r>
      <w:r w:rsidRPr="005B0ADA">
        <w:t xml:space="preserve">a </w:t>
      </w:r>
      <w:r w:rsidR="00ED0F40" w:rsidRPr="005B0ADA">
        <w:t xml:space="preserve">dostupno </w:t>
      </w:r>
      <w:r w:rsidRPr="005B0ADA">
        <w:t xml:space="preserve">je </w:t>
      </w:r>
      <w:r w:rsidR="00ED0F40" w:rsidRPr="005B0ADA">
        <w:t xml:space="preserve">na mrežnim stranicama Ministarstva pravosuđa i uprave te OECD-a. </w:t>
      </w:r>
      <w:r w:rsidR="005B4B76" w:rsidRPr="005B0ADA">
        <w:rPr>
          <w:shd w:val="clear" w:color="auto" w:fill="FFFFFF"/>
        </w:rPr>
        <w:t>U I</w:t>
      </w:r>
      <w:r w:rsidR="00ED0F40" w:rsidRPr="005B0ADA">
        <w:rPr>
          <w:shd w:val="clear" w:color="auto" w:fill="FFFFFF"/>
        </w:rPr>
        <w:t>zvješću</w:t>
      </w:r>
      <w:r w:rsidRPr="005B0ADA">
        <w:rPr>
          <w:shd w:val="clear" w:color="auto" w:fill="FFFFFF"/>
        </w:rPr>
        <w:t xml:space="preserve"> se</w:t>
      </w:r>
      <w:r w:rsidR="005B4B76" w:rsidRPr="005B0ADA">
        <w:rPr>
          <w:shd w:val="clear" w:color="auto" w:fill="FFFFFF"/>
        </w:rPr>
        <w:t xml:space="preserve"> daje ocjena kako </w:t>
      </w:r>
      <w:r w:rsidR="00ED0F40" w:rsidRPr="005B0ADA">
        <w:rPr>
          <w:shd w:val="clear" w:color="auto" w:fill="FFFFFF"/>
        </w:rPr>
        <w:t xml:space="preserve">hrvatski zakonodavni i institucionalni okvir za borbu protiv transnacionalnog podmićivanja ispunjava mnoge elemente koje zahtijevaju Konvencija i drugi instrumenti OECD-a za borbu protiv podmićivanja, ali i </w:t>
      </w:r>
      <w:r w:rsidR="005B4B76" w:rsidRPr="005B0ADA">
        <w:rPr>
          <w:shd w:val="clear" w:color="auto" w:fill="FFFFFF"/>
        </w:rPr>
        <w:t xml:space="preserve">preporuke za daljnje poboljšanje </w:t>
      </w:r>
      <w:r w:rsidR="00ED0F40" w:rsidRPr="005B0ADA">
        <w:rPr>
          <w:shd w:val="clear" w:color="auto" w:fill="FFFFFF"/>
        </w:rPr>
        <w:t>zakonodav</w:t>
      </w:r>
      <w:r w:rsidR="005B4B76" w:rsidRPr="005B0ADA">
        <w:rPr>
          <w:shd w:val="clear" w:color="auto" w:fill="FFFFFF"/>
        </w:rPr>
        <w:t>nog okvira</w:t>
      </w:r>
      <w:r w:rsidR="00ED0F40" w:rsidRPr="005B0ADA">
        <w:rPr>
          <w:shd w:val="clear" w:color="auto" w:fill="FFFFFF"/>
        </w:rPr>
        <w:t xml:space="preserve"> kako bi bilo u potpunosti usklađeno s tim instrumentima. </w:t>
      </w:r>
    </w:p>
    <w:p w14:paraId="0E37174E" w14:textId="77777777" w:rsidR="00ED0F40" w:rsidRPr="005B0ADA" w:rsidRDefault="00ED0F40" w:rsidP="008156EE">
      <w:pPr>
        <w:ind w:firstLine="709"/>
        <w:jc w:val="both"/>
        <w:rPr>
          <w:shd w:val="clear" w:color="auto" w:fill="FFFFFF"/>
        </w:rPr>
      </w:pPr>
    </w:p>
    <w:p w14:paraId="7285C7F3" w14:textId="0664BEC5" w:rsidR="00696D70" w:rsidRPr="005B0ADA" w:rsidRDefault="00431EE4" w:rsidP="006E2E8A">
      <w:pPr>
        <w:ind w:firstLine="709"/>
        <w:jc w:val="both"/>
        <w:rPr>
          <w:shd w:val="clear" w:color="auto" w:fill="FFFFFF"/>
        </w:rPr>
      </w:pPr>
      <w:r w:rsidRPr="005B0ADA">
        <w:rPr>
          <w:shd w:val="clear" w:color="auto" w:fill="FFFFFF"/>
        </w:rPr>
        <w:t xml:space="preserve">Evaluacijski postupak </w:t>
      </w:r>
      <w:r w:rsidR="00C3748A" w:rsidRPr="005B0ADA">
        <w:rPr>
          <w:shd w:val="clear" w:color="auto" w:fill="FFFFFF"/>
        </w:rPr>
        <w:t xml:space="preserve">za članstvo </w:t>
      </w:r>
      <w:r w:rsidR="00B645E9" w:rsidRPr="005B0ADA">
        <w:rPr>
          <w:shd w:val="clear" w:color="auto" w:fill="FFFFFF"/>
        </w:rPr>
        <w:t xml:space="preserve">u Radnoj skupini i pristup Konvenciji </w:t>
      </w:r>
      <w:r w:rsidRPr="005B0ADA">
        <w:rPr>
          <w:shd w:val="clear" w:color="auto" w:fill="FFFFFF"/>
        </w:rPr>
        <w:t xml:space="preserve">započeo je u prosincu 2022. godine kada je Republika Hrvatska prošla preliminarnu procjenu Radne skupine. </w:t>
      </w:r>
      <w:r w:rsidR="00ED0F40" w:rsidRPr="005B0ADA">
        <w:t xml:space="preserve">Potpuna procjena </w:t>
      </w:r>
      <w:r w:rsidRPr="005B0ADA">
        <w:rPr>
          <w:shd w:val="clear" w:color="auto" w:fill="FFFFFF"/>
        </w:rPr>
        <w:t xml:space="preserve">(engl. </w:t>
      </w:r>
      <w:r w:rsidRPr="005B0ADA">
        <w:rPr>
          <w:i/>
          <w:iCs/>
          <w:shd w:val="clear" w:color="auto" w:fill="FFFFFF"/>
        </w:rPr>
        <w:t>full accession assessment</w:t>
      </w:r>
      <w:r w:rsidRPr="005B0ADA">
        <w:rPr>
          <w:shd w:val="clear" w:color="auto" w:fill="FFFFFF"/>
        </w:rPr>
        <w:t xml:space="preserve">) </w:t>
      </w:r>
      <w:r w:rsidR="00ED0F40" w:rsidRPr="005B0ADA">
        <w:t xml:space="preserve">započela je dostavom upitnika od strane Tajništva OECD-a vezanog za zakonodavni okvir i provedbu zakona u područjima na koje se Konvencija odnosi. </w:t>
      </w:r>
      <w:bookmarkStart w:id="2" w:name="_Hlk143140387"/>
      <w:r w:rsidR="003067F4" w:rsidRPr="005B0ADA">
        <w:rPr>
          <w:shd w:val="clear" w:color="auto" w:fill="FFFFFF"/>
        </w:rPr>
        <w:t>Radna skupina razmatrala je 8. ožujka 2023. zahtjev Republike Hrvatske</w:t>
      </w:r>
      <w:bookmarkEnd w:id="2"/>
      <w:r w:rsidR="003067F4" w:rsidRPr="005B0ADA">
        <w:rPr>
          <w:shd w:val="clear" w:color="auto" w:fill="FFFFFF"/>
        </w:rPr>
        <w:t xml:space="preserve"> za </w:t>
      </w:r>
      <w:r w:rsidR="006E2E8A" w:rsidRPr="005B0ADA">
        <w:rPr>
          <w:shd w:val="clear" w:color="auto" w:fill="FFFFFF"/>
        </w:rPr>
        <w:t>članstvo</w:t>
      </w:r>
      <w:r w:rsidR="003067F4" w:rsidRPr="005B0ADA">
        <w:rPr>
          <w:shd w:val="clear" w:color="auto" w:fill="FFFFFF"/>
        </w:rPr>
        <w:t xml:space="preserve"> </w:t>
      </w:r>
      <w:r w:rsidRPr="005B0ADA">
        <w:rPr>
          <w:shd w:val="clear" w:color="auto" w:fill="FFFFFF"/>
        </w:rPr>
        <w:t xml:space="preserve">u </w:t>
      </w:r>
      <w:r w:rsidR="003067F4" w:rsidRPr="005B0ADA">
        <w:rPr>
          <w:shd w:val="clear" w:color="auto" w:fill="FFFFFF"/>
        </w:rPr>
        <w:t xml:space="preserve">Radnoj skupini </w:t>
      </w:r>
      <w:r w:rsidR="006E2E8A" w:rsidRPr="005B0ADA">
        <w:rPr>
          <w:shd w:val="clear" w:color="auto" w:fill="FFFFFF"/>
        </w:rPr>
        <w:t>i pristup</w:t>
      </w:r>
      <w:r w:rsidR="003067F4" w:rsidRPr="005B0ADA">
        <w:rPr>
          <w:shd w:val="clear" w:color="auto" w:fill="FFFFFF"/>
        </w:rPr>
        <w:t xml:space="preserve"> Konvenciji</w:t>
      </w:r>
      <w:r w:rsidR="006E2E8A" w:rsidRPr="005B0ADA">
        <w:rPr>
          <w:shd w:val="clear" w:color="auto" w:fill="FFFFFF"/>
        </w:rPr>
        <w:t>.</w:t>
      </w:r>
      <w:r w:rsidR="003067F4" w:rsidRPr="005B0ADA">
        <w:rPr>
          <w:shd w:val="clear" w:color="auto" w:fill="FFFFFF"/>
        </w:rPr>
        <w:t xml:space="preserve"> </w:t>
      </w:r>
      <w:r w:rsidR="006E2E8A" w:rsidRPr="005B0ADA">
        <w:rPr>
          <w:shd w:val="clear" w:color="auto" w:fill="FFFFFF"/>
        </w:rPr>
        <w:t>Primjenom kriterija za ocjenjivanje takvih zahtjeva, Radna skupina utvrdila je da će pristup Konvenciji biti obostrano koristan za Republiku Hrvatsku i za Radnu skupinu. Također, zaključeno je da Republika Hrvatska želi i može sudjelovati u radu Radne skupine, kao i da su mnogi aspekti hrvatskog pravnog okvira za borbu protiv stranog podmićivanja odgovarajući za potrebe pristupa Konvenciji. Unatoč tome, Radna skupina smatrala je da bi određeni dijelovi hrvatskog pravnog okvira trebali biti ojačani prije pristupa Konvenciji te su u tom smislu Republici Hrvatskoj upućeni određeni zahtjevi. Kako bi se ispunili utvrđeni kriteriji i udovoljilo zahtjevima Radne skupine, pristupilo se izmjenama i dopunama Kaznenog zakona, Zakona o odgovornosti pravnih osoba za kaznena djela, te Zakona o porezu na dobit</w:t>
      </w:r>
      <w:r w:rsidR="00F72DCB" w:rsidRPr="005B0ADA">
        <w:rPr>
          <w:shd w:val="clear" w:color="auto" w:fill="FFFFFF"/>
        </w:rPr>
        <w:t xml:space="preserve">, koje je Hrvatski sabor </w:t>
      </w:r>
      <w:r w:rsidR="00CC5267" w:rsidRPr="005B0ADA">
        <w:rPr>
          <w:shd w:val="clear" w:color="auto" w:fill="FFFFFF"/>
        </w:rPr>
        <w:t>usvojio 28. rujna 2023.</w:t>
      </w:r>
      <w:r w:rsidR="00A331B7" w:rsidRPr="005B0ADA">
        <w:rPr>
          <w:shd w:val="clear" w:color="auto" w:fill="FFFFFF"/>
        </w:rPr>
        <w:t xml:space="preserve"> </w:t>
      </w:r>
      <w:r w:rsidR="003C2A8F">
        <w:rPr>
          <w:shd w:val="clear" w:color="auto" w:fill="FFFFFF"/>
        </w:rPr>
        <w:t xml:space="preserve">i koje su objavljene u „Narodnim novinama“ broj 114/23. od 4. listopada 2023. </w:t>
      </w:r>
      <w:r w:rsidR="003C2A8F" w:rsidRPr="00211C84">
        <w:rPr>
          <w:shd w:val="clear" w:color="auto" w:fill="FFFFFF"/>
        </w:rPr>
        <w:t>Radna skupina provela je drugu potp</w:t>
      </w:r>
      <w:r w:rsidR="00D82065" w:rsidRPr="00211C84">
        <w:rPr>
          <w:shd w:val="clear" w:color="auto" w:fill="FFFFFF"/>
        </w:rPr>
        <w:t xml:space="preserve">unu procjenu na sastanku u Parizu </w:t>
      </w:r>
      <w:r w:rsidR="003D7E41" w:rsidRPr="00211C84">
        <w:rPr>
          <w:shd w:val="clear" w:color="auto" w:fill="FFFFFF"/>
        </w:rPr>
        <w:t>12</w:t>
      </w:r>
      <w:r w:rsidR="00D82065" w:rsidRPr="00211C84">
        <w:rPr>
          <w:shd w:val="clear" w:color="auto" w:fill="FFFFFF"/>
        </w:rPr>
        <w:t>. listopada 2023.</w:t>
      </w:r>
      <w:r w:rsidR="003D7E41" w:rsidRPr="00211C84">
        <w:rPr>
          <w:shd w:val="clear" w:color="auto" w:fill="FFFFFF"/>
        </w:rPr>
        <w:t>, na temelju koje je odlučila prihvatiti zahtjev Republike Hrvatske i preporučiti upućivanje poziva Republici Hrvatsk</w:t>
      </w:r>
      <w:r w:rsidR="00BA3FD2">
        <w:rPr>
          <w:shd w:val="clear" w:color="auto" w:fill="FFFFFF"/>
        </w:rPr>
        <w:t>oj</w:t>
      </w:r>
      <w:bookmarkStart w:id="3" w:name="_GoBack"/>
      <w:bookmarkEnd w:id="3"/>
      <w:r w:rsidR="003D7E41" w:rsidRPr="00211C84">
        <w:rPr>
          <w:shd w:val="clear" w:color="auto" w:fill="FFFFFF"/>
        </w:rPr>
        <w:t xml:space="preserve"> da pristupi Konvenciji i da postane članicom Radne skupine.</w:t>
      </w:r>
    </w:p>
    <w:p w14:paraId="1154B376" w14:textId="77777777" w:rsidR="00596904" w:rsidRPr="005B0ADA" w:rsidRDefault="00596904" w:rsidP="008156EE">
      <w:pPr>
        <w:ind w:firstLine="709"/>
        <w:jc w:val="both"/>
        <w:rPr>
          <w:shd w:val="clear" w:color="auto" w:fill="FFFFFF"/>
        </w:rPr>
      </w:pPr>
    </w:p>
    <w:p w14:paraId="797564D8" w14:textId="6F27C38B" w:rsidR="00B544D3" w:rsidRPr="005B0ADA" w:rsidRDefault="00F93526" w:rsidP="00B544D3">
      <w:pPr>
        <w:ind w:firstLine="709"/>
        <w:jc w:val="both"/>
        <w:rPr>
          <w:shd w:val="clear" w:color="auto" w:fill="FFFFFF"/>
        </w:rPr>
      </w:pPr>
      <w:r w:rsidRPr="005B0ADA">
        <w:rPr>
          <w:shd w:val="clear" w:color="auto" w:fill="FFFFFF"/>
        </w:rPr>
        <w:t>Republika Hrvatska je u svom domaćem kaznenom zakonodavstvu inkriminirala sve oblike koruptivnog ponašanja (npr. davanje i primanje mita, zloporaba položaja</w:t>
      </w:r>
      <w:r w:rsidR="00431329" w:rsidRPr="005B0ADA">
        <w:rPr>
          <w:shd w:val="clear" w:color="auto" w:fill="FFFFFF"/>
        </w:rPr>
        <w:t xml:space="preserve"> i ovlasti</w:t>
      </w:r>
      <w:r w:rsidRPr="005B0ADA">
        <w:rPr>
          <w:shd w:val="clear" w:color="auto" w:fill="FFFFFF"/>
        </w:rPr>
        <w:t xml:space="preserve">, trgovanje utjecajem itd.) te u svoje zakonodavstvo preuzela najznačajnije međunarodnopravne instrumente na tom području kao što su Konvencija Ujedinjenih naroda protiv korupcije („Narodne novine-Međunarodni ugovori“, </w:t>
      </w:r>
      <w:r w:rsidRPr="005B0ADA">
        <w:rPr>
          <w:shd w:val="clear" w:color="auto" w:fill="FFFFFF"/>
        </w:rPr>
        <w:lastRenderedPageBreak/>
        <w:t xml:space="preserve">broj 2/05.), Kaznenopravna konvencija o korupciji („Narodne novine-Međunarodni ugovori“, broj 11/00.), Dodatni protokol uz Kaznenopravnu konvenciju o korupciji („Narodne novine-Međunarodni ugovori“, broj 3/05.) te Građanskopravna konvencija o korupciji („Narodne novine-Međunarodni ugovori“, </w:t>
      </w:r>
      <w:r w:rsidR="003C2A8F" w:rsidRPr="005B0ADA">
        <w:rPr>
          <w:shd w:val="clear" w:color="auto" w:fill="FFFFFF"/>
        </w:rPr>
        <w:t>br</w:t>
      </w:r>
      <w:r w:rsidR="003C2A8F">
        <w:rPr>
          <w:shd w:val="clear" w:color="auto" w:fill="FFFFFF"/>
        </w:rPr>
        <w:t>.</w:t>
      </w:r>
      <w:r w:rsidR="003C2A8F" w:rsidRPr="005B0ADA">
        <w:rPr>
          <w:shd w:val="clear" w:color="auto" w:fill="FFFFFF"/>
        </w:rPr>
        <w:t xml:space="preserve"> </w:t>
      </w:r>
      <w:r w:rsidRPr="005B0ADA">
        <w:rPr>
          <w:shd w:val="clear" w:color="auto" w:fill="FFFFFF"/>
        </w:rPr>
        <w:t>6/03.</w:t>
      </w:r>
      <w:r w:rsidR="0043262E">
        <w:rPr>
          <w:shd w:val="clear" w:color="auto" w:fill="FFFFFF"/>
        </w:rPr>
        <w:t xml:space="preserve"> i 2/21 - ispravak</w:t>
      </w:r>
      <w:r w:rsidRPr="005B0ADA">
        <w:rPr>
          <w:shd w:val="clear" w:color="auto" w:fill="FFFFFF"/>
        </w:rPr>
        <w:t>).</w:t>
      </w:r>
      <w:r w:rsidR="00B544D3" w:rsidRPr="005B0ADA">
        <w:rPr>
          <w:shd w:val="clear" w:color="auto" w:fill="FFFFFF"/>
        </w:rPr>
        <w:t xml:space="preserve"> U okviru provedbe strateških dokumenata Republika Hrvatska postavila je temelje učinkovitoj i sustavnoj borbi protiv korupcije. Doneseni su brojni zakoni i drugi propisi, postupno su jačani institucionalni kapaciteti, osnovana tijela za njihovu provedbu i nadzor, osmišljeni i pokrenuti vrlo značajni projekti koji su u pozitivnoj korelaciji s transparentnim djelovanjem tijela državne vlasti i drugih tijela s javnim ovlastima, kao i pozornost usmjerena ka prevenciji, progonu i sankcioniranju korupcije, međuagencijskoj i međunarodnoj suradnji te procesu osvještavanja javnosti o štetnosti korupcije u društvu. Članstvo u Radnoj skupini OECD-a i pristup Konvenciji dodatno će osnažiti svekolike napore u borbi protiv korupcije, a djelovat će poticajno za </w:t>
      </w:r>
      <w:r w:rsidR="00AA610A" w:rsidRPr="005B0ADA">
        <w:rPr>
          <w:shd w:val="clear" w:color="auto" w:fill="FFFFFF"/>
        </w:rPr>
        <w:t>stvaranje konkurentnijeg poslovnog okruženja.</w:t>
      </w:r>
    </w:p>
    <w:p w14:paraId="27AAAE67" w14:textId="77777777" w:rsidR="00F93526" w:rsidRPr="005B0ADA" w:rsidRDefault="00F93526" w:rsidP="003C021C">
      <w:pPr>
        <w:spacing w:line="276" w:lineRule="auto"/>
        <w:ind w:firstLine="708"/>
        <w:jc w:val="both"/>
        <w:rPr>
          <w:shd w:val="clear" w:color="auto" w:fill="FFFFFF"/>
        </w:rPr>
      </w:pPr>
    </w:p>
    <w:p w14:paraId="59F169AD" w14:textId="77777777" w:rsidR="00134B98" w:rsidRPr="005B0ADA" w:rsidRDefault="00134B98" w:rsidP="005C0E6A">
      <w:pPr>
        <w:tabs>
          <w:tab w:val="num" w:pos="0"/>
        </w:tabs>
        <w:autoSpaceDE w:val="0"/>
        <w:autoSpaceDN w:val="0"/>
        <w:adjustRightInd w:val="0"/>
        <w:jc w:val="both"/>
      </w:pPr>
    </w:p>
    <w:p w14:paraId="1D6FFDE6" w14:textId="77777777" w:rsidR="00A85730" w:rsidRPr="005B0ADA" w:rsidRDefault="00A85730" w:rsidP="004063EA">
      <w:pPr>
        <w:numPr>
          <w:ilvl w:val="0"/>
          <w:numId w:val="1"/>
        </w:numPr>
        <w:tabs>
          <w:tab w:val="num" w:pos="0"/>
          <w:tab w:val="num" w:pos="720"/>
        </w:tabs>
        <w:autoSpaceDE w:val="0"/>
        <w:autoSpaceDN w:val="0"/>
        <w:adjustRightInd w:val="0"/>
        <w:ind w:hanging="1080"/>
        <w:rPr>
          <w:b/>
          <w:bCs/>
        </w:rPr>
      </w:pPr>
      <w:r w:rsidRPr="005B0ADA">
        <w:rPr>
          <w:b/>
          <w:bCs/>
        </w:rPr>
        <w:t>OSNOVNA PITANJA KOJA SE PREDLAŽU UREDITI ZAKONOM</w:t>
      </w:r>
    </w:p>
    <w:p w14:paraId="6C6C112E" w14:textId="77777777" w:rsidR="00A85730" w:rsidRPr="005B0ADA" w:rsidRDefault="00A85730" w:rsidP="005C0E6A">
      <w:pPr>
        <w:tabs>
          <w:tab w:val="num" w:pos="0"/>
        </w:tabs>
        <w:autoSpaceDE w:val="0"/>
        <w:autoSpaceDN w:val="0"/>
        <w:adjustRightInd w:val="0"/>
        <w:rPr>
          <w:b/>
          <w:bCs/>
        </w:rPr>
      </w:pPr>
    </w:p>
    <w:p w14:paraId="08DC0D7F" w14:textId="77777777" w:rsidR="00A85730" w:rsidRPr="005B0ADA" w:rsidRDefault="004063EA" w:rsidP="005C0E6A">
      <w:pPr>
        <w:tabs>
          <w:tab w:val="num" w:pos="0"/>
        </w:tabs>
        <w:autoSpaceDE w:val="0"/>
        <w:autoSpaceDN w:val="0"/>
        <w:adjustRightInd w:val="0"/>
        <w:jc w:val="both"/>
      </w:pPr>
      <w:r w:rsidRPr="005B0ADA">
        <w:tab/>
        <w:t xml:space="preserve">Ovim </w:t>
      </w:r>
      <w:r w:rsidR="005F2ED9" w:rsidRPr="005B0ADA">
        <w:t>Z</w:t>
      </w:r>
      <w:r w:rsidR="00A85730" w:rsidRPr="005B0ADA">
        <w:t xml:space="preserve">akonom potvrđuje se </w:t>
      </w:r>
      <w:r w:rsidR="005F2ED9" w:rsidRPr="005B0ADA">
        <w:t>Konvencija</w:t>
      </w:r>
      <w:r w:rsidR="00A85730" w:rsidRPr="005B0ADA">
        <w:t xml:space="preserve"> kako bi nje</w:t>
      </w:r>
      <w:r w:rsidR="005F2ED9" w:rsidRPr="005B0ADA">
        <w:t>zine</w:t>
      </w:r>
      <w:r w:rsidR="00A85730" w:rsidRPr="005B0ADA">
        <w:t xml:space="preserve"> odredbe, u smislu članka 141. Ustava Republike Hrvatske, postale dio unutarnjeg pravnog poretka Republike Hrvatske. </w:t>
      </w:r>
    </w:p>
    <w:p w14:paraId="7CFE774E" w14:textId="77777777" w:rsidR="00A16447" w:rsidRPr="005B0ADA" w:rsidRDefault="00A16447" w:rsidP="005C0E6A">
      <w:pPr>
        <w:tabs>
          <w:tab w:val="num" w:pos="0"/>
        </w:tabs>
        <w:autoSpaceDE w:val="0"/>
        <w:autoSpaceDN w:val="0"/>
        <w:adjustRightInd w:val="0"/>
        <w:jc w:val="both"/>
      </w:pPr>
    </w:p>
    <w:p w14:paraId="4933F80D" w14:textId="63859DD6" w:rsidR="00A85730" w:rsidRPr="005B0ADA" w:rsidRDefault="007418FD" w:rsidP="00C21C9E">
      <w:pPr>
        <w:tabs>
          <w:tab w:val="num" w:pos="0"/>
        </w:tabs>
        <w:autoSpaceDE w:val="0"/>
        <w:autoSpaceDN w:val="0"/>
        <w:adjustRightInd w:val="0"/>
        <w:jc w:val="both"/>
      </w:pPr>
      <w:r w:rsidRPr="005B0ADA">
        <w:tab/>
      </w:r>
      <w:r w:rsidR="00A16447" w:rsidRPr="005B0ADA">
        <w:t xml:space="preserve">Svrha Konvencije je obvezati </w:t>
      </w:r>
      <w:r w:rsidR="00C21C9E" w:rsidRPr="005B0ADA">
        <w:t>države stranke</w:t>
      </w:r>
      <w:r w:rsidR="00A16447" w:rsidRPr="005B0ADA">
        <w:t xml:space="preserve"> da </w:t>
      </w:r>
      <w:r w:rsidR="00C21C9E" w:rsidRPr="005B0ADA">
        <w:t xml:space="preserve">u svojim nacionalnim zakonodavstvima kriminaliziraju </w:t>
      </w:r>
      <w:r w:rsidR="00A16447" w:rsidRPr="005B0ADA">
        <w:t xml:space="preserve">podmićivanje stranih javnih službenika u </w:t>
      </w:r>
      <w:bookmarkStart w:id="4" w:name="_Hlk143135503"/>
      <w:r w:rsidRPr="005B0ADA">
        <w:t>međunarodnim poslovnim transakcijama</w:t>
      </w:r>
      <w:r w:rsidR="00A16447" w:rsidRPr="005B0ADA">
        <w:t xml:space="preserve"> </w:t>
      </w:r>
      <w:bookmarkEnd w:id="4"/>
      <w:r w:rsidR="00431EE4" w:rsidRPr="005B0ADA">
        <w:t xml:space="preserve">(strano podmićivanje) </w:t>
      </w:r>
      <w:r w:rsidR="00C21C9E" w:rsidRPr="005B0ADA">
        <w:t>kojeg počine fizičke osobe (članak 1.)</w:t>
      </w:r>
      <w:r w:rsidR="00A16447" w:rsidRPr="005B0ADA">
        <w:t xml:space="preserve">. </w:t>
      </w:r>
      <w:r w:rsidR="0087788A">
        <w:t>Konvencija n</w:t>
      </w:r>
      <w:r w:rsidR="00C21C9E" w:rsidRPr="005B0ADA">
        <w:t xml:space="preserve">astoji eliminirati davanje mita (aktivno podmićivanje), odnosno </w:t>
      </w:r>
      <w:r w:rsidR="00A16447" w:rsidRPr="005B0ADA">
        <w:t xml:space="preserve">aktivnosti onih koji nude, obećavaju ili </w:t>
      </w:r>
      <w:r w:rsidRPr="005B0ADA">
        <w:t>daju</w:t>
      </w:r>
      <w:r w:rsidR="00A16447" w:rsidRPr="005B0ADA">
        <w:t xml:space="preserve"> </w:t>
      </w:r>
      <w:r w:rsidRPr="005B0ADA">
        <w:t xml:space="preserve">bilo kakvu nepripadajuću novčanu ili drugu korist </w:t>
      </w:r>
      <w:r w:rsidR="00A16447" w:rsidRPr="005B0ADA">
        <w:t>kako bi osigurali komercijalnu prednost</w:t>
      </w:r>
      <w:r w:rsidR="00160C23" w:rsidRPr="005B0ADA">
        <w:t xml:space="preserve">. Konvencija zahtjeva da svaka stranka poduzme mjere, u skladu s njezinim pravnim načelima, radi utvrđivanja odgovornost pravnih osoba za  </w:t>
      </w:r>
      <w:r w:rsidR="00596904" w:rsidRPr="005B0ADA">
        <w:t>kazneno djelo</w:t>
      </w:r>
      <w:r w:rsidR="00160C23" w:rsidRPr="005B0ADA">
        <w:t xml:space="preserve"> </w:t>
      </w:r>
      <w:r w:rsidR="00C5717A" w:rsidRPr="005B0ADA">
        <w:t xml:space="preserve">podmićivanje stranih javnih službenika </w:t>
      </w:r>
      <w:r w:rsidR="00596904" w:rsidRPr="005B0ADA">
        <w:t>(čl</w:t>
      </w:r>
      <w:r w:rsidR="00FE3F00" w:rsidRPr="005B0ADA">
        <w:t>anak</w:t>
      </w:r>
      <w:r w:rsidR="00596904" w:rsidRPr="005B0ADA">
        <w:t xml:space="preserve"> 2.). Fizičke i pravne osobe</w:t>
      </w:r>
      <w:r w:rsidR="00C5717A" w:rsidRPr="005B0ADA">
        <w:t xml:space="preserve"> kod kojih se utvrdi krivnja</w:t>
      </w:r>
      <w:r w:rsidR="00596904" w:rsidRPr="005B0ADA">
        <w:t xml:space="preserve"> moraju biti podvrgnute djelotvornim, razmjernim i odvraćajućim sankcijama</w:t>
      </w:r>
      <w:r w:rsidR="00C21C9E" w:rsidRPr="005B0ADA">
        <w:t xml:space="preserve"> </w:t>
      </w:r>
      <w:r w:rsidR="00596904" w:rsidRPr="005B0ADA">
        <w:t>(čl</w:t>
      </w:r>
      <w:r w:rsidR="00FE3F00" w:rsidRPr="005B0ADA">
        <w:t>anak</w:t>
      </w:r>
      <w:r w:rsidR="00596904" w:rsidRPr="005B0ADA">
        <w:t xml:space="preserve"> 3.). </w:t>
      </w:r>
      <w:r w:rsidR="00C21C9E" w:rsidRPr="005B0ADA">
        <w:t xml:space="preserve">Istraga i kazneni progon podmićivanja stranog javnog službenika podliježu primjenjivim pravilima i načelima svake stranke. Na njih ne smiju utjecati razlozi nacionalnog gospodarskog interesa, mogući učinak na odnose s drugom državom ili identitet uključenih fizičkih ili pravnih osoba </w:t>
      </w:r>
      <w:r w:rsidR="00596904" w:rsidRPr="005B0ADA">
        <w:t>(č</w:t>
      </w:r>
      <w:r w:rsidR="00FE3F00" w:rsidRPr="005B0ADA">
        <w:t>lanak</w:t>
      </w:r>
      <w:r w:rsidR="00596904" w:rsidRPr="005B0ADA">
        <w:t xml:space="preserve"> 5.). Stranke također moraju pružiti uzajamnu pravnu pomoć i izručenje u slučajevima stranog podmićivanja (čl</w:t>
      </w:r>
      <w:r w:rsidR="00FE3F00" w:rsidRPr="005B0ADA">
        <w:t xml:space="preserve">anci </w:t>
      </w:r>
      <w:r w:rsidR="00596904" w:rsidRPr="005B0ADA">
        <w:t xml:space="preserve"> 9. i 10.).</w:t>
      </w:r>
      <w:r w:rsidR="00C5717A" w:rsidRPr="005B0ADA">
        <w:t xml:space="preserve"> Stranke surađuju u provedbi programa sustavnog praćenja radi </w:t>
      </w:r>
      <w:r w:rsidR="00C5717A" w:rsidRPr="005B0ADA">
        <w:lastRenderedPageBreak/>
        <w:t>nadzora i promicanja pune provedbe Konvencije. Radna skupine OECD-a protiv podmićivanja u međunarodnim poslovnim transakcijama nadzire provedbu Konvencije (članak 12.)</w:t>
      </w:r>
    </w:p>
    <w:p w14:paraId="69BFE95B" w14:textId="77777777" w:rsidR="006371A3" w:rsidRPr="005B0ADA" w:rsidRDefault="006371A3" w:rsidP="00307141">
      <w:pPr>
        <w:widowControl w:val="0"/>
        <w:tabs>
          <w:tab w:val="num" w:pos="0"/>
        </w:tabs>
        <w:autoSpaceDE w:val="0"/>
        <w:autoSpaceDN w:val="0"/>
        <w:adjustRightInd w:val="0"/>
        <w:jc w:val="both"/>
      </w:pPr>
    </w:p>
    <w:p w14:paraId="026831B6" w14:textId="77777777" w:rsidR="006371A3" w:rsidRPr="005B0ADA" w:rsidRDefault="006371A3" w:rsidP="00CE2E3B">
      <w:pPr>
        <w:autoSpaceDE w:val="0"/>
        <w:autoSpaceDN w:val="0"/>
        <w:adjustRightInd w:val="0"/>
        <w:ind w:firstLine="708"/>
        <w:jc w:val="both"/>
      </w:pPr>
      <w:r w:rsidRPr="005B0ADA">
        <w:t xml:space="preserve">Vezano za obavješćivanje </w:t>
      </w:r>
      <w:r w:rsidR="00C5717A" w:rsidRPr="005B0ADA">
        <w:t>depozitara</w:t>
      </w:r>
      <w:r w:rsidRPr="005B0ADA">
        <w:t xml:space="preserve"> sukladno članku 11.</w:t>
      </w:r>
      <w:r w:rsidR="00FE3F00" w:rsidRPr="005B0ADA">
        <w:t xml:space="preserve"> Konvencije</w:t>
      </w:r>
      <w:r w:rsidRPr="005B0ADA">
        <w:t xml:space="preserve">, </w:t>
      </w:r>
      <w:r w:rsidR="00FE3F00" w:rsidRPr="005B0ADA">
        <w:t xml:space="preserve">Republika Hrvatska </w:t>
      </w:r>
      <w:r w:rsidR="00C5717A" w:rsidRPr="005B0ADA">
        <w:t>odredit će</w:t>
      </w:r>
      <w:r w:rsidR="00FE3F00" w:rsidRPr="005B0ADA">
        <w:t xml:space="preserve"> </w:t>
      </w:r>
      <w:r w:rsidR="00C5717A" w:rsidRPr="005B0ADA">
        <w:t xml:space="preserve">Državno odvjetništvo Republike Hrvatske </w:t>
      </w:r>
      <w:r w:rsidR="00FE3F00" w:rsidRPr="005B0ADA">
        <w:t xml:space="preserve">kao </w:t>
      </w:r>
      <w:r w:rsidRPr="005B0ADA">
        <w:t xml:space="preserve">nadležno tijelo </w:t>
      </w:r>
      <w:r w:rsidR="00C5717A" w:rsidRPr="005B0ADA">
        <w:t>za potrebe članka 4. stavka 3. Konvencije o savjetovanju</w:t>
      </w:r>
      <w:r w:rsidRPr="005B0ADA">
        <w:t xml:space="preserve">, dok </w:t>
      </w:r>
      <w:r w:rsidR="00C5717A" w:rsidRPr="005B0ADA">
        <w:t xml:space="preserve">će Ministarstvo pravosuđa i uprave odrediti kao nadležno tijelo </w:t>
      </w:r>
      <w:r w:rsidRPr="005B0ADA">
        <w:t xml:space="preserve">za </w:t>
      </w:r>
      <w:r w:rsidR="00C5717A" w:rsidRPr="005B0ADA">
        <w:t xml:space="preserve">potrebe </w:t>
      </w:r>
      <w:r w:rsidRPr="005B0ADA">
        <w:t>član</w:t>
      </w:r>
      <w:r w:rsidR="00C5717A" w:rsidRPr="005B0ADA">
        <w:t>a</w:t>
      </w:r>
      <w:r w:rsidRPr="005B0ADA">
        <w:t>k</w:t>
      </w:r>
      <w:r w:rsidR="00C5717A" w:rsidRPr="005B0ADA">
        <w:t>a</w:t>
      </w:r>
      <w:r w:rsidRPr="005B0ADA">
        <w:t xml:space="preserve"> 9. i 10. </w:t>
      </w:r>
      <w:r w:rsidR="00C5717A" w:rsidRPr="005B0ADA">
        <w:t xml:space="preserve">Konvencije </w:t>
      </w:r>
      <w:r w:rsidRPr="005B0ADA">
        <w:t>koji se odnose na uzajamnu pravnu pomoć i izručenje</w:t>
      </w:r>
      <w:r w:rsidR="00CE2E3B" w:rsidRPr="005B0ADA">
        <w:t>.</w:t>
      </w:r>
    </w:p>
    <w:p w14:paraId="7247CAF0" w14:textId="77777777" w:rsidR="00AA610A" w:rsidRPr="005B0ADA" w:rsidRDefault="00AA610A" w:rsidP="00CE2E3B">
      <w:pPr>
        <w:autoSpaceDE w:val="0"/>
        <w:autoSpaceDN w:val="0"/>
        <w:adjustRightInd w:val="0"/>
        <w:ind w:firstLine="708"/>
        <w:jc w:val="both"/>
      </w:pPr>
    </w:p>
    <w:p w14:paraId="47413F64" w14:textId="77777777" w:rsidR="00AA610A" w:rsidRPr="005B0ADA" w:rsidRDefault="00AA610A" w:rsidP="00CE2E3B">
      <w:pPr>
        <w:autoSpaceDE w:val="0"/>
        <w:autoSpaceDN w:val="0"/>
        <w:adjustRightInd w:val="0"/>
        <w:ind w:firstLine="708"/>
        <w:jc w:val="both"/>
      </w:pPr>
      <w:r w:rsidRPr="005B0ADA">
        <w:t xml:space="preserve">Države koje pristupe Konvenciji također su dužne pridržavati se </w:t>
      </w:r>
      <w:bookmarkStart w:id="5" w:name="_Hlk143138269"/>
      <w:r w:rsidRPr="005B0ADA">
        <w:t xml:space="preserve">Preporuke iz 2021. </w:t>
      </w:r>
      <w:bookmarkEnd w:id="5"/>
      <w:r w:rsidRPr="005B0ADA">
        <w:t xml:space="preserve">Preporuka iz 2021. pruža dodatne smjernice za provedbu zakona za kazneno djelo </w:t>
      </w:r>
      <w:bookmarkStart w:id="6" w:name="_Hlk143140973"/>
      <w:r w:rsidRPr="005B0ADA">
        <w:t>stranog podmićivanja</w:t>
      </w:r>
      <w:bookmarkEnd w:id="6"/>
      <w:r w:rsidRPr="005B0ADA">
        <w:t xml:space="preserve"> i odgovornost </w:t>
      </w:r>
      <w:r w:rsidR="00431329" w:rsidRPr="005B0ADA">
        <w:t>pravnih osoba</w:t>
      </w:r>
      <w:r w:rsidRPr="005B0ADA">
        <w:t xml:space="preserve"> za ovo kazneno djelo (Dodatak I.). Njome se utvrđuju mjere za sprječavanje, otkrivanje i prijavu stranog podmićivanja. Također poziva </w:t>
      </w:r>
      <w:r w:rsidR="00350718" w:rsidRPr="005B0ADA">
        <w:t>države</w:t>
      </w:r>
      <w:r w:rsidRPr="005B0ADA">
        <w:t xml:space="preserve"> da u potpunosti i brzo provedu Preporuku Vijeća iz 2009. o poreznim mjerama za daljnju borbu protiv podmićivanja stranih javnih dužnosnika u međunarodnim poslovnim transakcijama. </w:t>
      </w:r>
    </w:p>
    <w:p w14:paraId="2D29C6F5" w14:textId="77777777" w:rsidR="006371A3" w:rsidRPr="005B0ADA" w:rsidRDefault="006371A3" w:rsidP="00307141">
      <w:pPr>
        <w:widowControl w:val="0"/>
        <w:tabs>
          <w:tab w:val="num" w:pos="0"/>
        </w:tabs>
        <w:autoSpaceDE w:val="0"/>
        <w:autoSpaceDN w:val="0"/>
        <w:adjustRightInd w:val="0"/>
        <w:jc w:val="both"/>
      </w:pPr>
    </w:p>
    <w:p w14:paraId="36C2607F" w14:textId="77777777" w:rsidR="009D718C" w:rsidRPr="005B0ADA" w:rsidRDefault="009D718C" w:rsidP="005C0E6A">
      <w:pPr>
        <w:widowControl w:val="0"/>
        <w:tabs>
          <w:tab w:val="num" w:pos="0"/>
        </w:tabs>
        <w:autoSpaceDE w:val="0"/>
        <w:autoSpaceDN w:val="0"/>
        <w:adjustRightInd w:val="0"/>
        <w:jc w:val="both"/>
      </w:pPr>
    </w:p>
    <w:p w14:paraId="59FCCA84" w14:textId="77777777" w:rsidR="00A85730" w:rsidRPr="005B0ADA" w:rsidRDefault="00A85730" w:rsidP="00204698">
      <w:pPr>
        <w:numPr>
          <w:ilvl w:val="0"/>
          <w:numId w:val="1"/>
        </w:numPr>
        <w:tabs>
          <w:tab w:val="num" w:pos="0"/>
          <w:tab w:val="num" w:pos="720"/>
        </w:tabs>
        <w:autoSpaceDE w:val="0"/>
        <w:autoSpaceDN w:val="0"/>
        <w:adjustRightInd w:val="0"/>
        <w:ind w:hanging="1080"/>
        <w:jc w:val="both"/>
        <w:rPr>
          <w:b/>
          <w:bCs/>
        </w:rPr>
      </w:pPr>
      <w:r w:rsidRPr="005B0ADA">
        <w:rPr>
          <w:b/>
          <w:bCs/>
        </w:rPr>
        <w:t>OCJENA SREDSTAVA POTREBNIH ZA PROVEDBU ZAKONA</w:t>
      </w:r>
    </w:p>
    <w:p w14:paraId="51F216C0" w14:textId="77777777" w:rsidR="009D718C" w:rsidRPr="005B0ADA" w:rsidRDefault="009D718C" w:rsidP="005C0E6A">
      <w:pPr>
        <w:tabs>
          <w:tab w:val="num" w:pos="0"/>
        </w:tabs>
        <w:jc w:val="both"/>
        <w:rPr>
          <w:b/>
          <w:bCs/>
        </w:rPr>
      </w:pPr>
    </w:p>
    <w:p w14:paraId="4F5F93B3" w14:textId="77777777" w:rsidR="00A85730" w:rsidRPr="005B0ADA" w:rsidRDefault="009D718C" w:rsidP="005C0E6A">
      <w:pPr>
        <w:tabs>
          <w:tab w:val="num" w:pos="0"/>
        </w:tabs>
        <w:jc w:val="both"/>
      </w:pPr>
      <w:r w:rsidRPr="005B0ADA">
        <w:tab/>
      </w:r>
      <w:r w:rsidR="00204698" w:rsidRPr="005B0ADA">
        <w:t xml:space="preserve">Za provedbu ovoga </w:t>
      </w:r>
      <w:r w:rsidR="00307141" w:rsidRPr="005B0ADA">
        <w:t>Z</w:t>
      </w:r>
      <w:r w:rsidR="00A85730" w:rsidRPr="005B0ADA">
        <w:t>akona nije potrebno osigurati d</w:t>
      </w:r>
      <w:r w:rsidR="00204698" w:rsidRPr="005B0ADA">
        <w:t>odatna financijska sredstva iz d</w:t>
      </w:r>
      <w:r w:rsidR="00A85730" w:rsidRPr="005B0ADA">
        <w:t>ržavnog proračuna Republike Hrvatske.</w:t>
      </w:r>
      <w:r w:rsidR="00B312B5" w:rsidRPr="005B0ADA">
        <w:t xml:space="preserve"> </w:t>
      </w:r>
    </w:p>
    <w:p w14:paraId="20B20C9A" w14:textId="77777777" w:rsidR="00350718" w:rsidRPr="005B0ADA" w:rsidRDefault="006A48D1" w:rsidP="005C0E6A">
      <w:pPr>
        <w:tabs>
          <w:tab w:val="num" w:pos="0"/>
        </w:tabs>
        <w:jc w:val="both"/>
      </w:pPr>
      <w:r w:rsidRPr="005B0ADA">
        <w:t xml:space="preserve"> </w:t>
      </w:r>
    </w:p>
    <w:p w14:paraId="699A29DD" w14:textId="1804FBC7" w:rsidR="00204698" w:rsidRPr="005B0ADA" w:rsidRDefault="00431329" w:rsidP="007D15BA">
      <w:pPr>
        <w:tabs>
          <w:tab w:val="num" w:pos="0"/>
        </w:tabs>
        <w:jc w:val="both"/>
      </w:pPr>
      <w:r w:rsidRPr="005B0ADA">
        <w:tab/>
      </w:r>
      <w:r w:rsidR="009D58F8" w:rsidRPr="005B0ADA">
        <w:t>Za č</w:t>
      </w:r>
      <w:r w:rsidR="006A48D1" w:rsidRPr="005B0ADA">
        <w:t>lanstvo</w:t>
      </w:r>
      <w:r w:rsidR="00CC399A" w:rsidRPr="005B0ADA">
        <w:t xml:space="preserve"> </w:t>
      </w:r>
      <w:r w:rsidR="002546CB" w:rsidRPr="005B0ADA">
        <w:t>u Radnoj skupini</w:t>
      </w:r>
      <w:r w:rsidR="009D58F8" w:rsidRPr="005B0ADA">
        <w:t xml:space="preserve"> plaća se godišnja naknada</w:t>
      </w:r>
      <w:r w:rsidR="00FF3D4E" w:rsidRPr="005B0ADA">
        <w:t xml:space="preserve"> koja se utvrđuje za svaku kalendarsku godinu</w:t>
      </w:r>
      <w:r w:rsidR="007D15BA" w:rsidRPr="005B0ADA">
        <w:t xml:space="preserve">, uzimajući u obzir službenu </w:t>
      </w:r>
      <w:r w:rsidR="0030775C" w:rsidRPr="005B0ADA">
        <w:t>stopu inflacije države domaćina</w:t>
      </w:r>
      <w:r w:rsidR="00592071" w:rsidRPr="005B0ADA">
        <w:t>, Francuske Republike</w:t>
      </w:r>
      <w:r w:rsidR="001F5A0D" w:rsidRPr="005B0ADA">
        <w:t xml:space="preserve">. Za 2023. godinu, godišnja naknada za članstvo </w:t>
      </w:r>
      <w:r w:rsidR="00592071" w:rsidRPr="005B0ADA">
        <w:t xml:space="preserve">Republike Hrvatske </w:t>
      </w:r>
      <w:r w:rsidR="00D666A6" w:rsidRPr="005B0ADA">
        <w:t>u Radnoj skupini iznosi</w:t>
      </w:r>
      <w:r w:rsidR="00592071" w:rsidRPr="005B0ADA">
        <w:t>la bi</w:t>
      </w:r>
      <w:r w:rsidR="00D666A6" w:rsidRPr="005B0ADA">
        <w:t xml:space="preserve"> </w:t>
      </w:r>
      <w:r w:rsidR="00592071" w:rsidRPr="005B0ADA">
        <w:t>19.950</w:t>
      </w:r>
      <w:r w:rsidRPr="005B0ADA">
        <w:t xml:space="preserve"> </w:t>
      </w:r>
      <w:r w:rsidR="00D666A6" w:rsidRPr="005B0ADA">
        <w:t>EUR</w:t>
      </w:r>
      <w:r w:rsidR="00592071" w:rsidRPr="005B0ADA">
        <w:t xml:space="preserve">. Točan iznos </w:t>
      </w:r>
      <w:r w:rsidR="00E50AB2" w:rsidRPr="005B0ADA">
        <w:t xml:space="preserve">godišnje </w:t>
      </w:r>
      <w:r w:rsidR="00592071" w:rsidRPr="005B0ADA">
        <w:t>naknade koj</w:t>
      </w:r>
      <w:r w:rsidR="00E50AB2" w:rsidRPr="005B0ADA">
        <w:t>i</w:t>
      </w:r>
      <w:r w:rsidR="00592071" w:rsidRPr="005B0ADA">
        <w:t xml:space="preserve"> će Republik</w:t>
      </w:r>
      <w:r w:rsidR="00E50AB2" w:rsidRPr="005B0ADA">
        <w:t>a</w:t>
      </w:r>
      <w:r w:rsidR="00592071" w:rsidRPr="005B0ADA">
        <w:t xml:space="preserve"> Hrvatska platiti za 2023. godinu izračunat će se na razmjernoj osnovi ovisno o datumu prikazanom u pismu prihvata</w:t>
      </w:r>
      <w:r w:rsidR="00561A49" w:rsidRPr="005B0ADA">
        <w:t xml:space="preserve"> u članstvo u </w:t>
      </w:r>
      <w:r w:rsidR="0087788A">
        <w:t>R</w:t>
      </w:r>
      <w:r w:rsidR="00561A49" w:rsidRPr="005B0ADA">
        <w:t>adnoj skupini. Pr</w:t>
      </w:r>
      <w:r w:rsidR="00E50AB2" w:rsidRPr="005B0ADA">
        <w:t>ocijenjeni</w:t>
      </w:r>
      <w:r w:rsidR="00592071" w:rsidRPr="005B0ADA">
        <w:t xml:space="preserve"> iznos </w:t>
      </w:r>
      <w:r w:rsidR="00561A49" w:rsidRPr="005B0ADA">
        <w:t xml:space="preserve">naknade za 2023. godinu </w:t>
      </w:r>
      <w:r w:rsidR="00592071" w:rsidRPr="005B0ADA">
        <w:t xml:space="preserve">je </w:t>
      </w:r>
      <w:r w:rsidR="00E50AB2" w:rsidRPr="005B0ADA">
        <w:t>5.028,49</w:t>
      </w:r>
      <w:r w:rsidR="00592071" w:rsidRPr="005B0ADA">
        <w:t xml:space="preserve"> EUR</w:t>
      </w:r>
      <w:r w:rsidR="00F12EC0" w:rsidRPr="005B0ADA">
        <w:t xml:space="preserve">. Navedeni iznos, kao i iznosi </w:t>
      </w:r>
      <w:r w:rsidR="00E50AB2" w:rsidRPr="005B0ADA">
        <w:t xml:space="preserve">godišnjih naknada </w:t>
      </w:r>
      <w:r w:rsidR="007A121F" w:rsidRPr="005B0ADA">
        <w:t xml:space="preserve">za naredne godine osigurat će se u državnom proračunu, </w:t>
      </w:r>
      <w:r w:rsidR="00CB7FEB" w:rsidRPr="005B0ADA">
        <w:t xml:space="preserve">u okviru </w:t>
      </w:r>
      <w:r w:rsidR="00561A49" w:rsidRPr="005B0ADA">
        <w:t>razdjela</w:t>
      </w:r>
      <w:r w:rsidR="00CB7FEB" w:rsidRPr="005B0ADA">
        <w:t xml:space="preserve"> Ministarstva pravosuđa</w:t>
      </w:r>
      <w:r w:rsidR="00E50AB2" w:rsidRPr="005B0ADA">
        <w:t xml:space="preserve"> i uprave</w:t>
      </w:r>
      <w:r w:rsidR="00CB7FEB" w:rsidRPr="005B0ADA">
        <w:t>.</w:t>
      </w:r>
    </w:p>
    <w:p w14:paraId="5A44ECC8" w14:textId="77777777" w:rsidR="00134B98" w:rsidRPr="00491A7E" w:rsidRDefault="00134B98" w:rsidP="005C0E6A">
      <w:pPr>
        <w:tabs>
          <w:tab w:val="num" w:pos="0"/>
        </w:tabs>
      </w:pPr>
    </w:p>
    <w:p w14:paraId="213CAB45" w14:textId="77777777" w:rsidR="00A85730" w:rsidRPr="00491A7E" w:rsidRDefault="00A85730" w:rsidP="00204698">
      <w:pPr>
        <w:numPr>
          <w:ilvl w:val="0"/>
          <w:numId w:val="1"/>
        </w:numPr>
        <w:tabs>
          <w:tab w:val="num" w:pos="0"/>
          <w:tab w:val="num" w:pos="720"/>
        </w:tabs>
        <w:autoSpaceDE w:val="0"/>
        <w:autoSpaceDN w:val="0"/>
        <w:adjustRightInd w:val="0"/>
        <w:ind w:hanging="1080"/>
        <w:jc w:val="both"/>
        <w:rPr>
          <w:b/>
          <w:bCs/>
        </w:rPr>
      </w:pPr>
      <w:r w:rsidRPr="00491A7E">
        <w:rPr>
          <w:b/>
          <w:bCs/>
        </w:rPr>
        <w:t>ZAKONI KOJIMA SE POTVRĐUJU MEĐUNARODNI UGOVORI</w:t>
      </w:r>
    </w:p>
    <w:p w14:paraId="2F833E26" w14:textId="77777777" w:rsidR="00A85730" w:rsidRPr="00491A7E" w:rsidRDefault="00A85730" w:rsidP="005C0E6A">
      <w:pPr>
        <w:tabs>
          <w:tab w:val="num" w:pos="0"/>
        </w:tabs>
        <w:autoSpaceDE w:val="0"/>
        <w:autoSpaceDN w:val="0"/>
        <w:adjustRightInd w:val="0"/>
        <w:jc w:val="both"/>
        <w:rPr>
          <w:b/>
          <w:bCs/>
        </w:rPr>
      </w:pPr>
    </w:p>
    <w:p w14:paraId="58F4079A" w14:textId="30DEE21E" w:rsidR="00A85730" w:rsidRPr="00491A7E" w:rsidRDefault="00A85730" w:rsidP="008156EE">
      <w:pPr>
        <w:tabs>
          <w:tab w:val="num" w:pos="0"/>
        </w:tabs>
        <w:jc w:val="both"/>
      </w:pPr>
      <w:r w:rsidRPr="00491A7E">
        <w:tab/>
        <w:t>Temelj za donošenje ovoga Zakona nalazi se u članku 207.a Poslovnika Hrvatskoga sabora (</w:t>
      </w:r>
      <w:r w:rsidR="00204698" w:rsidRPr="00491A7E">
        <w:t>„</w:t>
      </w:r>
      <w:r w:rsidRPr="00491A7E">
        <w:t>Narodne novine</w:t>
      </w:r>
      <w:r w:rsidR="00204698" w:rsidRPr="00491A7E">
        <w:t>“</w:t>
      </w:r>
      <w:r w:rsidRPr="00491A7E">
        <w:t>, br. 81/13</w:t>
      </w:r>
      <w:r w:rsidR="00204698" w:rsidRPr="00491A7E">
        <w:t>.</w:t>
      </w:r>
      <w:r w:rsidRPr="00491A7E">
        <w:t>, 113/16</w:t>
      </w:r>
      <w:r w:rsidR="00204698" w:rsidRPr="00491A7E">
        <w:t>.</w:t>
      </w:r>
      <w:r w:rsidRPr="00491A7E">
        <w:t>, 69/17</w:t>
      </w:r>
      <w:r w:rsidR="00204698" w:rsidRPr="00491A7E">
        <w:t>.</w:t>
      </w:r>
      <w:r w:rsidRPr="00491A7E">
        <w:t>, 29/18</w:t>
      </w:r>
      <w:r w:rsidR="00204698" w:rsidRPr="00491A7E">
        <w:t>.</w:t>
      </w:r>
      <w:r w:rsidRPr="00491A7E">
        <w:t>, 53/20</w:t>
      </w:r>
      <w:r w:rsidR="00204698" w:rsidRPr="00491A7E">
        <w:t>.</w:t>
      </w:r>
      <w:r w:rsidRPr="00491A7E">
        <w:t>, 119/20</w:t>
      </w:r>
      <w:r w:rsidR="00204698" w:rsidRPr="00491A7E">
        <w:t>.</w:t>
      </w:r>
      <w:r w:rsidRPr="00491A7E">
        <w:t xml:space="preserve"> - Odluka Ustavnog suda Republike Hrvatske</w:t>
      </w:r>
      <w:r w:rsidR="005F402A" w:rsidRPr="00211C84">
        <w:t>,</w:t>
      </w:r>
      <w:r w:rsidRPr="00211C84">
        <w:t xml:space="preserve"> 123/20</w:t>
      </w:r>
      <w:r w:rsidR="00204698" w:rsidRPr="00211C84">
        <w:t>.</w:t>
      </w:r>
      <w:r w:rsidR="005F402A" w:rsidRPr="00211C84">
        <w:t xml:space="preserve"> i 86/23. - Odluka </w:t>
      </w:r>
      <w:r w:rsidR="005F402A" w:rsidRPr="00211C84">
        <w:lastRenderedPageBreak/>
        <w:t>Ustavnog suda Republike Hrvatske</w:t>
      </w:r>
      <w:r w:rsidRPr="00211C84">
        <w:t>), prema kojemu se zakoni kojima se, u skladu s Ustavom Republike Hrvatske, potvrđuju međunarodni ugovori donose u prav</w:t>
      </w:r>
      <w:r w:rsidRPr="00491A7E">
        <w:t xml:space="preserve">ilu u jednom čitanju, a postupak donošenja pokreće se podnošenjem konačnog prijedloga zakona o potvrđivanju međunarodnog ugovora. </w:t>
      </w:r>
    </w:p>
    <w:p w14:paraId="24D489F2" w14:textId="77777777" w:rsidR="00134B98" w:rsidRPr="00491A7E" w:rsidRDefault="00134B98" w:rsidP="008156EE">
      <w:pPr>
        <w:tabs>
          <w:tab w:val="num" w:pos="0"/>
        </w:tabs>
        <w:jc w:val="both"/>
      </w:pPr>
    </w:p>
    <w:p w14:paraId="08BCCB14" w14:textId="123BBD63" w:rsidR="00A85730" w:rsidRPr="00491A7E" w:rsidRDefault="00A85730" w:rsidP="008156EE">
      <w:pPr>
        <w:tabs>
          <w:tab w:val="num" w:pos="0"/>
        </w:tabs>
        <w:jc w:val="both"/>
      </w:pPr>
      <w:r w:rsidRPr="00491A7E">
        <w:tab/>
        <w:t>S obzirom na prirodu postupka potvrđivanja međunarodnih ugovora, kojim država i formalno izražava spremnost da bude vezana već sklopljenim međunarodnim ugovorom, kao i na činjenicu da se u ovoj fazi postupka, ne može mijenjati ili dopunjavati tekst međunarodnog ugovora, predlaže se ovaj Konačni prijedlog zakona raspraviti i prihvatiti u jednom čitanju.</w:t>
      </w:r>
    </w:p>
    <w:p w14:paraId="4DC780A7" w14:textId="77777777" w:rsidR="00A85730" w:rsidRPr="00491A7E" w:rsidRDefault="00A85730" w:rsidP="005C0E6A">
      <w:pPr>
        <w:autoSpaceDE w:val="0"/>
        <w:autoSpaceDN w:val="0"/>
        <w:adjustRightInd w:val="0"/>
        <w:jc w:val="both"/>
      </w:pPr>
      <w:r w:rsidRPr="00491A7E">
        <w:t xml:space="preserve"> </w:t>
      </w:r>
    </w:p>
    <w:p w14:paraId="799F5DF5" w14:textId="77777777" w:rsidR="00A85730" w:rsidRPr="00491A7E" w:rsidRDefault="00A85730" w:rsidP="005C0E6A">
      <w:pPr>
        <w:autoSpaceDE w:val="0"/>
        <w:autoSpaceDN w:val="0"/>
        <w:adjustRightInd w:val="0"/>
        <w:ind w:firstLine="360"/>
        <w:jc w:val="both"/>
      </w:pPr>
      <w:r w:rsidRPr="00491A7E">
        <w:br w:type="page"/>
      </w:r>
    </w:p>
    <w:p w14:paraId="71E4714B" w14:textId="77777777" w:rsidR="00A85730" w:rsidRPr="00491A7E" w:rsidRDefault="00A85730" w:rsidP="005C0E6A">
      <w:pPr>
        <w:autoSpaceDE w:val="0"/>
        <w:autoSpaceDN w:val="0"/>
        <w:adjustRightInd w:val="0"/>
        <w:jc w:val="center"/>
        <w:rPr>
          <w:b/>
          <w:bCs/>
        </w:rPr>
      </w:pPr>
      <w:r w:rsidRPr="00491A7E">
        <w:rPr>
          <w:b/>
          <w:bCs/>
        </w:rPr>
        <w:lastRenderedPageBreak/>
        <w:t>KONAČNI PRIJEDLOG ZAKONA O POTVRĐIVANJU</w:t>
      </w:r>
    </w:p>
    <w:p w14:paraId="63DB3CA9" w14:textId="77777777" w:rsidR="00A85730" w:rsidRDefault="00307141" w:rsidP="00244D84">
      <w:pPr>
        <w:jc w:val="center"/>
        <w:rPr>
          <w:b/>
          <w:caps/>
        </w:rPr>
      </w:pPr>
      <w:r>
        <w:rPr>
          <w:b/>
          <w:caps/>
        </w:rPr>
        <w:t>KONVENCIJE</w:t>
      </w:r>
      <w:r w:rsidR="00244D84" w:rsidRPr="00244D84">
        <w:t xml:space="preserve"> </w:t>
      </w:r>
      <w:r w:rsidR="00244D84" w:rsidRPr="00244D84">
        <w:rPr>
          <w:b/>
          <w:caps/>
        </w:rPr>
        <w:t>O BORBI PROTIV PODMIĆIVANJA STRANIH JAVNIH SLUŽBENIKA U MEĐUNARODNIM POSLOVNIM TRANSAKCIJAMA</w:t>
      </w:r>
    </w:p>
    <w:p w14:paraId="6CB30751" w14:textId="77777777" w:rsidR="00244D84" w:rsidRDefault="00244D84" w:rsidP="00244D84">
      <w:pPr>
        <w:jc w:val="center"/>
        <w:rPr>
          <w:b/>
          <w:caps/>
        </w:rPr>
      </w:pPr>
    </w:p>
    <w:p w14:paraId="2B2CAC28" w14:textId="77777777" w:rsidR="00244D84" w:rsidRPr="00491A7E" w:rsidRDefault="00244D84" w:rsidP="00244D84">
      <w:pPr>
        <w:jc w:val="center"/>
        <w:rPr>
          <w:b/>
          <w:bCs/>
        </w:rPr>
      </w:pPr>
    </w:p>
    <w:p w14:paraId="6BD54C93" w14:textId="77777777" w:rsidR="00A85730" w:rsidRPr="00491A7E" w:rsidRDefault="00A85730" w:rsidP="005C0E6A">
      <w:pPr>
        <w:autoSpaceDE w:val="0"/>
        <w:autoSpaceDN w:val="0"/>
        <w:adjustRightInd w:val="0"/>
        <w:jc w:val="center"/>
        <w:rPr>
          <w:b/>
          <w:bCs/>
        </w:rPr>
      </w:pPr>
      <w:r w:rsidRPr="00491A7E">
        <w:rPr>
          <w:b/>
          <w:bCs/>
        </w:rPr>
        <w:t>Članak 1.</w:t>
      </w:r>
    </w:p>
    <w:p w14:paraId="70E79FA1" w14:textId="77777777" w:rsidR="00A85730" w:rsidRPr="00491A7E" w:rsidRDefault="00A85730" w:rsidP="005C0E6A">
      <w:pPr>
        <w:autoSpaceDE w:val="0"/>
        <w:autoSpaceDN w:val="0"/>
        <w:adjustRightInd w:val="0"/>
        <w:jc w:val="center"/>
        <w:rPr>
          <w:b/>
          <w:bCs/>
        </w:rPr>
      </w:pPr>
    </w:p>
    <w:p w14:paraId="00E3E9FD" w14:textId="77777777" w:rsidR="00A85730" w:rsidRPr="00491A7E" w:rsidRDefault="00A85730" w:rsidP="005C0E6A">
      <w:pPr>
        <w:autoSpaceDE w:val="0"/>
        <w:autoSpaceDN w:val="0"/>
        <w:adjustRightInd w:val="0"/>
        <w:jc w:val="both"/>
      </w:pPr>
      <w:r w:rsidRPr="00491A7E">
        <w:tab/>
        <w:t xml:space="preserve">Potvrđuje se </w:t>
      </w:r>
      <w:r w:rsidR="00307141">
        <w:t>Konvencija</w:t>
      </w:r>
      <w:r w:rsidR="00244D84">
        <w:t xml:space="preserve"> </w:t>
      </w:r>
      <w:r w:rsidR="00244D84" w:rsidRPr="00244D84">
        <w:t>o borbi protiv podmićivanja stranih javnih službenika u međunarodnim poslovnim transakcijama</w:t>
      </w:r>
      <w:r w:rsidRPr="00491A7E">
        <w:t>, sastavljen</w:t>
      </w:r>
      <w:r w:rsidR="00596904">
        <w:t>a</w:t>
      </w:r>
      <w:r w:rsidRPr="00491A7E">
        <w:t xml:space="preserve"> u </w:t>
      </w:r>
      <w:r w:rsidR="00307141">
        <w:t>Parizu</w:t>
      </w:r>
      <w:r w:rsidR="00596904">
        <w:t>, 17. prosinca</w:t>
      </w:r>
      <w:r w:rsidR="00244D84">
        <w:t xml:space="preserve"> 1997.</w:t>
      </w:r>
      <w:r w:rsidRPr="00491A7E">
        <w:t>, u izvorniku na engleskom</w:t>
      </w:r>
      <w:r w:rsidR="00307141">
        <w:t xml:space="preserve"> i francuskom jeziku</w:t>
      </w:r>
      <w:r w:rsidRPr="00491A7E">
        <w:t xml:space="preserve">. </w:t>
      </w:r>
    </w:p>
    <w:p w14:paraId="4294442F" w14:textId="77777777" w:rsidR="00A85730" w:rsidRPr="00491A7E" w:rsidRDefault="00A85730" w:rsidP="005C0E6A">
      <w:pPr>
        <w:autoSpaceDE w:val="0"/>
        <w:autoSpaceDN w:val="0"/>
        <w:adjustRightInd w:val="0"/>
      </w:pPr>
    </w:p>
    <w:p w14:paraId="4D089E89" w14:textId="77777777" w:rsidR="00A85730" w:rsidRPr="00491A7E" w:rsidRDefault="00A85730" w:rsidP="005C0E6A">
      <w:pPr>
        <w:autoSpaceDE w:val="0"/>
        <w:autoSpaceDN w:val="0"/>
        <w:adjustRightInd w:val="0"/>
        <w:jc w:val="center"/>
        <w:rPr>
          <w:b/>
          <w:bCs/>
        </w:rPr>
      </w:pPr>
      <w:r w:rsidRPr="00491A7E">
        <w:rPr>
          <w:b/>
          <w:bCs/>
        </w:rPr>
        <w:t>Članak 2.</w:t>
      </w:r>
    </w:p>
    <w:p w14:paraId="5EB6BC71" w14:textId="77777777" w:rsidR="00A85730" w:rsidRPr="00491A7E" w:rsidRDefault="00A85730" w:rsidP="005C0E6A">
      <w:pPr>
        <w:autoSpaceDE w:val="0"/>
        <w:autoSpaceDN w:val="0"/>
        <w:adjustRightInd w:val="0"/>
        <w:jc w:val="center"/>
        <w:rPr>
          <w:b/>
          <w:bCs/>
        </w:rPr>
      </w:pPr>
    </w:p>
    <w:p w14:paraId="2368309E" w14:textId="77777777" w:rsidR="00596904" w:rsidRDefault="00A85730" w:rsidP="005C0E6A">
      <w:pPr>
        <w:autoSpaceDE w:val="0"/>
        <w:autoSpaceDN w:val="0"/>
        <w:adjustRightInd w:val="0"/>
        <w:jc w:val="both"/>
      </w:pPr>
      <w:r w:rsidRPr="00491A7E">
        <w:tab/>
        <w:t xml:space="preserve">Tekst </w:t>
      </w:r>
      <w:r w:rsidR="00307141">
        <w:t>Konvencije</w:t>
      </w:r>
      <w:r w:rsidRPr="00491A7E">
        <w:t xml:space="preserve"> iz članka 1. ovoga Zakona, u izvorniku na engleskom jeziku i u prijevodu na hrvatski jezik, glasi:</w:t>
      </w:r>
    </w:p>
    <w:p w14:paraId="6F1DD0A6" w14:textId="77777777" w:rsidR="0069198D" w:rsidRPr="0069198D" w:rsidRDefault="00596904" w:rsidP="0069198D">
      <w:pPr>
        <w:autoSpaceDE w:val="0"/>
        <w:autoSpaceDN w:val="0"/>
        <w:adjustRightInd w:val="0"/>
        <w:jc w:val="center"/>
        <w:rPr>
          <w:b/>
          <w:bCs/>
        </w:rPr>
      </w:pPr>
      <w:r>
        <w:br w:type="page"/>
      </w:r>
      <w:r w:rsidR="0069198D" w:rsidRPr="0069198D">
        <w:rPr>
          <w:b/>
          <w:bCs/>
        </w:rPr>
        <w:lastRenderedPageBreak/>
        <w:t>KONVENCIJA O BORBI PROTIV PODMIĆIVANJA STRANIH JAVNIH SLUŽBENIKA U MEĐUNARODNIM POSLOVNIM TRANSAKCIJAMA</w:t>
      </w:r>
    </w:p>
    <w:p w14:paraId="65DA536F" w14:textId="77777777" w:rsidR="0069198D" w:rsidRPr="0069198D" w:rsidRDefault="0069198D" w:rsidP="0069198D">
      <w:pPr>
        <w:spacing w:before="120" w:after="120"/>
        <w:jc w:val="center"/>
      </w:pPr>
    </w:p>
    <w:p w14:paraId="03BFAF28" w14:textId="77777777" w:rsidR="0069198D" w:rsidRPr="0069198D" w:rsidRDefault="0069198D" w:rsidP="0069198D">
      <w:pPr>
        <w:spacing w:before="120" w:after="120"/>
        <w:jc w:val="center"/>
        <w:rPr>
          <w:b/>
        </w:rPr>
      </w:pPr>
      <w:r w:rsidRPr="0069198D">
        <w:rPr>
          <w:b/>
        </w:rPr>
        <w:t>Preambula</w:t>
      </w:r>
    </w:p>
    <w:p w14:paraId="6BAF3F3C" w14:textId="77777777" w:rsidR="0069198D" w:rsidRPr="0069198D" w:rsidRDefault="0069198D" w:rsidP="0069198D">
      <w:pPr>
        <w:spacing w:before="120" w:after="120"/>
        <w:ind w:firstLine="708"/>
        <w:jc w:val="both"/>
      </w:pPr>
      <w:r w:rsidRPr="0069198D">
        <w:rPr>
          <w:b/>
        </w:rPr>
        <w:t>Stranke,</w:t>
      </w:r>
    </w:p>
    <w:p w14:paraId="3D19D95B" w14:textId="77777777" w:rsidR="0069198D" w:rsidRPr="0069198D" w:rsidRDefault="0069198D" w:rsidP="0069198D">
      <w:pPr>
        <w:spacing w:before="120" w:after="120"/>
        <w:ind w:firstLine="708"/>
        <w:jc w:val="both"/>
      </w:pPr>
      <w:r w:rsidRPr="0069198D">
        <w:rPr>
          <w:b/>
        </w:rPr>
        <w:t>smatrajući</w:t>
      </w:r>
      <w:r w:rsidRPr="0069198D">
        <w:t xml:space="preserve"> da je podmićivanje široko rasprostranjena pojava </w:t>
      </w:r>
      <w:bookmarkStart w:id="7" w:name="_Hlk125212994"/>
      <w:r w:rsidRPr="0069198D">
        <w:t>u međunarodnim poslovnim transakcijama</w:t>
      </w:r>
      <w:bookmarkEnd w:id="7"/>
      <w:r w:rsidRPr="0069198D">
        <w:t>, uključujući trgovinu i ulaganje, koja izaziva ozbiljne moralne i političke zabrinutosti, potkopava dobro upravljanje i gospodarski razvoj te narušava međunarodne uvjete tržišnog natjecanja;</w:t>
      </w:r>
    </w:p>
    <w:p w14:paraId="23B45BF1" w14:textId="77777777" w:rsidR="0069198D" w:rsidRPr="0069198D" w:rsidRDefault="0069198D" w:rsidP="0069198D">
      <w:pPr>
        <w:spacing w:before="120" w:after="120"/>
        <w:ind w:firstLine="708"/>
        <w:jc w:val="both"/>
      </w:pPr>
      <w:r w:rsidRPr="0069198D">
        <w:rPr>
          <w:b/>
        </w:rPr>
        <w:t>smatrajući</w:t>
      </w:r>
      <w:r w:rsidRPr="0069198D">
        <w:t xml:space="preserve"> da sve zemlje dijele odgovornost za borbu protiv podmićivanja u međunarodnim poslovnim transakcijama;</w:t>
      </w:r>
    </w:p>
    <w:p w14:paraId="5937E4E5" w14:textId="77777777" w:rsidR="0069198D" w:rsidRPr="0069198D" w:rsidRDefault="0069198D" w:rsidP="0069198D">
      <w:pPr>
        <w:spacing w:before="120" w:after="120"/>
        <w:ind w:firstLine="708"/>
        <w:jc w:val="both"/>
      </w:pPr>
      <w:r w:rsidRPr="0069198D">
        <w:rPr>
          <w:b/>
        </w:rPr>
        <w:t>uzimajući u obzir</w:t>
      </w:r>
      <w:r w:rsidRPr="0069198D">
        <w:t xml:space="preserve"> Revidiranu preporuku o borbi protiv podmićivanja u međunarodnim poslovnim transakcijama, koju je usvojilo Vijeće Organizacije za gospodarsku suradnju i razvoj (OECD) 23. svibnja 1997., C(97)123/FINAL, kojom se, između ostalog, poziva na djelotvorne mjere za odvraćanje, sprječavanje i borbu protiv podmićivanja stranih javnih službenika u vezi s međunarodnim poslovnim transakcijama, posebno na brzu kriminalizaciju takvog podmićivanja na djelotvoran i koordiniran način te u skladu s dogovorenim zajedničkim elementima navedenima u toj Preporuci, kao i s nadležnošću i drugim temeljnim pravnim načelima svake zemlje;</w:t>
      </w:r>
    </w:p>
    <w:p w14:paraId="505515CF" w14:textId="77777777" w:rsidR="0069198D" w:rsidRPr="0069198D" w:rsidRDefault="0069198D" w:rsidP="0069198D">
      <w:pPr>
        <w:spacing w:before="120" w:after="120"/>
        <w:ind w:firstLine="708"/>
        <w:jc w:val="both"/>
      </w:pPr>
      <w:r w:rsidRPr="0069198D">
        <w:rPr>
          <w:b/>
        </w:rPr>
        <w:t>pozdravljajući</w:t>
      </w:r>
      <w:r w:rsidRPr="0069198D">
        <w:t xml:space="preserve"> druge nedavne događaje koji dodatno unaprjeđuju međunarodno razumijevanje i suradnju u borbi protiv podmićivanja javnih službenika, uključujući djelovanja Ujedinjenih naroda, Svjetske banke, Međunarodnog monetarnog fonda, Svjetske trgovinske organizacije, Organizacije američkih država, Vijeća Europe i Europske unije;</w:t>
      </w:r>
    </w:p>
    <w:p w14:paraId="6B328043" w14:textId="77777777" w:rsidR="0069198D" w:rsidRPr="0069198D" w:rsidRDefault="0069198D" w:rsidP="0069198D">
      <w:pPr>
        <w:spacing w:before="120" w:after="120"/>
        <w:ind w:firstLine="708"/>
        <w:jc w:val="both"/>
      </w:pPr>
      <w:r w:rsidRPr="0069198D">
        <w:rPr>
          <w:b/>
        </w:rPr>
        <w:t>pozdravljajući</w:t>
      </w:r>
      <w:r w:rsidRPr="0069198D">
        <w:t xml:space="preserve"> napore trgovačkih društava, poslovnih organizacija i sindikata, kao i drugih nevladinih organizacija u borbi protiv podmićivanja;</w:t>
      </w:r>
    </w:p>
    <w:p w14:paraId="0B6F70EC" w14:textId="77777777" w:rsidR="0069198D" w:rsidRPr="0069198D" w:rsidRDefault="0069198D" w:rsidP="0069198D">
      <w:pPr>
        <w:spacing w:before="120" w:after="120"/>
        <w:ind w:firstLine="708"/>
        <w:jc w:val="both"/>
      </w:pPr>
      <w:r w:rsidRPr="0069198D">
        <w:rPr>
          <w:b/>
        </w:rPr>
        <w:t>priznajući</w:t>
      </w:r>
      <w:r w:rsidRPr="0069198D">
        <w:t xml:space="preserve"> ulogu vlada u sprječavanju traženja mita od pojedinaca i poduzeća u međunarodnim poslovnim transakcijama;</w:t>
      </w:r>
    </w:p>
    <w:p w14:paraId="4D4BB479" w14:textId="77777777" w:rsidR="0069198D" w:rsidRPr="0069198D" w:rsidRDefault="0069198D" w:rsidP="0069198D">
      <w:pPr>
        <w:spacing w:before="120" w:after="120"/>
        <w:ind w:firstLine="708"/>
        <w:jc w:val="both"/>
      </w:pPr>
      <w:r w:rsidRPr="0069198D">
        <w:rPr>
          <w:b/>
        </w:rPr>
        <w:t>priznajući</w:t>
      </w:r>
      <w:r w:rsidRPr="0069198D">
        <w:t xml:space="preserve"> da postizanje napretka u ovom području zahtijeva ne samo napore na nacionalnoj razini, već i multilateralnu suradnju, nadzor i praćenje;</w:t>
      </w:r>
    </w:p>
    <w:p w14:paraId="6C575C46" w14:textId="77777777" w:rsidR="0069198D" w:rsidRPr="0069198D" w:rsidRDefault="0069198D" w:rsidP="0069198D">
      <w:pPr>
        <w:spacing w:before="120" w:after="120"/>
        <w:ind w:firstLine="708"/>
        <w:jc w:val="both"/>
      </w:pPr>
      <w:r w:rsidRPr="0069198D">
        <w:rPr>
          <w:b/>
        </w:rPr>
        <w:t xml:space="preserve">priznajući </w:t>
      </w:r>
      <w:r w:rsidRPr="0069198D">
        <w:t>da je postizanje jednakosti mjera koje stranke trebaju poduzeti temeljni cilj i svrha Konvencije, što zahtijeva da se Konvencija ratificira bez ograničenja koja utječu na ovu jednakost;</w:t>
      </w:r>
    </w:p>
    <w:p w14:paraId="6E7BCCDB" w14:textId="77777777" w:rsidR="0069198D" w:rsidRPr="0069198D" w:rsidRDefault="0069198D" w:rsidP="0069198D">
      <w:pPr>
        <w:spacing w:before="120" w:after="120"/>
        <w:ind w:firstLine="708"/>
        <w:jc w:val="both"/>
        <w:rPr>
          <w:b/>
        </w:rPr>
      </w:pPr>
      <w:r w:rsidRPr="0069198D">
        <w:rPr>
          <w:b/>
        </w:rPr>
        <w:lastRenderedPageBreak/>
        <w:t>sporazumjele su se kako slijedi:</w:t>
      </w:r>
    </w:p>
    <w:p w14:paraId="1E6EEF43" w14:textId="77777777" w:rsidR="0069198D" w:rsidRPr="0069198D" w:rsidRDefault="0069198D" w:rsidP="0069198D">
      <w:pPr>
        <w:spacing w:before="120" w:after="120"/>
        <w:jc w:val="both"/>
      </w:pPr>
    </w:p>
    <w:p w14:paraId="20DDA101" w14:textId="77777777" w:rsidR="0069198D" w:rsidRPr="0069198D" w:rsidRDefault="0069198D" w:rsidP="0069198D">
      <w:pPr>
        <w:spacing w:before="120" w:after="120"/>
        <w:jc w:val="center"/>
        <w:rPr>
          <w:b/>
        </w:rPr>
      </w:pPr>
      <w:r w:rsidRPr="0069198D">
        <w:rPr>
          <w:b/>
        </w:rPr>
        <w:t>Članak 1.</w:t>
      </w:r>
    </w:p>
    <w:p w14:paraId="717657A9" w14:textId="77777777" w:rsidR="0069198D" w:rsidRPr="0069198D" w:rsidRDefault="0069198D" w:rsidP="0069198D">
      <w:pPr>
        <w:spacing w:before="120" w:after="120"/>
        <w:jc w:val="center"/>
        <w:rPr>
          <w:b/>
        </w:rPr>
      </w:pPr>
      <w:r w:rsidRPr="0069198D">
        <w:rPr>
          <w:b/>
        </w:rPr>
        <w:t>Kazneno djelo podmićivanja stranih javnih službenika</w:t>
      </w:r>
    </w:p>
    <w:p w14:paraId="640DE65A" w14:textId="7CC77DF9" w:rsidR="0069198D" w:rsidRPr="0069198D" w:rsidRDefault="0069198D" w:rsidP="0069198D">
      <w:pPr>
        <w:spacing w:before="120" w:after="120"/>
        <w:jc w:val="both"/>
      </w:pPr>
      <w:r w:rsidRPr="0069198D">
        <w:t xml:space="preserve">1. </w:t>
      </w:r>
      <w:r w:rsidRPr="0069198D">
        <w:tab/>
        <w:t xml:space="preserve">Svaka stranka poduzima </w:t>
      </w:r>
      <w:r w:rsidR="007D153C">
        <w:t>one</w:t>
      </w:r>
      <w:r w:rsidRPr="0069198D">
        <w:t xml:space="preserve"> mjere</w:t>
      </w:r>
      <w:r w:rsidR="007D153C">
        <w:t xml:space="preserve"> koje su potrebne</w:t>
      </w:r>
      <w:r w:rsidRPr="0069198D">
        <w:t xml:space="preserve"> kako bi se utvrdilo da prema njezin</w:t>
      </w:r>
      <w:r w:rsidR="0087788A">
        <w:t>om pravu</w:t>
      </w:r>
      <w:r w:rsidRPr="0069198D">
        <w:t xml:space="preserve"> kazneno djelo čini svaka osoba koja namjerno ponudi, obeća ili da bilo kakvu nepripadajuću novčanu ili drugu korist, izravno ili putem posrednika, stranom javnom službeniku, za tog službenika ili za treću stranu, kako bi službenik </w:t>
      </w:r>
      <w:bookmarkStart w:id="8" w:name="_Hlk144539382"/>
      <w:r w:rsidRPr="0069198D">
        <w:t>djelovao ili se suzdržao od djelovanja tijekom obavljanja službenih dužnosti</w:t>
      </w:r>
      <w:bookmarkEnd w:id="8"/>
      <w:r w:rsidRPr="0069198D">
        <w:t xml:space="preserve"> radi pribavljanja ili zadržavanja poslovne ili druge nedopuštene koristi u međunarodnom poslovanju.  </w:t>
      </w:r>
    </w:p>
    <w:p w14:paraId="044B038F" w14:textId="77777777" w:rsidR="0069198D" w:rsidRPr="0069198D" w:rsidRDefault="0069198D" w:rsidP="0069198D">
      <w:pPr>
        <w:spacing w:before="120" w:after="120"/>
        <w:jc w:val="both"/>
      </w:pPr>
      <w:r w:rsidRPr="0069198D">
        <w:t xml:space="preserve">2. </w:t>
      </w:r>
      <w:r w:rsidRPr="0069198D">
        <w:tab/>
        <w:t xml:space="preserve">Svaka stranka poduzima sve potrebne mjere kako bi se utvrdilo da supočiniteljstvo, koje uključuje poticanje, pomaganje, ili odobrenje djela podmićivanja stranog javnog službenika, predstavlja kazneno djelo. Pokušaj podmićivanja i dogovor o podmićivanju stranog javnog službenika predstavljaju kaznena djela u istoj mjeri kao i pokušaj podmićivanja i dogovor o podmićivanju javnog službenika te stranke. </w:t>
      </w:r>
    </w:p>
    <w:p w14:paraId="4CD437E6" w14:textId="77777777" w:rsidR="0069198D" w:rsidRPr="0069198D" w:rsidRDefault="0069198D" w:rsidP="0069198D">
      <w:pPr>
        <w:spacing w:before="120" w:after="120"/>
        <w:jc w:val="both"/>
      </w:pPr>
      <w:r w:rsidRPr="0069198D">
        <w:t xml:space="preserve">3. </w:t>
      </w:r>
      <w:r w:rsidRPr="0069198D">
        <w:tab/>
        <w:t>Kaznena djela navedena u gornjim stavcima 1. i 2. u daljnjem se tekstu navode kao „podmićivanje stranog javnog službenika“.</w:t>
      </w:r>
    </w:p>
    <w:p w14:paraId="0471602E" w14:textId="77777777" w:rsidR="0069198D" w:rsidRPr="0069198D" w:rsidRDefault="0069198D" w:rsidP="0069198D">
      <w:pPr>
        <w:spacing w:before="120" w:after="120"/>
        <w:jc w:val="both"/>
      </w:pPr>
      <w:r w:rsidRPr="0069198D">
        <w:t xml:space="preserve">4. </w:t>
      </w:r>
      <w:r w:rsidRPr="0069198D">
        <w:tab/>
        <w:t>Za potrebe ove Konvencije:</w:t>
      </w:r>
    </w:p>
    <w:p w14:paraId="0C836E3A" w14:textId="4E83A096" w:rsidR="0069198D" w:rsidRPr="0069198D" w:rsidRDefault="0069198D" w:rsidP="0069198D">
      <w:pPr>
        <w:numPr>
          <w:ilvl w:val="0"/>
          <w:numId w:val="7"/>
        </w:numPr>
        <w:spacing w:before="120" w:after="120" w:line="259" w:lineRule="auto"/>
        <w:contextualSpacing/>
        <w:jc w:val="both"/>
      </w:pPr>
      <w:r w:rsidRPr="0069198D">
        <w:t xml:space="preserve">„strani javni službenik“ </w:t>
      </w:r>
      <w:r w:rsidR="0087788A">
        <w:t>označava</w:t>
      </w:r>
      <w:r w:rsidRPr="0069198D">
        <w:t xml:space="preserve"> svak</w:t>
      </w:r>
      <w:r w:rsidR="0087788A">
        <w:t>u</w:t>
      </w:r>
      <w:r w:rsidRPr="0069198D">
        <w:t xml:space="preserve"> osob</w:t>
      </w:r>
      <w:r w:rsidR="0087788A">
        <w:t>u</w:t>
      </w:r>
      <w:r w:rsidRPr="0069198D">
        <w:t xml:space="preserve"> koja obavlja zakonodavnu, upravnu ili pravosudnu službu strane zemlje, bilo da je imenovana ili izabrana; svak</w:t>
      </w:r>
      <w:r w:rsidR="0087788A">
        <w:t>u</w:t>
      </w:r>
      <w:r w:rsidRPr="0069198D">
        <w:t xml:space="preserve"> osob</w:t>
      </w:r>
      <w:r w:rsidR="0087788A">
        <w:t>u</w:t>
      </w:r>
      <w:r w:rsidRPr="0069198D">
        <w:t xml:space="preserve"> koja obavlja javnu službu za stranu zemlju, uključujući i za javno tijelo ili javno poduzeće; i svak</w:t>
      </w:r>
      <w:r w:rsidR="0087788A">
        <w:t>og</w:t>
      </w:r>
      <w:r w:rsidRPr="0069198D">
        <w:t xml:space="preserve"> dužnosnik</w:t>
      </w:r>
      <w:r w:rsidR="0087788A">
        <w:t>a</w:t>
      </w:r>
      <w:r w:rsidRPr="0069198D">
        <w:t xml:space="preserve"> ili službenik</w:t>
      </w:r>
      <w:r w:rsidR="0087788A">
        <w:t>a</w:t>
      </w:r>
      <w:r w:rsidRPr="0069198D">
        <w:t xml:space="preserve"> međunarodne javne organizacije;</w:t>
      </w:r>
    </w:p>
    <w:p w14:paraId="29284C50" w14:textId="77777777" w:rsidR="0069198D" w:rsidRPr="0069198D" w:rsidRDefault="0069198D" w:rsidP="0069198D">
      <w:pPr>
        <w:numPr>
          <w:ilvl w:val="0"/>
          <w:numId w:val="7"/>
        </w:numPr>
        <w:spacing w:before="120" w:after="120" w:line="259" w:lineRule="auto"/>
        <w:contextualSpacing/>
        <w:jc w:val="both"/>
      </w:pPr>
      <w:r w:rsidRPr="0069198D">
        <w:t>„strana zemlja“ uključuje sve razine i jedinice vlasti, od nacionalne do lokalnih;</w:t>
      </w:r>
    </w:p>
    <w:p w14:paraId="0A04571B" w14:textId="77777777" w:rsidR="0069198D" w:rsidRPr="0069198D" w:rsidRDefault="0069198D" w:rsidP="0069198D">
      <w:pPr>
        <w:numPr>
          <w:ilvl w:val="0"/>
          <w:numId w:val="7"/>
        </w:numPr>
        <w:spacing w:before="120" w:after="120" w:line="259" w:lineRule="auto"/>
        <w:contextualSpacing/>
        <w:jc w:val="both"/>
      </w:pPr>
      <w:r w:rsidRPr="0069198D">
        <w:t>„</w:t>
      </w:r>
      <w:r w:rsidR="008C2E11">
        <w:t>djelovati</w:t>
      </w:r>
      <w:r w:rsidRPr="0069198D">
        <w:t xml:space="preserve"> ili suzdrža</w:t>
      </w:r>
      <w:r w:rsidR="008C2E11">
        <w:t xml:space="preserve">ti </w:t>
      </w:r>
      <w:r w:rsidR="00C167EC">
        <w:t xml:space="preserve">se </w:t>
      </w:r>
      <w:r w:rsidRPr="0069198D">
        <w:t xml:space="preserve">od djelovanja tijekom obavljanja službenih dužnosti“ uključuje svako korištenje položaja javnog službenika, bez obzira je li ono u okviru ovlasti službenika ili ne. </w:t>
      </w:r>
    </w:p>
    <w:p w14:paraId="638E6991" w14:textId="77777777" w:rsidR="0069198D" w:rsidRPr="0069198D" w:rsidRDefault="0069198D" w:rsidP="0069198D">
      <w:pPr>
        <w:spacing w:before="120" w:after="120"/>
        <w:jc w:val="center"/>
        <w:rPr>
          <w:b/>
        </w:rPr>
      </w:pPr>
    </w:p>
    <w:p w14:paraId="6974D9CF" w14:textId="77777777" w:rsidR="0069198D" w:rsidRPr="0069198D" w:rsidRDefault="0069198D" w:rsidP="0069198D">
      <w:pPr>
        <w:spacing w:before="120" w:after="120"/>
        <w:jc w:val="center"/>
        <w:rPr>
          <w:b/>
        </w:rPr>
      </w:pPr>
      <w:r w:rsidRPr="0069198D">
        <w:rPr>
          <w:b/>
        </w:rPr>
        <w:t>Članak 2.</w:t>
      </w:r>
    </w:p>
    <w:p w14:paraId="42D4B6E3" w14:textId="77777777" w:rsidR="0069198D" w:rsidRPr="0069198D" w:rsidRDefault="0069198D" w:rsidP="0069198D">
      <w:pPr>
        <w:spacing w:before="120" w:after="120"/>
        <w:jc w:val="center"/>
        <w:rPr>
          <w:b/>
        </w:rPr>
      </w:pPr>
      <w:r w:rsidRPr="0069198D">
        <w:rPr>
          <w:b/>
        </w:rPr>
        <w:t>Odgovornost pravnih osoba</w:t>
      </w:r>
    </w:p>
    <w:p w14:paraId="7578F063" w14:textId="2AB47E13" w:rsidR="0069198D" w:rsidRPr="0069198D" w:rsidRDefault="0069198D" w:rsidP="0069198D">
      <w:pPr>
        <w:spacing w:before="120" w:after="120"/>
        <w:ind w:firstLine="708"/>
        <w:jc w:val="both"/>
      </w:pPr>
      <w:r w:rsidRPr="0069198D">
        <w:lastRenderedPageBreak/>
        <w:t xml:space="preserve">Svaka stranka poduzima </w:t>
      </w:r>
      <w:r w:rsidR="007D153C">
        <w:t>one</w:t>
      </w:r>
      <w:r w:rsidRPr="0069198D">
        <w:t xml:space="preserve"> mjere</w:t>
      </w:r>
      <w:r w:rsidR="007D153C">
        <w:t xml:space="preserve"> koje su potrebne</w:t>
      </w:r>
      <w:r w:rsidRPr="0069198D">
        <w:t>, u skladu s njezinim pravnim načelima, radi utvrđivanja odgovornosti pravnih osoba za podmićivanje stranog javnog službenika.</w:t>
      </w:r>
    </w:p>
    <w:p w14:paraId="3BAB0292" w14:textId="77777777" w:rsidR="0069198D" w:rsidRPr="0069198D" w:rsidRDefault="0069198D" w:rsidP="0069198D">
      <w:pPr>
        <w:spacing w:before="120" w:after="120"/>
        <w:jc w:val="center"/>
        <w:rPr>
          <w:b/>
        </w:rPr>
      </w:pPr>
    </w:p>
    <w:p w14:paraId="2A8E7794" w14:textId="77777777" w:rsidR="0069198D" w:rsidRPr="0069198D" w:rsidRDefault="0069198D" w:rsidP="0069198D">
      <w:pPr>
        <w:spacing w:before="120" w:after="120"/>
        <w:jc w:val="center"/>
        <w:rPr>
          <w:b/>
        </w:rPr>
      </w:pPr>
      <w:r w:rsidRPr="0069198D">
        <w:rPr>
          <w:b/>
        </w:rPr>
        <w:t>Članak 3.</w:t>
      </w:r>
    </w:p>
    <w:p w14:paraId="368E28C1" w14:textId="77777777" w:rsidR="0069198D" w:rsidRPr="0069198D" w:rsidRDefault="0069198D" w:rsidP="0069198D">
      <w:pPr>
        <w:spacing w:before="120" w:after="120"/>
        <w:jc w:val="center"/>
        <w:rPr>
          <w:b/>
        </w:rPr>
      </w:pPr>
      <w:r w:rsidRPr="0069198D">
        <w:rPr>
          <w:b/>
        </w:rPr>
        <w:t>Sankcije</w:t>
      </w:r>
    </w:p>
    <w:p w14:paraId="06BE529A" w14:textId="77777777" w:rsidR="0069198D" w:rsidRPr="0069198D" w:rsidRDefault="0069198D" w:rsidP="0069198D">
      <w:pPr>
        <w:spacing w:before="120" w:after="120"/>
        <w:jc w:val="both"/>
      </w:pPr>
      <w:r w:rsidRPr="0069198D">
        <w:t xml:space="preserve">1. </w:t>
      </w:r>
      <w:r w:rsidRPr="0069198D">
        <w:tab/>
        <w:t>Podmićivanje stranog javnog službenika kažnjava se djelotvornim, razmjernim i odvraćajućim kaznenopravnim kaznama. Raspon kazni usporediv je s onim koji je primjenjiv na podmićivanje javnih službenika stranke i uključuje, u slučaju fizičkih osoba, oduzimanje slobode dostatno za omogućavanje djelotvorne uzajamne pravne pomoći i izručenja.</w:t>
      </w:r>
    </w:p>
    <w:p w14:paraId="4E73934B" w14:textId="695561BC" w:rsidR="0069198D" w:rsidRPr="0069198D" w:rsidRDefault="0069198D" w:rsidP="0069198D">
      <w:pPr>
        <w:spacing w:before="120" w:after="120"/>
        <w:jc w:val="both"/>
      </w:pPr>
      <w:r w:rsidRPr="0069198D">
        <w:t xml:space="preserve">2. </w:t>
      </w:r>
      <w:r w:rsidRPr="0069198D">
        <w:tab/>
        <w:t xml:space="preserve">U slučaju da, prema pravnom </w:t>
      </w:r>
      <w:r w:rsidR="00470CC4">
        <w:t>poretku</w:t>
      </w:r>
      <w:r w:rsidR="00470CC4" w:rsidRPr="0069198D">
        <w:t xml:space="preserve"> </w:t>
      </w:r>
      <w:r w:rsidRPr="0069198D">
        <w:t>stranke, kaznena odgovornost nije primjenjiva na pravne osobe, ta stranka osigurava da pravne osobe podliježu djelotvornim, razmjernim i odvraćajućim nekaznenopravnim sankcijama, uključujući novčane sankcije, za podmićivanje stranih javnih službenika.</w:t>
      </w:r>
    </w:p>
    <w:p w14:paraId="42E68AAC" w14:textId="3165A39F" w:rsidR="0069198D" w:rsidRPr="0069198D" w:rsidRDefault="0069198D" w:rsidP="0069198D">
      <w:pPr>
        <w:spacing w:before="120" w:after="120"/>
        <w:jc w:val="both"/>
      </w:pPr>
      <w:r w:rsidRPr="0069198D">
        <w:t xml:space="preserve">3. </w:t>
      </w:r>
      <w:r w:rsidRPr="0069198D">
        <w:tab/>
        <w:t>Svaka stranka poduzim</w:t>
      </w:r>
      <w:r w:rsidR="007D153C">
        <w:t>a</w:t>
      </w:r>
      <w:r w:rsidRPr="0069198D">
        <w:t xml:space="preserve"> </w:t>
      </w:r>
      <w:r w:rsidR="007D153C">
        <w:t xml:space="preserve">one </w:t>
      </w:r>
      <w:r w:rsidRPr="0069198D">
        <w:t>mjere</w:t>
      </w:r>
      <w:r w:rsidR="007D153C">
        <w:t xml:space="preserve"> koje su potrebne</w:t>
      </w:r>
      <w:r w:rsidRPr="0069198D">
        <w:t xml:space="preserve"> kako bi osigurala da mito i prihod od podmićivanja stranog javnog službenika, ili imovina čija vrijednost odgovara vrijednosti takvog prihoda, podliježu privremenom oduzimanju i oduzimanju ili da su primjenjive novčane sankcije usporedivog učinka.</w:t>
      </w:r>
    </w:p>
    <w:p w14:paraId="2162CDF1" w14:textId="77777777" w:rsidR="0069198D" w:rsidRPr="0069198D" w:rsidRDefault="0069198D" w:rsidP="0069198D">
      <w:pPr>
        <w:spacing w:before="120" w:after="120"/>
        <w:jc w:val="both"/>
      </w:pPr>
      <w:r w:rsidRPr="0069198D">
        <w:t xml:space="preserve">4. </w:t>
      </w:r>
      <w:r w:rsidRPr="0069198D">
        <w:tab/>
        <w:t>Svaka stranka razmatra izricanje dodatnih građanskopravnih ili upravnopravnih sankcija osobi koja podliježe sankcijama za podmićivanje stranog javnog službenika.</w:t>
      </w:r>
    </w:p>
    <w:p w14:paraId="668347C7" w14:textId="77777777" w:rsidR="0069198D" w:rsidRPr="0069198D" w:rsidRDefault="0069198D" w:rsidP="0069198D">
      <w:pPr>
        <w:spacing w:before="120" w:after="120"/>
        <w:jc w:val="both"/>
      </w:pPr>
    </w:p>
    <w:p w14:paraId="55658418" w14:textId="77777777" w:rsidR="0069198D" w:rsidRDefault="0069198D" w:rsidP="0069198D">
      <w:pPr>
        <w:spacing w:before="120" w:after="120"/>
        <w:jc w:val="center"/>
        <w:rPr>
          <w:b/>
        </w:rPr>
      </w:pPr>
    </w:p>
    <w:p w14:paraId="32896EA7" w14:textId="77777777" w:rsidR="0069198D" w:rsidRDefault="0069198D" w:rsidP="0069198D">
      <w:pPr>
        <w:spacing w:before="120" w:after="120"/>
        <w:jc w:val="center"/>
        <w:rPr>
          <w:b/>
        </w:rPr>
      </w:pPr>
    </w:p>
    <w:p w14:paraId="5D66BFA7" w14:textId="77777777" w:rsidR="0069198D" w:rsidRDefault="0069198D" w:rsidP="0069198D">
      <w:pPr>
        <w:spacing w:before="120" w:after="120"/>
        <w:jc w:val="center"/>
        <w:rPr>
          <w:b/>
        </w:rPr>
      </w:pPr>
    </w:p>
    <w:p w14:paraId="49D35258" w14:textId="77777777" w:rsidR="0069198D" w:rsidRPr="0069198D" w:rsidRDefault="0069198D" w:rsidP="0069198D">
      <w:pPr>
        <w:spacing w:before="120" w:after="120"/>
        <w:jc w:val="center"/>
        <w:rPr>
          <w:b/>
        </w:rPr>
      </w:pPr>
      <w:r w:rsidRPr="0069198D">
        <w:rPr>
          <w:b/>
        </w:rPr>
        <w:t>Članak 4.</w:t>
      </w:r>
    </w:p>
    <w:p w14:paraId="4B0ACA4B" w14:textId="77777777" w:rsidR="0069198D" w:rsidRPr="0069198D" w:rsidRDefault="0069198D" w:rsidP="0069198D">
      <w:pPr>
        <w:spacing w:before="120" w:after="120"/>
        <w:jc w:val="center"/>
        <w:rPr>
          <w:b/>
        </w:rPr>
      </w:pPr>
      <w:r w:rsidRPr="0069198D">
        <w:rPr>
          <w:b/>
        </w:rPr>
        <w:t>Nadležnost</w:t>
      </w:r>
    </w:p>
    <w:p w14:paraId="77FF6E4B" w14:textId="2342D910" w:rsidR="0069198D" w:rsidRPr="0069198D" w:rsidRDefault="0069198D" w:rsidP="0069198D">
      <w:pPr>
        <w:spacing w:before="120" w:after="120"/>
        <w:jc w:val="both"/>
      </w:pPr>
      <w:r w:rsidRPr="0069198D">
        <w:t xml:space="preserve">1. </w:t>
      </w:r>
      <w:r w:rsidRPr="0069198D">
        <w:tab/>
        <w:t xml:space="preserve">Svaka stranka poduzima </w:t>
      </w:r>
      <w:r w:rsidR="007D153C">
        <w:t>one</w:t>
      </w:r>
      <w:r w:rsidRPr="0069198D">
        <w:t xml:space="preserve"> mjere </w:t>
      </w:r>
      <w:r w:rsidR="007D153C">
        <w:t xml:space="preserve">koje su potrebne </w:t>
      </w:r>
      <w:r w:rsidRPr="0069198D">
        <w:t>radi uspostave svoje nadležnosti za kazneno djelo podmićivanja stranog javnog službenika kada je ono počinjeno u cijelosti ili djelomično na njezinom državnom području.</w:t>
      </w:r>
    </w:p>
    <w:p w14:paraId="1D37254A" w14:textId="22AA08A1" w:rsidR="0069198D" w:rsidRPr="0069198D" w:rsidRDefault="0069198D" w:rsidP="0069198D">
      <w:pPr>
        <w:spacing w:before="120" w:after="120"/>
        <w:jc w:val="both"/>
      </w:pPr>
      <w:r w:rsidRPr="0069198D">
        <w:t xml:space="preserve">2. </w:t>
      </w:r>
      <w:r w:rsidRPr="0069198D">
        <w:tab/>
        <w:t xml:space="preserve">Svaka stranka koja ima nadležnost za kazneni progon svojih državljana za kaznena djela počinjena u inozemstvu poduzima </w:t>
      </w:r>
      <w:r w:rsidR="007D153C">
        <w:t>one</w:t>
      </w:r>
      <w:r w:rsidRPr="0069198D">
        <w:t xml:space="preserve"> mjere </w:t>
      </w:r>
      <w:r w:rsidR="007D153C">
        <w:t xml:space="preserve">koje su potrebne </w:t>
      </w:r>
      <w:r w:rsidRPr="0069198D">
        <w:t xml:space="preserve">radi </w:t>
      </w:r>
      <w:r w:rsidRPr="0069198D">
        <w:lastRenderedPageBreak/>
        <w:t>uspostave takve nadležnosti i u pogledu podmićivanja stranog javnog službenika, prema istim načelima.</w:t>
      </w:r>
    </w:p>
    <w:p w14:paraId="679E4D0A" w14:textId="77777777" w:rsidR="0069198D" w:rsidRPr="0069198D" w:rsidRDefault="0069198D" w:rsidP="0069198D">
      <w:pPr>
        <w:spacing w:before="120" w:after="120"/>
        <w:jc w:val="both"/>
      </w:pPr>
      <w:r w:rsidRPr="0069198D">
        <w:t xml:space="preserve">3. </w:t>
      </w:r>
      <w:r w:rsidRPr="0069198D">
        <w:tab/>
        <w:t xml:space="preserve">Kada više od jedne stranke ima nadležnost za navodno kazneno djelo opisano u ovoj Konvenciji, uključene stranke međusobno se savjetuju, na zahtjev jedne </w:t>
      </w:r>
      <w:r w:rsidR="00766551">
        <w:t>od njih</w:t>
      </w:r>
      <w:r w:rsidRPr="0069198D">
        <w:t xml:space="preserve">, </w:t>
      </w:r>
      <w:bookmarkStart w:id="9" w:name="_Hlk146291244"/>
      <w:r w:rsidRPr="0069198D">
        <w:t>radi određivanja najprikladnije nadležnosti za kazneni progon</w:t>
      </w:r>
      <w:bookmarkEnd w:id="9"/>
      <w:r w:rsidRPr="0069198D">
        <w:t>.</w:t>
      </w:r>
    </w:p>
    <w:p w14:paraId="3EFE6B93" w14:textId="77777777" w:rsidR="0069198D" w:rsidRPr="0069198D" w:rsidRDefault="0069198D" w:rsidP="0069198D">
      <w:pPr>
        <w:spacing w:before="120" w:after="120"/>
        <w:jc w:val="both"/>
      </w:pPr>
      <w:r w:rsidRPr="0069198D">
        <w:t xml:space="preserve">4. </w:t>
      </w:r>
      <w:r w:rsidRPr="0069198D">
        <w:tab/>
        <w:t>Svaka stranka preispituje je li njezin postojeći temelj za nadležnost djelotvoran u borbi protiv podmićivanja stranih javnih službenika te, ako nije, poduzima korektivne mjere.</w:t>
      </w:r>
    </w:p>
    <w:p w14:paraId="4171B24E" w14:textId="77777777" w:rsidR="0069198D" w:rsidRPr="0069198D" w:rsidRDefault="0069198D" w:rsidP="0069198D">
      <w:pPr>
        <w:spacing w:before="120" w:after="120"/>
        <w:jc w:val="both"/>
      </w:pPr>
    </w:p>
    <w:p w14:paraId="41D23440" w14:textId="77777777" w:rsidR="0069198D" w:rsidRPr="0069198D" w:rsidRDefault="0069198D" w:rsidP="0069198D">
      <w:pPr>
        <w:spacing w:before="120" w:after="120"/>
        <w:jc w:val="center"/>
        <w:rPr>
          <w:b/>
        </w:rPr>
      </w:pPr>
      <w:r w:rsidRPr="0069198D">
        <w:rPr>
          <w:b/>
        </w:rPr>
        <w:t>Članak 5.</w:t>
      </w:r>
    </w:p>
    <w:p w14:paraId="382B53E4" w14:textId="77777777" w:rsidR="0069198D" w:rsidRPr="0069198D" w:rsidRDefault="0069198D" w:rsidP="0069198D">
      <w:pPr>
        <w:spacing w:before="120" w:after="120"/>
        <w:jc w:val="center"/>
        <w:rPr>
          <w:b/>
        </w:rPr>
      </w:pPr>
      <w:r w:rsidRPr="0069198D">
        <w:rPr>
          <w:b/>
        </w:rPr>
        <w:t>Provedba</w:t>
      </w:r>
    </w:p>
    <w:p w14:paraId="713E2718" w14:textId="77777777" w:rsidR="0069198D" w:rsidRPr="0069198D" w:rsidRDefault="0069198D" w:rsidP="0069198D">
      <w:pPr>
        <w:spacing w:before="120" w:after="120"/>
        <w:ind w:firstLine="708"/>
        <w:jc w:val="both"/>
      </w:pPr>
      <w:r w:rsidRPr="0069198D">
        <w:t>Istraga i kazneni progon podmićivanja stranog javnog službenika podliježu primjenjivim pravilima i načelima svake stranke. Na njih ne smiju utjecati razlozi nacionalnog gospodarskog interesa, mogući učinak na odnose s drugom državom ili identitet uključenih fizičkih ili pravnih osoba.</w:t>
      </w:r>
    </w:p>
    <w:p w14:paraId="786EB8AE" w14:textId="77777777" w:rsidR="0069198D" w:rsidRPr="0069198D" w:rsidRDefault="0069198D" w:rsidP="0069198D">
      <w:pPr>
        <w:spacing w:before="120" w:after="120"/>
        <w:jc w:val="both"/>
      </w:pPr>
    </w:p>
    <w:p w14:paraId="4AAFD9E1" w14:textId="77777777" w:rsidR="0069198D" w:rsidRPr="0069198D" w:rsidRDefault="0069198D" w:rsidP="0069198D">
      <w:pPr>
        <w:spacing w:before="120" w:after="120"/>
        <w:jc w:val="center"/>
        <w:rPr>
          <w:b/>
        </w:rPr>
      </w:pPr>
      <w:r w:rsidRPr="0069198D">
        <w:rPr>
          <w:b/>
        </w:rPr>
        <w:t>Članak 6.</w:t>
      </w:r>
    </w:p>
    <w:p w14:paraId="57467184" w14:textId="77777777" w:rsidR="0069198D" w:rsidRPr="0069198D" w:rsidRDefault="0069198D" w:rsidP="0069198D">
      <w:pPr>
        <w:spacing w:before="120" w:after="120"/>
        <w:jc w:val="center"/>
        <w:rPr>
          <w:b/>
        </w:rPr>
      </w:pPr>
      <w:r w:rsidRPr="0069198D">
        <w:rPr>
          <w:b/>
        </w:rPr>
        <w:t>Zastara</w:t>
      </w:r>
    </w:p>
    <w:p w14:paraId="447DBA8E" w14:textId="7019C361" w:rsidR="0069198D" w:rsidRPr="0069198D" w:rsidRDefault="0069198D" w:rsidP="0069198D">
      <w:pPr>
        <w:spacing w:before="120" w:after="120"/>
        <w:ind w:firstLine="708"/>
        <w:jc w:val="both"/>
      </w:pPr>
      <w:r w:rsidRPr="0069198D">
        <w:t xml:space="preserve">Svaki rok zastare primjenjiv na kazneno djelo podmićivanja stranog javnog službenika </w:t>
      </w:r>
      <w:r w:rsidR="00470CC4">
        <w:t>omogućava</w:t>
      </w:r>
      <w:r w:rsidRPr="0069198D">
        <w:t xml:space="preserve"> dovoljno dug rok za istragu i kazneni progon ovog kaznenog djela.</w:t>
      </w:r>
    </w:p>
    <w:p w14:paraId="266ABF1E" w14:textId="77777777" w:rsidR="0069198D" w:rsidRPr="0069198D" w:rsidRDefault="0069198D" w:rsidP="0069198D">
      <w:pPr>
        <w:spacing w:before="120" w:after="120"/>
        <w:jc w:val="center"/>
      </w:pPr>
    </w:p>
    <w:p w14:paraId="68329A18" w14:textId="77777777" w:rsidR="0069198D" w:rsidRPr="0069198D" w:rsidRDefault="0069198D" w:rsidP="0069198D">
      <w:pPr>
        <w:spacing w:before="120" w:after="120"/>
        <w:jc w:val="center"/>
        <w:rPr>
          <w:b/>
        </w:rPr>
      </w:pPr>
      <w:r w:rsidRPr="0069198D">
        <w:rPr>
          <w:b/>
        </w:rPr>
        <w:t>Članak 7.</w:t>
      </w:r>
    </w:p>
    <w:p w14:paraId="784E6D65" w14:textId="77777777" w:rsidR="0069198D" w:rsidRPr="0069198D" w:rsidRDefault="0069198D" w:rsidP="0069198D">
      <w:pPr>
        <w:tabs>
          <w:tab w:val="left" w:pos="2268"/>
        </w:tabs>
        <w:spacing w:before="120" w:after="120"/>
        <w:jc w:val="center"/>
        <w:rPr>
          <w:b/>
        </w:rPr>
      </w:pPr>
      <w:r w:rsidRPr="0069198D">
        <w:rPr>
          <w:b/>
        </w:rPr>
        <w:t>Pranje novca</w:t>
      </w:r>
    </w:p>
    <w:p w14:paraId="73C7C45C" w14:textId="77777777" w:rsidR="0069198D" w:rsidRPr="0069198D" w:rsidRDefault="0069198D" w:rsidP="0069198D">
      <w:pPr>
        <w:spacing w:before="120" w:after="120"/>
        <w:jc w:val="both"/>
      </w:pPr>
      <w:r w:rsidRPr="0069198D">
        <w:tab/>
        <w:t>Svaka stranka koja je podmićivanje</w:t>
      </w:r>
      <w:r w:rsidR="00766551">
        <w:t xml:space="preserve"> njezinog</w:t>
      </w:r>
      <w:r w:rsidRPr="0069198D">
        <w:t xml:space="preserve"> javnog službenika proglasila predikatnim kaznenim djelom u svrhu primjene njezinog zakonodavstva o pranju novca čini to pod istim uvjetima i za podmićivanje stranog javnog službenika, bez obzira na mjesto gdje se podmićivanje dogodilo.</w:t>
      </w:r>
    </w:p>
    <w:p w14:paraId="51C4E340" w14:textId="77777777" w:rsidR="0069198D" w:rsidRPr="0069198D" w:rsidRDefault="0069198D" w:rsidP="0069198D">
      <w:pPr>
        <w:spacing w:before="120" w:after="120"/>
        <w:jc w:val="both"/>
      </w:pPr>
    </w:p>
    <w:p w14:paraId="094EE266" w14:textId="77777777" w:rsidR="0069198D" w:rsidRPr="0069198D" w:rsidRDefault="0069198D" w:rsidP="0069198D">
      <w:pPr>
        <w:spacing w:before="120" w:after="120"/>
        <w:jc w:val="center"/>
        <w:rPr>
          <w:b/>
        </w:rPr>
      </w:pPr>
      <w:r w:rsidRPr="0069198D">
        <w:rPr>
          <w:b/>
        </w:rPr>
        <w:t>Članak 8.</w:t>
      </w:r>
    </w:p>
    <w:p w14:paraId="325015DB" w14:textId="77777777" w:rsidR="0069198D" w:rsidRPr="0069198D" w:rsidRDefault="0069198D" w:rsidP="0069198D">
      <w:pPr>
        <w:spacing w:before="120" w:after="120"/>
        <w:jc w:val="center"/>
        <w:rPr>
          <w:b/>
        </w:rPr>
      </w:pPr>
      <w:r w:rsidRPr="0069198D">
        <w:rPr>
          <w:b/>
        </w:rPr>
        <w:t>Računovodstvo</w:t>
      </w:r>
    </w:p>
    <w:p w14:paraId="4563523E" w14:textId="2769579A" w:rsidR="0069198D" w:rsidRPr="0069198D" w:rsidRDefault="0069198D" w:rsidP="0069198D">
      <w:pPr>
        <w:spacing w:before="120" w:after="120"/>
        <w:jc w:val="both"/>
      </w:pPr>
      <w:r w:rsidRPr="0069198D">
        <w:lastRenderedPageBreak/>
        <w:t xml:space="preserve">1. </w:t>
      </w:r>
      <w:r w:rsidRPr="0069198D">
        <w:tab/>
        <w:t xml:space="preserve">S ciljem djelotvorne borbe protiv podmićivanja stranih javnih službenika, svaka stranka poduzima </w:t>
      </w:r>
      <w:r w:rsidR="007678EB">
        <w:t>one</w:t>
      </w:r>
      <w:r w:rsidRPr="0069198D">
        <w:t xml:space="preserve"> mjere</w:t>
      </w:r>
      <w:r w:rsidR="007678EB">
        <w:t xml:space="preserve"> koje su potrebne</w:t>
      </w:r>
      <w:r w:rsidRPr="0069198D">
        <w:t>, u okviru njezinih zakona i propisa u vezi s vođenjem računovodstvene dokumentacije i evidencija, objavljivanjem financijskih izvještaja te računovodstvenim i revizijskim standardima, radi zabrane uvođenja neevidentiranih računa, obavljanja neevidentiranih ili nedovoljno identificiranih transakcija, evidentiranja nepostojećih rashoda, unosa pasive s neispravnom identifikacijom predmeta, kao i uporabe lažnih isprava od strane trgovačkih društava koja podliježu tim zakonima i propisima u svrhu podmićivanja stranih javnih službenika ili skrivanja takvog podmićivanja.</w:t>
      </w:r>
    </w:p>
    <w:p w14:paraId="0E56ECA4" w14:textId="77777777" w:rsidR="0069198D" w:rsidRPr="0069198D" w:rsidRDefault="0069198D" w:rsidP="0069198D">
      <w:pPr>
        <w:spacing w:before="120" w:after="120"/>
        <w:jc w:val="both"/>
      </w:pPr>
      <w:r w:rsidRPr="0069198D">
        <w:t xml:space="preserve">2. </w:t>
      </w:r>
      <w:r w:rsidRPr="0069198D">
        <w:tab/>
        <w:t>Svaka stranka osigurava djelotvorne, razmjerne i odvraćajuće građanskopravne, upravnopravne ili kaznenopravne kazne za takve propuste i krivotvorenja u vezi s računovodstvenom dokumentacijom, evidencijama, računima i financijskim izvještajima takvih trgovačkih društava.</w:t>
      </w:r>
    </w:p>
    <w:p w14:paraId="37C11A6F" w14:textId="77777777" w:rsidR="0069198D" w:rsidRPr="0069198D" w:rsidRDefault="0069198D" w:rsidP="0069198D">
      <w:pPr>
        <w:spacing w:before="120" w:after="120"/>
        <w:jc w:val="both"/>
      </w:pPr>
    </w:p>
    <w:p w14:paraId="061FD969" w14:textId="77777777" w:rsidR="0069198D" w:rsidRPr="0069198D" w:rsidRDefault="0069198D" w:rsidP="0069198D">
      <w:pPr>
        <w:spacing w:before="120" w:after="120"/>
        <w:jc w:val="center"/>
        <w:rPr>
          <w:b/>
        </w:rPr>
      </w:pPr>
      <w:r w:rsidRPr="0069198D">
        <w:rPr>
          <w:b/>
        </w:rPr>
        <w:t>Članak 9.</w:t>
      </w:r>
    </w:p>
    <w:p w14:paraId="0EE456C2" w14:textId="77777777" w:rsidR="0069198D" w:rsidRPr="0069198D" w:rsidRDefault="0069198D" w:rsidP="0069198D">
      <w:pPr>
        <w:spacing w:before="120" w:after="120"/>
        <w:jc w:val="center"/>
        <w:rPr>
          <w:b/>
        </w:rPr>
      </w:pPr>
      <w:r w:rsidRPr="0069198D">
        <w:rPr>
          <w:b/>
        </w:rPr>
        <w:t>Uzajamna pravna pomoć</w:t>
      </w:r>
    </w:p>
    <w:p w14:paraId="68E0FA22" w14:textId="0F527010" w:rsidR="0069198D" w:rsidRPr="0069198D" w:rsidRDefault="0069198D" w:rsidP="0069198D">
      <w:pPr>
        <w:spacing w:before="120" w:after="120"/>
        <w:jc w:val="both"/>
      </w:pPr>
      <w:r w:rsidRPr="0069198D">
        <w:t xml:space="preserve">1. </w:t>
      </w:r>
      <w:r w:rsidRPr="0069198D">
        <w:tab/>
        <w:t>Svaka stranka, u najvećoj mogućoj mjeri, u skladu sa svojim zakonima i odgovarajućim međunarodnim ugovorima i dogovorima, pruža brzu i djelotvornu pravnu pomoć drugoj stranci u svrhu kaznenih istraga i postupaka koje je ta stranka pokrenula u vezi s kaznenim djelima</w:t>
      </w:r>
      <w:r w:rsidR="00523415">
        <w:t xml:space="preserve"> obuhvaćenim područjem </w:t>
      </w:r>
      <w:r w:rsidRPr="0069198D">
        <w:t>primjene ove Konvencije i nekaznenih postupaka iz područja primjene ove Konvencije koje je ta stranka pokrenula protiv pravne osobe. Zamoljena stranka bez odgode obavješćuje  stranku moliteljicu o svim dodatnim informacijama ili dokumentima koji su joj potrebni uz zahtjev za pomoć i, ako je to zatraženo, o statusu i ishodu zahtjeva za pomoć.</w:t>
      </w:r>
    </w:p>
    <w:p w14:paraId="19E8EA42" w14:textId="20D0D7C6" w:rsidR="0069198D" w:rsidRPr="0069198D" w:rsidRDefault="0069198D" w:rsidP="0069198D">
      <w:pPr>
        <w:spacing w:before="120" w:after="120"/>
        <w:jc w:val="both"/>
      </w:pPr>
      <w:r w:rsidRPr="0069198D">
        <w:t xml:space="preserve">2. </w:t>
      </w:r>
      <w:r w:rsidRPr="0069198D">
        <w:tab/>
        <w:t xml:space="preserve">Ako stranka uvjetuje uzajamnu pravnu pomoć postojanjem dvostruke kažnjivosti, smatra se da dvostruka kažnjivost postoji ako je kazneno djelo za koje se pomoć traži </w:t>
      </w:r>
      <w:r w:rsidR="00523415">
        <w:t>obuhvaćeno</w:t>
      </w:r>
      <w:r w:rsidRPr="0069198D">
        <w:t xml:space="preserve"> područj</w:t>
      </w:r>
      <w:r w:rsidR="00523415">
        <w:t>em</w:t>
      </w:r>
      <w:r w:rsidRPr="0069198D">
        <w:t xml:space="preserve"> primjene ove Konvencije.</w:t>
      </w:r>
    </w:p>
    <w:p w14:paraId="176F9BC7" w14:textId="22093A07" w:rsidR="0069198D" w:rsidRPr="0069198D" w:rsidRDefault="0069198D" w:rsidP="0069198D">
      <w:pPr>
        <w:spacing w:before="120" w:after="120"/>
        <w:jc w:val="both"/>
      </w:pPr>
      <w:r w:rsidRPr="0069198D">
        <w:t xml:space="preserve">3. </w:t>
      </w:r>
      <w:r w:rsidRPr="0069198D">
        <w:tab/>
        <w:t xml:space="preserve">Stranka neće odbiti pružanje uzajamne pravne pomoći u kaznenim stvarima </w:t>
      </w:r>
      <w:r w:rsidR="00523415">
        <w:t xml:space="preserve">obuhvaćenim </w:t>
      </w:r>
      <w:r w:rsidRPr="0069198D">
        <w:t>područj</w:t>
      </w:r>
      <w:r w:rsidR="00523415">
        <w:t>em</w:t>
      </w:r>
      <w:r w:rsidRPr="0069198D">
        <w:t xml:space="preserve"> primjene ove Konvencije na temelju bankovne tajne. </w:t>
      </w:r>
    </w:p>
    <w:p w14:paraId="2FB7E4CE" w14:textId="77777777" w:rsidR="0069198D" w:rsidRPr="0069198D" w:rsidRDefault="0069198D" w:rsidP="0069198D">
      <w:pPr>
        <w:spacing w:before="120" w:after="120"/>
        <w:jc w:val="both"/>
      </w:pPr>
    </w:p>
    <w:p w14:paraId="3CD17F90" w14:textId="77777777" w:rsidR="0069198D" w:rsidRPr="0069198D" w:rsidRDefault="0069198D" w:rsidP="0069198D">
      <w:pPr>
        <w:spacing w:before="120" w:after="120"/>
        <w:jc w:val="center"/>
        <w:rPr>
          <w:b/>
        </w:rPr>
      </w:pPr>
      <w:r w:rsidRPr="0069198D">
        <w:rPr>
          <w:b/>
        </w:rPr>
        <w:t>Članak 10.</w:t>
      </w:r>
    </w:p>
    <w:p w14:paraId="4C179127" w14:textId="77777777" w:rsidR="0069198D" w:rsidRPr="0069198D" w:rsidRDefault="0069198D" w:rsidP="0069198D">
      <w:pPr>
        <w:spacing w:before="120" w:after="120"/>
        <w:jc w:val="center"/>
        <w:rPr>
          <w:b/>
        </w:rPr>
      </w:pPr>
      <w:r w:rsidRPr="0069198D">
        <w:rPr>
          <w:b/>
        </w:rPr>
        <w:t>Izručenje</w:t>
      </w:r>
    </w:p>
    <w:p w14:paraId="3F2856D7" w14:textId="77777777" w:rsidR="0069198D" w:rsidRPr="0069198D" w:rsidRDefault="0069198D" w:rsidP="0069198D">
      <w:pPr>
        <w:spacing w:before="120" w:after="120"/>
        <w:jc w:val="both"/>
      </w:pPr>
      <w:r w:rsidRPr="0069198D">
        <w:lastRenderedPageBreak/>
        <w:t xml:space="preserve">1. </w:t>
      </w:r>
      <w:r w:rsidRPr="0069198D">
        <w:tab/>
        <w:t>Smatra se da je podmićivanje stranog javnog službenika obuhvaćeno kaznenim djelima koja podliježu izručenju prema zakonima stranaka i međunarodnim ugovorima o izručenju između njih.</w:t>
      </w:r>
    </w:p>
    <w:p w14:paraId="09984F80" w14:textId="77777777" w:rsidR="0069198D" w:rsidRPr="0069198D" w:rsidRDefault="0069198D" w:rsidP="0069198D">
      <w:pPr>
        <w:spacing w:before="120" w:after="120"/>
        <w:jc w:val="both"/>
      </w:pPr>
      <w:r w:rsidRPr="0069198D">
        <w:t xml:space="preserve">2. </w:t>
      </w:r>
      <w:r w:rsidRPr="0069198D">
        <w:tab/>
        <w:t>Ako stranka koja izručenje uvjetuje</w:t>
      </w:r>
      <w:r w:rsidR="00D919F6">
        <w:t xml:space="preserve"> </w:t>
      </w:r>
      <w:r w:rsidRPr="0069198D">
        <w:t>postojanjem međunarodnog ugovora o izručenju primi zahtjev za izručenje od druge stranke s kojom nema međunarodni ugovor o izručenju, može ovu Konvenciju smatrati pravnim temeljem za izručenje u odnosu na kazneno djelo podmićivanja stranog javnog službenika.</w:t>
      </w:r>
    </w:p>
    <w:p w14:paraId="332E895D" w14:textId="77777777" w:rsidR="0069198D" w:rsidRPr="0069198D" w:rsidRDefault="0069198D" w:rsidP="0069198D">
      <w:pPr>
        <w:spacing w:before="120" w:after="120"/>
        <w:jc w:val="both"/>
      </w:pPr>
      <w:r w:rsidRPr="0069198D">
        <w:t xml:space="preserve">3. </w:t>
      </w:r>
      <w:r w:rsidRPr="0069198D">
        <w:tab/>
        <w:t>Svaka stranka poduzima sve potrebne mjere kako bi osigurala da može izručiti svoje državljane ili da može kazneno goniti svoje državljane za kazneno djelo podmićivanja stranog javnog službenika. Stranka koja odbije zahtjev za izručenje osobe zbog podmićivanja stranog javnog službenika samo na temelju toga što je ta osoba njezin državljanin, predmet podnosi njezinim nadležnim tijelima radi kaznenog progona.</w:t>
      </w:r>
    </w:p>
    <w:p w14:paraId="1B58808A" w14:textId="4DB300E7" w:rsidR="0069198D" w:rsidRPr="0069198D" w:rsidRDefault="0069198D" w:rsidP="0069198D">
      <w:pPr>
        <w:spacing w:before="120" w:after="120"/>
        <w:jc w:val="both"/>
      </w:pPr>
      <w:r w:rsidRPr="0069198D">
        <w:t xml:space="preserve">4. </w:t>
      </w:r>
      <w:r w:rsidRPr="0069198D">
        <w:tab/>
        <w:t xml:space="preserve">Izručenje zbog podmićivanja stranog javnog službenika podliježe uvjetima utvrđenima u domaćem pravu te primjenjivim međunarodnim ugovorima i dogovorima svake stranke. Ako stranka uvjetuje izručenje postojanjem dvostruke kažnjivosti, taj se uvjet smatra ispunjenim ako je kazneno djelo za koje se traži izručenje </w:t>
      </w:r>
      <w:r w:rsidR="00523415">
        <w:t>obuhvaćeno</w:t>
      </w:r>
      <w:r w:rsidRPr="0069198D">
        <w:t xml:space="preserve"> područj</w:t>
      </w:r>
      <w:r w:rsidR="00523415">
        <w:t>em</w:t>
      </w:r>
      <w:r w:rsidRPr="0069198D">
        <w:t xml:space="preserve"> primjene članka 1. ove Konvencije.</w:t>
      </w:r>
    </w:p>
    <w:p w14:paraId="2D47FA1D" w14:textId="77777777" w:rsidR="0069198D" w:rsidRPr="0069198D" w:rsidRDefault="0069198D" w:rsidP="0069198D">
      <w:pPr>
        <w:spacing w:before="120" w:after="120"/>
        <w:jc w:val="center"/>
        <w:rPr>
          <w:b/>
        </w:rPr>
      </w:pPr>
    </w:p>
    <w:p w14:paraId="3D52E50E" w14:textId="77777777" w:rsidR="0069198D" w:rsidRPr="0069198D" w:rsidRDefault="0069198D" w:rsidP="0069198D">
      <w:pPr>
        <w:spacing w:before="120" w:after="120"/>
        <w:jc w:val="center"/>
        <w:rPr>
          <w:b/>
        </w:rPr>
      </w:pPr>
      <w:r w:rsidRPr="0069198D">
        <w:rPr>
          <w:b/>
        </w:rPr>
        <w:t>Članak 11.</w:t>
      </w:r>
    </w:p>
    <w:p w14:paraId="302A1E9B" w14:textId="77777777" w:rsidR="0069198D" w:rsidRPr="0069198D" w:rsidRDefault="0069198D" w:rsidP="0069198D">
      <w:pPr>
        <w:spacing w:before="120" w:after="120"/>
        <w:jc w:val="center"/>
        <w:rPr>
          <w:b/>
        </w:rPr>
      </w:pPr>
      <w:r w:rsidRPr="0069198D">
        <w:rPr>
          <w:b/>
        </w:rPr>
        <w:t>Nadležna tijela</w:t>
      </w:r>
    </w:p>
    <w:p w14:paraId="5AE4F5F3" w14:textId="77777777" w:rsidR="0069198D" w:rsidRPr="0069198D" w:rsidRDefault="0069198D" w:rsidP="0069198D">
      <w:pPr>
        <w:spacing w:before="120" w:after="120"/>
        <w:ind w:firstLine="708"/>
        <w:jc w:val="both"/>
      </w:pPr>
      <w:bookmarkStart w:id="10" w:name="_Hlk146289892"/>
      <w:bookmarkStart w:id="11" w:name="_Hlk146290848"/>
      <w:r w:rsidRPr="0069198D">
        <w:t xml:space="preserve">Za potrebe članka 4. stavka 3. o savjetovanju, članka 9. o uzajamnoj pravnoj pomoći i članka 10. o izručenju, svaka stranka obavješćuje </w:t>
      </w:r>
      <w:bookmarkStart w:id="12" w:name="_Hlk146289843"/>
      <w:r w:rsidRPr="0069198D">
        <w:t xml:space="preserve">glavnog tajnika OECD-a </w:t>
      </w:r>
      <w:bookmarkEnd w:id="12"/>
      <w:r w:rsidRPr="0069198D">
        <w:t>o tijelu ili tijelima nadležnim za podnošenje i primanje zahtjeva, koja služe kao komunikacijski kanal te stranke za ta pitanja, ne dovodeći u pitanje druge dogovore između stranaka</w:t>
      </w:r>
      <w:bookmarkEnd w:id="10"/>
      <w:r w:rsidRPr="0069198D">
        <w:t>.</w:t>
      </w:r>
    </w:p>
    <w:bookmarkEnd w:id="11"/>
    <w:p w14:paraId="1CBC5CB9" w14:textId="77777777" w:rsidR="0069198D" w:rsidRPr="0069198D" w:rsidRDefault="0069198D" w:rsidP="0069198D">
      <w:pPr>
        <w:spacing w:before="120" w:after="120"/>
        <w:jc w:val="both"/>
      </w:pPr>
    </w:p>
    <w:p w14:paraId="013DD8D6" w14:textId="77777777" w:rsidR="0069198D" w:rsidRPr="0069198D" w:rsidRDefault="0069198D" w:rsidP="0069198D">
      <w:pPr>
        <w:spacing w:before="120" w:after="120"/>
        <w:jc w:val="center"/>
        <w:rPr>
          <w:b/>
        </w:rPr>
      </w:pPr>
      <w:r w:rsidRPr="0069198D">
        <w:rPr>
          <w:b/>
        </w:rPr>
        <w:t>Članak 12.</w:t>
      </w:r>
    </w:p>
    <w:p w14:paraId="3CB442FD" w14:textId="77777777" w:rsidR="0069198D" w:rsidRPr="0069198D" w:rsidRDefault="0069198D" w:rsidP="0069198D">
      <w:pPr>
        <w:spacing w:before="120" w:after="120"/>
        <w:jc w:val="center"/>
        <w:rPr>
          <w:b/>
        </w:rPr>
      </w:pPr>
      <w:r w:rsidRPr="0069198D">
        <w:rPr>
          <w:b/>
        </w:rPr>
        <w:t>Nadzor i praćenje</w:t>
      </w:r>
    </w:p>
    <w:p w14:paraId="6A7AB50E" w14:textId="77777777" w:rsidR="0069198D" w:rsidRPr="0069198D" w:rsidRDefault="0069198D" w:rsidP="0069198D">
      <w:pPr>
        <w:spacing w:before="120" w:after="120"/>
        <w:ind w:firstLine="708"/>
        <w:jc w:val="both"/>
      </w:pPr>
      <w:r w:rsidRPr="0069198D">
        <w:t xml:space="preserve">Stranke surađuju ​​u provedbi programa sustavnog praćenja radi nadzora i promicanja pune provedbe ove Konvencije. Osim ako se konsenzusom stranaka ne odluči drukčije, to se odvija u okviru Radne skupine OECD-a protiv podmićivanja u međunarodnim poslovnim transakcijama i u skladu s njezinim pravilima djelovanja ili unutar okvira i pravila djelovanja bilo kojeg sljednika njezinih funkcija, a </w:t>
      </w:r>
      <w:r w:rsidRPr="0069198D">
        <w:lastRenderedPageBreak/>
        <w:t>stranke snose troškove programa u skladu s pravilima koja se primjenjuju na to tijelo.</w:t>
      </w:r>
    </w:p>
    <w:p w14:paraId="0080DAE4" w14:textId="77777777" w:rsidR="0069198D" w:rsidRPr="0069198D" w:rsidRDefault="0069198D" w:rsidP="0069198D">
      <w:pPr>
        <w:spacing w:before="120" w:after="120"/>
        <w:jc w:val="both"/>
      </w:pPr>
    </w:p>
    <w:p w14:paraId="6A5A1985" w14:textId="77777777" w:rsidR="0069198D" w:rsidRPr="0069198D" w:rsidRDefault="0069198D" w:rsidP="0069198D">
      <w:pPr>
        <w:spacing w:before="120" w:after="120"/>
        <w:jc w:val="center"/>
        <w:rPr>
          <w:b/>
        </w:rPr>
      </w:pPr>
      <w:r w:rsidRPr="0069198D">
        <w:rPr>
          <w:b/>
        </w:rPr>
        <w:t>Članak 13.</w:t>
      </w:r>
    </w:p>
    <w:p w14:paraId="1D91E21B" w14:textId="77777777" w:rsidR="0069198D" w:rsidRPr="0069198D" w:rsidRDefault="0069198D" w:rsidP="0069198D">
      <w:pPr>
        <w:spacing w:before="120" w:after="120"/>
        <w:jc w:val="center"/>
        <w:rPr>
          <w:b/>
        </w:rPr>
      </w:pPr>
      <w:r w:rsidRPr="0069198D">
        <w:rPr>
          <w:b/>
        </w:rPr>
        <w:t>Potpisivanje i pristup</w:t>
      </w:r>
    </w:p>
    <w:p w14:paraId="009BDC23" w14:textId="67368445" w:rsidR="0069198D" w:rsidRPr="0069198D" w:rsidRDefault="0069198D" w:rsidP="0069198D">
      <w:pPr>
        <w:spacing w:before="120" w:after="120"/>
        <w:jc w:val="both"/>
      </w:pPr>
      <w:r w:rsidRPr="0069198D">
        <w:t xml:space="preserve">1. </w:t>
      </w:r>
      <w:r w:rsidRPr="0069198D">
        <w:tab/>
        <w:t>Do</w:t>
      </w:r>
      <w:r w:rsidR="00470CC4">
        <w:t xml:space="preserve"> njezinog</w:t>
      </w:r>
      <w:r w:rsidRPr="0069198D">
        <w:t xml:space="preserve"> stupanja na snagu</w:t>
      </w:r>
      <w:r w:rsidR="00470CC4">
        <w:t>,</w:t>
      </w:r>
      <w:r w:rsidRPr="0069198D">
        <w:t xml:space="preserve"> ova Konvencija otvorena je za potpisivanje članicama OECD-a i nečlanicama koje su pozvane postati punopravnim sudionicama u </w:t>
      </w:r>
      <w:r w:rsidR="00470CC4">
        <w:t xml:space="preserve">njegovoj </w:t>
      </w:r>
      <w:r w:rsidRPr="0069198D">
        <w:t>Radnoj skupini protiv podmićivanja u međunarodnim poslovnim transakcijama.</w:t>
      </w:r>
    </w:p>
    <w:p w14:paraId="7658D246" w14:textId="79B0DCCF" w:rsidR="0069198D" w:rsidRPr="0069198D" w:rsidRDefault="0069198D" w:rsidP="0069198D">
      <w:pPr>
        <w:spacing w:before="120" w:after="120"/>
        <w:jc w:val="both"/>
      </w:pPr>
      <w:r w:rsidRPr="0069198D">
        <w:t xml:space="preserve">2. </w:t>
      </w:r>
      <w:r w:rsidRPr="0069198D">
        <w:tab/>
        <w:t xml:space="preserve">Nakon </w:t>
      </w:r>
      <w:r w:rsidR="00470CC4">
        <w:t xml:space="preserve">njezinog </w:t>
      </w:r>
      <w:r w:rsidRPr="0069198D">
        <w:t>stupanja na snagu</w:t>
      </w:r>
      <w:r w:rsidR="00470CC4">
        <w:t>,</w:t>
      </w:r>
      <w:r w:rsidRPr="0069198D">
        <w:t xml:space="preserve"> ova Konvencija otvorena je za pristup bilo kojoj nepotpisnici koja je članica OECD-a ili je postala punopravna sudionica u Radnoj skupini protiv podmićivanja u međunarodnim poslovnim transakcijama ili bilo kojem sljedniku njezinih funkcija. Za svaku takvu nepotpisnicu Konvencija stupa na snagu šezdesetog dana nakon datuma polaganja njezine isprave o pristupu.</w:t>
      </w:r>
    </w:p>
    <w:p w14:paraId="4887C409" w14:textId="77777777" w:rsidR="0069198D" w:rsidRPr="0069198D" w:rsidRDefault="0069198D" w:rsidP="0069198D">
      <w:pPr>
        <w:spacing w:before="120" w:after="120"/>
        <w:jc w:val="both"/>
      </w:pPr>
    </w:p>
    <w:p w14:paraId="1B787559" w14:textId="77777777" w:rsidR="0069198D" w:rsidRPr="0069198D" w:rsidRDefault="0069198D" w:rsidP="0069198D">
      <w:pPr>
        <w:spacing w:before="120" w:after="120"/>
        <w:jc w:val="center"/>
        <w:rPr>
          <w:b/>
        </w:rPr>
      </w:pPr>
      <w:r w:rsidRPr="0069198D">
        <w:rPr>
          <w:b/>
        </w:rPr>
        <w:t>Članak 14.</w:t>
      </w:r>
    </w:p>
    <w:p w14:paraId="773A9645" w14:textId="77777777" w:rsidR="0069198D" w:rsidRPr="0069198D" w:rsidRDefault="0069198D" w:rsidP="0069198D">
      <w:pPr>
        <w:spacing w:before="120" w:after="120"/>
        <w:jc w:val="center"/>
        <w:rPr>
          <w:b/>
        </w:rPr>
      </w:pPr>
      <w:r w:rsidRPr="0069198D">
        <w:rPr>
          <w:b/>
        </w:rPr>
        <w:t>Ratifikacija i depozitar</w:t>
      </w:r>
    </w:p>
    <w:p w14:paraId="1DA3C516" w14:textId="6A3564EE" w:rsidR="0069198D" w:rsidRPr="0069198D" w:rsidRDefault="0069198D" w:rsidP="0069198D">
      <w:pPr>
        <w:spacing w:before="120" w:after="120"/>
        <w:jc w:val="both"/>
      </w:pPr>
      <w:r w:rsidRPr="0069198D">
        <w:t xml:space="preserve">1. </w:t>
      </w:r>
      <w:r w:rsidRPr="0069198D">
        <w:tab/>
        <w:t xml:space="preserve">Ova Konvencija podliježe prihvatu, odobrenju ili ratifikaciji potpisnica, u skladu s njihovim </w:t>
      </w:r>
      <w:r w:rsidR="00470CC4">
        <w:t xml:space="preserve">odgovarajućim </w:t>
      </w:r>
      <w:r w:rsidRPr="0069198D">
        <w:t>zakonima.</w:t>
      </w:r>
    </w:p>
    <w:p w14:paraId="2ECCA5C0" w14:textId="317D298D" w:rsidR="0069198D" w:rsidRPr="0069198D" w:rsidRDefault="0069198D" w:rsidP="0069198D">
      <w:pPr>
        <w:spacing w:before="120" w:after="120"/>
        <w:jc w:val="both"/>
      </w:pPr>
      <w:r w:rsidRPr="0069198D">
        <w:t xml:space="preserve">2. </w:t>
      </w:r>
      <w:r w:rsidRPr="0069198D">
        <w:tab/>
        <w:t>Isprave o prihvatu, odobrenju, ratifikaciji ili pristupu polažu se kod glavnog tajnika OECD-a, koji</w:t>
      </w:r>
      <w:r w:rsidR="00470CC4">
        <w:t xml:space="preserve"> djeluje kao</w:t>
      </w:r>
      <w:r w:rsidRPr="0069198D">
        <w:t xml:space="preserve"> depozitar ove Konvencije.</w:t>
      </w:r>
    </w:p>
    <w:p w14:paraId="7BFF7889" w14:textId="77777777" w:rsidR="0069198D" w:rsidRPr="0069198D" w:rsidRDefault="0069198D" w:rsidP="0069198D">
      <w:pPr>
        <w:spacing w:before="120" w:after="120"/>
        <w:jc w:val="both"/>
      </w:pPr>
    </w:p>
    <w:p w14:paraId="12C00C0B" w14:textId="77777777" w:rsidR="0069198D" w:rsidRPr="0069198D" w:rsidRDefault="0069198D" w:rsidP="0069198D">
      <w:pPr>
        <w:spacing w:before="120" w:after="120"/>
        <w:jc w:val="center"/>
        <w:rPr>
          <w:b/>
        </w:rPr>
      </w:pPr>
      <w:r w:rsidRPr="0069198D">
        <w:rPr>
          <w:b/>
        </w:rPr>
        <w:t>Članak 15.</w:t>
      </w:r>
    </w:p>
    <w:p w14:paraId="6C9AC79A" w14:textId="77777777" w:rsidR="0069198D" w:rsidRPr="0069198D" w:rsidRDefault="0069198D" w:rsidP="0069198D">
      <w:pPr>
        <w:spacing w:before="120" w:after="120"/>
        <w:jc w:val="center"/>
        <w:rPr>
          <w:b/>
        </w:rPr>
      </w:pPr>
      <w:r w:rsidRPr="0069198D">
        <w:rPr>
          <w:b/>
        </w:rPr>
        <w:t>Stupanje na snagu</w:t>
      </w:r>
    </w:p>
    <w:p w14:paraId="08E85556" w14:textId="77777777" w:rsidR="0069198D" w:rsidRPr="0069198D" w:rsidRDefault="0069198D" w:rsidP="0069198D">
      <w:pPr>
        <w:spacing w:before="120" w:after="120"/>
        <w:jc w:val="both"/>
      </w:pPr>
      <w:r w:rsidRPr="0069198D">
        <w:t xml:space="preserve">1. </w:t>
      </w:r>
      <w:r w:rsidRPr="0069198D">
        <w:tab/>
        <w:t>Ova Konvencija stupa na snagu šezdesetog dana nakon datuma na koji pet od deset zemalja koje imaju deset najvećih izvoznih udjela navedenih u priloženom dokumentu, i koje same predstavljaju najmanje šezdeset posto kombiniranog ukupnog izvoza tih deset zemalja, položi svoje isprave o prihvatu, odobrenju ili ratifikaciji. Za svaku potpisnicu koja položi svoju ispravu nakon takvog stupanja na snagu, Konvencija stupa na snagu šezdesetog dana nakon polaganja njezine isprave.</w:t>
      </w:r>
    </w:p>
    <w:p w14:paraId="541E776B" w14:textId="518DB796" w:rsidR="0069198D" w:rsidRPr="0069198D" w:rsidRDefault="0069198D" w:rsidP="0069198D">
      <w:pPr>
        <w:spacing w:before="120" w:after="120"/>
        <w:jc w:val="both"/>
      </w:pPr>
      <w:r w:rsidRPr="0069198D">
        <w:lastRenderedPageBreak/>
        <w:t xml:space="preserve">2. </w:t>
      </w:r>
      <w:r w:rsidRPr="0069198D">
        <w:tab/>
        <w:t>Ako</w:t>
      </w:r>
      <w:r w:rsidR="00470CC4">
        <w:t>,</w:t>
      </w:r>
      <w:r w:rsidRPr="0069198D">
        <w:t xml:space="preserve"> nakon 31. prosinca 1998.</w:t>
      </w:r>
      <w:r w:rsidR="00470CC4">
        <w:t>,</w:t>
      </w:r>
      <w:r w:rsidRPr="0069198D">
        <w:t xml:space="preserve"> Konvencija nije stupila na snagu prema gornjem stavku 1., svaka potpisnica koja je položila svoju ispravu o prihvatu, odobrenju ili ratifikaciji može depozitaru pisano izjaviti svoju spremnost da prihvati stupanje na snagu ove Konvencije prema ovom stavku 2. Konvencija za takvu potpisnicu stupa na snagu šezdesetog dana nakon datuma na koji su takve izjave položile najmanje dvije potpisnice. Za svaku potpisnicu koja položi svoju izjavu nakon takvog stupanja na snagu, Konvencija stupa na snagu šezdesetog dana nakon datuma polaganja.</w:t>
      </w:r>
    </w:p>
    <w:p w14:paraId="2FD82009" w14:textId="77777777" w:rsidR="0069198D" w:rsidRPr="0069198D" w:rsidRDefault="0069198D" w:rsidP="0069198D">
      <w:pPr>
        <w:spacing w:before="120" w:after="120"/>
        <w:jc w:val="both"/>
      </w:pPr>
    </w:p>
    <w:p w14:paraId="1151BCC8" w14:textId="77777777" w:rsidR="0069198D" w:rsidRPr="0069198D" w:rsidRDefault="0069198D" w:rsidP="0069198D">
      <w:pPr>
        <w:spacing w:before="120" w:after="120"/>
        <w:jc w:val="center"/>
        <w:rPr>
          <w:b/>
        </w:rPr>
      </w:pPr>
      <w:r w:rsidRPr="0069198D">
        <w:rPr>
          <w:b/>
        </w:rPr>
        <w:t>Članak 16.</w:t>
      </w:r>
    </w:p>
    <w:p w14:paraId="07C41163" w14:textId="77777777" w:rsidR="0069198D" w:rsidRPr="0069198D" w:rsidRDefault="0069198D" w:rsidP="0069198D">
      <w:pPr>
        <w:spacing w:before="120" w:after="120"/>
        <w:jc w:val="center"/>
        <w:rPr>
          <w:b/>
        </w:rPr>
      </w:pPr>
      <w:r w:rsidRPr="0069198D">
        <w:rPr>
          <w:b/>
        </w:rPr>
        <w:t>Izmjena i dopuna</w:t>
      </w:r>
    </w:p>
    <w:p w14:paraId="07DBB672" w14:textId="29AFE1F0" w:rsidR="0069198D" w:rsidRPr="0069198D" w:rsidRDefault="0069198D" w:rsidP="0069198D">
      <w:pPr>
        <w:spacing w:before="120" w:after="120"/>
        <w:ind w:firstLine="708"/>
        <w:jc w:val="both"/>
      </w:pPr>
      <w:r w:rsidRPr="0069198D">
        <w:t xml:space="preserve">Svaka stranka može predložiti izmjenu i dopunu ove Konvencije. Predložena izmjena i dopuna podnosi se depozitaru, koji ju priopćava drugim strankama najmanje šezdeset dana prije sazivanja sastanka stranaka radi razmatranja predložene izmjene i dopune. Izmjena i dopuna usvojena konsenzusom stranaka, ili na takav drugi način koji stranke mogu utvrditi konsenzusom, stupa na snagu šezdeset dana nakon što sve stranke polože </w:t>
      </w:r>
      <w:r w:rsidR="00470CC4">
        <w:t>ispravu</w:t>
      </w:r>
      <w:r w:rsidRPr="0069198D">
        <w:t xml:space="preserve"> o ratifikaciji, prihvatu ili odobrenju ili pod takvim drugim okolnostima koje su stranke odredile u vrijeme usvajanja izmjene i dopune.</w:t>
      </w:r>
    </w:p>
    <w:p w14:paraId="12F2DEBA" w14:textId="77777777" w:rsidR="0069198D" w:rsidRPr="0069198D" w:rsidRDefault="0069198D" w:rsidP="0069198D">
      <w:pPr>
        <w:spacing w:before="120" w:after="120"/>
        <w:jc w:val="both"/>
      </w:pPr>
    </w:p>
    <w:p w14:paraId="0A57389A" w14:textId="77777777" w:rsidR="0069198D" w:rsidRPr="0069198D" w:rsidRDefault="0069198D" w:rsidP="0069198D">
      <w:pPr>
        <w:spacing w:before="120" w:after="120"/>
        <w:jc w:val="center"/>
        <w:rPr>
          <w:b/>
        </w:rPr>
      </w:pPr>
      <w:r w:rsidRPr="0069198D">
        <w:rPr>
          <w:b/>
        </w:rPr>
        <w:t>Članak 17.</w:t>
      </w:r>
    </w:p>
    <w:p w14:paraId="4F2313CE" w14:textId="77777777" w:rsidR="0069198D" w:rsidRPr="0069198D" w:rsidRDefault="0069198D" w:rsidP="0069198D">
      <w:pPr>
        <w:spacing w:before="120" w:after="120"/>
        <w:jc w:val="center"/>
        <w:rPr>
          <w:b/>
        </w:rPr>
      </w:pPr>
      <w:r w:rsidRPr="0069198D">
        <w:rPr>
          <w:b/>
        </w:rPr>
        <w:t>Povlačenje</w:t>
      </w:r>
    </w:p>
    <w:p w14:paraId="0FBBB7F4" w14:textId="2A27A0B4" w:rsidR="0069198D" w:rsidRPr="0069198D" w:rsidRDefault="0069198D" w:rsidP="0069198D">
      <w:pPr>
        <w:spacing w:before="120" w:after="120"/>
        <w:ind w:firstLine="708"/>
        <w:jc w:val="both"/>
      </w:pPr>
      <w:r w:rsidRPr="0069198D">
        <w:t xml:space="preserve">Stranka se može povući iz ove Konvencije podnošenjem pisane obavijesti depozitaru. Povlačenje </w:t>
      </w:r>
      <w:r w:rsidR="00470CC4">
        <w:t xml:space="preserve">proizvodi učinak </w:t>
      </w:r>
      <w:r w:rsidRPr="0069198D">
        <w:t xml:space="preserve">godinu dana nakon datuma primitka obavijesti. Nakon povlačenja, suradnja se nastavlja između stranaka i stranke koja se povukla po svim neriješenim zahtjevima za pomoć ili izručenje koji su podneseni prije datuma </w:t>
      </w:r>
      <w:r w:rsidR="00470CC4">
        <w:t>na koji povlačenje proizvodi učinak</w:t>
      </w:r>
      <w:r w:rsidRPr="0069198D">
        <w:t>.</w:t>
      </w:r>
    </w:p>
    <w:p w14:paraId="2F8CD79F" w14:textId="77777777" w:rsidR="0069198D" w:rsidRPr="0069198D" w:rsidRDefault="0069198D" w:rsidP="0069198D">
      <w:pPr>
        <w:spacing w:before="120" w:after="120"/>
        <w:jc w:val="both"/>
      </w:pPr>
    </w:p>
    <w:p w14:paraId="4938A948" w14:textId="77777777" w:rsidR="0069198D" w:rsidRPr="0069198D" w:rsidRDefault="0069198D" w:rsidP="0069198D">
      <w:pPr>
        <w:spacing w:before="120" w:after="120"/>
        <w:jc w:val="both"/>
      </w:pPr>
    </w:p>
    <w:p w14:paraId="1DC303AE" w14:textId="77777777" w:rsidR="0069198D" w:rsidRPr="0069198D" w:rsidRDefault="0069198D" w:rsidP="0069198D">
      <w:pPr>
        <w:spacing w:before="120" w:after="120"/>
        <w:jc w:val="both"/>
      </w:pPr>
      <w:r w:rsidRPr="0069198D">
        <w:t>Sastavljeno u Parizu sedamnaestog dana prosinca tisuću devetsto devedeset sedme na francuskom i engleskom jeziku, pri čemu je svaki tekst jednako vjerodostojan.</w:t>
      </w:r>
    </w:p>
    <w:p w14:paraId="5D70D97D" w14:textId="77777777" w:rsidR="0069198D" w:rsidRPr="0069198D" w:rsidRDefault="0069198D" w:rsidP="0069198D">
      <w:pPr>
        <w:jc w:val="center"/>
        <w:rPr>
          <w:b/>
        </w:rPr>
      </w:pPr>
      <w:r w:rsidRPr="0069198D">
        <w:rPr>
          <w:b/>
        </w:rPr>
        <w:t>PRILOG</w:t>
      </w:r>
    </w:p>
    <w:p w14:paraId="4D5481DA" w14:textId="77777777" w:rsidR="0069198D" w:rsidRPr="0069198D" w:rsidRDefault="0069198D" w:rsidP="0069198D">
      <w:pPr>
        <w:jc w:val="center"/>
        <w:rPr>
          <w:b/>
          <w:bCs/>
        </w:rPr>
      </w:pPr>
      <w:r w:rsidRPr="0069198D">
        <w:rPr>
          <w:b/>
          <w:bCs/>
        </w:rPr>
        <w:t>DAFFE/IME/BR(97)18/FINAL</w:t>
      </w:r>
    </w:p>
    <w:p w14:paraId="3E06622F" w14:textId="77777777" w:rsidR="0069198D" w:rsidRPr="0069198D" w:rsidRDefault="0069198D" w:rsidP="0069198D">
      <w:pPr>
        <w:jc w:val="center"/>
        <w:rPr>
          <w:b/>
        </w:rPr>
      </w:pPr>
      <w:r w:rsidRPr="0069198D">
        <w:rPr>
          <w:b/>
        </w:rPr>
        <w:t>STATISTIKA IZVOZA OECD-a</w:t>
      </w:r>
    </w:p>
    <w:tbl>
      <w:tblPr>
        <w:tblW w:w="9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44"/>
        <w:gridCol w:w="1761"/>
        <w:gridCol w:w="2268"/>
        <w:gridCol w:w="2115"/>
      </w:tblGrid>
      <w:tr w:rsidR="0069198D" w:rsidRPr="0069198D" w14:paraId="48E7CE2E" w14:textId="77777777" w:rsidTr="00BA6713">
        <w:tc>
          <w:tcPr>
            <w:tcW w:w="7073" w:type="dxa"/>
            <w:gridSpan w:val="3"/>
            <w:shd w:val="clear" w:color="auto" w:fill="auto"/>
          </w:tcPr>
          <w:p w14:paraId="15F184B0" w14:textId="77777777" w:rsidR="0069198D" w:rsidRPr="0069198D" w:rsidRDefault="0069198D" w:rsidP="0069198D">
            <w:pPr>
              <w:jc w:val="center"/>
              <w:rPr>
                <w:bCs/>
              </w:rPr>
            </w:pPr>
            <w:r w:rsidRPr="0069198D">
              <w:rPr>
                <w:bCs/>
                <w:lang w:val="en-US"/>
              </w:rPr>
              <w:t xml:space="preserve">                                        IZVOZI OECD-a</w:t>
            </w:r>
          </w:p>
        </w:tc>
        <w:tc>
          <w:tcPr>
            <w:tcW w:w="2115" w:type="dxa"/>
            <w:shd w:val="clear" w:color="auto" w:fill="auto"/>
          </w:tcPr>
          <w:p w14:paraId="6D7BFEB8" w14:textId="77777777" w:rsidR="0069198D" w:rsidRPr="0069198D" w:rsidRDefault="0069198D" w:rsidP="0069198D">
            <w:pPr>
              <w:jc w:val="center"/>
            </w:pPr>
          </w:p>
        </w:tc>
      </w:tr>
      <w:tr w:rsidR="0069198D" w:rsidRPr="0069198D" w14:paraId="19723213" w14:textId="77777777" w:rsidTr="00BA6713">
        <w:tc>
          <w:tcPr>
            <w:tcW w:w="3044" w:type="dxa"/>
            <w:shd w:val="clear" w:color="auto" w:fill="auto"/>
          </w:tcPr>
          <w:p w14:paraId="7FDDA5EE" w14:textId="77777777" w:rsidR="0069198D" w:rsidRPr="0069198D" w:rsidRDefault="0069198D" w:rsidP="0069198D"/>
        </w:tc>
        <w:tc>
          <w:tcPr>
            <w:tcW w:w="1761" w:type="dxa"/>
            <w:shd w:val="clear" w:color="auto" w:fill="auto"/>
          </w:tcPr>
          <w:p w14:paraId="753398E3" w14:textId="77777777" w:rsidR="0069198D" w:rsidRPr="0069198D" w:rsidRDefault="0069198D" w:rsidP="0069198D">
            <w:pPr>
              <w:jc w:val="center"/>
            </w:pPr>
            <w:r w:rsidRPr="0069198D">
              <w:t>1990.-1996.</w:t>
            </w:r>
          </w:p>
        </w:tc>
        <w:tc>
          <w:tcPr>
            <w:tcW w:w="2268" w:type="dxa"/>
            <w:shd w:val="clear" w:color="auto" w:fill="auto"/>
          </w:tcPr>
          <w:p w14:paraId="577D3F5D" w14:textId="77777777" w:rsidR="0069198D" w:rsidRPr="0069198D" w:rsidRDefault="0069198D" w:rsidP="0069198D">
            <w:pPr>
              <w:jc w:val="center"/>
            </w:pPr>
            <w:r w:rsidRPr="0069198D">
              <w:t>1990.-1996.</w:t>
            </w:r>
          </w:p>
        </w:tc>
        <w:tc>
          <w:tcPr>
            <w:tcW w:w="2115" w:type="dxa"/>
            <w:shd w:val="clear" w:color="auto" w:fill="auto"/>
          </w:tcPr>
          <w:p w14:paraId="7AF4B935" w14:textId="77777777" w:rsidR="0069198D" w:rsidRPr="0069198D" w:rsidRDefault="0069198D" w:rsidP="0069198D">
            <w:pPr>
              <w:jc w:val="center"/>
            </w:pPr>
            <w:r w:rsidRPr="0069198D">
              <w:t>1990.-1996.</w:t>
            </w:r>
          </w:p>
        </w:tc>
      </w:tr>
      <w:tr w:rsidR="0069198D" w:rsidRPr="0069198D" w14:paraId="7BF9AC8E" w14:textId="77777777" w:rsidTr="00BA6713">
        <w:tc>
          <w:tcPr>
            <w:tcW w:w="3044" w:type="dxa"/>
            <w:shd w:val="clear" w:color="auto" w:fill="auto"/>
          </w:tcPr>
          <w:p w14:paraId="4CF7B448" w14:textId="77777777" w:rsidR="0069198D" w:rsidRPr="0069198D" w:rsidRDefault="0069198D" w:rsidP="0069198D"/>
        </w:tc>
        <w:tc>
          <w:tcPr>
            <w:tcW w:w="1761" w:type="dxa"/>
            <w:shd w:val="clear" w:color="auto" w:fill="auto"/>
          </w:tcPr>
          <w:p w14:paraId="55CBFC88" w14:textId="77777777" w:rsidR="0069198D" w:rsidRPr="0069198D" w:rsidRDefault="0069198D" w:rsidP="0069198D">
            <w:pPr>
              <w:jc w:val="center"/>
            </w:pPr>
            <w:r w:rsidRPr="0069198D">
              <w:t>milijuna US$</w:t>
            </w:r>
          </w:p>
        </w:tc>
        <w:tc>
          <w:tcPr>
            <w:tcW w:w="2268" w:type="dxa"/>
            <w:shd w:val="clear" w:color="auto" w:fill="auto"/>
          </w:tcPr>
          <w:p w14:paraId="0DA3C719" w14:textId="77777777" w:rsidR="0069198D" w:rsidRPr="0069198D" w:rsidRDefault="0069198D" w:rsidP="0069198D">
            <w:pPr>
              <w:jc w:val="center"/>
            </w:pPr>
            <w:r w:rsidRPr="0069198D">
              <w:t>%</w:t>
            </w:r>
          </w:p>
        </w:tc>
        <w:tc>
          <w:tcPr>
            <w:tcW w:w="2115" w:type="dxa"/>
            <w:shd w:val="clear" w:color="auto" w:fill="auto"/>
          </w:tcPr>
          <w:p w14:paraId="5F19CDD1" w14:textId="77777777" w:rsidR="0069198D" w:rsidRPr="0069198D" w:rsidRDefault="0069198D" w:rsidP="0069198D">
            <w:pPr>
              <w:jc w:val="center"/>
            </w:pPr>
            <w:r w:rsidRPr="0069198D">
              <w:t>%</w:t>
            </w:r>
          </w:p>
        </w:tc>
      </w:tr>
      <w:tr w:rsidR="0069198D" w:rsidRPr="0069198D" w14:paraId="29D53D23" w14:textId="77777777" w:rsidTr="00BA6713">
        <w:tc>
          <w:tcPr>
            <w:tcW w:w="3044" w:type="dxa"/>
            <w:shd w:val="clear" w:color="auto" w:fill="auto"/>
          </w:tcPr>
          <w:p w14:paraId="345DB76D" w14:textId="77777777" w:rsidR="0069198D" w:rsidRPr="0069198D" w:rsidRDefault="0069198D" w:rsidP="0069198D"/>
        </w:tc>
        <w:tc>
          <w:tcPr>
            <w:tcW w:w="1761" w:type="dxa"/>
            <w:shd w:val="clear" w:color="auto" w:fill="auto"/>
          </w:tcPr>
          <w:p w14:paraId="0A52A38C" w14:textId="77777777" w:rsidR="0069198D" w:rsidRPr="0069198D" w:rsidRDefault="0069198D" w:rsidP="0069198D">
            <w:pPr>
              <w:jc w:val="center"/>
            </w:pPr>
          </w:p>
        </w:tc>
        <w:tc>
          <w:tcPr>
            <w:tcW w:w="2268" w:type="dxa"/>
            <w:shd w:val="clear" w:color="auto" w:fill="auto"/>
          </w:tcPr>
          <w:p w14:paraId="1F58E842" w14:textId="77777777" w:rsidR="0069198D" w:rsidRPr="0069198D" w:rsidRDefault="0069198D" w:rsidP="0069198D">
            <w:pPr>
              <w:jc w:val="center"/>
            </w:pPr>
            <w:r w:rsidRPr="0069198D">
              <w:t>od ukupnog OECD-a</w:t>
            </w:r>
          </w:p>
        </w:tc>
        <w:tc>
          <w:tcPr>
            <w:tcW w:w="2115" w:type="dxa"/>
            <w:shd w:val="clear" w:color="auto" w:fill="auto"/>
          </w:tcPr>
          <w:p w14:paraId="30D300DF" w14:textId="77777777" w:rsidR="0069198D" w:rsidRPr="0069198D" w:rsidRDefault="0069198D" w:rsidP="0069198D">
            <w:pPr>
              <w:jc w:val="center"/>
            </w:pPr>
            <w:r w:rsidRPr="0069198D">
              <w:t>od 10 najvećih</w:t>
            </w:r>
          </w:p>
        </w:tc>
      </w:tr>
      <w:tr w:rsidR="0069198D" w:rsidRPr="0069198D" w14:paraId="17F0B33F" w14:textId="77777777" w:rsidTr="00BA6713">
        <w:tc>
          <w:tcPr>
            <w:tcW w:w="3044" w:type="dxa"/>
            <w:shd w:val="clear" w:color="auto" w:fill="auto"/>
          </w:tcPr>
          <w:p w14:paraId="74971E2F" w14:textId="77777777" w:rsidR="0069198D" w:rsidRPr="0069198D" w:rsidRDefault="0069198D" w:rsidP="0069198D">
            <w:r w:rsidRPr="0069198D">
              <w:t>Sjedinjene Američke Države</w:t>
            </w:r>
          </w:p>
        </w:tc>
        <w:tc>
          <w:tcPr>
            <w:tcW w:w="1761" w:type="dxa"/>
            <w:shd w:val="clear" w:color="auto" w:fill="auto"/>
          </w:tcPr>
          <w:p w14:paraId="646DF34C" w14:textId="77777777" w:rsidR="0069198D" w:rsidRPr="0069198D" w:rsidRDefault="0069198D" w:rsidP="0069198D">
            <w:pPr>
              <w:jc w:val="right"/>
            </w:pPr>
            <w:r w:rsidRPr="0069198D">
              <w:t>287 118</w:t>
            </w:r>
          </w:p>
        </w:tc>
        <w:tc>
          <w:tcPr>
            <w:tcW w:w="2268" w:type="dxa"/>
            <w:shd w:val="clear" w:color="auto" w:fill="auto"/>
          </w:tcPr>
          <w:p w14:paraId="691B9F1F" w14:textId="77777777" w:rsidR="0069198D" w:rsidRPr="0069198D" w:rsidRDefault="0069198D" w:rsidP="0069198D">
            <w:pPr>
              <w:jc w:val="right"/>
            </w:pPr>
            <w:r w:rsidRPr="0069198D">
              <w:t>15,9%</w:t>
            </w:r>
          </w:p>
        </w:tc>
        <w:tc>
          <w:tcPr>
            <w:tcW w:w="2115" w:type="dxa"/>
            <w:shd w:val="clear" w:color="auto" w:fill="auto"/>
          </w:tcPr>
          <w:p w14:paraId="63B45368" w14:textId="77777777" w:rsidR="0069198D" w:rsidRPr="0069198D" w:rsidRDefault="0069198D" w:rsidP="0069198D">
            <w:pPr>
              <w:jc w:val="right"/>
            </w:pPr>
            <w:r w:rsidRPr="0069198D">
              <w:t>19,7%</w:t>
            </w:r>
          </w:p>
        </w:tc>
      </w:tr>
      <w:tr w:rsidR="0069198D" w:rsidRPr="0069198D" w14:paraId="7D5E0076" w14:textId="77777777" w:rsidTr="00BA6713">
        <w:tc>
          <w:tcPr>
            <w:tcW w:w="3044" w:type="dxa"/>
            <w:shd w:val="clear" w:color="auto" w:fill="auto"/>
          </w:tcPr>
          <w:p w14:paraId="08193209" w14:textId="77777777" w:rsidR="0069198D" w:rsidRPr="0069198D" w:rsidRDefault="0069198D" w:rsidP="0069198D">
            <w:r w:rsidRPr="0069198D">
              <w:t>Njemačka</w:t>
            </w:r>
          </w:p>
        </w:tc>
        <w:tc>
          <w:tcPr>
            <w:tcW w:w="1761" w:type="dxa"/>
            <w:shd w:val="clear" w:color="auto" w:fill="auto"/>
          </w:tcPr>
          <w:p w14:paraId="49A134F2" w14:textId="77777777" w:rsidR="0069198D" w:rsidRPr="0069198D" w:rsidRDefault="0069198D" w:rsidP="0069198D">
            <w:pPr>
              <w:jc w:val="right"/>
            </w:pPr>
            <w:r w:rsidRPr="0069198D">
              <w:t>254 746</w:t>
            </w:r>
          </w:p>
        </w:tc>
        <w:tc>
          <w:tcPr>
            <w:tcW w:w="2268" w:type="dxa"/>
            <w:shd w:val="clear" w:color="auto" w:fill="auto"/>
          </w:tcPr>
          <w:p w14:paraId="4879122A" w14:textId="77777777" w:rsidR="0069198D" w:rsidRPr="0069198D" w:rsidRDefault="0069198D" w:rsidP="0069198D">
            <w:pPr>
              <w:jc w:val="right"/>
            </w:pPr>
            <w:r w:rsidRPr="0069198D">
              <w:t>14,1%</w:t>
            </w:r>
          </w:p>
        </w:tc>
        <w:tc>
          <w:tcPr>
            <w:tcW w:w="2115" w:type="dxa"/>
            <w:shd w:val="clear" w:color="auto" w:fill="auto"/>
          </w:tcPr>
          <w:p w14:paraId="67BA9E76" w14:textId="77777777" w:rsidR="0069198D" w:rsidRPr="0069198D" w:rsidRDefault="0069198D" w:rsidP="0069198D">
            <w:pPr>
              <w:jc w:val="right"/>
            </w:pPr>
            <w:r w:rsidRPr="0069198D">
              <w:t>17,5%</w:t>
            </w:r>
          </w:p>
        </w:tc>
      </w:tr>
      <w:tr w:rsidR="0069198D" w:rsidRPr="0069198D" w14:paraId="269D1FAD" w14:textId="77777777" w:rsidTr="00BA6713">
        <w:tc>
          <w:tcPr>
            <w:tcW w:w="3044" w:type="dxa"/>
            <w:shd w:val="clear" w:color="auto" w:fill="auto"/>
          </w:tcPr>
          <w:p w14:paraId="1A44A8C7" w14:textId="77777777" w:rsidR="0069198D" w:rsidRPr="0069198D" w:rsidRDefault="0069198D" w:rsidP="0069198D">
            <w:r w:rsidRPr="0069198D">
              <w:t>Japan</w:t>
            </w:r>
          </w:p>
        </w:tc>
        <w:tc>
          <w:tcPr>
            <w:tcW w:w="1761" w:type="dxa"/>
            <w:shd w:val="clear" w:color="auto" w:fill="auto"/>
          </w:tcPr>
          <w:p w14:paraId="570BA226" w14:textId="77777777" w:rsidR="0069198D" w:rsidRPr="0069198D" w:rsidRDefault="0069198D" w:rsidP="0069198D">
            <w:pPr>
              <w:jc w:val="right"/>
            </w:pPr>
            <w:r w:rsidRPr="0069198D">
              <w:t>212 665</w:t>
            </w:r>
          </w:p>
        </w:tc>
        <w:tc>
          <w:tcPr>
            <w:tcW w:w="2268" w:type="dxa"/>
            <w:shd w:val="clear" w:color="auto" w:fill="auto"/>
          </w:tcPr>
          <w:p w14:paraId="74586D0F" w14:textId="77777777" w:rsidR="0069198D" w:rsidRPr="0069198D" w:rsidRDefault="0069198D" w:rsidP="0069198D">
            <w:pPr>
              <w:jc w:val="right"/>
            </w:pPr>
            <w:r w:rsidRPr="0069198D">
              <w:t>11,8%</w:t>
            </w:r>
          </w:p>
        </w:tc>
        <w:tc>
          <w:tcPr>
            <w:tcW w:w="2115" w:type="dxa"/>
            <w:shd w:val="clear" w:color="auto" w:fill="auto"/>
          </w:tcPr>
          <w:p w14:paraId="7F5CCFCE" w14:textId="77777777" w:rsidR="0069198D" w:rsidRPr="0069198D" w:rsidRDefault="0069198D" w:rsidP="0069198D">
            <w:pPr>
              <w:jc w:val="right"/>
            </w:pPr>
            <w:r w:rsidRPr="0069198D">
              <w:t>14,6%</w:t>
            </w:r>
          </w:p>
        </w:tc>
      </w:tr>
      <w:tr w:rsidR="0069198D" w:rsidRPr="0069198D" w14:paraId="4225689B" w14:textId="77777777" w:rsidTr="00BA6713">
        <w:tc>
          <w:tcPr>
            <w:tcW w:w="3044" w:type="dxa"/>
            <w:shd w:val="clear" w:color="auto" w:fill="auto"/>
          </w:tcPr>
          <w:p w14:paraId="74D503D7" w14:textId="77777777" w:rsidR="0069198D" w:rsidRPr="0069198D" w:rsidRDefault="0069198D" w:rsidP="0069198D">
            <w:r w:rsidRPr="0069198D">
              <w:t>Francuska</w:t>
            </w:r>
          </w:p>
        </w:tc>
        <w:tc>
          <w:tcPr>
            <w:tcW w:w="1761" w:type="dxa"/>
            <w:shd w:val="clear" w:color="auto" w:fill="auto"/>
          </w:tcPr>
          <w:p w14:paraId="2B0140B3" w14:textId="77777777" w:rsidR="0069198D" w:rsidRPr="0069198D" w:rsidRDefault="0069198D" w:rsidP="0069198D">
            <w:pPr>
              <w:jc w:val="right"/>
            </w:pPr>
            <w:r w:rsidRPr="0069198D">
              <w:t>138 471</w:t>
            </w:r>
          </w:p>
        </w:tc>
        <w:tc>
          <w:tcPr>
            <w:tcW w:w="2268" w:type="dxa"/>
            <w:shd w:val="clear" w:color="auto" w:fill="auto"/>
          </w:tcPr>
          <w:p w14:paraId="6A1BD496" w14:textId="77777777" w:rsidR="0069198D" w:rsidRPr="0069198D" w:rsidRDefault="0069198D" w:rsidP="0069198D">
            <w:pPr>
              <w:jc w:val="right"/>
            </w:pPr>
            <w:r w:rsidRPr="0069198D">
              <w:t>7,7%</w:t>
            </w:r>
          </w:p>
        </w:tc>
        <w:tc>
          <w:tcPr>
            <w:tcW w:w="2115" w:type="dxa"/>
            <w:shd w:val="clear" w:color="auto" w:fill="auto"/>
          </w:tcPr>
          <w:p w14:paraId="48B77C39" w14:textId="77777777" w:rsidR="0069198D" w:rsidRPr="0069198D" w:rsidRDefault="0069198D" w:rsidP="0069198D">
            <w:pPr>
              <w:jc w:val="right"/>
            </w:pPr>
            <w:r w:rsidRPr="0069198D">
              <w:t>9,5%</w:t>
            </w:r>
          </w:p>
        </w:tc>
      </w:tr>
      <w:tr w:rsidR="0069198D" w:rsidRPr="0069198D" w14:paraId="29820246" w14:textId="77777777" w:rsidTr="00BA6713">
        <w:tc>
          <w:tcPr>
            <w:tcW w:w="3044" w:type="dxa"/>
            <w:shd w:val="clear" w:color="auto" w:fill="auto"/>
          </w:tcPr>
          <w:p w14:paraId="302ACA3E" w14:textId="77777777" w:rsidR="0069198D" w:rsidRPr="0069198D" w:rsidRDefault="0069198D" w:rsidP="0069198D">
            <w:r w:rsidRPr="0069198D">
              <w:t>Ujedinjena Kraljevina</w:t>
            </w:r>
          </w:p>
        </w:tc>
        <w:tc>
          <w:tcPr>
            <w:tcW w:w="1761" w:type="dxa"/>
            <w:shd w:val="clear" w:color="auto" w:fill="auto"/>
          </w:tcPr>
          <w:p w14:paraId="749D6E62" w14:textId="77777777" w:rsidR="0069198D" w:rsidRPr="0069198D" w:rsidRDefault="0069198D" w:rsidP="0069198D">
            <w:pPr>
              <w:jc w:val="right"/>
            </w:pPr>
            <w:r w:rsidRPr="0069198D">
              <w:t>121 258</w:t>
            </w:r>
          </w:p>
        </w:tc>
        <w:tc>
          <w:tcPr>
            <w:tcW w:w="2268" w:type="dxa"/>
            <w:shd w:val="clear" w:color="auto" w:fill="auto"/>
          </w:tcPr>
          <w:p w14:paraId="56A098D7" w14:textId="77777777" w:rsidR="0069198D" w:rsidRPr="0069198D" w:rsidRDefault="0069198D" w:rsidP="0069198D">
            <w:pPr>
              <w:jc w:val="right"/>
            </w:pPr>
            <w:r w:rsidRPr="0069198D">
              <w:t>6,7%</w:t>
            </w:r>
          </w:p>
        </w:tc>
        <w:tc>
          <w:tcPr>
            <w:tcW w:w="2115" w:type="dxa"/>
            <w:shd w:val="clear" w:color="auto" w:fill="auto"/>
          </w:tcPr>
          <w:p w14:paraId="6A145807" w14:textId="77777777" w:rsidR="0069198D" w:rsidRPr="0069198D" w:rsidRDefault="0069198D" w:rsidP="0069198D">
            <w:pPr>
              <w:jc w:val="right"/>
            </w:pPr>
            <w:r w:rsidRPr="0069198D">
              <w:t>8,3%</w:t>
            </w:r>
          </w:p>
        </w:tc>
      </w:tr>
      <w:tr w:rsidR="0069198D" w:rsidRPr="0069198D" w14:paraId="29DCDDCA" w14:textId="77777777" w:rsidTr="00BA6713">
        <w:tc>
          <w:tcPr>
            <w:tcW w:w="3044" w:type="dxa"/>
            <w:shd w:val="clear" w:color="auto" w:fill="auto"/>
          </w:tcPr>
          <w:p w14:paraId="7B9E0953" w14:textId="77777777" w:rsidR="0069198D" w:rsidRPr="0069198D" w:rsidRDefault="0069198D" w:rsidP="0069198D">
            <w:r w:rsidRPr="0069198D">
              <w:t>Italija</w:t>
            </w:r>
          </w:p>
        </w:tc>
        <w:tc>
          <w:tcPr>
            <w:tcW w:w="1761" w:type="dxa"/>
            <w:shd w:val="clear" w:color="auto" w:fill="auto"/>
          </w:tcPr>
          <w:p w14:paraId="78D8A372" w14:textId="77777777" w:rsidR="0069198D" w:rsidRPr="0069198D" w:rsidRDefault="0069198D" w:rsidP="0069198D">
            <w:pPr>
              <w:jc w:val="right"/>
            </w:pPr>
            <w:r w:rsidRPr="0069198D">
              <w:t>112 449</w:t>
            </w:r>
          </w:p>
        </w:tc>
        <w:tc>
          <w:tcPr>
            <w:tcW w:w="2268" w:type="dxa"/>
            <w:shd w:val="clear" w:color="auto" w:fill="auto"/>
          </w:tcPr>
          <w:p w14:paraId="2A0334A4" w14:textId="77777777" w:rsidR="0069198D" w:rsidRPr="0069198D" w:rsidRDefault="0069198D" w:rsidP="0069198D">
            <w:pPr>
              <w:jc w:val="right"/>
            </w:pPr>
            <w:r w:rsidRPr="0069198D">
              <w:t>6,2%</w:t>
            </w:r>
          </w:p>
        </w:tc>
        <w:tc>
          <w:tcPr>
            <w:tcW w:w="2115" w:type="dxa"/>
            <w:shd w:val="clear" w:color="auto" w:fill="auto"/>
          </w:tcPr>
          <w:p w14:paraId="58074487" w14:textId="77777777" w:rsidR="0069198D" w:rsidRPr="0069198D" w:rsidRDefault="0069198D" w:rsidP="0069198D">
            <w:pPr>
              <w:jc w:val="right"/>
            </w:pPr>
            <w:r w:rsidRPr="0069198D">
              <w:t>7,7%</w:t>
            </w:r>
          </w:p>
        </w:tc>
      </w:tr>
      <w:tr w:rsidR="0069198D" w:rsidRPr="0069198D" w14:paraId="1556D122" w14:textId="77777777" w:rsidTr="00BA6713">
        <w:tc>
          <w:tcPr>
            <w:tcW w:w="3044" w:type="dxa"/>
            <w:shd w:val="clear" w:color="auto" w:fill="auto"/>
          </w:tcPr>
          <w:p w14:paraId="193553B2" w14:textId="77777777" w:rsidR="0069198D" w:rsidRPr="0069198D" w:rsidRDefault="0069198D" w:rsidP="0069198D">
            <w:r w:rsidRPr="0069198D">
              <w:t>Kanada</w:t>
            </w:r>
          </w:p>
        </w:tc>
        <w:tc>
          <w:tcPr>
            <w:tcW w:w="1761" w:type="dxa"/>
            <w:shd w:val="clear" w:color="auto" w:fill="auto"/>
          </w:tcPr>
          <w:p w14:paraId="2DD887D1" w14:textId="77777777" w:rsidR="0069198D" w:rsidRPr="0069198D" w:rsidRDefault="0069198D" w:rsidP="0069198D">
            <w:pPr>
              <w:jc w:val="right"/>
            </w:pPr>
            <w:r w:rsidRPr="0069198D">
              <w:t>91 215</w:t>
            </w:r>
          </w:p>
        </w:tc>
        <w:tc>
          <w:tcPr>
            <w:tcW w:w="2268" w:type="dxa"/>
            <w:shd w:val="clear" w:color="auto" w:fill="auto"/>
          </w:tcPr>
          <w:p w14:paraId="66DF2096" w14:textId="77777777" w:rsidR="0069198D" w:rsidRPr="0069198D" w:rsidRDefault="0069198D" w:rsidP="0069198D">
            <w:pPr>
              <w:jc w:val="right"/>
            </w:pPr>
            <w:r w:rsidRPr="0069198D">
              <w:t>5,1%</w:t>
            </w:r>
          </w:p>
        </w:tc>
        <w:tc>
          <w:tcPr>
            <w:tcW w:w="2115" w:type="dxa"/>
            <w:shd w:val="clear" w:color="auto" w:fill="auto"/>
          </w:tcPr>
          <w:p w14:paraId="18F1F528" w14:textId="77777777" w:rsidR="0069198D" w:rsidRPr="0069198D" w:rsidRDefault="0069198D" w:rsidP="0069198D">
            <w:pPr>
              <w:jc w:val="right"/>
            </w:pPr>
            <w:r w:rsidRPr="0069198D">
              <w:t>6,3%</w:t>
            </w:r>
          </w:p>
        </w:tc>
      </w:tr>
      <w:tr w:rsidR="0069198D" w:rsidRPr="0069198D" w14:paraId="2806363F" w14:textId="77777777" w:rsidTr="00BA6713">
        <w:tc>
          <w:tcPr>
            <w:tcW w:w="3044" w:type="dxa"/>
            <w:shd w:val="clear" w:color="auto" w:fill="auto"/>
          </w:tcPr>
          <w:p w14:paraId="3EA1B169" w14:textId="77777777" w:rsidR="0069198D" w:rsidRPr="0069198D" w:rsidRDefault="0069198D" w:rsidP="0069198D">
            <w:r w:rsidRPr="0069198D">
              <w:t>Koreja (1)</w:t>
            </w:r>
          </w:p>
        </w:tc>
        <w:tc>
          <w:tcPr>
            <w:tcW w:w="1761" w:type="dxa"/>
            <w:shd w:val="clear" w:color="auto" w:fill="auto"/>
          </w:tcPr>
          <w:p w14:paraId="5C1FDB7D" w14:textId="77777777" w:rsidR="0069198D" w:rsidRPr="0069198D" w:rsidRDefault="0069198D" w:rsidP="0069198D">
            <w:pPr>
              <w:jc w:val="right"/>
            </w:pPr>
            <w:r w:rsidRPr="0069198D">
              <w:t>81 364</w:t>
            </w:r>
          </w:p>
        </w:tc>
        <w:tc>
          <w:tcPr>
            <w:tcW w:w="2268" w:type="dxa"/>
            <w:shd w:val="clear" w:color="auto" w:fill="auto"/>
          </w:tcPr>
          <w:p w14:paraId="4D343C27" w14:textId="77777777" w:rsidR="0069198D" w:rsidRPr="0069198D" w:rsidRDefault="0069198D" w:rsidP="0069198D">
            <w:pPr>
              <w:jc w:val="right"/>
            </w:pPr>
            <w:r w:rsidRPr="0069198D">
              <w:t>4,5%</w:t>
            </w:r>
          </w:p>
        </w:tc>
        <w:tc>
          <w:tcPr>
            <w:tcW w:w="2115" w:type="dxa"/>
            <w:shd w:val="clear" w:color="auto" w:fill="auto"/>
          </w:tcPr>
          <w:p w14:paraId="67F473AA" w14:textId="77777777" w:rsidR="0069198D" w:rsidRPr="0069198D" w:rsidRDefault="0069198D" w:rsidP="0069198D">
            <w:pPr>
              <w:jc w:val="right"/>
            </w:pPr>
            <w:r w:rsidRPr="0069198D">
              <w:t>5,6%</w:t>
            </w:r>
          </w:p>
        </w:tc>
      </w:tr>
      <w:tr w:rsidR="0069198D" w:rsidRPr="0069198D" w14:paraId="2EEF6121" w14:textId="77777777" w:rsidTr="00BA6713">
        <w:tc>
          <w:tcPr>
            <w:tcW w:w="3044" w:type="dxa"/>
            <w:shd w:val="clear" w:color="auto" w:fill="auto"/>
          </w:tcPr>
          <w:p w14:paraId="115BE189" w14:textId="77777777" w:rsidR="0069198D" w:rsidRPr="0069198D" w:rsidRDefault="0069198D" w:rsidP="0069198D">
            <w:r w:rsidRPr="0069198D">
              <w:t>Nizozemska</w:t>
            </w:r>
          </w:p>
        </w:tc>
        <w:tc>
          <w:tcPr>
            <w:tcW w:w="1761" w:type="dxa"/>
            <w:shd w:val="clear" w:color="auto" w:fill="auto"/>
          </w:tcPr>
          <w:p w14:paraId="0CE805A9" w14:textId="77777777" w:rsidR="0069198D" w:rsidRPr="0069198D" w:rsidRDefault="0069198D" w:rsidP="0069198D">
            <w:pPr>
              <w:jc w:val="right"/>
            </w:pPr>
            <w:r w:rsidRPr="0069198D">
              <w:t>81 264</w:t>
            </w:r>
          </w:p>
        </w:tc>
        <w:tc>
          <w:tcPr>
            <w:tcW w:w="2268" w:type="dxa"/>
            <w:shd w:val="clear" w:color="auto" w:fill="auto"/>
          </w:tcPr>
          <w:p w14:paraId="3C2DE369" w14:textId="77777777" w:rsidR="0069198D" w:rsidRPr="0069198D" w:rsidRDefault="0069198D" w:rsidP="0069198D">
            <w:pPr>
              <w:jc w:val="right"/>
            </w:pPr>
            <w:r w:rsidRPr="0069198D">
              <w:t>4,5%</w:t>
            </w:r>
          </w:p>
        </w:tc>
        <w:tc>
          <w:tcPr>
            <w:tcW w:w="2115" w:type="dxa"/>
            <w:shd w:val="clear" w:color="auto" w:fill="auto"/>
          </w:tcPr>
          <w:p w14:paraId="477A03C4" w14:textId="77777777" w:rsidR="0069198D" w:rsidRPr="0069198D" w:rsidRDefault="0069198D" w:rsidP="0069198D">
            <w:pPr>
              <w:jc w:val="right"/>
            </w:pPr>
            <w:r w:rsidRPr="0069198D">
              <w:t>5,6%</w:t>
            </w:r>
          </w:p>
        </w:tc>
      </w:tr>
      <w:tr w:rsidR="0069198D" w:rsidRPr="0069198D" w14:paraId="3D3EB9DB" w14:textId="77777777" w:rsidTr="00BA6713">
        <w:tc>
          <w:tcPr>
            <w:tcW w:w="3044" w:type="dxa"/>
            <w:shd w:val="clear" w:color="auto" w:fill="auto"/>
          </w:tcPr>
          <w:p w14:paraId="306DEA2F" w14:textId="77777777" w:rsidR="0069198D" w:rsidRPr="0069198D" w:rsidRDefault="0069198D" w:rsidP="0069198D">
            <w:r w:rsidRPr="0069198D">
              <w:t>Belgija-Luksemburg</w:t>
            </w:r>
          </w:p>
        </w:tc>
        <w:tc>
          <w:tcPr>
            <w:tcW w:w="1761" w:type="dxa"/>
            <w:shd w:val="clear" w:color="auto" w:fill="auto"/>
          </w:tcPr>
          <w:p w14:paraId="03BDD396" w14:textId="77777777" w:rsidR="0069198D" w:rsidRPr="0069198D" w:rsidRDefault="0069198D" w:rsidP="0069198D">
            <w:pPr>
              <w:jc w:val="right"/>
            </w:pPr>
            <w:r w:rsidRPr="0069198D">
              <w:t>78 598</w:t>
            </w:r>
          </w:p>
        </w:tc>
        <w:tc>
          <w:tcPr>
            <w:tcW w:w="2268" w:type="dxa"/>
            <w:shd w:val="clear" w:color="auto" w:fill="auto"/>
          </w:tcPr>
          <w:p w14:paraId="246AD20C" w14:textId="77777777" w:rsidR="0069198D" w:rsidRPr="0069198D" w:rsidRDefault="0069198D" w:rsidP="0069198D">
            <w:pPr>
              <w:jc w:val="right"/>
            </w:pPr>
            <w:r w:rsidRPr="0069198D">
              <w:t>4,4%</w:t>
            </w:r>
          </w:p>
        </w:tc>
        <w:tc>
          <w:tcPr>
            <w:tcW w:w="2115" w:type="dxa"/>
            <w:shd w:val="clear" w:color="auto" w:fill="auto"/>
          </w:tcPr>
          <w:p w14:paraId="3108E4CF" w14:textId="77777777" w:rsidR="0069198D" w:rsidRPr="0069198D" w:rsidRDefault="0069198D" w:rsidP="0069198D">
            <w:pPr>
              <w:jc w:val="right"/>
            </w:pPr>
            <w:r w:rsidRPr="0069198D">
              <w:t>5,4%</w:t>
            </w:r>
          </w:p>
        </w:tc>
      </w:tr>
      <w:tr w:rsidR="0069198D" w:rsidRPr="0069198D" w14:paraId="1308D5C0" w14:textId="77777777" w:rsidTr="00BA6713">
        <w:tc>
          <w:tcPr>
            <w:tcW w:w="3044" w:type="dxa"/>
            <w:shd w:val="clear" w:color="auto" w:fill="auto"/>
          </w:tcPr>
          <w:p w14:paraId="2A6CEC8A" w14:textId="77777777" w:rsidR="0069198D" w:rsidRPr="0069198D" w:rsidRDefault="0069198D" w:rsidP="0069198D">
            <w:pPr>
              <w:rPr>
                <w:b/>
              </w:rPr>
            </w:pPr>
            <w:r w:rsidRPr="0069198D">
              <w:rPr>
                <w:b/>
              </w:rPr>
              <w:t>Ukupno 10 najvećih</w:t>
            </w:r>
          </w:p>
        </w:tc>
        <w:tc>
          <w:tcPr>
            <w:tcW w:w="1761" w:type="dxa"/>
            <w:shd w:val="clear" w:color="auto" w:fill="auto"/>
          </w:tcPr>
          <w:p w14:paraId="2FBB25C7" w14:textId="77777777" w:rsidR="0069198D" w:rsidRPr="0069198D" w:rsidRDefault="0069198D" w:rsidP="0069198D">
            <w:pPr>
              <w:jc w:val="right"/>
              <w:rPr>
                <w:b/>
              </w:rPr>
            </w:pPr>
            <w:r w:rsidRPr="0069198D">
              <w:rPr>
                <w:b/>
              </w:rPr>
              <w:t>1 459 148</w:t>
            </w:r>
          </w:p>
        </w:tc>
        <w:tc>
          <w:tcPr>
            <w:tcW w:w="2268" w:type="dxa"/>
            <w:shd w:val="clear" w:color="auto" w:fill="auto"/>
          </w:tcPr>
          <w:p w14:paraId="39A50D3F" w14:textId="77777777" w:rsidR="0069198D" w:rsidRPr="0069198D" w:rsidRDefault="0069198D" w:rsidP="0069198D">
            <w:pPr>
              <w:jc w:val="right"/>
              <w:rPr>
                <w:b/>
              </w:rPr>
            </w:pPr>
            <w:r w:rsidRPr="0069198D">
              <w:rPr>
                <w:b/>
              </w:rPr>
              <w:t>81,0%</w:t>
            </w:r>
          </w:p>
        </w:tc>
        <w:tc>
          <w:tcPr>
            <w:tcW w:w="2115" w:type="dxa"/>
            <w:shd w:val="clear" w:color="auto" w:fill="auto"/>
          </w:tcPr>
          <w:p w14:paraId="0BFA0E72" w14:textId="77777777" w:rsidR="0069198D" w:rsidRPr="0069198D" w:rsidRDefault="0069198D" w:rsidP="0069198D">
            <w:pPr>
              <w:jc w:val="right"/>
              <w:rPr>
                <w:b/>
              </w:rPr>
            </w:pPr>
            <w:r w:rsidRPr="0069198D">
              <w:rPr>
                <w:b/>
              </w:rPr>
              <w:t>100%</w:t>
            </w:r>
          </w:p>
        </w:tc>
      </w:tr>
      <w:tr w:rsidR="0069198D" w:rsidRPr="0069198D" w14:paraId="627DDB92" w14:textId="77777777" w:rsidTr="00BA6713">
        <w:tc>
          <w:tcPr>
            <w:tcW w:w="3044" w:type="dxa"/>
            <w:shd w:val="clear" w:color="auto" w:fill="auto"/>
          </w:tcPr>
          <w:p w14:paraId="54FCF247" w14:textId="77777777" w:rsidR="0069198D" w:rsidRPr="0069198D" w:rsidRDefault="0069198D" w:rsidP="0069198D"/>
        </w:tc>
        <w:tc>
          <w:tcPr>
            <w:tcW w:w="1761" w:type="dxa"/>
            <w:shd w:val="clear" w:color="auto" w:fill="auto"/>
          </w:tcPr>
          <w:p w14:paraId="06E76B3B" w14:textId="77777777" w:rsidR="0069198D" w:rsidRPr="0069198D" w:rsidRDefault="0069198D" w:rsidP="0069198D">
            <w:pPr>
              <w:jc w:val="right"/>
            </w:pPr>
          </w:p>
        </w:tc>
        <w:tc>
          <w:tcPr>
            <w:tcW w:w="2268" w:type="dxa"/>
            <w:shd w:val="clear" w:color="auto" w:fill="auto"/>
          </w:tcPr>
          <w:p w14:paraId="77097D50" w14:textId="77777777" w:rsidR="0069198D" w:rsidRPr="0069198D" w:rsidRDefault="0069198D" w:rsidP="0069198D">
            <w:pPr>
              <w:jc w:val="right"/>
            </w:pPr>
          </w:p>
        </w:tc>
        <w:tc>
          <w:tcPr>
            <w:tcW w:w="2115" w:type="dxa"/>
            <w:shd w:val="clear" w:color="auto" w:fill="auto"/>
          </w:tcPr>
          <w:p w14:paraId="42195FD2" w14:textId="77777777" w:rsidR="0069198D" w:rsidRPr="0069198D" w:rsidRDefault="0069198D" w:rsidP="0069198D">
            <w:pPr>
              <w:jc w:val="right"/>
            </w:pPr>
          </w:p>
        </w:tc>
      </w:tr>
      <w:tr w:rsidR="0069198D" w:rsidRPr="0069198D" w14:paraId="0426FA83" w14:textId="77777777" w:rsidTr="00BA6713">
        <w:tc>
          <w:tcPr>
            <w:tcW w:w="3044" w:type="dxa"/>
            <w:shd w:val="clear" w:color="auto" w:fill="auto"/>
          </w:tcPr>
          <w:p w14:paraId="115D598B" w14:textId="77777777" w:rsidR="0069198D" w:rsidRPr="0069198D" w:rsidRDefault="0069198D" w:rsidP="0069198D">
            <w:r w:rsidRPr="0069198D">
              <w:t>Španjolska</w:t>
            </w:r>
          </w:p>
        </w:tc>
        <w:tc>
          <w:tcPr>
            <w:tcW w:w="1761" w:type="dxa"/>
            <w:shd w:val="clear" w:color="auto" w:fill="auto"/>
          </w:tcPr>
          <w:p w14:paraId="4540D362" w14:textId="77777777" w:rsidR="0069198D" w:rsidRPr="0069198D" w:rsidRDefault="0069198D" w:rsidP="0069198D">
            <w:pPr>
              <w:jc w:val="right"/>
            </w:pPr>
            <w:r w:rsidRPr="0069198D">
              <w:t>42 469</w:t>
            </w:r>
          </w:p>
        </w:tc>
        <w:tc>
          <w:tcPr>
            <w:tcW w:w="2268" w:type="dxa"/>
            <w:shd w:val="clear" w:color="auto" w:fill="auto"/>
          </w:tcPr>
          <w:p w14:paraId="62FA1EAE" w14:textId="77777777" w:rsidR="0069198D" w:rsidRPr="0069198D" w:rsidRDefault="0069198D" w:rsidP="0069198D">
            <w:pPr>
              <w:jc w:val="right"/>
            </w:pPr>
            <w:r w:rsidRPr="0069198D">
              <w:t>2,4%</w:t>
            </w:r>
          </w:p>
        </w:tc>
        <w:tc>
          <w:tcPr>
            <w:tcW w:w="2115" w:type="dxa"/>
            <w:shd w:val="clear" w:color="auto" w:fill="auto"/>
          </w:tcPr>
          <w:p w14:paraId="3077EF60" w14:textId="77777777" w:rsidR="0069198D" w:rsidRPr="0069198D" w:rsidRDefault="0069198D" w:rsidP="0069198D">
            <w:pPr>
              <w:jc w:val="right"/>
            </w:pPr>
          </w:p>
        </w:tc>
      </w:tr>
      <w:tr w:rsidR="0069198D" w:rsidRPr="0069198D" w14:paraId="0165EEE7" w14:textId="77777777" w:rsidTr="00BA6713">
        <w:tc>
          <w:tcPr>
            <w:tcW w:w="3044" w:type="dxa"/>
            <w:shd w:val="clear" w:color="auto" w:fill="auto"/>
          </w:tcPr>
          <w:p w14:paraId="666535C0" w14:textId="77777777" w:rsidR="0069198D" w:rsidRPr="0069198D" w:rsidRDefault="0069198D" w:rsidP="0069198D">
            <w:r w:rsidRPr="0069198D">
              <w:t>Švicarska</w:t>
            </w:r>
          </w:p>
        </w:tc>
        <w:tc>
          <w:tcPr>
            <w:tcW w:w="1761" w:type="dxa"/>
            <w:shd w:val="clear" w:color="auto" w:fill="auto"/>
          </w:tcPr>
          <w:p w14:paraId="53CBEF80" w14:textId="77777777" w:rsidR="0069198D" w:rsidRPr="0069198D" w:rsidRDefault="0069198D" w:rsidP="0069198D">
            <w:pPr>
              <w:jc w:val="right"/>
            </w:pPr>
            <w:r w:rsidRPr="0069198D">
              <w:t>40 395</w:t>
            </w:r>
          </w:p>
        </w:tc>
        <w:tc>
          <w:tcPr>
            <w:tcW w:w="2268" w:type="dxa"/>
            <w:shd w:val="clear" w:color="auto" w:fill="auto"/>
          </w:tcPr>
          <w:p w14:paraId="51AFD8CA" w14:textId="77777777" w:rsidR="0069198D" w:rsidRPr="0069198D" w:rsidRDefault="0069198D" w:rsidP="0069198D">
            <w:pPr>
              <w:jc w:val="right"/>
            </w:pPr>
            <w:r w:rsidRPr="0069198D">
              <w:t>2,2%</w:t>
            </w:r>
          </w:p>
        </w:tc>
        <w:tc>
          <w:tcPr>
            <w:tcW w:w="2115" w:type="dxa"/>
            <w:shd w:val="clear" w:color="auto" w:fill="auto"/>
          </w:tcPr>
          <w:p w14:paraId="621CAEAC" w14:textId="77777777" w:rsidR="0069198D" w:rsidRPr="0069198D" w:rsidRDefault="0069198D" w:rsidP="0069198D">
            <w:pPr>
              <w:jc w:val="right"/>
            </w:pPr>
          </w:p>
        </w:tc>
      </w:tr>
      <w:tr w:rsidR="0069198D" w:rsidRPr="0069198D" w14:paraId="5C90364C" w14:textId="77777777" w:rsidTr="00BA6713">
        <w:tc>
          <w:tcPr>
            <w:tcW w:w="3044" w:type="dxa"/>
            <w:shd w:val="clear" w:color="auto" w:fill="auto"/>
          </w:tcPr>
          <w:p w14:paraId="3E8AD568" w14:textId="77777777" w:rsidR="0069198D" w:rsidRPr="0069198D" w:rsidRDefault="0069198D" w:rsidP="0069198D">
            <w:r w:rsidRPr="0069198D">
              <w:t>Švedska</w:t>
            </w:r>
          </w:p>
        </w:tc>
        <w:tc>
          <w:tcPr>
            <w:tcW w:w="1761" w:type="dxa"/>
            <w:shd w:val="clear" w:color="auto" w:fill="auto"/>
          </w:tcPr>
          <w:p w14:paraId="6F29C72E" w14:textId="77777777" w:rsidR="0069198D" w:rsidRPr="0069198D" w:rsidRDefault="0069198D" w:rsidP="0069198D">
            <w:pPr>
              <w:jc w:val="right"/>
            </w:pPr>
            <w:r w:rsidRPr="0069198D">
              <w:t>36 710</w:t>
            </w:r>
          </w:p>
        </w:tc>
        <w:tc>
          <w:tcPr>
            <w:tcW w:w="2268" w:type="dxa"/>
            <w:shd w:val="clear" w:color="auto" w:fill="auto"/>
          </w:tcPr>
          <w:p w14:paraId="30CB1132" w14:textId="77777777" w:rsidR="0069198D" w:rsidRPr="0069198D" w:rsidRDefault="0069198D" w:rsidP="0069198D">
            <w:pPr>
              <w:jc w:val="right"/>
            </w:pPr>
            <w:r w:rsidRPr="0069198D">
              <w:t>2,0%</w:t>
            </w:r>
          </w:p>
        </w:tc>
        <w:tc>
          <w:tcPr>
            <w:tcW w:w="2115" w:type="dxa"/>
            <w:shd w:val="clear" w:color="auto" w:fill="auto"/>
          </w:tcPr>
          <w:p w14:paraId="795F6AC6" w14:textId="77777777" w:rsidR="0069198D" w:rsidRPr="0069198D" w:rsidRDefault="0069198D" w:rsidP="0069198D">
            <w:pPr>
              <w:jc w:val="right"/>
            </w:pPr>
          </w:p>
        </w:tc>
      </w:tr>
      <w:tr w:rsidR="0069198D" w:rsidRPr="0069198D" w14:paraId="4160FF27" w14:textId="77777777" w:rsidTr="00BA6713">
        <w:tc>
          <w:tcPr>
            <w:tcW w:w="3044" w:type="dxa"/>
            <w:shd w:val="clear" w:color="auto" w:fill="auto"/>
          </w:tcPr>
          <w:p w14:paraId="237FF1EE" w14:textId="77777777" w:rsidR="0069198D" w:rsidRPr="0069198D" w:rsidRDefault="0069198D" w:rsidP="0069198D">
            <w:r w:rsidRPr="0069198D">
              <w:t>Meksiko (1)</w:t>
            </w:r>
          </w:p>
        </w:tc>
        <w:tc>
          <w:tcPr>
            <w:tcW w:w="1761" w:type="dxa"/>
            <w:shd w:val="clear" w:color="auto" w:fill="auto"/>
          </w:tcPr>
          <w:p w14:paraId="7E70F5A6" w14:textId="77777777" w:rsidR="0069198D" w:rsidRPr="0069198D" w:rsidRDefault="0069198D" w:rsidP="0069198D">
            <w:pPr>
              <w:jc w:val="right"/>
            </w:pPr>
            <w:r w:rsidRPr="0069198D">
              <w:t>34 233</w:t>
            </w:r>
          </w:p>
        </w:tc>
        <w:tc>
          <w:tcPr>
            <w:tcW w:w="2268" w:type="dxa"/>
            <w:shd w:val="clear" w:color="auto" w:fill="auto"/>
          </w:tcPr>
          <w:p w14:paraId="4E8CD85D" w14:textId="77777777" w:rsidR="0069198D" w:rsidRPr="0069198D" w:rsidRDefault="0069198D" w:rsidP="0069198D">
            <w:pPr>
              <w:jc w:val="right"/>
            </w:pPr>
            <w:r w:rsidRPr="0069198D">
              <w:t>1,9%</w:t>
            </w:r>
          </w:p>
        </w:tc>
        <w:tc>
          <w:tcPr>
            <w:tcW w:w="2115" w:type="dxa"/>
            <w:shd w:val="clear" w:color="auto" w:fill="auto"/>
          </w:tcPr>
          <w:p w14:paraId="0C5559C1" w14:textId="77777777" w:rsidR="0069198D" w:rsidRPr="0069198D" w:rsidRDefault="0069198D" w:rsidP="0069198D">
            <w:pPr>
              <w:jc w:val="right"/>
            </w:pPr>
          </w:p>
        </w:tc>
      </w:tr>
      <w:tr w:rsidR="0069198D" w:rsidRPr="0069198D" w14:paraId="0DB5027B" w14:textId="77777777" w:rsidTr="00BA6713">
        <w:tc>
          <w:tcPr>
            <w:tcW w:w="3044" w:type="dxa"/>
            <w:shd w:val="clear" w:color="auto" w:fill="auto"/>
          </w:tcPr>
          <w:p w14:paraId="4129644B" w14:textId="77777777" w:rsidR="0069198D" w:rsidRPr="0069198D" w:rsidRDefault="0069198D" w:rsidP="0069198D">
            <w:r w:rsidRPr="0069198D">
              <w:t>Australija</w:t>
            </w:r>
          </w:p>
        </w:tc>
        <w:tc>
          <w:tcPr>
            <w:tcW w:w="1761" w:type="dxa"/>
            <w:shd w:val="clear" w:color="auto" w:fill="auto"/>
          </w:tcPr>
          <w:p w14:paraId="6BF96503" w14:textId="77777777" w:rsidR="0069198D" w:rsidRPr="0069198D" w:rsidRDefault="0069198D" w:rsidP="0069198D">
            <w:pPr>
              <w:jc w:val="right"/>
            </w:pPr>
            <w:r w:rsidRPr="0069198D">
              <w:t>27 194</w:t>
            </w:r>
          </w:p>
        </w:tc>
        <w:tc>
          <w:tcPr>
            <w:tcW w:w="2268" w:type="dxa"/>
            <w:shd w:val="clear" w:color="auto" w:fill="auto"/>
          </w:tcPr>
          <w:p w14:paraId="59A52723" w14:textId="77777777" w:rsidR="0069198D" w:rsidRPr="0069198D" w:rsidRDefault="0069198D" w:rsidP="0069198D">
            <w:pPr>
              <w:jc w:val="right"/>
            </w:pPr>
            <w:r w:rsidRPr="0069198D">
              <w:t>1,5%</w:t>
            </w:r>
          </w:p>
        </w:tc>
        <w:tc>
          <w:tcPr>
            <w:tcW w:w="2115" w:type="dxa"/>
            <w:shd w:val="clear" w:color="auto" w:fill="auto"/>
          </w:tcPr>
          <w:p w14:paraId="2FDB5E14" w14:textId="77777777" w:rsidR="0069198D" w:rsidRPr="0069198D" w:rsidRDefault="0069198D" w:rsidP="0069198D">
            <w:pPr>
              <w:jc w:val="right"/>
            </w:pPr>
          </w:p>
        </w:tc>
      </w:tr>
      <w:tr w:rsidR="0069198D" w:rsidRPr="0069198D" w14:paraId="4F276B71" w14:textId="77777777" w:rsidTr="00BA6713">
        <w:tc>
          <w:tcPr>
            <w:tcW w:w="3044" w:type="dxa"/>
            <w:shd w:val="clear" w:color="auto" w:fill="auto"/>
          </w:tcPr>
          <w:p w14:paraId="742CDAA8" w14:textId="77777777" w:rsidR="0069198D" w:rsidRPr="0069198D" w:rsidRDefault="0069198D" w:rsidP="0069198D">
            <w:r w:rsidRPr="0069198D">
              <w:t>Danska</w:t>
            </w:r>
          </w:p>
        </w:tc>
        <w:tc>
          <w:tcPr>
            <w:tcW w:w="1761" w:type="dxa"/>
            <w:shd w:val="clear" w:color="auto" w:fill="auto"/>
          </w:tcPr>
          <w:p w14:paraId="77CD6526" w14:textId="77777777" w:rsidR="0069198D" w:rsidRPr="0069198D" w:rsidRDefault="0069198D" w:rsidP="0069198D">
            <w:pPr>
              <w:jc w:val="right"/>
            </w:pPr>
            <w:r w:rsidRPr="0069198D">
              <w:t>24 145</w:t>
            </w:r>
          </w:p>
        </w:tc>
        <w:tc>
          <w:tcPr>
            <w:tcW w:w="2268" w:type="dxa"/>
            <w:shd w:val="clear" w:color="auto" w:fill="auto"/>
          </w:tcPr>
          <w:p w14:paraId="1DAE6867" w14:textId="77777777" w:rsidR="0069198D" w:rsidRPr="0069198D" w:rsidRDefault="0069198D" w:rsidP="0069198D">
            <w:pPr>
              <w:jc w:val="right"/>
            </w:pPr>
            <w:r w:rsidRPr="0069198D">
              <w:t>1,3%</w:t>
            </w:r>
          </w:p>
        </w:tc>
        <w:tc>
          <w:tcPr>
            <w:tcW w:w="2115" w:type="dxa"/>
            <w:shd w:val="clear" w:color="auto" w:fill="auto"/>
          </w:tcPr>
          <w:p w14:paraId="46E80C29" w14:textId="77777777" w:rsidR="0069198D" w:rsidRPr="0069198D" w:rsidRDefault="0069198D" w:rsidP="0069198D">
            <w:pPr>
              <w:jc w:val="right"/>
            </w:pPr>
          </w:p>
        </w:tc>
      </w:tr>
      <w:tr w:rsidR="0069198D" w:rsidRPr="0069198D" w14:paraId="044C2D10" w14:textId="77777777" w:rsidTr="00BA6713">
        <w:tc>
          <w:tcPr>
            <w:tcW w:w="3044" w:type="dxa"/>
            <w:shd w:val="clear" w:color="auto" w:fill="auto"/>
          </w:tcPr>
          <w:p w14:paraId="3651B321" w14:textId="77777777" w:rsidR="0069198D" w:rsidRPr="0069198D" w:rsidRDefault="0069198D" w:rsidP="0069198D">
            <w:r w:rsidRPr="0069198D">
              <w:t>Austrija*</w:t>
            </w:r>
          </w:p>
        </w:tc>
        <w:tc>
          <w:tcPr>
            <w:tcW w:w="1761" w:type="dxa"/>
            <w:shd w:val="clear" w:color="auto" w:fill="auto"/>
          </w:tcPr>
          <w:p w14:paraId="7751D419" w14:textId="77777777" w:rsidR="0069198D" w:rsidRPr="0069198D" w:rsidRDefault="0069198D" w:rsidP="0069198D">
            <w:pPr>
              <w:jc w:val="right"/>
            </w:pPr>
            <w:r w:rsidRPr="0069198D">
              <w:t>22 432</w:t>
            </w:r>
          </w:p>
        </w:tc>
        <w:tc>
          <w:tcPr>
            <w:tcW w:w="2268" w:type="dxa"/>
            <w:shd w:val="clear" w:color="auto" w:fill="auto"/>
          </w:tcPr>
          <w:p w14:paraId="1942BE7E" w14:textId="77777777" w:rsidR="0069198D" w:rsidRPr="0069198D" w:rsidRDefault="0069198D" w:rsidP="0069198D">
            <w:pPr>
              <w:jc w:val="right"/>
            </w:pPr>
            <w:r w:rsidRPr="0069198D">
              <w:t>1,2%</w:t>
            </w:r>
          </w:p>
        </w:tc>
        <w:tc>
          <w:tcPr>
            <w:tcW w:w="2115" w:type="dxa"/>
            <w:shd w:val="clear" w:color="auto" w:fill="auto"/>
          </w:tcPr>
          <w:p w14:paraId="3092A18B" w14:textId="77777777" w:rsidR="0069198D" w:rsidRPr="0069198D" w:rsidRDefault="0069198D" w:rsidP="0069198D">
            <w:pPr>
              <w:jc w:val="right"/>
            </w:pPr>
          </w:p>
        </w:tc>
      </w:tr>
      <w:tr w:rsidR="0069198D" w:rsidRPr="0069198D" w14:paraId="13573E9F" w14:textId="77777777" w:rsidTr="00BA6713">
        <w:tc>
          <w:tcPr>
            <w:tcW w:w="3044" w:type="dxa"/>
            <w:shd w:val="clear" w:color="auto" w:fill="auto"/>
          </w:tcPr>
          <w:p w14:paraId="796970F0" w14:textId="77777777" w:rsidR="0069198D" w:rsidRPr="0069198D" w:rsidRDefault="0069198D" w:rsidP="0069198D">
            <w:r w:rsidRPr="0069198D">
              <w:t>Norveška</w:t>
            </w:r>
          </w:p>
        </w:tc>
        <w:tc>
          <w:tcPr>
            <w:tcW w:w="1761" w:type="dxa"/>
            <w:shd w:val="clear" w:color="auto" w:fill="auto"/>
          </w:tcPr>
          <w:p w14:paraId="5D1E94E2" w14:textId="77777777" w:rsidR="0069198D" w:rsidRPr="0069198D" w:rsidRDefault="0069198D" w:rsidP="0069198D">
            <w:pPr>
              <w:jc w:val="right"/>
            </w:pPr>
            <w:r w:rsidRPr="0069198D">
              <w:t>21 666</w:t>
            </w:r>
          </w:p>
        </w:tc>
        <w:tc>
          <w:tcPr>
            <w:tcW w:w="2268" w:type="dxa"/>
            <w:shd w:val="clear" w:color="auto" w:fill="auto"/>
          </w:tcPr>
          <w:p w14:paraId="794278F1" w14:textId="77777777" w:rsidR="0069198D" w:rsidRPr="0069198D" w:rsidRDefault="0069198D" w:rsidP="0069198D">
            <w:pPr>
              <w:jc w:val="right"/>
            </w:pPr>
            <w:r w:rsidRPr="0069198D">
              <w:t>1,2%</w:t>
            </w:r>
          </w:p>
        </w:tc>
        <w:tc>
          <w:tcPr>
            <w:tcW w:w="2115" w:type="dxa"/>
            <w:shd w:val="clear" w:color="auto" w:fill="auto"/>
          </w:tcPr>
          <w:p w14:paraId="0626A366" w14:textId="77777777" w:rsidR="0069198D" w:rsidRPr="0069198D" w:rsidRDefault="0069198D" w:rsidP="0069198D">
            <w:pPr>
              <w:jc w:val="right"/>
            </w:pPr>
          </w:p>
        </w:tc>
      </w:tr>
      <w:tr w:rsidR="0069198D" w:rsidRPr="0069198D" w14:paraId="387D3811" w14:textId="77777777" w:rsidTr="00BA6713">
        <w:tc>
          <w:tcPr>
            <w:tcW w:w="3044" w:type="dxa"/>
            <w:shd w:val="clear" w:color="auto" w:fill="auto"/>
          </w:tcPr>
          <w:p w14:paraId="150A26F1" w14:textId="77777777" w:rsidR="0069198D" w:rsidRPr="0069198D" w:rsidRDefault="0069198D" w:rsidP="0069198D">
            <w:r w:rsidRPr="0069198D">
              <w:t>Irska</w:t>
            </w:r>
          </w:p>
        </w:tc>
        <w:tc>
          <w:tcPr>
            <w:tcW w:w="1761" w:type="dxa"/>
            <w:shd w:val="clear" w:color="auto" w:fill="auto"/>
          </w:tcPr>
          <w:p w14:paraId="4184A279" w14:textId="77777777" w:rsidR="0069198D" w:rsidRPr="0069198D" w:rsidRDefault="0069198D" w:rsidP="0069198D">
            <w:pPr>
              <w:jc w:val="right"/>
            </w:pPr>
            <w:r w:rsidRPr="0069198D">
              <w:t>19 217</w:t>
            </w:r>
          </w:p>
        </w:tc>
        <w:tc>
          <w:tcPr>
            <w:tcW w:w="2268" w:type="dxa"/>
            <w:shd w:val="clear" w:color="auto" w:fill="auto"/>
          </w:tcPr>
          <w:p w14:paraId="1859DB45" w14:textId="77777777" w:rsidR="0069198D" w:rsidRPr="0069198D" w:rsidRDefault="0069198D" w:rsidP="0069198D">
            <w:pPr>
              <w:jc w:val="right"/>
            </w:pPr>
            <w:r w:rsidRPr="0069198D">
              <w:t>1,1%</w:t>
            </w:r>
          </w:p>
        </w:tc>
        <w:tc>
          <w:tcPr>
            <w:tcW w:w="2115" w:type="dxa"/>
            <w:shd w:val="clear" w:color="auto" w:fill="auto"/>
          </w:tcPr>
          <w:p w14:paraId="4A3D9B57" w14:textId="77777777" w:rsidR="0069198D" w:rsidRPr="0069198D" w:rsidRDefault="0069198D" w:rsidP="0069198D">
            <w:pPr>
              <w:jc w:val="right"/>
            </w:pPr>
          </w:p>
        </w:tc>
      </w:tr>
      <w:tr w:rsidR="0069198D" w:rsidRPr="0069198D" w14:paraId="0BC0FA88" w14:textId="77777777" w:rsidTr="00BA6713">
        <w:tc>
          <w:tcPr>
            <w:tcW w:w="3044" w:type="dxa"/>
            <w:shd w:val="clear" w:color="auto" w:fill="auto"/>
          </w:tcPr>
          <w:p w14:paraId="36DCA763" w14:textId="77777777" w:rsidR="0069198D" w:rsidRPr="0069198D" w:rsidRDefault="0069198D" w:rsidP="0069198D">
            <w:r w:rsidRPr="0069198D">
              <w:t>Finska</w:t>
            </w:r>
          </w:p>
        </w:tc>
        <w:tc>
          <w:tcPr>
            <w:tcW w:w="1761" w:type="dxa"/>
            <w:shd w:val="clear" w:color="auto" w:fill="auto"/>
          </w:tcPr>
          <w:p w14:paraId="4A0E582E" w14:textId="77777777" w:rsidR="0069198D" w:rsidRPr="0069198D" w:rsidRDefault="0069198D" w:rsidP="0069198D">
            <w:pPr>
              <w:jc w:val="right"/>
            </w:pPr>
            <w:r w:rsidRPr="0069198D">
              <w:t>17 296</w:t>
            </w:r>
          </w:p>
        </w:tc>
        <w:tc>
          <w:tcPr>
            <w:tcW w:w="2268" w:type="dxa"/>
            <w:shd w:val="clear" w:color="auto" w:fill="auto"/>
          </w:tcPr>
          <w:p w14:paraId="2359C709" w14:textId="77777777" w:rsidR="0069198D" w:rsidRPr="0069198D" w:rsidRDefault="0069198D" w:rsidP="0069198D">
            <w:pPr>
              <w:jc w:val="right"/>
            </w:pPr>
            <w:r w:rsidRPr="0069198D">
              <w:t>1,0%</w:t>
            </w:r>
          </w:p>
        </w:tc>
        <w:tc>
          <w:tcPr>
            <w:tcW w:w="2115" w:type="dxa"/>
            <w:shd w:val="clear" w:color="auto" w:fill="auto"/>
          </w:tcPr>
          <w:p w14:paraId="46357471" w14:textId="77777777" w:rsidR="0069198D" w:rsidRPr="0069198D" w:rsidRDefault="0069198D" w:rsidP="0069198D">
            <w:pPr>
              <w:jc w:val="right"/>
            </w:pPr>
          </w:p>
        </w:tc>
      </w:tr>
      <w:tr w:rsidR="0069198D" w:rsidRPr="0069198D" w14:paraId="4C9A450E" w14:textId="77777777" w:rsidTr="00BA6713">
        <w:tc>
          <w:tcPr>
            <w:tcW w:w="3044" w:type="dxa"/>
            <w:shd w:val="clear" w:color="auto" w:fill="auto"/>
          </w:tcPr>
          <w:p w14:paraId="0557E0F7" w14:textId="77777777" w:rsidR="0069198D" w:rsidRPr="0069198D" w:rsidRDefault="0069198D" w:rsidP="0069198D">
            <w:r w:rsidRPr="0069198D">
              <w:t>Poljska (1)**</w:t>
            </w:r>
          </w:p>
        </w:tc>
        <w:tc>
          <w:tcPr>
            <w:tcW w:w="1761" w:type="dxa"/>
            <w:shd w:val="clear" w:color="auto" w:fill="auto"/>
          </w:tcPr>
          <w:p w14:paraId="175E27FE" w14:textId="77777777" w:rsidR="0069198D" w:rsidRPr="0069198D" w:rsidRDefault="0069198D" w:rsidP="0069198D">
            <w:pPr>
              <w:jc w:val="right"/>
            </w:pPr>
            <w:r w:rsidRPr="0069198D">
              <w:t>12 652</w:t>
            </w:r>
          </w:p>
        </w:tc>
        <w:tc>
          <w:tcPr>
            <w:tcW w:w="2268" w:type="dxa"/>
            <w:shd w:val="clear" w:color="auto" w:fill="auto"/>
          </w:tcPr>
          <w:p w14:paraId="123100F6" w14:textId="77777777" w:rsidR="0069198D" w:rsidRPr="0069198D" w:rsidRDefault="0069198D" w:rsidP="0069198D">
            <w:pPr>
              <w:jc w:val="right"/>
            </w:pPr>
            <w:r w:rsidRPr="0069198D">
              <w:t>0,7%</w:t>
            </w:r>
          </w:p>
        </w:tc>
        <w:tc>
          <w:tcPr>
            <w:tcW w:w="2115" w:type="dxa"/>
            <w:shd w:val="clear" w:color="auto" w:fill="auto"/>
          </w:tcPr>
          <w:p w14:paraId="7CFE8DFE" w14:textId="77777777" w:rsidR="0069198D" w:rsidRPr="0069198D" w:rsidRDefault="0069198D" w:rsidP="0069198D">
            <w:pPr>
              <w:jc w:val="right"/>
            </w:pPr>
          </w:p>
        </w:tc>
      </w:tr>
      <w:tr w:rsidR="0069198D" w:rsidRPr="0069198D" w14:paraId="51822778" w14:textId="77777777" w:rsidTr="00BA6713">
        <w:tc>
          <w:tcPr>
            <w:tcW w:w="3044" w:type="dxa"/>
            <w:shd w:val="clear" w:color="auto" w:fill="auto"/>
          </w:tcPr>
          <w:p w14:paraId="5558069F" w14:textId="77777777" w:rsidR="0069198D" w:rsidRPr="0069198D" w:rsidRDefault="0069198D" w:rsidP="0069198D">
            <w:r w:rsidRPr="0069198D">
              <w:t>Portugal</w:t>
            </w:r>
          </w:p>
        </w:tc>
        <w:tc>
          <w:tcPr>
            <w:tcW w:w="1761" w:type="dxa"/>
            <w:shd w:val="clear" w:color="auto" w:fill="auto"/>
          </w:tcPr>
          <w:p w14:paraId="2D02E81E" w14:textId="77777777" w:rsidR="0069198D" w:rsidRPr="0069198D" w:rsidRDefault="0069198D" w:rsidP="0069198D">
            <w:pPr>
              <w:jc w:val="right"/>
            </w:pPr>
            <w:r w:rsidRPr="0069198D">
              <w:t>10 801</w:t>
            </w:r>
          </w:p>
        </w:tc>
        <w:tc>
          <w:tcPr>
            <w:tcW w:w="2268" w:type="dxa"/>
            <w:shd w:val="clear" w:color="auto" w:fill="auto"/>
          </w:tcPr>
          <w:p w14:paraId="638F7F05" w14:textId="77777777" w:rsidR="0069198D" w:rsidRPr="0069198D" w:rsidRDefault="0069198D" w:rsidP="0069198D">
            <w:pPr>
              <w:jc w:val="right"/>
            </w:pPr>
            <w:r w:rsidRPr="0069198D">
              <w:t>0,6%</w:t>
            </w:r>
          </w:p>
        </w:tc>
        <w:tc>
          <w:tcPr>
            <w:tcW w:w="2115" w:type="dxa"/>
            <w:shd w:val="clear" w:color="auto" w:fill="auto"/>
          </w:tcPr>
          <w:p w14:paraId="1308BE88" w14:textId="77777777" w:rsidR="0069198D" w:rsidRPr="0069198D" w:rsidRDefault="0069198D" w:rsidP="0069198D">
            <w:pPr>
              <w:jc w:val="right"/>
            </w:pPr>
          </w:p>
        </w:tc>
      </w:tr>
      <w:tr w:rsidR="0069198D" w:rsidRPr="0069198D" w14:paraId="0944B898" w14:textId="77777777" w:rsidTr="00BA6713">
        <w:tc>
          <w:tcPr>
            <w:tcW w:w="3044" w:type="dxa"/>
            <w:shd w:val="clear" w:color="auto" w:fill="auto"/>
          </w:tcPr>
          <w:p w14:paraId="09310C0D" w14:textId="77777777" w:rsidR="0069198D" w:rsidRPr="0069198D" w:rsidRDefault="0069198D" w:rsidP="0069198D">
            <w:r w:rsidRPr="0069198D">
              <w:t>Turska *</w:t>
            </w:r>
          </w:p>
        </w:tc>
        <w:tc>
          <w:tcPr>
            <w:tcW w:w="1761" w:type="dxa"/>
            <w:shd w:val="clear" w:color="auto" w:fill="auto"/>
          </w:tcPr>
          <w:p w14:paraId="39A7FFF4" w14:textId="77777777" w:rsidR="0069198D" w:rsidRPr="0069198D" w:rsidRDefault="0069198D" w:rsidP="0069198D">
            <w:pPr>
              <w:jc w:val="right"/>
            </w:pPr>
            <w:r w:rsidRPr="0069198D">
              <w:t>8 027</w:t>
            </w:r>
          </w:p>
        </w:tc>
        <w:tc>
          <w:tcPr>
            <w:tcW w:w="2268" w:type="dxa"/>
            <w:shd w:val="clear" w:color="auto" w:fill="auto"/>
          </w:tcPr>
          <w:p w14:paraId="7D12F413" w14:textId="77777777" w:rsidR="0069198D" w:rsidRPr="0069198D" w:rsidRDefault="0069198D" w:rsidP="0069198D">
            <w:pPr>
              <w:jc w:val="right"/>
            </w:pPr>
            <w:r w:rsidRPr="0069198D">
              <w:t>0,4%</w:t>
            </w:r>
          </w:p>
        </w:tc>
        <w:tc>
          <w:tcPr>
            <w:tcW w:w="2115" w:type="dxa"/>
            <w:shd w:val="clear" w:color="auto" w:fill="auto"/>
          </w:tcPr>
          <w:p w14:paraId="5B2A8532" w14:textId="77777777" w:rsidR="0069198D" w:rsidRPr="0069198D" w:rsidRDefault="0069198D" w:rsidP="0069198D">
            <w:pPr>
              <w:jc w:val="right"/>
            </w:pPr>
          </w:p>
        </w:tc>
      </w:tr>
      <w:tr w:rsidR="0069198D" w:rsidRPr="0069198D" w14:paraId="50CD8378" w14:textId="77777777" w:rsidTr="00BA6713">
        <w:tc>
          <w:tcPr>
            <w:tcW w:w="3044" w:type="dxa"/>
            <w:shd w:val="clear" w:color="auto" w:fill="auto"/>
          </w:tcPr>
          <w:p w14:paraId="2C6A4223" w14:textId="77777777" w:rsidR="0069198D" w:rsidRPr="0069198D" w:rsidRDefault="0069198D" w:rsidP="0069198D">
            <w:r w:rsidRPr="0069198D">
              <w:t>Mađarska **</w:t>
            </w:r>
          </w:p>
        </w:tc>
        <w:tc>
          <w:tcPr>
            <w:tcW w:w="1761" w:type="dxa"/>
            <w:shd w:val="clear" w:color="auto" w:fill="auto"/>
          </w:tcPr>
          <w:p w14:paraId="037804EC" w14:textId="77777777" w:rsidR="0069198D" w:rsidRPr="0069198D" w:rsidRDefault="0069198D" w:rsidP="0069198D">
            <w:pPr>
              <w:jc w:val="right"/>
            </w:pPr>
            <w:r w:rsidRPr="0069198D">
              <w:t>6 795</w:t>
            </w:r>
          </w:p>
        </w:tc>
        <w:tc>
          <w:tcPr>
            <w:tcW w:w="2268" w:type="dxa"/>
            <w:shd w:val="clear" w:color="auto" w:fill="auto"/>
          </w:tcPr>
          <w:p w14:paraId="2E617ACC" w14:textId="77777777" w:rsidR="0069198D" w:rsidRPr="0069198D" w:rsidRDefault="0069198D" w:rsidP="0069198D">
            <w:pPr>
              <w:jc w:val="right"/>
            </w:pPr>
            <w:r w:rsidRPr="0069198D">
              <w:t>0,4%</w:t>
            </w:r>
          </w:p>
        </w:tc>
        <w:tc>
          <w:tcPr>
            <w:tcW w:w="2115" w:type="dxa"/>
            <w:shd w:val="clear" w:color="auto" w:fill="auto"/>
          </w:tcPr>
          <w:p w14:paraId="6CB0AC43" w14:textId="77777777" w:rsidR="0069198D" w:rsidRPr="0069198D" w:rsidRDefault="0069198D" w:rsidP="0069198D">
            <w:pPr>
              <w:jc w:val="right"/>
            </w:pPr>
          </w:p>
        </w:tc>
      </w:tr>
      <w:tr w:rsidR="0069198D" w:rsidRPr="0069198D" w14:paraId="295A42EA" w14:textId="77777777" w:rsidTr="00BA6713">
        <w:tc>
          <w:tcPr>
            <w:tcW w:w="3044" w:type="dxa"/>
            <w:shd w:val="clear" w:color="auto" w:fill="auto"/>
          </w:tcPr>
          <w:p w14:paraId="7739799E" w14:textId="77777777" w:rsidR="0069198D" w:rsidRPr="0069198D" w:rsidRDefault="0069198D" w:rsidP="0069198D">
            <w:r w:rsidRPr="0069198D">
              <w:t>Novi Zeland</w:t>
            </w:r>
          </w:p>
        </w:tc>
        <w:tc>
          <w:tcPr>
            <w:tcW w:w="1761" w:type="dxa"/>
            <w:shd w:val="clear" w:color="auto" w:fill="auto"/>
          </w:tcPr>
          <w:p w14:paraId="72FB993B" w14:textId="77777777" w:rsidR="0069198D" w:rsidRPr="0069198D" w:rsidRDefault="0069198D" w:rsidP="0069198D">
            <w:pPr>
              <w:jc w:val="right"/>
            </w:pPr>
            <w:r w:rsidRPr="0069198D">
              <w:t>6 663</w:t>
            </w:r>
          </w:p>
        </w:tc>
        <w:tc>
          <w:tcPr>
            <w:tcW w:w="2268" w:type="dxa"/>
            <w:shd w:val="clear" w:color="auto" w:fill="auto"/>
          </w:tcPr>
          <w:p w14:paraId="39326FEF" w14:textId="77777777" w:rsidR="0069198D" w:rsidRPr="0069198D" w:rsidRDefault="0069198D" w:rsidP="0069198D">
            <w:pPr>
              <w:jc w:val="right"/>
            </w:pPr>
            <w:r w:rsidRPr="0069198D">
              <w:t>0,4%</w:t>
            </w:r>
          </w:p>
        </w:tc>
        <w:tc>
          <w:tcPr>
            <w:tcW w:w="2115" w:type="dxa"/>
            <w:shd w:val="clear" w:color="auto" w:fill="auto"/>
          </w:tcPr>
          <w:p w14:paraId="5EFCF545" w14:textId="77777777" w:rsidR="0069198D" w:rsidRPr="0069198D" w:rsidRDefault="0069198D" w:rsidP="0069198D">
            <w:pPr>
              <w:jc w:val="right"/>
            </w:pPr>
          </w:p>
        </w:tc>
      </w:tr>
      <w:tr w:rsidR="0069198D" w:rsidRPr="0069198D" w14:paraId="68E2BC6B" w14:textId="77777777" w:rsidTr="00BA6713">
        <w:tc>
          <w:tcPr>
            <w:tcW w:w="3044" w:type="dxa"/>
            <w:shd w:val="clear" w:color="auto" w:fill="auto"/>
          </w:tcPr>
          <w:p w14:paraId="06C5E59A" w14:textId="77777777" w:rsidR="0069198D" w:rsidRPr="0069198D" w:rsidRDefault="0069198D" w:rsidP="0069198D">
            <w:r w:rsidRPr="0069198D">
              <w:t>Češka Republika ***</w:t>
            </w:r>
          </w:p>
        </w:tc>
        <w:tc>
          <w:tcPr>
            <w:tcW w:w="1761" w:type="dxa"/>
            <w:shd w:val="clear" w:color="auto" w:fill="auto"/>
          </w:tcPr>
          <w:p w14:paraId="7105E935" w14:textId="77777777" w:rsidR="0069198D" w:rsidRPr="0069198D" w:rsidRDefault="0069198D" w:rsidP="0069198D">
            <w:pPr>
              <w:jc w:val="right"/>
            </w:pPr>
            <w:r w:rsidRPr="0069198D">
              <w:t>6 263</w:t>
            </w:r>
          </w:p>
        </w:tc>
        <w:tc>
          <w:tcPr>
            <w:tcW w:w="2268" w:type="dxa"/>
            <w:shd w:val="clear" w:color="auto" w:fill="auto"/>
          </w:tcPr>
          <w:p w14:paraId="0AD0932A" w14:textId="77777777" w:rsidR="0069198D" w:rsidRPr="0069198D" w:rsidRDefault="0069198D" w:rsidP="0069198D">
            <w:pPr>
              <w:jc w:val="right"/>
            </w:pPr>
            <w:r w:rsidRPr="0069198D">
              <w:t>0,3%</w:t>
            </w:r>
          </w:p>
        </w:tc>
        <w:tc>
          <w:tcPr>
            <w:tcW w:w="2115" w:type="dxa"/>
            <w:shd w:val="clear" w:color="auto" w:fill="auto"/>
          </w:tcPr>
          <w:p w14:paraId="7EAA5DF0" w14:textId="77777777" w:rsidR="0069198D" w:rsidRPr="0069198D" w:rsidRDefault="0069198D" w:rsidP="0069198D">
            <w:pPr>
              <w:jc w:val="right"/>
            </w:pPr>
          </w:p>
        </w:tc>
      </w:tr>
      <w:tr w:rsidR="0069198D" w:rsidRPr="0069198D" w14:paraId="349F5648" w14:textId="77777777" w:rsidTr="00BA6713">
        <w:tc>
          <w:tcPr>
            <w:tcW w:w="3044" w:type="dxa"/>
            <w:shd w:val="clear" w:color="auto" w:fill="auto"/>
          </w:tcPr>
          <w:p w14:paraId="5D633501" w14:textId="77777777" w:rsidR="0069198D" w:rsidRPr="0069198D" w:rsidRDefault="0069198D" w:rsidP="0069198D">
            <w:r w:rsidRPr="0069198D">
              <w:t>Grčka *</w:t>
            </w:r>
          </w:p>
        </w:tc>
        <w:tc>
          <w:tcPr>
            <w:tcW w:w="1761" w:type="dxa"/>
            <w:shd w:val="clear" w:color="auto" w:fill="auto"/>
          </w:tcPr>
          <w:p w14:paraId="41F542ED" w14:textId="77777777" w:rsidR="0069198D" w:rsidRPr="0069198D" w:rsidRDefault="0069198D" w:rsidP="0069198D">
            <w:pPr>
              <w:jc w:val="right"/>
            </w:pPr>
            <w:r w:rsidRPr="0069198D">
              <w:t>4 606</w:t>
            </w:r>
          </w:p>
        </w:tc>
        <w:tc>
          <w:tcPr>
            <w:tcW w:w="2268" w:type="dxa"/>
            <w:shd w:val="clear" w:color="auto" w:fill="auto"/>
          </w:tcPr>
          <w:p w14:paraId="79155696" w14:textId="77777777" w:rsidR="0069198D" w:rsidRPr="0069198D" w:rsidRDefault="0069198D" w:rsidP="0069198D">
            <w:pPr>
              <w:jc w:val="right"/>
            </w:pPr>
            <w:r w:rsidRPr="0069198D">
              <w:t>0,3%</w:t>
            </w:r>
          </w:p>
        </w:tc>
        <w:tc>
          <w:tcPr>
            <w:tcW w:w="2115" w:type="dxa"/>
            <w:shd w:val="clear" w:color="auto" w:fill="auto"/>
          </w:tcPr>
          <w:p w14:paraId="42A7A630" w14:textId="77777777" w:rsidR="0069198D" w:rsidRPr="0069198D" w:rsidRDefault="0069198D" w:rsidP="0069198D">
            <w:pPr>
              <w:jc w:val="right"/>
            </w:pPr>
          </w:p>
        </w:tc>
      </w:tr>
      <w:tr w:rsidR="0069198D" w:rsidRPr="0069198D" w14:paraId="7FB94B79" w14:textId="77777777" w:rsidTr="00BA6713">
        <w:tc>
          <w:tcPr>
            <w:tcW w:w="3044" w:type="dxa"/>
            <w:shd w:val="clear" w:color="auto" w:fill="auto"/>
          </w:tcPr>
          <w:p w14:paraId="5FBDCFA3" w14:textId="77777777" w:rsidR="0069198D" w:rsidRPr="0069198D" w:rsidRDefault="0069198D" w:rsidP="0069198D">
            <w:r w:rsidRPr="0069198D">
              <w:t>Island</w:t>
            </w:r>
          </w:p>
        </w:tc>
        <w:tc>
          <w:tcPr>
            <w:tcW w:w="1761" w:type="dxa"/>
            <w:shd w:val="clear" w:color="auto" w:fill="auto"/>
          </w:tcPr>
          <w:p w14:paraId="0FD384FF" w14:textId="77777777" w:rsidR="0069198D" w:rsidRPr="0069198D" w:rsidRDefault="0069198D" w:rsidP="0069198D">
            <w:pPr>
              <w:jc w:val="right"/>
            </w:pPr>
            <w:r w:rsidRPr="0069198D">
              <w:t>949</w:t>
            </w:r>
          </w:p>
        </w:tc>
        <w:tc>
          <w:tcPr>
            <w:tcW w:w="2268" w:type="dxa"/>
            <w:shd w:val="clear" w:color="auto" w:fill="auto"/>
          </w:tcPr>
          <w:p w14:paraId="40A1E9E0" w14:textId="77777777" w:rsidR="0069198D" w:rsidRPr="0069198D" w:rsidRDefault="0069198D" w:rsidP="0069198D">
            <w:pPr>
              <w:jc w:val="right"/>
            </w:pPr>
            <w:r w:rsidRPr="0069198D">
              <w:t>0,1%</w:t>
            </w:r>
          </w:p>
        </w:tc>
        <w:tc>
          <w:tcPr>
            <w:tcW w:w="2115" w:type="dxa"/>
            <w:shd w:val="clear" w:color="auto" w:fill="auto"/>
          </w:tcPr>
          <w:p w14:paraId="1E961BE8" w14:textId="77777777" w:rsidR="0069198D" w:rsidRPr="0069198D" w:rsidRDefault="0069198D" w:rsidP="0069198D">
            <w:pPr>
              <w:jc w:val="right"/>
            </w:pPr>
          </w:p>
        </w:tc>
      </w:tr>
      <w:tr w:rsidR="0069198D" w:rsidRPr="0069198D" w14:paraId="5D9E2E36" w14:textId="77777777" w:rsidTr="00BA6713">
        <w:tc>
          <w:tcPr>
            <w:tcW w:w="3044" w:type="dxa"/>
            <w:shd w:val="clear" w:color="auto" w:fill="auto"/>
          </w:tcPr>
          <w:p w14:paraId="02916A01" w14:textId="77777777" w:rsidR="0069198D" w:rsidRPr="0069198D" w:rsidRDefault="0069198D" w:rsidP="0069198D"/>
        </w:tc>
        <w:tc>
          <w:tcPr>
            <w:tcW w:w="1761" w:type="dxa"/>
            <w:shd w:val="clear" w:color="auto" w:fill="auto"/>
          </w:tcPr>
          <w:p w14:paraId="1F9C6462" w14:textId="77777777" w:rsidR="0069198D" w:rsidRPr="0069198D" w:rsidRDefault="0069198D" w:rsidP="0069198D">
            <w:pPr>
              <w:jc w:val="right"/>
            </w:pPr>
          </w:p>
        </w:tc>
        <w:tc>
          <w:tcPr>
            <w:tcW w:w="2268" w:type="dxa"/>
            <w:shd w:val="clear" w:color="auto" w:fill="auto"/>
          </w:tcPr>
          <w:p w14:paraId="4DC3CA09" w14:textId="77777777" w:rsidR="0069198D" w:rsidRPr="0069198D" w:rsidRDefault="0069198D" w:rsidP="0069198D">
            <w:pPr>
              <w:jc w:val="right"/>
            </w:pPr>
          </w:p>
        </w:tc>
        <w:tc>
          <w:tcPr>
            <w:tcW w:w="2115" w:type="dxa"/>
            <w:shd w:val="clear" w:color="auto" w:fill="auto"/>
          </w:tcPr>
          <w:p w14:paraId="6B2AA238" w14:textId="77777777" w:rsidR="0069198D" w:rsidRPr="0069198D" w:rsidRDefault="0069198D" w:rsidP="0069198D">
            <w:pPr>
              <w:jc w:val="right"/>
            </w:pPr>
          </w:p>
        </w:tc>
      </w:tr>
      <w:tr w:rsidR="0069198D" w:rsidRPr="0069198D" w14:paraId="2D7E8A61" w14:textId="77777777" w:rsidTr="00BA6713">
        <w:tc>
          <w:tcPr>
            <w:tcW w:w="3044" w:type="dxa"/>
            <w:shd w:val="clear" w:color="auto" w:fill="auto"/>
          </w:tcPr>
          <w:p w14:paraId="185FAECD" w14:textId="77777777" w:rsidR="0069198D" w:rsidRPr="0069198D" w:rsidRDefault="0069198D" w:rsidP="0069198D">
            <w:pPr>
              <w:rPr>
                <w:b/>
                <w:bCs/>
              </w:rPr>
            </w:pPr>
            <w:r w:rsidRPr="0069198D">
              <w:rPr>
                <w:b/>
                <w:bCs/>
              </w:rPr>
              <w:t>Ukupno OECD</w:t>
            </w:r>
          </w:p>
        </w:tc>
        <w:tc>
          <w:tcPr>
            <w:tcW w:w="1761" w:type="dxa"/>
            <w:shd w:val="clear" w:color="auto" w:fill="auto"/>
          </w:tcPr>
          <w:p w14:paraId="29C1B881" w14:textId="77777777" w:rsidR="0069198D" w:rsidRPr="0069198D" w:rsidRDefault="0069198D" w:rsidP="0069198D">
            <w:pPr>
              <w:jc w:val="right"/>
              <w:rPr>
                <w:b/>
                <w:bCs/>
              </w:rPr>
            </w:pPr>
            <w:r w:rsidRPr="0069198D">
              <w:rPr>
                <w:b/>
                <w:bCs/>
              </w:rPr>
              <w:t>1 801 661</w:t>
            </w:r>
          </w:p>
        </w:tc>
        <w:tc>
          <w:tcPr>
            <w:tcW w:w="2268" w:type="dxa"/>
            <w:shd w:val="clear" w:color="auto" w:fill="auto"/>
          </w:tcPr>
          <w:p w14:paraId="07CFF207" w14:textId="77777777" w:rsidR="0069198D" w:rsidRPr="0069198D" w:rsidRDefault="0069198D" w:rsidP="0069198D">
            <w:pPr>
              <w:jc w:val="right"/>
              <w:rPr>
                <w:b/>
                <w:bCs/>
              </w:rPr>
            </w:pPr>
            <w:r w:rsidRPr="0069198D">
              <w:rPr>
                <w:b/>
                <w:bCs/>
              </w:rPr>
              <w:t>100%</w:t>
            </w:r>
          </w:p>
        </w:tc>
        <w:tc>
          <w:tcPr>
            <w:tcW w:w="2115" w:type="dxa"/>
            <w:shd w:val="clear" w:color="auto" w:fill="auto"/>
          </w:tcPr>
          <w:p w14:paraId="4F849CC1" w14:textId="77777777" w:rsidR="0069198D" w:rsidRPr="0069198D" w:rsidRDefault="0069198D" w:rsidP="0069198D">
            <w:pPr>
              <w:jc w:val="right"/>
              <w:rPr>
                <w:b/>
                <w:bCs/>
              </w:rPr>
            </w:pPr>
          </w:p>
        </w:tc>
      </w:tr>
    </w:tbl>
    <w:p w14:paraId="6A8F8526" w14:textId="77777777" w:rsidR="0069198D" w:rsidRPr="0069198D" w:rsidRDefault="0069198D" w:rsidP="0069198D">
      <w:pPr>
        <w:jc w:val="both"/>
      </w:pPr>
    </w:p>
    <w:p w14:paraId="1EF401CF" w14:textId="77777777" w:rsidR="0069198D" w:rsidRPr="0069198D" w:rsidRDefault="0069198D" w:rsidP="0069198D">
      <w:pPr>
        <w:spacing w:before="120" w:after="120"/>
        <w:jc w:val="both"/>
      </w:pPr>
      <w:r w:rsidRPr="0069198D">
        <w:t>Napomene: * 1990.-1995.; ** 1991.-1996.; *** 1993.-1996.</w:t>
      </w:r>
    </w:p>
    <w:p w14:paraId="11F63779" w14:textId="77777777" w:rsidR="0069198D" w:rsidRPr="0069198D" w:rsidRDefault="0069198D" w:rsidP="0069198D">
      <w:pPr>
        <w:spacing w:before="120" w:after="120"/>
        <w:jc w:val="both"/>
      </w:pPr>
      <w:r w:rsidRPr="0069198D">
        <w:t>Izvori: OECD, (1) MMF.</w:t>
      </w:r>
    </w:p>
    <w:p w14:paraId="2DBAC532" w14:textId="77777777" w:rsidR="0069198D" w:rsidRPr="0069198D" w:rsidRDefault="0069198D" w:rsidP="0069198D">
      <w:pPr>
        <w:spacing w:before="120" w:after="120"/>
        <w:jc w:val="both"/>
      </w:pPr>
      <w:r w:rsidRPr="0069198D">
        <w:t>Što se tiče Belgije-Luksemburga: trgovinska statistika za Belgiju i Luksemburg dostupna je samo na kombiniranoj osnovi za dvije zemlje. Za potrebe članka 15. stavka 1. Konvencije, ako Belgija ili Luksemburg položi svoju ispravu o prihvatu, odobrenju ili ratifikaciji, ili ako i Belgija i Luksemburg polože svoje isprave o prihvatu, odobrenju ili ratifikaciji, smatrat će se da je jedna od zemalja koje imaju deset najvećih izvoznih udjela položila svoju ispravu i zajednički izvozi obiju zemalja uračunavat će se u 60 posto kombiniranog ukupnog izvoza tih deset zemalja, što je potrebno za stupanje na snagu prema ovoj odredbi.</w:t>
      </w:r>
    </w:p>
    <w:p w14:paraId="712BD764" w14:textId="77777777" w:rsidR="0069198D" w:rsidRDefault="0069198D" w:rsidP="0069198D">
      <w:pPr>
        <w:spacing w:before="120" w:after="120"/>
        <w:jc w:val="both"/>
      </w:pPr>
    </w:p>
    <w:p w14:paraId="39F31B6D" w14:textId="77777777" w:rsidR="0069198D" w:rsidRDefault="0069198D" w:rsidP="0069198D">
      <w:pPr>
        <w:spacing w:before="120" w:after="120"/>
        <w:jc w:val="both"/>
      </w:pPr>
    </w:p>
    <w:p w14:paraId="3E70076E" w14:textId="77777777" w:rsidR="0069198D" w:rsidRDefault="0069198D" w:rsidP="0069198D">
      <w:pPr>
        <w:spacing w:before="120" w:after="120"/>
        <w:jc w:val="both"/>
      </w:pPr>
    </w:p>
    <w:p w14:paraId="6AD9D0D7" w14:textId="77777777" w:rsidR="0069198D" w:rsidRDefault="0069198D" w:rsidP="0069198D">
      <w:pPr>
        <w:spacing w:before="120" w:after="120"/>
        <w:jc w:val="both"/>
      </w:pPr>
    </w:p>
    <w:p w14:paraId="412DA5B1" w14:textId="77777777" w:rsidR="0069198D" w:rsidRDefault="0069198D" w:rsidP="0069198D">
      <w:pPr>
        <w:spacing w:before="120" w:after="120"/>
        <w:jc w:val="both"/>
      </w:pPr>
    </w:p>
    <w:p w14:paraId="0F3A4C33" w14:textId="77777777" w:rsidR="0069198D" w:rsidRDefault="0069198D" w:rsidP="0069198D">
      <w:pPr>
        <w:spacing w:before="120" w:after="120"/>
        <w:jc w:val="both"/>
      </w:pPr>
    </w:p>
    <w:p w14:paraId="4A89EC49" w14:textId="77777777" w:rsidR="0069198D" w:rsidRDefault="0069198D" w:rsidP="0069198D">
      <w:pPr>
        <w:spacing w:before="120" w:after="120"/>
        <w:jc w:val="both"/>
      </w:pPr>
    </w:p>
    <w:p w14:paraId="283A895C" w14:textId="77777777" w:rsidR="0069198D" w:rsidRDefault="0069198D" w:rsidP="0069198D">
      <w:pPr>
        <w:spacing w:before="120" w:after="120"/>
        <w:jc w:val="both"/>
      </w:pPr>
    </w:p>
    <w:p w14:paraId="68B443EB" w14:textId="77777777" w:rsidR="0069198D" w:rsidRDefault="0069198D" w:rsidP="0069198D">
      <w:pPr>
        <w:spacing w:before="120" w:after="120"/>
        <w:jc w:val="both"/>
      </w:pPr>
    </w:p>
    <w:p w14:paraId="669E82BC" w14:textId="77777777" w:rsidR="0069198D" w:rsidRDefault="0069198D" w:rsidP="0069198D">
      <w:pPr>
        <w:spacing w:before="120" w:after="120"/>
        <w:jc w:val="both"/>
      </w:pPr>
    </w:p>
    <w:p w14:paraId="6A0A4381" w14:textId="77777777" w:rsidR="0069198D" w:rsidRPr="0069198D" w:rsidRDefault="0069198D" w:rsidP="0069198D">
      <w:pPr>
        <w:spacing w:before="120" w:after="120"/>
        <w:jc w:val="both"/>
      </w:pPr>
    </w:p>
    <w:p w14:paraId="26CCAA92" w14:textId="77777777" w:rsidR="00244D84" w:rsidRDefault="00244D84" w:rsidP="0069198D">
      <w:pPr>
        <w:autoSpaceDE w:val="0"/>
        <w:autoSpaceDN w:val="0"/>
        <w:adjustRightInd w:val="0"/>
        <w:jc w:val="center"/>
        <w:rPr>
          <w:b/>
        </w:rPr>
      </w:pPr>
      <w:r w:rsidRPr="0093323B">
        <w:rPr>
          <w:b/>
        </w:rPr>
        <w:t>CONVENTION ON COMBATING BRIBERY OF FOREIGN PUBLIC</w:t>
      </w:r>
    </w:p>
    <w:p w14:paraId="14B85C70" w14:textId="77777777" w:rsidR="00244D84" w:rsidRPr="0093323B" w:rsidRDefault="00244D84" w:rsidP="00596904">
      <w:pPr>
        <w:jc w:val="center"/>
        <w:rPr>
          <w:b/>
        </w:rPr>
      </w:pPr>
      <w:r w:rsidRPr="0093323B">
        <w:rPr>
          <w:b/>
        </w:rPr>
        <w:t>OFFICIALS IN INTERNATIONAL BUSINESS TRANSACTIONS</w:t>
      </w:r>
    </w:p>
    <w:p w14:paraId="7FBEED68" w14:textId="77777777" w:rsidR="00244D84" w:rsidRDefault="00244D84" w:rsidP="00244D84">
      <w:pPr>
        <w:spacing w:before="120" w:after="120"/>
        <w:jc w:val="both"/>
      </w:pPr>
    </w:p>
    <w:p w14:paraId="5AA69BE0" w14:textId="77777777" w:rsidR="00244D84" w:rsidRPr="0093323B" w:rsidRDefault="00244D84" w:rsidP="00244D84">
      <w:pPr>
        <w:spacing w:before="120" w:after="120"/>
        <w:jc w:val="both"/>
      </w:pPr>
    </w:p>
    <w:p w14:paraId="44B6CC32" w14:textId="77777777" w:rsidR="00244D84" w:rsidRPr="0093323B" w:rsidRDefault="00244D84" w:rsidP="00244D84">
      <w:pPr>
        <w:spacing w:before="120" w:after="120"/>
        <w:jc w:val="center"/>
        <w:rPr>
          <w:b/>
          <w:lang w:val="en-US"/>
        </w:rPr>
      </w:pPr>
      <w:r w:rsidRPr="0093323B">
        <w:rPr>
          <w:b/>
          <w:lang w:val="en-US"/>
        </w:rPr>
        <w:t>Preamble</w:t>
      </w:r>
    </w:p>
    <w:p w14:paraId="33C4829D" w14:textId="77777777" w:rsidR="00244D84" w:rsidRPr="008E4426" w:rsidRDefault="00244D84" w:rsidP="00244D84">
      <w:pPr>
        <w:spacing w:before="120" w:after="120"/>
        <w:ind w:firstLine="708"/>
        <w:jc w:val="both"/>
        <w:rPr>
          <w:lang w:val="en-GB"/>
        </w:rPr>
      </w:pPr>
      <w:r w:rsidRPr="008E4426">
        <w:rPr>
          <w:b/>
          <w:bCs/>
          <w:lang w:val="en-GB"/>
        </w:rPr>
        <w:t>The Parties</w:t>
      </w:r>
      <w:r w:rsidRPr="008E4426">
        <w:rPr>
          <w:lang w:val="en-GB"/>
        </w:rPr>
        <w:t>,</w:t>
      </w:r>
    </w:p>
    <w:p w14:paraId="14D3A2D2" w14:textId="77777777" w:rsidR="00244D84" w:rsidRPr="008E4426" w:rsidRDefault="00244D84" w:rsidP="00244D84">
      <w:pPr>
        <w:spacing w:before="120" w:after="120"/>
        <w:ind w:firstLine="708"/>
        <w:jc w:val="both"/>
        <w:rPr>
          <w:lang w:val="en-GB"/>
        </w:rPr>
      </w:pPr>
      <w:r w:rsidRPr="008E4426">
        <w:rPr>
          <w:b/>
          <w:bCs/>
          <w:lang w:val="en-GB"/>
        </w:rPr>
        <w:t>Considering</w:t>
      </w:r>
      <w:r w:rsidRPr="008E4426">
        <w:rPr>
          <w:lang w:val="en-GB"/>
        </w:rPr>
        <w:t xml:space="preserve"> that bribery is a widespread phenomenon in international business transactions, including trade and investment, which raises serious moral and political concerns, undermines good governance and economic development, and distorts international competitive conditions;</w:t>
      </w:r>
    </w:p>
    <w:p w14:paraId="161A0757" w14:textId="77777777" w:rsidR="00244D84" w:rsidRPr="008E4426" w:rsidRDefault="00244D84" w:rsidP="00244D84">
      <w:pPr>
        <w:spacing w:before="120" w:after="120"/>
        <w:ind w:firstLine="708"/>
        <w:jc w:val="both"/>
        <w:rPr>
          <w:lang w:val="en-GB"/>
        </w:rPr>
      </w:pPr>
      <w:r w:rsidRPr="008E4426">
        <w:rPr>
          <w:b/>
          <w:bCs/>
          <w:lang w:val="en-GB"/>
        </w:rPr>
        <w:t>Considering</w:t>
      </w:r>
      <w:r w:rsidRPr="008E4426">
        <w:rPr>
          <w:lang w:val="en-GB"/>
        </w:rPr>
        <w:t xml:space="preserve"> that all countries share a responsibility to combat bribery in international business transactions;</w:t>
      </w:r>
    </w:p>
    <w:p w14:paraId="7F985F28" w14:textId="77777777" w:rsidR="00244D84" w:rsidRPr="008E4426" w:rsidRDefault="00244D84" w:rsidP="00244D84">
      <w:pPr>
        <w:spacing w:before="120" w:after="120"/>
        <w:ind w:firstLine="708"/>
        <w:jc w:val="both"/>
        <w:rPr>
          <w:lang w:val="en-GB"/>
        </w:rPr>
      </w:pPr>
      <w:r w:rsidRPr="008E4426">
        <w:rPr>
          <w:b/>
          <w:bCs/>
          <w:lang w:val="en-GB"/>
        </w:rPr>
        <w:t>Having regard</w:t>
      </w:r>
      <w:r w:rsidRPr="008E4426">
        <w:rPr>
          <w:lang w:val="en-GB"/>
        </w:rPr>
        <w:t xml:space="preserve"> to the Revised Recommendation on Combating Bribery in International Business Transactions, adopted by the Council of the Organisation for Economic Co-operation and Development (OECD) on 23 May 1997, C(97)123/FINAL, which, inter alia, called for effective measures to deter, prevent and combat the bribery of foreign public officials in connection with international business transactions, in particular the prompt criminalisation of such bribery in an effective and co-ordinated manner and in conformity with the agreed common elements set out in that Recommendation and with the jurisdictional and other basic legal principles of each country;</w:t>
      </w:r>
    </w:p>
    <w:p w14:paraId="13877779" w14:textId="77777777" w:rsidR="00244D84" w:rsidRPr="008E4426" w:rsidRDefault="00244D84" w:rsidP="00244D84">
      <w:pPr>
        <w:spacing w:before="120" w:after="120"/>
        <w:ind w:firstLine="708"/>
        <w:jc w:val="both"/>
        <w:rPr>
          <w:lang w:val="en-GB"/>
        </w:rPr>
      </w:pPr>
      <w:r w:rsidRPr="008E4426">
        <w:rPr>
          <w:b/>
          <w:bCs/>
          <w:lang w:val="en-GB"/>
        </w:rPr>
        <w:t>Welcoming</w:t>
      </w:r>
      <w:r w:rsidRPr="008E4426">
        <w:rPr>
          <w:lang w:val="en-GB"/>
        </w:rPr>
        <w:t xml:space="preserve"> other recent developments which further advance international understanding and co-operation in combating bribery of public officials, including </w:t>
      </w:r>
      <w:r w:rsidRPr="008E4426">
        <w:rPr>
          <w:lang w:val="en-GB"/>
        </w:rPr>
        <w:lastRenderedPageBreak/>
        <w:t>actions of the United Nations, the World Bank, the International Monetary Fund, the World Trade Organisation, the Organisation of American States, the Council of Europe and the European Union;</w:t>
      </w:r>
    </w:p>
    <w:p w14:paraId="4EFF0CD6" w14:textId="77777777" w:rsidR="00244D84" w:rsidRPr="008E4426" w:rsidRDefault="00244D84" w:rsidP="00244D84">
      <w:pPr>
        <w:spacing w:before="120" w:after="120"/>
        <w:ind w:firstLine="708"/>
        <w:jc w:val="both"/>
        <w:rPr>
          <w:lang w:val="en-GB"/>
        </w:rPr>
      </w:pPr>
      <w:r w:rsidRPr="008E4426">
        <w:rPr>
          <w:b/>
          <w:bCs/>
          <w:lang w:val="en-GB"/>
        </w:rPr>
        <w:t>Welcoming</w:t>
      </w:r>
      <w:r w:rsidRPr="008E4426">
        <w:rPr>
          <w:lang w:val="en-GB"/>
        </w:rPr>
        <w:t xml:space="preserve"> the efforts of companies, business organisations and trade unions as well as other non-governmental organisations to combat bribery;</w:t>
      </w:r>
    </w:p>
    <w:p w14:paraId="299C4A35" w14:textId="77777777" w:rsidR="00244D84" w:rsidRPr="008E4426" w:rsidRDefault="00244D84" w:rsidP="00244D84">
      <w:pPr>
        <w:spacing w:before="120" w:after="120"/>
        <w:ind w:firstLine="708"/>
        <w:jc w:val="both"/>
        <w:rPr>
          <w:lang w:val="en-GB"/>
        </w:rPr>
      </w:pPr>
      <w:r w:rsidRPr="008E4426">
        <w:rPr>
          <w:b/>
          <w:bCs/>
          <w:lang w:val="en-GB"/>
        </w:rPr>
        <w:t>Recognising</w:t>
      </w:r>
      <w:r w:rsidRPr="008E4426">
        <w:rPr>
          <w:lang w:val="en-GB"/>
        </w:rPr>
        <w:t xml:space="preserve"> the role of governments in the prevention of solicitation of bribes from individuals and enterprises in international business transactions;</w:t>
      </w:r>
    </w:p>
    <w:p w14:paraId="6BD78C46" w14:textId="77777777" w:rsidR="00244D84" w:rsidRPr="008E4426" w:rsidRDefault="00244D84" w:rsidP="00244D84">
      <w:pPr>
        <w:spacing w:before="120" w:after="120"/>
        <w:ind w:firstLine="708"/>
        <w:jc w:val="both"/>
        <w:rPr>
          <w:lang w:val="en-GB"/>
        </w:rPr>
      </w:pPr>
      <w:r w:rsidRPr="008E4426">
        <w:rPr>
          <w:b/>
          <w:bCs/>
          <w:lang w:val="en-GB"/>
        </w:rPr>
        <w:t>Recognising</w:t>
      </w:r>
      <w:r w:rsidRPr="008E4426">
        <w:rPr>
          <w:lang w:val="en-GB"/>
        </w:rPr>
        <w:t xml:space="preserve"> that achieving progress in this field requires not only efforts on a national level but also multilateral co-operation, monitoring and follow-up;</w:t>
      </w:r>
    </w:p>
    <w:p w14:paraId="472D3C09" w14:textId="77777777" w:rsidR="00244D84" w:rsidRPr="008E4426" w:rsidRDefault="00244D84" w:rsidP="00244D84">
      <w:pPr>
        <w:spacing w:before="120" w:after="120"/>
        <w:ind w:firstLine="708"/>
        <w:jc w:val="both"/>
        <w:rPr>
          <w:lang w:val="en-GB"/>
        </w:rPr>
      </w:pPr>
      <w:r w:rsidRPr="008E4426">
        <w:rPr>
          <w:b/>
          <w:bCs/>
          <w:lang w:val="en-GB"/>
        </w:rPr>
        <w:t>Recognising</w:t>
      </w:r>
      <w:r w:rsidRPr="008E4426">
        <w:rPr>
          <w:lang w:val="en-GB"/>
        </w:rPr>
        <w:t xml:space="preserve"> that achieving equivalence among the measures to be taken by the Parties is an essential object and purpose of the Convention, which requires that the Convention be ratified without derogations affecting this equivalence;</w:t>
      </w:r>
    </w:p>
    <w:p w14:paraId="2D65009C" w14:textId="77777777" w:rsidR="00244D84" w:rsidRPr="008E4426" w:rsidRDefault="00244D84" w:rsidP="00244D84">
      <w:pPr>
        <w:spacing w:before="120" w:after="120"/>
        <w:ind w:firstLine="708"/>
        <w:jc w:val="both"/>
        <w:rPr>
          <w:b/>
          <w:bCs/>
          <w:lang w:val="en-GB"/>
        </w:rPr>
      </w:pPr>
      <w:r w:rsidRPr="008E4426">
        <w:rPr>
          <w:b/>
          <w:bCs/>
          <w:lang w:val="en-GB"/>
        </w:rPr>
        <w:t>Have agreed as follows:</w:t>
      </w:r>
    </w:p>
    <w:p w14:paraId="16D52443" w14:textId="77777777" w:rsidR="00244D84" w:rsidRPr="008E4426" w:rsidRDefault="00244D84" w:rsidP="00244D84">
      <w:pPr>
        <w:spacing w:before="120" w:after="120"/>
        <w:ind w:firstLine="708"/>
        <w:jc w:val="both"/>
        <w:rPr>
          <w:b/>
          <w:bCs/>
          <w:lang w:val="en-GB"/>
        </w:rPr>
      </w:pPr>
    </w:p>
    <w:p w14:paraId="09DCCBAD" w14:textId="77777777" w:rsidR="00244D84" w:rsidRPr="008E4426" w:rsidRDefault="00244D84" w:rsidP="00244D84">
      <w:pPr>
        <w:spacing w:before="120" w:after="120"/>
        <w:jc w:val="center"/>
        <w:rPr>
          <w:b/>
          <w:lang w:val="en-GB"/>
        </w:rPr>
      </w:pPr>
      <w:r w:rsidRPr="008E4426">
        <w:rPr>
          <w:b/>
          <w:lang w:val="en-GB"/>
        </w:rPr>
        <w:t>Article 1</w:t>
      </w:r>
    </w:p>
    <w:p w14:paraId="767E5B33" w14:textId="77777777" w:rsidR="00244D84" w:rsidRPr="008E4426" w:rsidRDefault="00244D84" w:rsidP="00244D84">
      <w:pPr>
        <w:spacing w:before="120" w:after="120"/>
        <w:jc w:val="center"/>
        <w:rPr>
          <w:b/>
          <w:lang w:val="en-GB"/>
        </w:rPr>
      </w:pPr>
      <w:r w:rsidRPr="008E4426">
        <w:rPr>
          <w:b/>
          <w:lang w:val="en-GB"/>
        </w:rPr>
        <w:t>The Offence of Bribery of Foreign Public Officials</w:t>
      </w:r>
    </w:p>
    <w:p w14:paraId="687DABEF"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14:paraId="3839EC22"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Each Party shall take any measures necessary to establish that complicity in, including incitement, aiding and abetting, or authorisation of an act of bribery of a foreign public official shall be a criminal offence. Attempt and conspiracy to bribe a foreign public official shall be criminal offences to the same extent as attempt and conspiracy to bribe a public official of that Party.</w:t>
      </w:r>
    </w:p>
    <w:p w14:paraId="212494F1" w14:textId="77777777" w:rsidR="00244D84" w:rsidRPr="008E4426" w:rsidRDefault="00244D84" w:rsidP="00244D84">
      <w:pPr>
        <w:spacing w:before="120" w:after="120"/>
        <w:jc w:val="both"/>
        <w:rPr>
          <w:lang w:val="en-GB"/>
        </w:rPr>
      </w:pPr>
      <w:r w:rsidRPr="008E4426">
        <w:rPr>
          <w:lang w:val="en-GB"/>
        </w:rPr>
        <w:t xml:space="preserve">3. </w:t>
      </w:r>
      <w:r>
        <w:rPr>
          <w:lang w:val="en-GB"/>
        </w:rPr>
        <w:tab/>
      </w:r>
      <w:r w:rsidRPr="008E4426">
        <w:rPr>
          <w:lang w:val="en-GB"/>
        </w:rPr>
        <w:t xml:space="preserve">The offences set out in paragraphs 1 and 2 above are hereinafter referred to as </w:t>
      </w:r>
      <w:r>
        <w:rPr>
          <w:lang w:val="en-GB"/>
        </w:rPr>
        <w:t>“</w:t>
      </w:r>
      <w:r w:rsidRPr="008E4426">
        <w:rPr>
          <w:lang w:val="en-GB"/>
        </w:rPr>
        <w:t>bribery of a foreign public official</w:t>
      </w:r>
      <w:r>
        <w:rPr>
          <w:lang w:val="en-GB"/>
        </w:rPr>
        <w:t>”</w:t>
      </w:r>
      <w:r w:rsidRPr="008E4426">
        <w:rPr>
          <w:lang w:val="en-GB"/>
        </w:rPr>
        <w:t>.</w:t>
      </w:r>
    </w:p>
    <w:p w14:paraId="1372AB0F" w14:textId="77777777" w:rsidR="00244D84" w:rsidRPr="008E4426" w:rsidRDefault="00244D84" w:rsidP="00244D84">
      <w:pPr>
        <w:spacing w:before="120" w:after="120"/>
        <w:jc w:val="both"/>
        <w:rPr>
          <w:lang w:val="en-GB"/>
        </w:rPr>
      </w:pPr>
      <w:r w:rsidRPr="008E4426">
        <w:rPr>
          <w:lang w:val="en-GB"/>
        </w:rPr>
        <w:t xml:space="preserve">4.  </w:t>
      </w:r>
      <w:r>
        <w:rPr>
          <w:lang w:val="en-GB"/>
        </w:rPr>
        <w:tab/>
      </w:r>
      <w:r w:rsidRPr="008E4426">
        <w:rPr>
          <w:lang w:val="en-GB"/>
        </w:rPr>
        <w:t>For the purpose of this Convention:</w:t>
      </w:r>
    </w:p>
    <w:p w14:paraId="31191932" w14:textId="77777777" w:rsidR="00244D84" w:rsidRPr="00733DD6" w:rsidRDefault="00244D84" w:rsidP="00244D84">
      <w:pPr>
        <w:pStyle w:val="ListParagraph"/>
        <w:numPr>
          <w:ilvl w:val="0"/>
          <w:numId w:val="8"/>
        </w:numPr>
        <w:spacing w:before="120" w:after="120" w:line="259" w:lineRule="auto"/>
        <w:contextualSpacing/>
        <w:jc w:val="both"/>
        <w:rPr>
          <w:lang w:val="en-GB"/>
        </w:rPr>
      </w:pPr>
      <w:r>
        <w:rPr>
          <w:lang w:val="en-GB"/>
        </w:rPr>
        <w:t>“</w:t>
      </w:r>
      <w:r w:rsidRPr="00733DD6">
        <w:rPr>
          <w:lang w:val="en-GB"/>
        </w:rPr>
        <w:t>foreign public official</w:t>
      </w:r>
      <w:r>
        <w:rPr>
          <w:lang w:val="en-GB"/>
        </w:rPr>
        <w:t>”</w:t>
      </w:r>
      <w:r w:rsidRPr="00733DD6">
        <w:rPr>
          <w:lang w:val="en-GB"/>
        </w:rPr>
        <w:t xml:space="preserve"> means any person holding a legislative, administrative or judicial office of a foreign country, whether appointed or elected; any person exercising a public function for a foreign country, </w:t>
      </w:r>
      <w:r w:rsidRPr="00733DD6">
        <w:rPr>
          <w:lang w:val="en-GB"/>
        </w:rPr>
        <w:lastRenderedPageBreak/>
        <w:t>including for a public agency or public enterprise; and any official or agent of a public international organisation;</w:t>
      </w:r>
    </w:p>
    <w:p w14:paraId="2AE8563A" w14:textId="77777777" w:rsidR="00244D84" w:rsidRPr="00733DD6" w:rsidRDefault="00244D84" w:rsidP="00244D84">
      <w:pPr>
        <w:pStyle w:val="ListParagraph"/>
        <w:numPr>
          <w:ilvl w:val="0"/>
          <w:numId w:val="8"/>
        </w:numPr>
        <w:spacing w:before="120" w:after="120" w:line="259" w:lineRule="auto"/>
        <w:contextualSpacing/>
        <w:jc w:val="both"/>
        <w:rPr>
          <w:lang w:val="en-GB"/>
        </w:rPr>
      </w:pPr>
      <w:r>
        <w:rPr>
          <w:lang w:val="en-GB"/>
        </w:rPr>
        <w:t>“</w:t>
      </w:r>
      <w:r w:rsidRPr="00733DD6">
        <w:rPr>
          <w:lang w:val="en-GB"/>
        </w:rPr>
        <w:t>foreign country</w:t>
      </w:r>
      <w:r>
        <w:rPr>
          <w:lang w:val="en-GB"/>
        </w:rPr>
        <w:t>”</w:t>
      </w:r>
      <w:r w:rsidRPr="00733DD6">
        <w:rPr>
          <w:lang w:val="en-GB"/>
        </w:rPr>
        <w:t xml:space="preserve"> includes all levels and subdivisions of government, from national to local;</w:t>
      </w:r>
    </w:p>
    <w:p w14:paraId="2E40B85A" w14:textId="77777777" w:rsidR="00244D84" w:rsidRPr="00733DD6" w:rsidRDefault="00244D84" w:rsidP="00244D84">
      <w:pPr>
        <w:pStyle w:val="ListParagraph"/>
        <w:numPr>
          <w:ilvl w:val="0"/>
          <w:numId w:val="8"/>
        </w:numPr>
        <w:spacing w:before="120" w:after="120" w:line="259" w:lineRule="auto"/>
        <w:contextualSpacing/>
        <w:jc w:val="both"/>
        <w:rPr>
          <w:lang w:val="en-GB"/>
        </w:rPr>
      </w:pPr>
      <w:r>
        <w:rPr>
          <w:lang w:val="en-GB"/>
        </w:rPr>
        <w:t>“</w:t>
      </w:r>
      <w:r w:rsidRPr="00733DD6">
        <w:rPr>
          <w:lang w:val="en-GB"/>
        </w:rPr>
        <w:t>act or refrain from acting in relation to the performance of official duties</w:t>
      </w:r>
      <w:r>
        <w:rPr>
          <w:lang w:val="en-GB"/>
        </w:rPr>
        <w:t>”</w:t>
      </w:r>
      <w:r w:rsidRPr="00733DD6">
        <w:rPr>
          <w:lang w:val="en-GB"/>
        </w:rPr>
        <w:t xml:space="preserve"> includes any use of the public official's position, whether or not within the official's authorised competence.</w:t>
      </w:r>
    </w:p>
    <w:p w14:paraId="03ED20E7" w14:textId="77777777" w:rsidR="00244D84" w:rsidRDefault="00244D84" w:rsidP="00244D84">
      <w:pPr>
        <w:spacing w:before="120" w:after="120"/>
        <w:jc w:val="center"/>
        <w:rPr>
          <w:b/>
          <w:lang w:val="en-GB"/>
        </w:rPr>
      </w:pPr>
    </w:p>
    <w:p w14:paraId="3B13E6FB" w14:textId="77777777" w:rsidR="00244D84" w:rsidRPr="008E4426" w:rsidRDefault="00244D84" w:rsidP="00244D84">
      <w:pPr>
        <w:spacing w:before="120" w:after="120"/>
        <w:jc w:val="center"/>
        <w:rPr>
          <w:b/>
          <w:lang w:val="en-GB"/>
        </w:rPr>
      </w:pPr>
      <w:r w:rsidRPr="008E4426">
        <w:rPr>
          <w:b/>
          <w:lang w:val="en-GB"/>
        </w:rPr>
        <w:t>Article 2</w:t>
      </w:r>
    </w:p>
    <w:p w14:paraId="0590F358" w14:textId="77777777" w:rsidR="00244D84" w:rsidRPr="008E4426" w:rsidRDefault="00244D84" w:rsidP="00244D84">
      <w:pPr>
        <w:spacing w:before="120" w:after="120"/>
        <w:jc w:val="center"/>
        <w:rPr>
          <w:b/>
          <w:lang w:val="en-GB"/>
        </w:rPr>
      </w:pPr>
      <w:r w:rsidRPr="008E4426">
        <w:rPr>
          <w:b/>
          <w:lang w:val="en-GB"/>
        </w:rPr>
        <w:t>Responsibility of Legal Persons</w:t>
      </w:r>
    </w:p>
    <w:p w14:paraId="24D42760" w14:textId="77777777" w:rsidR="00244D84" w:rsidRPr="008E4426" w:rsidRDefault="00244D84" w:rsidP="00244D84">
      <w:pPr>
        <w:spacing w:before="120" w:after="120"/>
        <w:ind w:firstLine="708"/>
        <w:jc w:val="both"/>
        <w:rPr>
          <w:lang w:val="en-GB"/>
        </w:rPr>
      </w:pPr>
      <w:r w:rsidRPr="008E4426">
        <w:rPr>
          <w:lang w:val="en-GB"/>
        </w:rPr>
        <w:t>Each Party shall take such measures as may be necessary, in accordance with its legal principles, to establish the liability of legal persons for the bribery of a foreign public official.</w:t>
      </w:r>
    </w:p>
    <w:p w14:paraId="79F74E63" w14:textId="77777777" w:rsidR="00244D84" w:rsidRDefault="00244D84" w:rsidP="00244D84">
      <w:pPr>
        <w:spacing w:before="120" w:after="120"/>
        <w:jc w:val="center"/>
        <w:rPr>
          <w:b/>
          <w:lang w:val="en-GB"/>
        </w:rPr>
      </w:pPr>
    </w:p>
    <w:p w14:paraId="1F8714DE" w14:textId="77777777" w:rsidR="00244D84" w:rsidRPr="008E4426" w:rsidRDefault="00244D84" w:rsidP="00244D84">
      <w:pPr>
        <w:spacing w:before="120" w:after="120"/>
        <w:jc w:val="center"/>
        <w:rPr>
          <w:b/>
          <w:lang w:val="en-GB"/>
        </w:rPr>
      </w:pPr>
      <w:r w:rsidRPr="008E4426">
        <w:rPr>
          <w:b/>
          <w:lang w:val="en-GB"/>
        </w:rPr>
        <w:t>Article 3</w:t>
      </w:r>
    </w:p>
    <w:p w14:paraId="1C384784" w14:textId="77777777" w:rsidR="00244D84" w:rsidRPr="008E4426" w:rsidRDefault="00244D84" w:rsidP="00244D84">
      <w:pPr>
        <w:spacing w:before="120" w:after="120"/>
        <w:jc w:val="center"/>
        <w:rPr>
          <w:b/>
          <w:lang w:val="en-GB"/>
        </w:rPr>
      </w:pPr>
      <w:r w:rsidRPr="008E4426">
        <w:rPr>
          <w:b/>
          <w:lang w:val="en-GB"/>
        </w:rPr>
        <w:t>Sanctions</w:t>
      </w:r>
    </w:p>
    <w:p w14:paraId="361C55A4"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w:t>
      </w:r>
    </w:p>
    <w:p w14:paraId="780E4160"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14:paraId="55EF070B" w14:textId="77777777" w:rsidR="00244D84" w:rsidRPr="008E4426" w:rsidRDefault="00244D84" w:rsidP="00244D84">
      <w:pPr>
        <w:spacing w:before="120" w:after="120"/>
        <w:jc w:val="both"/>
        <w:rPr>
          <w:lang w:val="en-GB"/>
        </w:rPr>
      </w:pPr>
      <w:r w:rsidRPr="008E4426">
        <w:rPr>
          <w:lang w:val="en-GB"/>
        </w:rPr>
        <w:t xml:space="preserve">3. </w:t>
      </w:r>
      <w:r>
        <w:rPr>
          <w:lang w:val="en-GB"/>
        </w:rPr>
        <w:tab/>
      </w:r>
      <w:r w:rsidRPr="008E4426">
        <w:rPr>
          <w:lang w:val="en-GB"/>
        </w:rPr>
        <w:t>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w:t>
      </w:r>
    </w:p>
    <w:p w14:paraId="4DEE24E9" w14:textId="77777777" w:rsidR="00244D84" w:rsidRPr="008E4426" w:rsidRDefault="00244D84" w:rsidP="00244D84">
      <w:pPr>
        <w:spacing w:before="120" w:after="120"/>
        <w:jc w:val="both"/>
        <w:rPr>
          <w:lang w:val="en-GB"/>
        </w:rPr>
      </w:pPr>
      <w:r w:rsidRPr="008E4426">
        <w:rPr>
          <w:lang w:val="en-GB"/>
        </w:rPr>
        <w:t xml:space="preserve">4. </w:t>
      </w:r>
      <w:r>
        <w:rPr>
          <w:lang w:val="en-GB"/>
        </w:rPr>
        <w:tab/>
      </w:r>
      <w:r w:rsidRPr="008E4426">
        <w:rPr>
          <w:lang w:val="en-GB"/>
        </w:rPr>
        <w:t>Each Party shall consider the imposition of additional civil or administrative sanctions upon a person subject to sanctions for the bribery of a foreign public official.</w:t>
      </w:r>
    </w:p>
    <w:p w14:paraId="440AD869" w14:textId="77777777" w:rsidR="00244D84" w:rsidRDefault="00244D84" w:rsidP="00244D84">
      <w:pPr>
        <w:spacing w:before="120" w:after="120"/>
        <w:jc w:val="center"/>
        <w:rPr>
          <w:b/>
          <w:lang w:val="en-GB"/>
        </w:rPr>
      </w:pPr>
    </w:p>
    <w:p w14:paraId="6F1CFED8" w14:textId="77777777" w:rsidR="00244D84" w:rsidRPr="008E4426" w:rsidRDefault="00244D84" w:rsidP="00244D84">
      <w:pPr>
        <w:spacing w:before="120" w:after="120"/>
        <w:jc w:val="center"/>
        <w:rPr>
          <w:b/>
          <w:lang w:val="en-GB"/>
        </w:rPr>
      </w:pPr>
      <w:r w:rsidRPr="008E4426">
        <w:rPr>
          <w:b/>
          <w:lang w:val="en-GB"/>
        </w:rPr>
        <w:lastRenderedPageBreak/>
        <w:t>Article 4</w:t>
      </w:r>
    </w:p>
    <w:p w14:paraId="4669A858" w14:textId="77777777" w:rsidR="00244D84" w:rsidRPr="008E4426" w:rsidRDefault="00244D84" w:rsidP="00244D84">
      <w:pPr>
        <w:spacing w:before="120" w:after="120"/>
        <w:jc w:val="center"/>
        <w:rPr>
          <w:b/>
          <w:lang w:val="en-GB"/>
        </w:rPr>
      </w:pPr>
      <w:r w:rsidRPr="008E4426">
        <w:rPr>
          <w:b/>
          <w:lang w:val="en-GB"/>
        </w:rPr>
        <w:t>Jurisdiction</w:t>
      </w:r>
    </w:p>
    <w:p w14:paraId="5E6C05D1"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Each Party shall take such measures as may be necessary to establish its jurisdiction over the bribery of a foreign public official when the offence is committed in whole or in part in its territory.</w:t>
      </w:r>
    </w:p>
    <w:p w14:paraId="7128188F"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Each Party which has jurisdiction to prosecute its nationals for offences committed abroad shall take such measures as may be necessary to establish its jurisdiction to do so in respect of the bribery of a foreign public official, according to the same principles.</w:t>
      </w:r>
    </w:p>
    <w:p w14:paraId="2A432CE6" w14:textId="77777777" w:rsidR="00244D84" w:rsidRPr="008E4426" w:rsidRDefault="00244D84" w:rsidP="00244D84">
      <w:pPr>
        <w:spacing w:before="120" w:after="120"/>
        <w:jc w:val="both"/>
        <w:rPr>
          <w:lang w:val="en-GB"/>
        </w:rPr>
      </w:pPr>
      <w:r w:rsidRPr="008E4426">
        <w:rPr>
          <w:lang w:val="en-GB"/>
        </w:rPr>
        <w:t xml:space="preserve">3. </w:t>
      </w:r>
      <w:r>
        <w:rPr>
          <w:lang w:val="en-GB"/>
        </w:rPr>
        <w:tab/>
      </w:r>
      <w:r w:rsidRPr="008E4426">
        <w:rPr>
          <w:lang w:val="en-GB"/>
        </w:rPr>
        <w:t>When more than one Party has jurisdiction over an alleged offence described in this Convention, the Parties involved shall, at the request of one of them, consult with a view to determining the most appropriate jurisdiction for prosecution.</w:t>
      </w:r>
    </w:p>
    <w:p w14:paraId="6E1E2C46" w14:textId="77777777" w:rsidR="00244D84" w:rsidRPr="008E4426" w:rsidRDefault="00244D84" w:rsidP="00244D84">
      <w:pPr>
        <w:spacing w:before="120" w:after="120"/>
        <w:jc w:val="both"/>
        <w:rPr>
          <w:lang w:val="en-GB"/>
        </w:rPr>
      </w:pPr>
      <w:r w:rsidRPr="008E4426">
        <w:rPr>
          <w:lang w:val="en-GB"/>
        </w:rPr>
        <w:t xml:space="preserve">4. </w:t>
      </w:r>
      <w:r>
        <w:rPr>
          <w:lang w:val="en-GB"/>
        </w:rPr>
        <w:tab/>
      </w:r>
      <w:r w:rsidRPr="008E4426">
        <w:rPr>
          <w:lang w:val="en-GB"/>
        </w:rPr>
        <w:t>Each Party shall review whether its current basis for jurisdiction is effective in the fight against the bribery of foreign public officials and, if it is not, shall take remedial steps.</w:t>
      </w:r>
    </w:p>
    <w:p w14:paraId="16956687" w14:textId="77777777" w:rsidR="00244D84" w:rsidRDefault="00244D84" w:rsidP="00244D84">
      <w:pPr>
        <w:spacing w:before="120" w:after="120"/>
        <w:jc w:val="center"/>
        <w:rPr>
          <w:b/>
          <w:lang w:val="en-GB"/>
        </w:rPr>
      </w:pPr>
    </w:p>
    <w:p w14:paraId="7C8B0E80" w14:textId="77777777" w:rsidR="00244D84" w:rsidRPr="008E4426" w:rsidRDefault="00244D84" w:rsidP="00244D84">
      <w:pPr>
        <w:spacing w:before="120" w:after="120"/>
        <w:jc w:val="center"/>
        <w:rPr>
          <w:b/>
          <w:lang w:val="en-GB"/>
        </w:rPr>
      </w:pPr>
      <w:r w:rsidRPr="008E4426">
        <w:rPr>
          <w:b/>
          <w:lang w:val="en-GB"/>
        </w:rPr>
        <w:t>Article 5</w:t>
      </w:r>
    </w:p>
    <w:p w14:paraId="7DB82CF2" w14:textId="77777777" w:rsidR="00244D84" w:rsidRPr="008E4426" w:rsidRDefault="00244D84" w:rsidP="00244D84">
      <w:pPr>
        <w:spacing w:before="120" w:after="120"/>
        <w:jc w:val="center"/>
        <w:rPr>
          <w:b/>
          <w:lang w:val="en-GB"/>
        </w:rPr>
      </w:pPr>
      <w:r w:rsidRPr="008E4426">
        <w:rPr>
          <w:b/>
          <w:lang w:val="en-GB"/>
        </w:rPr>
        <w:t>Enforcement</w:t>
      </w:r>
    </w:p>
    <w:p w14:paraId="1DA14836" w14:textId="77777777" w:rsidR="00244D84" w:rsidRPr="008E4426" w:rsidRDefault="00244D84" w:rsidP="00244D84">
      <w:pPr>
        <w:spacing w:before="120" w:after="120"/>
        <w:ind w:firstLine="708"/>
        <w:jc w:val="both"/>
        <w:rPr>
          <w:lang w:val="en-GB"/>
        </w:rPr>
      </w:pPr>
      <w:r w:rsidRPr="008E4426">
        <w:rPr>
          <w:lang w:val="en-GB"/>
        </w:rPr>
        <w:t>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w:t>
      </w:r>
    </w:p>
    <w:p w14:paraId="4F5C02AD" w14:textId="77777777" w:rsidR="00244D84" w:rsidRDefault="00244D84" w:rsidP="00244D84">
      <w:pPr>
        <w:spacing w:before="120" w:after="120"/>
        <w:jc w:val="center"/>
        <w:rPr>
          <w:b/>
          <w:lang w:val="en-GB"/>
        </w:rPr>
      </w:pPr>
    </w:p>
    <w:p w14:paraId="17DF967E" w14:textId="77777777" w:rsidR="00244D84" w:rsidRPr="008E4426" w:rsidRDefault="00244D84" w:rsidP="00244D84">
      <w:pPr>
        <w:spacing w:before="120" w:after="120"/>
        <w:jc w:val="center"/>
        <w:rPr>
          <w:b/>
          <w:lang w:val="en-GB"/>
        </w:rPr>
      </w:pPr>
      <w:r w:rsidRPr="008E4426">
        <w:rPr>
          <w:b/>
          <w:lang w:val="en-GB"/>
        </w:rPr>
        <w:t>Article 6</w:t>
      </w:r>
    </w:p>
    <w:p w14:paraId="779D2BF9" w14:textId="77777777" w:rsidR="00244D84" w:rsidRPr="008E4426" w:rsidRDefault="00244D84" w:rsidP="00244D84">
      <w:pPr>
        <w:spacing w:before="120" w:after="120"/>
        <w:jc w:val="center"/>
        <w:rPr>
          <w:b/>
          <w:lang w:val="en-GB"/>
        </w:rPr>
      </w:pPr>
      <w:r w:rsidRPr="008E4426">
        <w:rPr>
          <w:b/>
          <w:lang w:val="en-GB"/>
        </w:rPr>
        <w:t>Statute of Limitations</w:t>
      </w:r>
    </w:p>
    <w:p w14:paraId="63ACE53E" w14:textId="77777777" w:rsidR="00244D84" w:rsidRPr="008E4426" w:rsidRDefault="00244D84" w:rsidP="00244D84">
      <w:pPr>
        <w:spacing w:before="120" w:after="120"/>
        <w:ind w:firstLine="708"/>
        <w:jc w:val="both"/>
        <w:rPr>
          <w:lang w:val="en-GB"/>
        </w:rPr>
      </w:pPr>
      <w:r w:rsidRPr="008E4426">
        <w:rPr>
          <w:lang w:val="en-GB"/>
        </w:rPr>
        <w:t>Any statute of limitations applicable to the offence of bribery of a foreign public official shall allow an adequate period of time for the investigation and prosecution of this offence.</w:t>
      </w:r>
    </w:p>
    <w:p w14:paraId="7AE36A0A" w14:textId="77777777" w:rsidR="00244D84" w:rsidRDefault="00244D84" w:rsidP="00244D84">
      <w:pPr>
        <w:spacing w:before="120" w:after="120"/>
        <w:jc w:val="center"/>
        <w:rPr>
          <w:b/>
          <w:lang w:val="en-GB"/>
        </w:rPr>
      </w:pPr>
    </w:p>
    <w:p w14:paraId="0167FEC4" w14:textId="77777777" w:rsidR="00244D84" w:rsidRPr="008E4426" w:rsidRDefault="00244D84" w:rsidP="00244D84">
      <w:pPr>
        <w:spacing w:before="120" w:after="120"/>
        <w:jc w:val="center"/>
        <w:rPr>
          <w:b/>
          <w:lang w:val="en-GB"/>
        </w:rPr>
      </w:pPr>
      <w:r w:rsidRPr="008E4426">
        <w:rPr>
          <w:b/>
          <w:lang w:val="en-GB"/>
        </w:rPr>
        <w:t>Article 7</w:t>
      </w:r>
    </w:p>
    <w:p w14:paraId="0DA565DF" w14:textId="77777777" w:rsidR="00244D84" w:rsidRPr="008E4426" w:rsidRDefault="00244D84" w:rsidP="00244D84">
      <w:pPr>
        <w:spacing w:before="120" w:after="120"/>
        <w:jc w:val="center"/>
        <w:rPr>
          <w:b/>
          <w:lang w:val="en-GB"/>
        </w:rPr>
      </w:pPr>
      <w:r w:rsidRPr="008E4426">
        <w:rPr>
          <w:b/>
          <w:lang w:val="en-GB"/>
        </w:rPr>
        <w:t>Money Laundering</w:t>
      </w:r>
    </w:p>
    <w:p w14:paraId="1D41C620" w14:textId="77777777" w:rsidR="00244D84" w:rsidRPr="008E4426" w:rsidRDefault="00244D84" w:rsidP="00244D84">
      <w:pPr>
        <w:spacing w:before="120" w:after="120"/>
        <w:ind w:firstLine="708"/>
        <w:jc w:val="both"/>
        <w:rPr>
          <w:lang w:val="en-GB"/>
        </w:rPr>
      </w:pPr>
      <w:r w:rsidRPr="008E4426">
        <w:rPr>
          <w:lang w:val="en-GB"/>
        </w:rPr>
        <w:lastRenderedPageBreak/>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14:paraId="7F5A7BBF" w14:textId="77777777" w:rsidR="00244D84" w:rsidRPr="008E4426" w:rsidRDefault="00244D84" w:rsidP="00244D84">
      <w:pPr>
        <w:spacing w:before="120" w:after="120"/>
        <w:jc w:val="center"/>
        <w:rPr>
          <w:b/>
          <w:lang w:val="en-GB"/>
        </w:rPr>
      </w:pPr>
      <w:r w:rsidRPr="008E4426">
        <w:rPr>
          <w:b/>
          <w:lang w:val="en-GB"/>
        </w:rPr>
        <w:t>Article 8</w:t>
      </w:r>
    </w:p>
    <w:p w14:paraId="4D4A46D5" w14:textId="77777777" w:rsidR="00244D84" w:rsidRPr="008E4426" w:rsidRDefault="00244D84" w:rsidP="00244D84">
      <w:pPr>
        <w:spacing w:before="120" w:after="120"/>
        <w:jc w:val="center"/>
        <w:rPr>
          <w:b/>
          <w:lang w:val="en-GB"/>
        </w:rPr>
      </w:pPr>
      <w:r w:rsidRPr="008E4426">
        <w:rPr>
          <w:b/>
          <w:lang w:val="en-GB"/>
        </w:rPr>
        <w:t>Accounting</w:t>
      </w:r>
    </w:p>
    <w:p w14:paraId="358C45F3"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
    <w:p w14:paraId="61645CAF"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Each Party shall provide effective, proportionate and dissuasive civil, administrative or criminal penalties for such omissions and falsifications in respect of the books, records, accounts and financial statements of such companies.</w:t>
      </w:r>
    </w:p>
    <w:p w14:paraId="62448482" w14:textId="77777777" w:rsidR="00244D84" w:rsidRDefault="00244D84" w:rsidP="00244D84">
      <w:pPr>
        <w:spacing w:before="120" w:after="120"/>
        <w:jc w:val="center"/>
        <w:rPr>
          <w:b/>
          <w:lang w:val="en-GB"/>
        </w:rPr>
      </w:pPr>
    </w:p>
    <w:p w14:paraId="799C4E62" w14:textId="77777777" w:rsidR="00244D84" w:rsidRPr="008E4426" w:rsidRDefault="00244D84" w:rsidP="00244D84">
      <w:pPr>
        <w:spacing w:before="120" w:after="120"/>
        <w:jc w:val="center"/>
        <w:rPr>
          <w:b/>
          <w:lang w:val="en-GB"/>
        </w:rPr>
      </w:pPr>
      <w:r w:rsidRPr="008E4426">
        <w:rPr>
          <w:b/>
          <w:lang w:val="en-GB"/>
        </w:rPr>
        <w:t>Article 9</w:t>
      </w:r>
    </w:p>
    <w:p w14:paraId="7C77F9AA" w14:textId="77777777" w:rsidR="00244D84" w:rsidRPr="008E4426" w:rsidRDefault="00244D84" w:rsidP="00244D84">
      <w:pPr>
        <w:spacing w:before="120" w:after="120"/>
        <w:jc w:val="center"/>
        <w:rPr>
          <w:b/>
          <w:lang w:val="en-GB"/>
        </w:rPr>
      </w:pPr>
      <w:r w:rsidRPr="008E4426">
        <w:rPr>
          <w:b/>
          <w:lang w:val="en-GB"/>
        </w:rPr>
        <w:t>Mutual Legal Assistance</w:t>
      </w:r>
    </w:p>
    <w:p w14:paraId="21B1D689"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additional information or documents needed to support the request for assistance and, where requested, of the status and outcome of the request for assistance.</w:t>
      </w:r>
    </w:p>
    <w:p w14:paraId="3E800F46"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Where a Party makes mutual legal assistance conditional upon the existence of dual criminality, dual criminality shall be deemed to exist if the offence for which the assistance is sought is within the scope of this Convention.</w:t>
      </w:r>
    </w:p>
    <w:p w14:paraId="51D6D189" w14:textId="77777777" w:rsidR="00244D84" w:rsidRPr="008E4426" w:rsidRDefault="00244D84" w:rsidP="00244D84">
      <w:pPr>
        <w:spacing w:before="120" w:after="120"/>
        <w:jc w:val="both"/>
        <w:rPr>
          <w:lang w:val="en-GB"/>
        </w:rPr>
      </w:pPr>
      <w:r w:rsidRPr="008E4426">
        <w:rPr>
          <w:lang w:val="en-GB"/>
        </w:rPr>
        <w:t xml:space="preserve">3. </w:t>
      </w:r>
      <w:r>
        <w:rPr>
          <w:lang w:val="en-GB"/>
        </w:rPr>
        <w:tab/>
      </w:r>
      <w:r w:rsidRPr="008E4426">
        <w:rPr>
          <w:lang w:val="en-GB"/>
        </w:rPr>
        <w:t>A Party shall not decline to render mutual legal assistance for criminal matters within the scope of this Convention on the ground of bank secrecy.</w:t>
      </w:r>
    </w:p>
    <w:p w14:paraId="39315E32" w14:textId="77777777" w:rsidR="00244D84" w:rsidRDefault="00244D84" w:rsidP="00244D84">
      <w:pPr>
        <w:spacing w:before="120" w:after="120"/>
        <w:jc w:val="center"/>
        <w:rPr>
          <w:b/>
          <w:lang w:val="en-GB"/>
        </w:rPr>
      </w:pPr>
    </w:p>
    <w:p w14:paraId="35F76D72" w14:textId="77777777" w:rsidR="00244D84" w:rsidRPr="008E4426" w:rsidRDefault="00244D84" w:rsidP="00244D84">
      <w:pPr>
        <w:spacing w:before="120" w:after="120"/>
        <w:jc w:val="center"/>
        <w:rPr>
          <w:b/>
          <w:lang w:val="en-GB"/>
        </w:rPr>
      </w:pPr>
      <w:r w:rsidRPr="008E4426">
        <w:rPr>
          <w:b/>
          <w:lang w:val="en-GB"/>
        </w:rPr>
        <w:lastRenderedPageBreak/>
        <w:t>Article 10</w:t>
      </w:r>
    </w:p>
    <w:p w14:paraId="702E7A9D" w14:textId="77777777" w:rsidR="00244D84" w:rsidRPr="008E4426" w:rsidRDefault="00244D84" w:rsidP="00244D84">
      <w:pPr>
        <w:spacing w:before="120" w:after="120"/>
        <w:jc w:val="center"/>
        <w:rPr>
          <w:b/>
          <w:lang w:val="en-GB"/>
        </w:rPr>
      </w:pPr>
      <w:r w:rsidRPr="008E4426">
        <w:rPr>
          <w:b/>
          <w:lang w:val="en-GB"/>
        </w:rPr>
        <w:t>Extradition</w:t>
      </w:r>
    </w:p>
    <w:p w14:paraId="4222CED3"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Bribery of a foreign public official shall be deemed to be included as an extraditable offence under the laws of the Parties and the extradition treaties between them.</w:t>
      </w:r>
    </w:p>
    <w:p w14:paraId="4C653CCF"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If a Party which makes extradition conditional on the existence of an extradition treaty receives a request for extradition from another Party with which it has no extradition treaty, it may consider this Convention to be the legal basis for extradition in respect of the offence of bribery of a foreign public official.</w:t>
      </w:r>
    </w:p>
    <w:p w14:paraId="62DAA7F7" w14:textId="77777777" w:rsidR="00244D84" w:rsidRPr="008E4426" w:rsidRDefault="00244D84" w:rsidP="00244D84">
      <w:pPr>
        <w:spacing w:before="120" w:after="120"/>
        <w:jc w:val="both"/>
        <w:rPr>
          <w:lang w:val="en-GB"/>
        </w:rPr>
      </w:pPr>
      <w:r w:rsidRPr="008E4426">
        <w:rPr>
          <w:lang w:val="en-GB"/>
        </w:rPr>
        <w:t xml:space="preserve">3. </w:t>
      </w:r>
      <w:r>
        <w:rPr>
          <w:lang w:val="en-GB"/>
        </w:rPr>
        <w:tab/>
      </w:r>
      <w:r w:rsidRPr="008E4426">
        <w:rPr>
          <w:lang w:val="en-GB"/>
        </w:rPr>
        <w:t>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w:t>
      </w:r>
    </w:p>
    <w:p w14:paraId="796A959B" w14:textId="77777777" w:rsidR="00244D84" w:rsidRPr="008E4426" w:rsidRDefault="00244D84" w:rsidP="00244D84">
      <w:pPr>
        <w:spacing w:before="120" w:after="120"/>
        <w:jc w:val="both"/>
        <w:rPr>
          <w:lang w:val="en-GB"/>
        </w:rPr>
      </w:pPr>
      <w:r w:rsidRPr="008E4426">
        <w:rPr>
          <w:lang w:val="en-GB"/>
        </w:rPr>
        <w:t xml:space="preserve">4. </w:t>
      </w:r>
      <w:r>
        <w:rPr>
          <w:lang w:val="en-GB"/>
        </w:rPr>
        <w:tab/>
      </w:r>
      <w:r w:rsidRPr="008E4426">
        <w:rPr>
          <w:lang w:val="en-GB"/>
        </w:rPr>
        <w:t>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w:t>
      </w:r>
    </w:p>
    <w:p w14:paraId="08FA4436" w14:textId="77777777" w:rsidR="00244D84" w:rsidRDefault="00244D84" w:rsidP="00244D84">
      <w:pPr>
        <w:spacing w:before="120" w:after="120"/>
        <w:jc w:val="center"/>
        <w:rPr>
          <w:b/>
          <w:lang w:val="en-GB"/>
        </w:rPr>
      </w:pPr>
    </w:p>
    <w:p w14:paraId="04178A7C" w14:textId="77777777" w:rsidR="00244D84" w:rsidRPr="008E4426" w:rsidRDefault="00244D84" w:rsidP="00244D84">
      <w:pPr>
        <w:spacing w:before="120" w:after="120"/>
        <w:jc w:val="center"/>
        <w:rPr>
          <w:b/>
          <w:lang w:val="en-GB"/>
        </w:rPr>
      </w:pPr>
      <w:r w:rsidRPr="008E4426">
        <w:rPr>
          <w:b/>
          <w:lang w:val="en-GB"/>
        </w:rPr>
        <w:t>Article 11</w:t>
      </w:r>
    </w:p>
    <w:p w14:paraId="162879BC" w14:textId="77777777" w:rsidR="00244D84" w:rsidRPr="008E4426" w:rsidRDefault="00244D84" w:rsidP="00244D84">
      <w:pPr>
        <w:spacing w:before="120" w:after="120"/>
        <w:jc w:val="center"/>
        <w:rPr>
          <w:b/>
          <w:lang w:val="en-GB"/>
        </w:rPr>
      </w:pPr>
      <w:r w:rsidRPr="008E4426">
        <w:rPr>
          <w:b/>
          <w:lang w:val="en-GB"/>
        </w:rPr>
        <w:t>Responsible Authorities</w:t>
      </w:r>
    </w:p>
    <w:p w14:paraId="29D2EE1A" w14:textId="77777777" w:rsidR="00244D84" w:rsidRPr="008E4426" w:rsidRDefault="00244D84" w:rsidP="00244D84">
      <w:pPr>
        <w:spacing w:before="120" w:after="120"/>
        <w:ind w:firstLine="708"/>
        <w:jc w:val="both"/>
        <w:rPr>
          <w:lang w:val="en-GB"/>
        </w:rPr>
      </w:pPr>
      <w:r w:rsidRPr="008E4426">
        <w:rPr>
          <w:lang w:val="en-GB"/>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
    <w:p w14:paraId="1C0515E4" w14:textId="77777777" w:rsidR="00244D84" w:rsidRDefault="00244D84" w:rsidP="00244D84">
      <w:pPr>
        <w:spacing w:before="120" w:after="120"/>
        <w:jc w:val="center"/>
        <w:rPr>
          <w:b/>
          <w:lang w:val="en-GB"/>
        </w:rPr>
      </w:pPr>
    </w:p>
    <w:p w14:paraId="0A259962" w14:textId="77777777" w:rsidR="00244D84" w:rsidRPr="008E4426" w:rsidRDefault="00244D84" w:rsidP="00244D84">
      <w:pPr>
        <w:spacing w:before="120" w:after="120"/>
        <w:jc w:val="center"/>
        <w:rPr>
          <w:b/>
          <w:lang w:val="en-GB"/>
        </w:rPr>
      </w:pPr>
      <w:r w:rsidRPr="008E4426">
        <w:rPr>
          <w:b/>
          <w:lang w:val="en-GB"/>
        </w:rPr>
        <w:t>Article 12</w:t>
      </w:r>
    </w:p>
    <w:p w14:paraId="5F79F800" w14:textId="77777777" w:rsidR="00244D84" w:rsidRPr="008E4426" w:rsidRDefault="00244D84" w:rsidP="00244D84">
      <w:pPr>
        <w:spacing w:before="120" w:after="120"/>
        <w:jc w:val="center"/>
        <w:rPr>
          <w:b/>
          <w:lang w:val="en-GB"/>
        </w:rPr>
      </w:pPr>
      <w:r w:rsidRPr="008E4426">
        <w:rPr>
          <w:b/>
          <w:lang w:val="en-GB"/>
        </w:rPr>
        <w:t>Monitoring and Follow-up</w:t>
      </w:r>
    </w:p>
    <w:p w14:paraId="652C0911" w14:textId="77777777" w:rsidR="00244D84" w:rsidRPr="008E4426" w:rsidRDefault="00244D84" w:rsidP="00244D84">
      <w:pPr>
        <w:spacing w:before="120" w:after="120"/>
        <w:ind w:firstLine="708"/>
        <w:jc w:val="both"/>
        <w:rPr>
          <w:lang w:val="en-GB"/>
        </w:rPr>
      </w:pPr>
      <w:r w:rsidRPr="008E4426">
        <w:rPr>
          <w:lang w:val="en-GB"/>
        </w:rPr>
        <w:t xml:space="preserve">The Parties shall co-operate in carrying out a programme of systematic follow-up to monitor and promote the full implementation of this Convention. Unless otherwise decided by consensus of the Parties, this shall be done in the framework </w:t>
      </w:r>
      <w:r w:rsidRPr="008E4426">
        <w:rPr>
          <w:lang w:val="en-GB"/>
        </w:rPr>
        <w:lastRenderedPageBreak/>
        <w:t>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w:t>
      </w:r>
    </w:p>
    <w:p w14:paraId="6564AEAF" w14:textId="77777777" w:rsidR="00244D84" w:rsidRDefault="00244D84" w:rsidP="00244D84">
      <w:pPr>
        <w:spacing w:before="120" w:after="120"/>
        <w:jc w:val="center"/>
        <w:rPr>
          <w:b/>
          <w:lang w:val="en-GB"/>
        </w:rPr>
      </w:pPr>
    </w:p>
    <w:p w14:paraId="628E63C9" w14:textId="77777777" w:rsidR="00244D84" w:rsidRPr="008E4426" w:rsidRDefault="00244D84" w:rsidP="00244D84">
      <w:pPr>
        <w:spacing w:before="120" w:after="120"/>
        <w:jc w:val="center"/>
        <w:rPr>
          <w:b/>
          <w:lang w:val="en-GB"/>
        </w:rPr>
      </w:pPr>
      <w:r w:rsidRPr="008E4426">
        <w:rPr>
          <w:b/>
          <w:lang w:val="en-GB"/>
        </w:rPr>
        <w:t>Article 13</w:t>
      </w:r>
    </w:p>
    <w:p w14:paraId="0B970BA9" w14:textId="77777777" w:rsidR="00244D84" w:rsidRPr="008E4426" w:rsidRDefault="00244D84" w:rsidP="00244D84">
      <w:pPr>
        <w:spacing w:before="120" w:after="120"/>
        <w:jc w:val="center"/>
        <w:rPr>
          <w:b/>
          <w:lang w:val="en-GB"/>
        </w:rPr>
      </w:pPr>
      <w:r w:rsidRPr="008E4426">
        <w:rPr>
          <w:b/>
          <w:lang w:val="en-GB"/>
        </w:rPr>
        <w:t>Signature and Accession</w:t>
      </w:r>
    </w:p>
    <w:p w14:paraId="3CA70C9D"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Until its entry into force, this Convention shall be open for signature by OECD Members and by non-members which have been invited to become full participants in its Working Group on Bribery in International Business Transactions.</w:t>
      </w:r>
    </w:p>
    <w:p w14:paraId="6F9BC20B"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14:paraId="45700620" w14:textId="77777777" w:rsidR="00244D84" w:rsidRDefault="00244D84" w:rsidP="00244D84">
      <w:pPr>
        <w:spacing w:before="120" w:after="120"/>
        <w:jc w:val="center"/>
        <w:rPr>
          <w:b/>
          <w:lang w:val="en-GB"/>
        </w:rPr>
      </w:pPr>
    </w:p>
    <w:p w14:paraId="75A7C347" w14:textId="77777777" w:rsidR="00244D84" w:rsidRPr="008E4426" w:rsidRDefault="00244D84" w:rsidP="00244D84">
      <w:pPr>
        <w:spacing w:before="120" w:after="120"/>
        <w:jc w:val="center"/>
        <w:rPr>
          <w:b/>
          <w:lang w:val="en-GB"/>
        </w:rPr>
      </w:pPr>
      <w:r w:rsidRPr="008E4426">
        <w:rPr>
          <w:b/>
          <w:lang w:val="en-GB"/>
        </w:rPr>
        <w:t>Article 14</w:t>
      </w:r>
    </w:p>
    <w:p w14:paraId="3FFB69D6" w14:textId="77777777" w:rsidR="00244D84" w:rsidRPr="008E4426" w:rsidRDefault="00244D84" w:rsidP="00244D84">
      <w:pPr>
        <w:spacing w:before="120" w:after="120"/>
        <w:jc w:val="center"/>
        <w:rPr>
          <w:b/>
          <w:lang w:val="en-GB"/>
        </w:rPr>
      </w:pPr>
      <w:r w:rsidRPr="008E4426">
        <w:rPr>
          <w:b/>
          <w:lang w:val="en-GB"/>
        </w:rPr>
        <w:t>Ratification and Depositary</w:t>
      </w:r>
    </w:p>
    <w:p w14:paraId="2B181813"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This Convention is subject to acceptance, approval or ratification by the Signatories, in accordance with their respective laws.</w:t>
      </w:r>
    </w:p>
    <w:p w14:paraId="566068DE"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Instruments of acceptance, approval, ratification or accession shall be deposited with the Secretary-General of the OECD, who shall serve as Depositary of this Convention.</w:t>
      </w:r>
    </w:p>
    <w:p w14:paraId="4BA3EFEE" w14:textId="77777777" w:rsidR="00244D84" w:rsidRDefault="00244D84" w:rsidP="00244D84">
      <w:pPr>
        <w:spacing w:before="120" w:after="120"/>
        <w:jc w:val="center"/>
        <w:rPr>
          <w:b/>
          <w:lang w:val="en-GB"/>
        </w:rPr>
      </w:pPr>
    </w:p>
    <w:p w14:paraId="6B384AC9" w14:textId="77777777" w:rsidR="00244D84" w:rsidRPr="008E4426" w:rsidRDefault="00244D84" w:rsidP="00244D84">
      <w:pPr>
        <w:spacing w:before="120" w:after="120"/>
        <w:jc w:val="center"/>
        <w:rPr>
          <w:b/>
          <w:lang w:val="en-GB"/>
        </w:rPr>
      </w:pPr>
      <w:r w:rsidRPr="008E4426">
        <w:rPr>
          <w:b/>
          <w:lang w:val="en-GB"/>
        </w:rPr>
        <w:t>Article 15</w:t>
      </w:r>
    </w:p>
    <w:p w14:paraId="6999EC3D" w14:textId="77777777" w:rsidR="00244D84" w:rsidRPr="008E4426" w:rsidRDefault="00244D84" w:rsidP="00244D84">
      <w:pPr>
        <w:spacing w:before="120" w:after="120"/>
        <w:jc w:val="center"/>
        <w:rPr>
          <w:b/>
          <w:lang w:val="en-GB"/>
        </w:rPr>
      </w:pPr>
      <w:r w:rsidRPr="008E4426">
        <w:rPr>
          <w:b/>
          <w:lang w:val="en-GB"/>
        </w:rPr>
        <w:t>Entry into Force</w:t>
      </w:r>
    </w:p>
    <w:p w14:paraId="5108DDAA" w14:textId="77777777" w:rsidR="00244D84" w:rsidRPr="008E4426" w:rsidRDefault="00244D84" w:rsidP="00244D84">
      <w:pPr>
        <w:spacing w:before="120" w:after="120"/>
        <w:jc w:val="both"/>
        <w:rPr>
          <w:lang w:val="en-GB"/>
        </w:rPr>
      </w:pPr>
      <w:r w:rsidRPr="008E4426">
        <w:rPr>
          <w:lang w:val="en-GB"/>
        </w:rPr>
        <w:t xml:space="preserve">1. </w:t>
      </w:r>
      <w:r>
        <w:rPr>
          <w:lang w:val="en-GB"/>
        </w:rPr>
        <w:tab/>
      </w:r>
      <w:r w:rsidRPr="008E4426">
        <w:rPr>
          <w:lang w:val="en-GB"/>
        </w:rPr>
        <w:t xml:space="preserve">This Convention shall enter into force on the sixtieth day following the date upon which five of the ten countries which have the ten largest export shares set out in the annexed document, and which represent by themselves at least sixty per cent of the combined total exports of those ten countries, have deposited their instruments of acceptance, approval, or ratification. For each Signatory depositing </w:t>
      </w:r>
      <w:r w:rsidRPr="008E4426">
        <w:rPr>
          <w:lang w:val="en-GB"/>
        </w:rPr>
        <w:lastRenderedPageBreak/>
        <w:t>its instrument after such entry into force, the Convention shall enter into force on the sixtieth day after deposit of its instrument.</w:t>
      </w:r>
    </w:p>
    <w:p w14:paraId="5C2CA61D" w14:textId="77777777" w:rsidR="00244D84" w:rsidRPr="008E4426" w:rsidRDefault="00244D84" w:rsidP="00244D84">
      <w:pPr>
        <w:spacing w:before="120" w:after="120"/>
        <w:jc w:val="both"/>
        <w:rPr>
          <w:lang w:val="en-GB"/>
        </w:rPr>
      </w:pPr>
      <w:r w:rsidRPr="008E4426">
        <w:rPr>
          <w:lang w:val="en-GB"/>
        </w:rPr>
        <w:t xml:space="preserve">2. </w:t>
      </w:r>
      <w:r>
        <w:rPr>
          <w:lang w:val="en-GB"/>
        </w:rPr>
        <w:tab/>
      </w:r>
      <w:r w:rsidRPr="008E4426">
        <w:rPr>
          <w:lang w:val="en-GB"/>
        </w:rPr>
        <w:t>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w:t>
      </w:r>
    </w:p>
    <w:p w14:paraId="37ED7AD5" w14:textId="77777777" w:rsidR="00244D84" w:rsidRDefault="00244D84" w:rsidP="00244D84">
      <w:pPr>
        <w:spacing w:before="120" w:after="120"/>
        <w:jc w:val="center"/>
        <w:rPr>
          <w:b/>
          <w:lang w:val="en-GB"/>
        </w:rPr>
      </w:pPr>
    </w:p>
    <w:p w14:paraId="2C8DFE1E" w14:textId="77777777" w:rsidR="00244D84" w:rsidRPr="008E4426" w:rsidRDefault="00244D84" w:rsidP="00244D84">
      <w:pPr>
        <w:spacing w:before="120" w:after="120"/>
        <w:jc w:val="center"/>
        <w:rPr>
          <w:b/>
          <w:lang w:val="en-GB"/>
        </w:rPr>
      </w:pPr>
      <w:r w:rsidRPr="008E4426">
        <w:rPr>
          <w:b/>
          <w:lang w:val="en-GB"/>
        </w:rPr>
        <w:t>Article 16</w:t>
      </w:r>
    </w:p>
    <w:p w14:paraId="5E5A9C57" w14:textId="77777777" w:rsidR="00244D84" w:rsidRPr="008E4426" w:rsidRDefault="00244D84" w:rsidP="00244D84">
      <w:pPr>
        <w:spacing w:before="120" w:after="120"/>
        <w:jc w:val="center"/>
        <w:rPr>
          <w:b/>
          <w:lang w:val="en-GB"/>
        </w:rPr>
      </w:pPr>
      <w:r w:rsidRPr="008E4426">
        <w:rPr>
          <w:b/>
          <w:lang w:val="en-GB"/>
        </w:rPr>
        <w:t>Amendment</w:t>
      </w:r>
    </w:p>
    <w:p w14:paraId="552C8E78" w14:textId="77777777" w:rsidR="00244D84" w:rsidRPr="008E4426" w:rsidRDefault="00244D84" w:rsidP="00244D84">
      <w:pPr>
        <w:spacing w:before="120" w:after="120"/>
        <w:ind w:firstLine="708"/>
        <w:jc w:val="both"/>
        <w:rPr>
          <w:lang w:val="en-GB"/>
        </w:rPr>
      </w:pPr>
      <w:r w:rsidRPr="008E4426">
        <w:rPr>
          <w:lang w:val="en-GB"/>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
    <w:p w14:paraId="29627BC5" w14:textId="77777777" w:rsidR="00085211" w:rsidRDefault="00085211" w:rsidP="00244D84">
      <w:pPr>
        <w:spacing w:before="120" w:after="120"/>
        <w:jc w:val="center"/>
        <w:rPr>
          <w:b/>
          <w:lang w:val="en-GB"/>
        </w:rPr>
      </w:pPr>
    </w:p>
    <w:p w14:paraId="4232F6CE" w14:textId="77777777" w:rsidR="00244D84" w:rsidRPr="008E4426" w:rsidRDefault="00244D84" w:rsidP="00244D84">
      <w:pPr>
        <w:spacing w:before="120" w:after="120"/>
        <w:jc w:val="center"/>
        <w:rPr>
          <w:b/>
          <w:lang w:val="en-GB"/>
        </w:rPr>
      </w:pPr>
      <w:r w:rsidRPr="008E4426">
        <w:rPr>
          <w:b/>
          <w:lang w:val="en-GB"/>
        </w:rPr>
        <w:t>Article 17</w:t>
      </w:r>
    </w:p>
    <w:p w14:paraId="38330631" w14:textId="77777777" w:rsidR="00244D84" w:rsidRPr="008E4426" w:rsidRDefault="00244D84" w:rsidP="00244D84">
      <w:pPr>
        <w:spacing w:before="120" w:after="120"/>
        <w:jc w:val="center"/>
        <w:rPr>
          <w:b/>
          <w:lang w:val="en-GB"/>
        </w:rPr>
      </w:pPr>
      <w:r w:rsidRPr="008E4426">
        <w:rPr>
          <w:b/>
          <w:lang w:val="en-GB"/>
        </w:rPr>
        <w:t>Withdrawal</w:t>
      </w:r>
    </w:p>
    <w:p w14:paraId="188158F9" w14:textId="77777777" w:rsidR="00244D84" w:rsidRPr="008E4426" w:rsidRDefault="00244D84" w:rsidP="00244D84">
      <w:pPr>
        <w:spacing w:before="120" w:after="120"/>
        <w:ind w:firstLine="708"/>
        <w:jc w:val="both"/>
        <w:rPr>
          <w:lang w:val="en-GB"/>
        </w:rPr>
      </w:pPr>
      <w:r w:rsidRPr="008E4426">
        <w:rPr>
          <w:lang w:val="en-GB"/>
        </w:rPr>
        <w:t>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requests for assistance or extradition made before the effective date of withdrawal which remain pending.</w:t>
      </w:r>
    </w:p>
    <w:p w14:paraId="353F13C3" w14:textId="77777777" w:rsidR="00244D84" w:rsidRDefault="00244D84" w:rsidP="00244D84">
      <w:pPr>
        <w:spacing w:before="120" w:after="120"/>
        <w:jc w:val="both"/>
        <w:rPr>
          <w:lang w:val="en-GB"/>
        </w:rPr>
      </w:pPr>
    </w:p>
    <w:p w14:paraId="4FE5E85F" w14:textId="77777777" w:rsidR="00244D84" w:rsidRPr="008E4426" w:rsidRDefault="00244D84" w:rsidP="00244D84">
      <w:pPr>
        <w:spacing w:before="120" w:after="120"/>
        <w:jc w:val="both"/>
        <w:rPr>
          <w:lang w:val="en-GB"/>
        </w:rPr>
      </w:pPr>
    </w:p>
    <w:p w14:paraId="421057C2" w14:textId="77777777" w:rsidR="00244D84" w:rsidRPr="008E4426" w:rsidRDefault="00244D84" w:rsidP="00244D84">
      <w:pPr>
        <w:spacing w:before="120" w:after="120"/>
        <w:jc w:val="both"/>
        <w:rPr>
          <w:lang w:val="en-GB"/>
        </w:rPr>
      </w:pPr>
      <w:r w:rsidRPr="008E4426">
        <w:rPr>
          <w:lang w:val="en-GB"/>
        </w:rPr>
        <w:t>Done in P</w:t>
      </w:r>
      <w:r>
        <w:rPr>
          <w:lang w:val="en-GB"/>
        </w:rPr>
        <w:t>a</w:t>
      </w:r>
      <w:r w:rsidRPr="008E4426">
        <w:rPr>
          <w:lang w:val="en-GB"/>
        </w:rPr>
        <w:t>ris this seventeenth day of December, Nineteen Hundred and Ninety-Seven in the French and English languages, each text being equally authentic.</w:t>
      </w:r>
    </w:p>
    <w:p w14:paraId="08037FC0" w14:textId="77777777" w:rsidR="00244D84" w:rsidRDefault="00244D84" w:rsidP="00244D84">
      <w:pPr>
        <w:jc w:val="center"/>
        <w:rPr>
          <w:b/>
          <w:lang w:val="en-GB"/>
        </w:rPr>
      </w:pPr>
    </w:p>
    <w:p w14:paraId="0948AD2A" w14:textId="77777777" w:rsidR="00244D84" w:rsidRDefault="00244D84" w:rsidP="00244D84">
      <w:pPr>
        <w:jc w:val="center"/>
        <w:rPr>
          <w:b/>
          <w:lang w:val="en-GB"/>
        </w:rPr>
      </w:pPr>
    </w:p>
    <w:p w14:paraId="4427D184" w14:textId="77777777" w:rsidR="00244D84" w:rsidRDefault="00244D84" w:rsidP="00244D84">
      <w:pPr>
        <w:jc w:val="center"/>
        <w:rPr>
          <w:b/>
          <w:bCs/>
        </w:rPr>
      </w:pPr>
      <w:r w:rsidRPr="008E4426">
        <w:rPr>
          <w:b/>
          <w:lang w:val="en-GB"/>
        </w:rPr>
        <w:t>ANNEX</w:t>
      </w:r>
      <w:r w:rsidRPr="008E4426">
        <w:rPr>
          <w:b/>
          <w:bCs/>
        </w:rPr>
        <w:t xml:space="preserve"> </w:t>
      </w:r>
    </w:p>
    <w:p w14:paraId="469D83B4" w14:textId="77777777" w:rsidR="00244D84" w:rsidRPr="000B2B2A" w:rsidRDefault="00244D84" w:rsidP="00244D84">
      <w:pPr>
        <w:jc w:val="center"/>
        <w:rPr>
          <w:b/>
          <w:bCs/>
        </w:rPr>
      </w:pPr>
      <w:r w:rsidRPr="000B2B2A">
        <w:rPr>
          <w:b/>
          <w:bCs/>
        </w:rPr>
        <w:t>DAFFE/IME/BR(97)18/FINAL</w:t>
      </w:r>
    </w:p>
    <w:p w14:paraId="23D2668F" w14:textId="77777777" w:rsidR="00244D84" w:rsidRDefault="00244D84" w:rsidP="00244D84">
      <w:pPr>
        <w:jc w:val="center"/>
        <w:rPr>
          <w:b/>
          <w:lang w:val="en-GB"/>
        </w:rPr>
      </w:pPr>
      <w:r w:rsidRPr="008E4426">
        <w:rPr>
          <w:b/>
          <w:lang w:val="en-GB"/>
        </w:rPr>
        <w:t>STATISTICS ON OECD EXPORTS</w:t>
      </w:r>
    </w:p>
    <w:tbl>
      <w:tblPr>
        <w:tblW w:w="9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44"/>
        <w:gridCol w:w="1761"/>
        <w:gridCol w:w="2268"/>
        <w:gridCol w:w="2115"/>
      </w:tblGrid>
      <w:tr w:rsidR="00244D84" w:rsidRPr="00E44632" w14:paraId="1D4D0CD2" w14:textId="77777777" w:rsidTr="00532DC5">
        <w:tc>
          <w:tcPr>
            <w:tcW w:w="7073" w:type="dxa"/>
            <w:gridSpan w:val="3"/>
            <w:shd w:val="clear" w:color="auto" w:fill="auto"/>
          </w:tcPr>
          <w:p w14:paraId="59B55171" w14:textId="77777777" w:rsidR="00244D84" w:rsidRPr="00532DC5" w:rsidRDefault="00244D84" w:rsidP="00532DC5">
            <w:pPr>
              <w:jc w:val="center"/>
              <w:rPr>
                <w:bCs/>
              </w:rPr>
            </w:pPr>
            <w:r w:rsidRPr="00532DC5">
              <w:rPr>
                <w:bCs/>
                <w:lang w:val="en-US"/>
              </w:rPr>
              <w:t xml:space="preserve">                                        OECD EXPORTS</w:t>
            </w:r>
          </w:p>
        </w:tc>
        <w:tc>
          <w:tcPr>
            <w:tcW w:w="2115" w:type="dxa"/>
            <w:shd w:val="clear" w:color="auto" w:fill="auto"/>
          </w:tcPr>
          <w:p w14:paraId="1C023F8F" w14:textId="77777777" w:rsidR="00244D84" w:rsidRPr="00E44632" w:rsidRDefault="00244D84" w:rsidP="00532DC5">
            <w:pPr>
              <w:jc w:val="center"/>
            </w:pPr>
          </w:p>
        </w:tc>
      </w:tr>
      <w:tr w:rsidR="00244D84" w:rsidRPr="00E44632" w14:paraId="68BC5F6F" w14:textId="77777777" w:rsidTr="00532DC5">
        <w:tc>
          <w:tcPr>
            <w:tcW w:w="3044" w:type="dxa"/>
            <w:shd w:val="clear" w:color="auto" w:fill="auto"/>
          </w:tcPr>
          <w:p w14:paraId="2FF18CC9" w14:textId="77777777" w:rsidR="00244D84" w:rsidRPr="00E44632" w:rsidRDefault="00244D84" w:rsidP="00244D84"/>
        </w:tc>
        <w:tc>
          <w:tcPr>
            <w:tcW w:w="1761" w:type="dxa"/>
            <w:shd w:val="clear" w:color="auto" w:fill="auto"/>
          </w:tcPr>
          <w:p w14:paraId="60B2D335" w14:textId="77777777" w:rsidR="00244D84" w:rsidRPr="00532DC5" w:rsidRDefault="00244D84" w:rsidP="00532DC5">
            <w:pPr>
              <w:jc w:val="center"/>
              <w:rPr>
                <w:lang w:val="en-GB"/>
              </w:rPr>
            </w:pPr>
          </w:p>
        </w:tc>
        <w:tc>
          <w:tcPr>
            <w:tcW w:w="2268" w:type="dxa"/>
            <w:shd w:val="clear" w:color="auto" w:fill="auto"/>
          </w:tcPr>
          <w:p w14:paraId="475D9070" w14:textId="77777777" w:rsidR="00244D84" w:rsidRPr="00532DC5" w:rsidRDefault="00244D84" w:rsidP="00532DC5">
            <w:pPr>
              <w:jc w:val="center"/>
              <w:rPr>
                <w:lang w:val="en-GB"/>
              </w:rPr>
            </w:pPr>
          </w:p>
        </w:tc>
        <w:tc>
          <w:tcPr>
            <w:tcW w:w="2115" w:type="dxa"/>
            <w:shd w:val="clear" w:color="auto" w:fill="auto"/>
          </w:tcPr>
          <w:p w14:paraId="6B7B0003" w14:textId="77777777" w:rsidR="00244D84" w:rsidRPr="00532DC5" w:rsidRDefault="00244D84" w:rsidP="00532DC5">
            <w:pPr>
              <w:jc w:val="center"/>
              <w:rPr>
                <w:lang w:val="en-GB"/>
              </w:rPr>
            </w:pPr>
          </w:p>
        </w:tc>
      </w:tr>
      <w:tr w:rsidR="00244D84" w:rsidRPr="00E44632" w14:paraId="3BDE31F8" w14:textId="77777777" w:rsidTr="00532DC5">
        <w:tc>
          <w:tcPr>
            <w:tcW w:w="3044" w:type="dxa"/>
            <w:shd w:val="clear" w:color="auto" w:fill="auto"/>
          </w:tcPr>
          <w:p w14:paraId="1DA61857" w14:textId="77777777" w:rsidR="00244D84" w:rsidRPr="00E44632" w:rsidRDefault="00244D84" w:rsidP="00244D84"/>
        </w:tc>
        <w:tc>
          <w:tcPr>
            <w:tcW w:w="1761" w:type="dxa"/>
            <w:shd w:val="clear" w:color="auto" w:fill="auto"/>
          </w:tcPr>
          <w:p w14:paraId="0800947B" w14:textId="77777777" w:rsidR="00244D84" w:rsidRPr="00532DC5" w:rsidRDefault="00244D84" w:rsidP="00532DC5">
            <w:pPr>
              <w:jc w:val="center"/>
              <w:rPr>
                <w:lang w:val="en-GB"/>
              </w:rPr>
            </w:pPr>
            <w:r w:rsidRPr="00532DC5">
              <w:rPr>
                <w:lang w:val="en-GB"/>
              </w:rPr>
              <w:t>1990-1996</w:t>
            </w:r>
          </w:p>
        </w:tc>
        <w:tc>
          <w:tcPr>
            <w:tcW w:w="2268" w:type="dxa"/>
            <w:shd w:val="clear" w:color="auto" w:fill="auto"/>
          </w:tcPr>
          <w:p w14:paraId="194CE21E" w14:textId="77777777" w:rsidR="00244D84" w:rsidRPr="00532DC5" w:rsidRDefault="00244D84" w:rsidP="00532DC5">
            <w:pPr>
              <w:jc w:val="center"/>
              <w:rPr>
                <w:lang w:val="en-GB"/>
              </w:rPr>
            </w:pPr>
            <w:r w:rsidRPr="00532DC5">
              <w:rPr>
                <w:lang w:val="en-GB"/>
              </w:rPr>
              <w:t>1990-1996</w:t>
            </w:r>
          </w:p>
        </w:tc>
        <w:tc>
          <w:tcPr>
            <w:tcW w:w="2115" w:type="dxa"/>
            <w:shd w:val="clear" w:color="auto" w:fill="auto"/>
          </w:tcPr>
          <w:p w14:paraId="358B4B8D" w14:textId="77777777" w:rsidR="00244D84" w:rsidRPr="00532DC5" w:rsidRDefault="00244D84" w:rsidP="00532DC5">
            <w:pPr>
              <w:jc w:val="center"/>
              <w:rPr>
                <w:lang w:val="en-GB"/>
              </w:rPr>
            </w:pPr>
            <w:r w:rsidRPr="00532DC5">
              <w:rPr>
                <w:lang w:val="en-GB"/>
              </w:rPr>
              <w:t>1990-1996</w:t>
            </w:r>
          </w:p>
        </w:tc>
      </w:tr>
      <w:tr w:rsidR="00244D84" w:rsidRPr="00E44632" w14:paraId="78773BEB" w14:textId="77777777" w:rsidTr="00532DC5">
        <w:tc>
          <w:tcPr>
            <w:tcW w:w="3044" w:type="dxa"/>
            <w:shd w:val="clear" w:color="auto" w:fill="auto"/>
          </w:tcPr>
          <w:p w14:paraId="562FD773" w14:textId="77777777" w:rsidR="00244D84" w:rsidRPr="00E44632" w:rsidRDefault="00244D84" w:rsidP="00244D84"/>
        </w:tc>
        <w:tc>
          <w:tcPr>
            <w:tcW w:w="1761" w:type="dxa"/>
            <w:shd w:val="clear" w:color="auto" w:fill="auto"/>
          </w:tcPr>
          <w:p w14:paraId="04694740" w14:textId="77777777" w:rsidR="00244D84" w:rsidRPr="00733DD6" w:rsidRDefault="00244D84" w:rsidP="00532DC5">
            <w:pPr>
              <w:jc w:val="center"/>
            </w:pPr>
            <w:r w:rsidRPr="00532DC5">
              <w:rPr>
                <w:lang w:val="en-GB"/>
              </w:rPr>
              <w:t>US$ million</w:t>
            </w:r>
          </w:p>
        </w:tc>
        <w:tc>
          <w:tcPr>
            <w:tcW w:w="2268" w:type="dxa"/>
            <w:shd w:val="clear" w:color="auto" w:fill="auto"/>
          </w:tcPr>
          <w:p w14:paraId="55DF0803" w14:textId="77777777" w:rsidR="00244D84" w:rsidRPr="00532DC5" w:rsidRDefault="00244D84" w:rsidP="00532DC5">
            <w:pPr>
              <w:jc w:val="center"/>
              <w:rPr>
                <w:lang w:val="en-GB"/>
              </w:rPr>
            </w:pPr>
            <w:r w:rsidRPr="00532DC5">
              <w:rPr>
                <w:lang w:val="en-GB"/>
              </w:rPr>
              <w:t>%</w:t>
            </w:r>
          </w:p>
        </w:tc>
        <w:tc>
          <w:tcPr>
            <w:tcW w:w="2115" w:type="dxa"/>
            <w:shd w:val="clear" w:color="auto" w:fill="auto"/>
          </w:tcPr>
          <w:p w14:paraId="684349E8" w14:textId="77777777" w:rsidR="00244D84" w:rsidRPr="00532DC5" w:rsidRDefault="00244D84" w:rsidP="00532DC5">
            <w:pPr>
              <w:jc w:val="center"/>
              <w:rPr>
                <w:lang w:val="en-GB"/>
              </w:rPr>
            </w:pPr>
            <w:r w:rsidRPr="00532DC5">
              <w:rPr>
                <w:lang w:val="en-GB"/>
              </w:rPr>
              <w:t>%</w:t>
            </w:r>
          </w:p>
        </w:tc>
      </w:tr>
      <w:tr w:rsidR="00244D84" w:rsidRPr="00E44632" w14:paraId="3F090F04" w14:textId="77777777" w:rsidTr="00532DC5">
        <w:tc>
          <w:tcPr>
            <w:tcW w:w="3044" w:type="dxa"/>
            <w:shd w:val="clear" w:color="auto" w:fill="auto"/>
          </w:tcPr>
          <w:p w14:paraId="1142A321" w14:textId="77777777" w:rsidR="00244D84" w:rsidRPr="00E44632" w:rsidRDefault="00244D84" w:rsidP="00244D84"/>
        </w:tc>
        <w:tc>
          <w:tcPr>
            <w:tcW w:w="1761" w:type="dxa"/>
            <w:shd w:val="clear" w:color="auto" w:fill="auto"/>
          </w:tcPr>
          <w:p w14:paraId="4478ED19" w14:textId="77777777" w:rsidR="00244D84" w:rsidRPr="00733DD6" w:rsidRDefault="00244D84" w:rsidP="00532DC5">
            <w:pPr>
              <w:jc w:val="center"/>
            </w:pPr>
          </w:p>
        </w:tc>
        <w:tc>
          <w:tcPr>
            <w:tcW w:w="2268" w:type="dxa"/>
            <w:shd w:val="clear" w:color="auto" w:fill="auto"/>
          </w:tcPr>
          <w:p w14:paraId="6E2CB631" w14:textId="77777777" w:rsidR="00244D84" w:rsidRPr="00733DD6" w:rsidRDefault="00244D84" w:rsidP="00532DC5">
            <w:pPr>
              <w:jc w:val="center"/>
            </w:pPr>
            <w:r w:rsidRPr="00532DC5">
              <w:rPr>
                <w:lang w:val="en-GB"/>
              </w:rPr>
              <w:t>of Total OECD</w:t>
            </w:r>
          </w:p>
        </w:tc>
        <w:tc>
          <w:tcPr>
            <w:tcW w:w="2115" w:type="dxa"/>
            <w:shd w:val="clear" w:color="auto" w:fill="auto"/>
          </w:tcPr>
          <w:p w14:paraId="44565509" w14:textId="77777777" w:rsidR="00244D84" w:rsidRPr="00733DD6" w:rsidRDefault="00244D84" w:rsidP="00532DC5">
            <w:pPr>
              <w:jc w:val="center"/>
            </w:pPr>
            <w:r w:rsidRPr="00532DC5">
              <w:rPr>
                <w:lang w:val="en-GB"/>
              </w:rPr>
              <w:t>of 10 largest</w:t>
            </w:r>
          </w:p>
        </w:tc>
      </w:tr>
      <w:tr w:rsidR="00244D84" w:rsidRPr="00E44632" w14:paraId="6F665D49" w14:textId="77777777" w:rsidTr="00532DC5">
        <w:tc>
          <w:tcPr>
            <w:tcW w:w="3044" w:type="dxa"/>
            <w:shd w:val="clear" w:color="auto" w:fill="auto"/>
          </w:tcPr>
          <w:p w14:paraId="5991D0A3" w14:textId="77777777" w:rsidR="00244D84" w:rsidRPr="00E44632" w:rsidRDefault="00244D84" w:rsidP="00244D84">
            <w:r w:rsidRPr="00532DC5">
              <w:rPr>
                <w:lang w:val="en-GB"/>
              </w:rPr>
              <w:t>United States</w:t>
            </w:r>
          </w:p>
        </w:tc>
        <w:tc>
          <w:tcPr>
            <w:tcW w:w="1761" w:type="dxa"/>
            <w:shd w:val="clear" w:color="auto" w:fill="auto"/>
          </w:tcPr>
          <w:p w14:paraId="49FDE24B" w14:textId="77777777" w:rsidR="00244D84" w:rsidRPr="00E44632" w:rsidRDefault="00244D84" w:rsidP="00532DC5">
            <w:pPr>
              <w:jc w:val="right"/>
            </w:pPr>
            <w:r w:rsidRPr="00532DC5">
              <w:rPr>
                <w:lang w:val="en-GB"/>
              </w:rPr>
              <w:t>287 118</w:t>
            </w:r>
          </w:p>
        </w:tc>
        <w:tc>
          <w:tcPr>
            <w:tcW w:w="2268" w:type="dxa"/>
            <w:shd w:val="clear" w:color="auto" w:fill="auto"/>
          </w:tcPr>
          <w:p w14:paraId="2BDF325C" w14:textId="77777777" w:rsidR="00244D84" w:rsidRPr="00E44632" w:rsidRDefault="00244D84" w:rsidP="00532DC5">
            <w:pPr>
              <w:jc w:val="right"/>
            </w:pPr>
            <w:r w:rsidRPr="00532DC5">
              <w:rPr>
                <w:lang w:val="en-GB"/>
              </w:rPr>
              <w:t>15,9%</w:t>
            </w:r>
          </w:p>
        </w:tc>
        <w:tc>
          <w:tcPr>
            <w:tcW w:w="2115" w:type="dxa"/>
            <w:shd w:val="clear" w:color="auto" w:fill="auto"/>
          </w:tcPr>
          <w:p w14:paraId="2C9BC878" w14:textId="77777777" w:rsidR="00244D84" w:rsidRPr="00E44632" w:rsidRDefault="00244D84" w:rsidP="00532DC5">
            <w:pPr>
              <w:jc w:val="right"/>
            </w:pPr>
            <w:r w:rsidRPr="00532DC5">
              <w:rPr>
                <w:lang w:val="en-GB"/>
              </w:rPr>
              <w:t>19,7%</w:t>
            </w:r>
          </w:p>
        </w:tc>
      </w:tr>
      <w:tr w:rsidR="00244D84" w:rsidRPr="00E44632" w14:paraId="63BBCA1B" w14:textId="77777777" w:rsidTr="00532DC5">
        <w:tc>
          <w:tcPr>
            <w:tcW w:w="3044" w:type="dxa"/>
            <w:shd w:val="clear" w:color="auto" w:fill="auto"/>
          </w:tcPr>
          <w:p w14:paraId="4515B47A" w14:textId="77777777" w:rsidR="00244D84" w:rsidRPr="0061079C" w:rsidRDefault="00244D84" w:rsidP="00244D84">
            <w:r w:rsidRPr="00532DC5">
              <w:rPr>
                <w:lang w:val="en-GB"/>
              </w:rPr>
              <w:t>Germany</w:t>
            </w:r>
          </w:p>
        </w:tc>
        <w:tc>
          <w:tcPr>
            <w:tcW w:w="1761" w:type="dxa"/>
            <w:shd w:val="clear" w:color="auto" w:fill="auto"/>
          </w:tcPr>
          <w:p w14:paraId="6CB98901" w14:textId="77777777" w:rsidR="00244D84" w:rsidRPr="00E44632" w:rsidRDefault="00244D84" w:rsidP="00532DC5">
            <w:pPr>
              <w:jc w:val="right"/>
            </w:pPr>
            <w:r w:rsidRPr="00532DC5">
              <w:rPr>
                <w:lang w:val="en-GB"/>
              </w:rPr>
              <w:t>254 746</w:t>
            </w:r>
          </w:p>
        </w:tc>
        <w:tc>
          <w:tcPr>
            <w:tcW w:w="2268" w:type="dxa"/>
            <w:shd w:val="clear" w:color="auto" w:fill="auto"/>
          </w:tcPr>
          <w:p w14:paraId="24C9DFA7" w14:textId="77777777" w:rsidR="00244D84" w:rsidRPr="00E44632" w:rsidRDefault="00244D84" w:rsidP="00532DC5">
            <w:pPr>
              <w:jc w:val="right"/>
            </w:pPr>
            <w:r w:rsidRPr="00532DC5">
              <w:rPr>
                <w:lang w:val="en-GB"/>
              </w:rPr>
              <w:t>14,1%</w:t>
            </w:r>
          </w:p>
        </w:tc>
        <w:tc>
          <w:tcPr>
            <w:tcW w:w="2115" w:type="dxa"/>
            <w:shd w:val="clear" w:color="auto" w:fill="auto"/>
          </w:tcPr>
          <w:p w14:paraId="6F95DFE8" w14:textId="77777777" w:rsidR="00244D84" w:rsidRPr="00E44632" w:rsidRDefault="00244D84" w:rsidP="00532DC5">
            <w:pPr>
              <w:jc w:val="right"/>
            </w:pPr>
            <w:r w:rsidRPr="00532DC5">
              <w:rPr>
                <w:lang w:val="en-GB"/>
              </w:rPr>
              <w:t>17,5%</w:t>
            </w:r>
          </w:p>
        </w:tc>
      </w:tr>
      <w:tr w:rsidR="00244D84" w:rsidRPr="00E44632" w14:paraId="1E378744" w14:textId="77777777" w:rsidTr="00532DC5">
        <w:tc>
          <w:tcPr>
            <w:tcW w:w="3044" w:type="dxa"/>
            <w:shd w:val="clear" w:color="auto" w:fill="auto"/>
          </w:tcPr>
          <w:p w14:paraId="36454D58" w14:textId="77777777" w:rsidR="00244D84" w:rsidRPr="0061079C" w:rsidRDefault="00244D84" w:rsidP="00244D84">
            <w:r w:rsidRPr="00532DC5">
              <w:rPr>
                <w:lang w:val="en-GB"/>
              </w:rPr>
              <w:t>Japan</w:t>
            </w:r>
          </w:p>
        </w:tc>
        <w:tc>
          <w:tcPr>
            <w:tcW w:w="1761" w:type="dxa"/>
            <w:shd w:val="clear" w:color="auto" w:fill="auto"/>
          </w:tcPr>
          <w:p w14:paraId="1BB4F326" w14:textId="77777777" w:rsidR="00244D84" w:rsidRPr="00E44632" w:rsidRDefault="00244D84" w:rsidP="00532DC5">
            <w:pPr>
              <w:jc w:val="right"/>
            </w:pPr>
            <w:r w:rsidRPr="00532DC5">
              <w:rPr>
                <w:lang w:val="en-GB"/>
              </w:rPr>
              <w:t>212 665</w:t>
            </w:r>
          </w:p>
        </w:tc>
        <w:tc>
          <w:tcPr>
            <w:tcW w:w="2268" w:type="dxa"/>
            <w:shd w:val="clear" w:color="auto" w:fill="auto"/>
          </w:tcPr>
          <w:p w14:paraId="07E0CBE7" w14:textId="77777777" w:rsidR="00244D84" w:rsidRPr="00E44632" w:rsidRDefault="00244D84" w:rsidP="00532DC5">
            <w:pPr>
              <w:jc w:val="right"/>
            </w:pPr>
            <w:r w:rsidRPr="00532DC5">
              <w:rPr>
                <w:lang w:val="en-GB"/>
              </w:rPr>
              <w:t>11,8%</w:t>
            </w:r>
          </w:p>
        </w:tc>
        <w:tc>
          <w:tcPr>
            <w:tcW w:w="2115" w:type="dxa"/>
            <w:shd w:val="clear" w:color="auto" w:fill="auto"/>
          </w:tcPr>
          <w:p w14:paraId="55FB2140" w14:textId="77777777" w:rsidR="00244D84" w:rsidRPr="00E44632" w:rsidRDefault="00244D84" w:rsidP="00532DC5">
            <w:pPr>
              <w:jc w:val="right"/>
            </w:pPr>
            <w:r w:rsidRPr="00532DC5">
              <w:rPr>
                <w:lang w:val="en-GB"/>
              </w:rPr>
              <w:t>14,6%</w:t>
            </w:r>
          </w:p>
        </w:tc>
      </w:tr>
      <w:tr w:rsidR="00244D84" w:rsidRPr="00E44632" w14:paraId="3C5F94DD" w14:textId="77777777" w:rsidTr="00532DC5">
        <w:tc>
          <w:tcPr>
            <w:tcW w:w="3044" w:type="dxa"/>
            <w:shd w:val="clear" w:color="auto" w:fill="auto"/>
          </w:tcPr>
          <w:p w14:paraId="534D0E93" w14:textId="77777777" w:rsidR="00244D84" w:rsidRPr="0061079C" w:rsidRDefault="00244D84" w:rsidP="00244D84">
            <w:r w:rsidRPr="00532DC5">
              <w:rPr>
                <w:lang w:val="en-GB"/>
              </w:rPr>
              <w:t>France</w:t>
            </w:r>
          </w:p>
        </w:tc>
        <w:tc>
          <w:tcPr>
            <w:tcW w:w="1761" w:type="dxa"/>
            <w:shd w:val="clear" w:color="auto" w:fill="auto"/>
          </w:tcPr>
          <w:p w14:paraId="4E34F332" w14:textId="77777777" w:rsidR="00244D84" w:rsidRPr="00E44632" w:rsidRDefault="00244D84" w:rsidP="00532DC5">
            <w:pPr>
              <w:jc w:val="right"/>
            </w:pPr>
            <w:r w:rsidRPr="00532DC5">
              <w:rPr>
                <w:lang w:val="en-GB"/>
              </w:rPr>
              <w:t>138 471</w:t>
            </w:r>
          </w:p>
        </w:tc>
        <w:tc>
          <w:tcPr>
            <w:tcW w:w="2268" w:type="dxa"/>
            <w:shd w:val="clear" w:color="auto" w:fill="auto"/>
          </w:tcPr>
          <w:p w14:paraId="60629E2D" w14:textId="77777777" w:rsidR="00244D84" w:rsidRPr="00E44632" w:rsidRDefault="00244D84" w:rsidP="00532DC5">
            <w:pPr>
              <w:jc w:val="right"/>
            </w:pPr>
            <w:r w:rsidRPr="00532DC5">
              <w:rPr>
                <w:lang w:val="en-GB"/>
              </w:rPr>
              <w:t>7,7%</w:t>
            </w:r>
          </w:p>
        </w:tc>
        <w:tc>
          <w:tcPr>
            <w:tcW w:w="2115" w:type="dxa"/>
            <w:shd w:val="clear" w:color="auto" w:fill="auto"/>
          </w:tcPr>
          <w:p w14:paraId="425B1C75" w14:textId="77777777" w:rsidR="00244D84" w:rsidRPr="00E44632" w:rsidRDefault="00244D84" w:rsidP="00532DC5">
            <w:pPr>
              <w:jc w:val="right"/>
            </w:pPr>
            <w:r w:rsidRPr="00532DC5">
              <w:rPr>
                <w:lang w:val="en-GB"/>
              </w:rPr>
              <w:t>9,5%</w:t>
            </w:r>
          </w:p>
        </w:tc>
      </w:tr>
      <w:tr w:rsidR="00244D84" w:rsidRPr="00E44632" w14:paraId="20EC1956" w14:textId="77777777" w:rsidTr="00532DC5">
        <w:tc>
          <w:tcPr>
            <w:tcW w:w="3044" w:type="dxa"/>
            <w:shd w:val="clear" w:color="auto" w:fill="auto"/>
          </w:tcPr>
          <w:p w14:paraId="39DEAC64" w14:textId="77777777" w:rsidR="00244D84" w:rsidRPr="0061079C" w:rsidRDefault="00244D84" w:rsidP="00244D84">
            <w:r w:rsidRPr="00532DC5">
              <w:rPr>
                <w:lang w:val="en-GB"/>
              </w:rPr>
              <w:t>United Kingdom</w:t>
            </w:r>
          </w:p>
        </w:tc>
        <w:tc>
          <w:tcPr>
            <w:tcW w:w="1761" w:type="dxa"/>
            <w:shd w:val="clear" w:color="auto" w:fill="auto"/>
          </w:tcPr>
          <w:p w14:paraId="2E884475" w14:textId="77777777" w:rsidR="00244D84" w:rsidRPr="00E44632" w:rsidRDefault="00244D84" w:rsidP="00532DC5">
            <w:pPr>
              <w:jc w:val="right"/>
            </w:pPr>
            <w:r w:rsidRPr="00532DC5">
              <w:rPr>
                <w:lang w:val="en-GB"/>
              </w:rPr>
              <w:t>121 258</w:t>
            </w:r>
          </w:p>
        </w:tc>
        <w:tc>
          <w:tcPr>
            <w:tcW w:w="2268" w:type="dxa"/>
            <w:shd w:val="clear" w:color="auto" w:fill="auto"/>
          </w:tcPr>
          <w:p w14:paraId="3CB704F6" w14:textId="77777777" w:rsidR="00244D84" w:rsidRPr="00E44632" w:rsidRDefault="00244D84" w:rsidP="00532DC5">
            <w:pPr>
              <w:jc w:val="right"/>
            </w:pPr>
            <w:r w:rsidRPr="00532DC5">
              <w:rPr>
                <w:lang w:val="en-GB"/>
              </w:rPr>
              <w:t>6,7%</w:t>
            </w:r>
          </w:p>
        </w:tc>
        <w:tc>
          <w:tcPr>
            <w:tcW w:w="2115" w:type="dxa"/>
            <w:shd w:val="clear" w:color="auto" w:fill="auto"/>
          </w:tcPr>
          <w:p w14:paraId="54461DA5" w14:textId="77777777" w:rsidR="00244D84" w:rsidRPr="00E44632" w:rsidRDefault="00244D84" w:rsidP="00532DC5">
            <w:pPr>
              <w:jc w:val="right"/>
            </w:pPr>
            <w:r w:rsidRPr="00532DC5">
              <w:rPr>
                <w:lang w:val="en-GB"/>
              </w:rPr>
              <w:t>8,3%</w:t>
            </w:r>
          </w:p>
        </w:tc>
      </w:tr>
      <w:tr w:rsidR="00244D84" w:rsidRPr="00E44632" w14:paraId="12A5748B" w14:textId="77777777" w:rsidTr="00532DC5">
        <w:tc>
          <w:tcPr>
            <w:tcW w:w="3044" w:type="dxa"/>
            <w:shd w:val="clear" w:color="auto" w:fill="auto"/>
          </w:tcPr>
          <w:p w14:paraId="1C94BC48" w14:textId="77777777" w:rsidR="00244D84" w:rsidRPr="0061079C" w:rsidRDefault="00244D84" w:rsidP="00244D84">
            <w:r w:rsidRPr="00532DC5">
              <w:rPr>
                <w:lang w:val="en-GB"/>
              </w:rPr>
              <w:t>Italy</w:t>
            </w:r>
          </w:p>
        </w:tc>
        <w:tc>
          <w:tcPr>
            <w:tcW w:w="1761" w:type="dxa"/>
            <w:shd w:val="clear" w:color="auto" w:fill="auto"/>
          </w:tcPr>
          <w:p w14:paraId="1107C6F0" w14:textId="77777777" w:rsidR="00244D84" w:rsidRPr="00E44632" w:rsidRDefault="00244D84" w:rsidP="00532DC5">
            <w:pPr>
              <w:jc w:val="right"/>
            </w:pPr>
            <w:r w:rsidRPr="00532DC5">
              <w:rPr>
                <w:lang w:val="en-GB"/>
              </w:rPr>
              <w:t>112 449</w:t>
            </w:r>
          </w:p>
        </w:tc>
        <w:tc>
          <w:tcPr>
            <w:tcW w:w="2268" w:type="dxa"/>
            <w:shd w:val="clear" w:color="auto" w:fill="auto"/>
          </w:tcPr>
          <w:p w14:paraId="7267A22D" w14:textId="77777777" w:rsidR="00244D84" w:rsidRPr="00E44632" w:rsidRDefault="00244D84" w:rsidP="00532DC5">
            <w:pPr>
              <w:jc w:val="right"/>
            </w:pPr>
            <w:r w:rsidRPr="00532DC5">
              <w:rPr>
                <w:lang w:val="en-GB"/>
              </w:rPr>
              <w:t>6,2%</w:t>
            </w:r>
          </w:p>
        </w:tc>
        <w:tc>
          <w:tcPr>
            <w:tcW w:w="2115" w:type="dxa"/>
            <w:shd w:val="clear" w:color="auto" w:fill="auto"/>
          </w:tcPr>
          <w:p w14:paraId="0CC59302" w14:textId="77777777" w:rsidR="00244D84" w:rsidRPr="00E44632" w:rsidRDefault="00244D84" w:rsidP="00532DC5">
            <w:pPr>
              <w:jc w:val="right"/>
            </w:pPr>
            <w:r w:rsidRPr="00532DC5">
              <w:rPr>
                <w:lang w:val="en-GB"/>
              </w:rPr>
              <w:t>7,7%</w:t>
            </w:r>
          </w:p>
        </w:tc>
      </w:tr>
      <w:tr w:rsidR="00244D84" w:rsidRPr="00E44632" w14:paraId="36FF9F62" w14:textId="77777777" w:rsidTr="00532DC5">
        <w:tc>
          <w:tcPr>
            <w:tcW w:w="3044" w:type="dxa"/>
            <w:shd w:val="clear" w:color="auto" w:fill="auto"/>
          </w:tcPr>
          <w:p w14:paraId="7074B08A" w14:textId="77777777" w:rsidR="00244D84" w:rsidRPr="0061079C" w:rsidRDefault="00244D84" w:rsidP="00244D84">
            <w:r w:rsidRPr="00532DC5">
              <w:rPr>
                <w:lang w:val="en-GB"/>
              </w:rPr>
              <w:t>Canada</w:t>
            </w:r>
          </w:p>
        </w:tc>
        <w:tc>
          <w:tcPr>
            <w:tcW w:w="1761" w:type="dxa"/>
            <w:shd w:val="clear" w:color="auto" w:fill="auto"/>
          </w:tcPr>
          <w:p w14:paraId="47A5993D" w14:textId="77777777" w:rsidR="00244D84" w:rsidRPr="00E44632" w:rsidRDefault="00244D84" w:rsidP="00532DC5">
            <w:pPr>
              <w:jc w:val="right"/>
            </w:pPr>
            <w:r w:rsidRPr="00532DC5">
              <w:rPr>
                <w:lang w:val="en-GB"/>
              </w:rPr>
              <w:t>91 215</w:t>
            </w:r>
          </w:p>
        </w:tc>
        <w:tc>
          <w:tcPr>
            <w:tcW w:w="2268" w:type="dxa"/>
            <w:shd w:val="clear" w:color="auto" w:fill="auto"/>
          </w:tcPr>
          <w:p w14:paraId="36F4A3C9" w14:textId="77777777" w:rsidR="00244D84" w:rsidRPr="00E44632" w:rsidRDefault="00244D84" w:rsidP="00532DC5">
            <w:pPr>
              <w:jc w:val="right"/>
            </w:pPr>
            <w:r w:rsidRPr="00532DC5">
              <w:rPr>
                <w:lang w:val="en-GB"/>
              </w:rPr>
              <w:t>5,1%</w:t>
            </w:r>
          </w:p>
        </w:tc>
        <w:tc>
          <w:tcPr>
            <w:tcW w:w="2115" w:type="dxa"/>
            <w:shd w:val="clear" w:color="auto" w:fill="auto"/>
          </w:tcPr>
          <w:p w14:paraId="623C1BB3" w14:textId="77777777" w:rsidR="00244D84" w:rsidRPr="00E44632" w:rsidRDefault="00244D84" w:rsidP="00532DC5">
            <w:pPr>
              <w:jc w:val="right"/>
            </w:pPr>
            <w:r w:rsidRPr="00532DC5">
              <w:rPr>
                <w:lang w:val="en-GB"/>
              </w:rPr>
              <w:t>6,3%</w:t>
            </w:r>
          </w:p>
        </w:tc>
      </w:tr>
      <w:tr w:rsidR="00244D84" w:rsidRPr="00E44632" w14:paraId="03148B2F" w14:textId="77777777" w:rsidTr="00532DC5">
        <w:tc>
          <w:tcPr>
            <w:tcW w:w="3044" w:type="dxa"/>
            <w:shd w:val="clear" w:color="auto" w:fill="auto"/>
          </w:tcPr>
          <w:p w14:paraId="07924806" w14:textId="77777777" w:rsidR="00244D84" w:rsidRPr="0061079C" w:rsidRDefault="00244D84" w:rsidP="00244D84">
            <w:r w:rsidRPr="00532DC5">
              <w:rPr>
                <w:lang w:val="en-GB"/>
              </w:rPr>
              <w:t xml:space="preserve">Korea </w:t>
            </w:r>
            <w:r w:rsidRPr="00532DC5">
              <w:rPr>
                <w:vertAlign w:val="superscript"/>
                <w:lang w:val="en-GB"/>
              </w:rPr>
              <w:t>(1)</w:t>
            </w:r>
          </w:p>
        </w:tc>
        <w:tc>
          <w:tcPr>
            <w:tcW w:w="1761" w:type="dxa"/>
            <w:shd w:val="clear" w:color="auto" w:fill="auto"/>
          </w:tcPr>
          <w:p w14:paraId="11E1C45B" w14:textId="77777777" w:rsidR="00244D84" w:rsidRPr="00E44632" w:rsidRDefault="00244D84" w:rsidP="00532DC5">
            <w:pPr>
              <w:jc w:val="right"/>
            </w:pPr>
            <w:r w:rsidRPr="00532DC5">
              <w:rPr>
                <w:lang w:val="en-GB"/>
              </w:rPr>
              <w:t>81 364</w:t>
            </w:r>
          </w:p>
        </w:tc>
        <w:tc>
          <w:tcPr>
            <w:tcW w:w="2268" w:type="dxa"/>
            <w:shd w:val="clear" w:color="auto" w:fill="auto"/>
          </w:tcPr>
          <w:p w14:paraId="1D36970D" w14:textId="77777777" w:rsidR="00244D84" w:rsidRPr="00E44632" w:rsidRDefault="00244D84" w:rsidP="00532DC5">
            <w:pPr>
              <w:jc w:val="right"/>
            </w:pPr>
            <w:r w:rsidRPr="00532DC5">
              <w:rPr>
                <w:lang w:val="en-GB"/>
              </w:rPr>
              <w:t>4,5%</w:t>
            </w:r>
          </w:p>
        </w:tc>
        <w:tc>
          <w:tcPr>
            <w:tcW w:w="2115" w:type="dxa"/>
            <w:shd w:val="clear" w:color="auto" w:fill="auto"/>
          </w:tcPr>
          <w:p w14:paraId="524D85D8" w14:textId="77777777" w:rsidR="00244D84" w:rsidRPr="00E44632" w:rsidRDefault="00244D84" w:rsidP="00532DC5">
            <w:pPr>
              <w:jc w:val="right"/>
            </w:pPr>
            <w:r w:rsidRPr="00532DC5">
              <w:rPr>
                <w:lang w:val="en-GB"/>
              </w:rPr>
              <w:t>5,6%</w:t>
            </w:r>
          </w:p>
        </w:tc>
      </w:tr>
      <w:tr w:rsidR="00244D84" w:rsidRPr="00E44632" w14:paraId="7F549C3B" w14:textId="77777777" w:rsidTr="00532DC5">
        <w:tc>
          <w:tcPr>
            <w:tcW w:w="3044" w:type="dxa"/>
            <w:shd w:val="clear" w:color="auto" w:fill="auto"/>
          </w:tcPr>
          <w:p w14:paraId="462C4A23" w14:textId="77777777" w:rsidR="00244D84" w:rsidRPr="0061079C" w:rsidRDefault="00244D84" w:rsidP="00244D84">
            <w:r w:rsidRPr="00532DC5">
              <w:rPr>
                <w:lang w:val="en-GB"/>
              </w:rPr>
              <w:t>Netherlands</w:t>
            </w:r>
          </w:p>
        </w:tc>
        <w:tc>
          <w:tcPr>
            <w:tcW w:w="1761" w:type="dxa"/>
            <w:shd w:val="clear" w:color="auto" w:fill="auto"/>
          </w:tcPr>
          <w:p w14:paraId="2C25062C" w14:textId="77777777" w:rsidR="00244D84" w:rsidRPr="00E44632" w:rsidRDefault="00244D84" w:rsidP="00532DC5">
            <w:pPr>
              <w:jc w:val="right"/>
            </w:pPr>
            <w:r w:rsidRPr="00532DC5">
              <w:rPr>
                <w:lang w:val="en-GB"/>
              </w:rPr>
              <w:t>81 264</w:t>
            </w:r>
          </w:p>
        </w:tc>
        <w:tc>
          <w:tcPr>
            <w:tcW w:w="2268" w:type="dxa"/>
            <w:shd w:val="clear" w:color="auto" w:fill="auto"/>
          </w:tcPr>
          <w:p w14:paraId="236A8E38" w14:textId="77777777" w:rsidR="00244D84" w:rsidRPr="00E44632" w:rsidRDefault="00244D84" w:rsidP="00532DC5">
            <w:pPr>
              <w:jc w:val="right"/>
            </w:pPr>
            <w:r w:rsidRPr="00532DC5">
              <w:rPr>
                <w:lang w:val="en-GB"/>
              </w:rPr>
              <w:t>4,5%</w:t>
            </w:r>
          </w:p>
        </w:tc>
        <w:tc>
          <w:tcPr>
            <w:tcW w:w="2115" w:type="dxa"/>
            <w:shd w:val="clear" w:color="auto" w:fill="auto"/>
          </w:tcPr>
          <w:p w14:paraId="49DEB1B7" w14:textId="77777777" w:rsidR="00244D84" w:rsidRPr="00E44632" w:rsidRDefault="00244D84" w:rsidP="00532DC5">
            <w:pPr>
              <w:jc w:val="right"/>
            </w:pPr>
            <w:r w:rsidRPr="00532DC5">
              <w:rPr>
                <w:lang w:val="en-GB"/>
              </w:rPr>
              <w:t>5,6%</w:t>
            </w:r>
          </w:p>
        </w:tc>
      </w:tr>
      <w:tr w:rsidR="00244D84" w:rsidRPr="00E44632" w14:paraId="67B063E0" w14:textId="77777777" w:rsidTr="00532DC5">
        <w:tc>
          <w:tcPr>
            <w:tcW w:w="3044" w:type="dxa"/>
            <w:shd w:val="clear" w:color="auto" w:fill="auto"/>
          </w:tcPr>
          <w:p w14:paraId="6BFA9312" w14:textId="77777777" w:rsidR="00244D84" w:rsidRPr="0061079C" w:rsidRDefault="00244D84" w:rsidP="00244D84">
            <w:r w:rsidRPr="00532DC5">
              <w:rPr>
                <w:lang w:val="en-GB"/>
              </w:rPr>
              <w:t>Belgium-Luxembourg</w:t>
            </w:r>
          </w:p>
        </w:tc>
        <w:tc>
          <w:tcPr>
            <w:tcW w:w="1761" w:type="dxa"/>
            <w:shd w:val="clear" w:color="auto" w:fill="auto"/>
          </w:tcPr>
          <w:p w14:paraId="06E8FB53" w14:textId="77777777" w:rsidR="00244D84" w:rsidRPr="00E44632" w:rsidRDefault="00244D84" w:rsidP="00532DC5">
            <w:pPr>
              <w:jc w:val="right"/>
            </w:pPr>
            <w:r w:rsidRPr="00532DC5">
              <w:rPr>
                <w:lang w:val="en-GB"/>
              </w:rPr>
              <w:t>78 598</w:t>
            </w:r>
          </w:p>
        </w:tc>
        <w:tc>
          <w:tcPr>
            <w:tcW w:w="2268" w:type="dxa"/>
            <w:shd w:val="clear" w:color="auto" w:fill="auto"/>
          </w:tcPr>
          <w:p w14:paraId="32FE5447" w14:textId="77777777" w:rsidR="00244D84" w:rsidRPr="00E44632" w:rsidRDefault="00244D84" w:rsidP="00532DC5">
            <w:pPr>
              <w:jc w:val="right"/>
            </w:pPr>
            <w:r w:rsidRPr="00532DC5">
              <w:rPr>
                <w:lang w:val="en-GB"/>
              </w:rPr>
              <w:t>4,4%</w:t>
            </w:r>
          </w:p>
        </w:tc>
        <w:tc>
          <w:tcPr>
            <w:tcW w:w="2115" w:type="dxa"/>
            <w:shd w:val="clear" w:color="auto" w:fill="auto"/>
          </w:tcPr>
          <w:p w14:paraId="61F3F950" w14:textId="77777777" w:rsidR="00244D84" w:rsidRPr="00E44632" w:rsidRDefault="00244D84" w:rsidP="00532DC5">
            <w:pPr>
              <w:jc w:val="right"/>
            </w:pPr>
            <w:r w:rsidRPr="00532DC5">
              <w:rPr>
                <w:lang w:val="en-GB"/>
              </w:rPr>
              <w:t>5,4%</w:t>
            </w:r>
          </w:p>
        </w:tc>
      </w:tr>
      <w:tr w:rsidR="00244D84" w:rsidRPr="00E44632" w14:paraId="7F6BE9CF" w14:textId="77777777" w:rsidTr="00532DC5">
        <w:tc>
          <w:tcPr>
            <w:tcW w:w="3044" w:type="dxa"/>
            <w:shd w:val="clear" w:color="auto" w:fill="auto"/>
          </w:tcPr>
          <w:p w14:paraId="74F48534" w14:textId="77777777" w:rsidR="00244D84" w:rsidRPr="0061079C" w:rsidRDefault="00244D84" w:rsidP="00244D84">
            <w:r w:rsidRPr="00532DC5">
              <w:rPr>
                <w:b/>
                <w:lang w:val="en-GB"/>
              </w:rPr>
              <w:t>Total 10 largest</w:t>
            </w:r>
          </w:p>
        </w:tc>
        <w:tc>
          <w:tcPr>
            <w:tcW w:w="1761" w:type="dxa"/>
            <w:shd w:val="clear" w:color="auto" w:fill="auto"/>
          </w:tcPr>
          <w:p w14:paraId="63A70D41" w14:textId="77777777" w:rsidR="00244D84" w:rsidRPr="00E44632" w:rsidRDefault="00244D84" w:rsidP="00532DC5">
            <w:pPr>
              <w:jc w:val="right"/>
            </w:pPr>
            <w:r w:rsidRPr="00532DC5">
              <w:rPr>
                <w:b/>
                <w:lang w:val="en-GB"/>
              </w:rPr>
              <w:t>1 459 148</w:t>
            </w:r>
          </w:p>
        </w:tc>
        <w:tc>
          <w:tcPr>
            <w:tcW w:w="2268" w:type="dxa"/>
            <w:shd w:val="clear" w:color="auto" w:fill="auto"/>
          </w:tcPr>
          <w:p w14:paraId="1AB47013" w14:textId="77777777" w:rsidR="00244D84" w:rsidRPr="00E44632" w:rsidRDefault="00244D84" w:rsidP="00532DC5">
            <w:pPr>
              <w:jc w:val="right"/>
            </w:pPr>
            <w:r w:rsidRPr="00532DC5">
              <w:rPr>
                <w:b/>
                <w:lang w:val="en-GB"/>
              </w:rPr>
              <w:t>81,0%</w:t>
            </w:r>
          </w:p>
        </w:tc>
        <w:tc>
          <w:tcPr>
            <w:tcW w:w="2115" w:type="dxa"/>
            <w:shd w:val="clear" w:color="auto" w:fill="auto"/>
          </w:tcPr>
          <w:p w14:paraId="173C4D3D" w14:textId="77777777" w:rsidR="00244D84" w:rsidRPr="00E44632" w:rsidRDefault="00244D84" w:rsidP="00532DC5">
            <w:pPr>
              <w:jc w:val="right"/>
            </w:pPr>
            <w:r w:rsidRPr="00532DC5">
              <w:rPr>
                <w:b/>
                <w:lang w:val="en-GB"/>
              </w:rPr>
              <w:t>100%</w:t>
            </w:r>
          </w:p>
        </w:tc>
      </w:tr>
      <w:tr w:rsidR="00244D84" w:rsidRPr="00E44632" w14:paraId="3FFE40F4" w14:textId="77777777" w:rsidTr="00532DC5">
        <w:tc>
          <w:tcPr>
            <w:tcW w:w="3044" w:type="dxa"/>
            <w:shd w:val="clear" w:color="auto" w:fill="auto"/>
          </w:tcPr>
          <w:p w14:paraId="69F5A36E" w14:textId="77777777" w:rsidR="00244D84" w:rsidRPr="00532DC5" w:rsidRDefault="00244D84" w:rsidP="00244D84">
            <w:pPr>
              <w:rPr>
                <w:b/>
              </w:rPr>
            </w:pPr>
          </w:p>
        </w:tc>
        <w:tc>
          <w:tcPr>
            <w:tcW w:w="1761" w:type="dxa"/>
            <w:shd w:val="clear" w:color="auto" w:fill="auto"/>
          </w:tcPr>
          <w:p w14:paraId="0F8BAF45" w14:textId="77777777" w:rsidR="00244D84" w:rsidRPr="00532DC5" w:rsidRDefault="00244D84" w:rsidP="00532DC5">
            <w:pPr>
              <w:jc w:val="right"/>
              <w:rPr>
                <w:b/>
              </w:rPr>
            </w:pPr>
          </w:p>
        </w:tc>
        <w:tc>
          <w:tcPr>
            <w:tcW w:w="2268" w:type="dxa"/>
            <w:shd w:val="clear" w:color="auto" w:fill="auto"/>
          </w:tcPr>
          <w:p w14:paraId="7CCFAAA7" w14:textId="77777777" w:rsidR="00244D84" w:rsidRPr="00532DC5" w:rsidRDefault="00244D84" w:rsidP="00532DC5">
            <w:pPr>
              <w:jc w:val="right"/>
              <w:rPr>
                <w:b/>
              </w:rPr>
            </w:pPr>
          </w:p>
        </w:tc>
        <w:tc>
          <w:tcPr>
            <w:tcW w:w="2115" w:type="dxa"/>
            <w:shd w:val="clear" w:color="auto" w:fill="auto"/>
          </w:tcPr>
          <w:p w14:paraId="45D2B889" w14:textId="77777777" w:rsidR="00244D84" w:rsidRPr="00532DC5" w:rsidRDefault="00244D84" w:rsidP="00532DC5">
            <w:pPr>
              <w:jc w:val="right"/>
              <w:rPr>
                <w:b/>
              </w:rPr>
            </w:pPr>
          </w:p>
        </w:tc>
      </w:tr>
      <w:tr w:rsidR="00244D84" w:rsidRPr="00E44632" w14:paraId="49338E43" w14:textId="77777777" w:rsidTr="00532DC5">
        <w:tc>
          <w:tcPr>
            <w:tcW w:w="3044" w:type="dxa"/>
            <w:shd w:val="clear" w:color="auto" w:fill="auto"/>
          </w:tcPr>
          <w:p w14:paraId="180E9AAC" w14:textId="77777777" w:rsidR="00244D84" w:rsidRPr="00733DD6" w:rsidRDefault="00244D84" w:rsidP="00244D84">
            <w:r w:rsidRPr="00532DC5">
              <w:rPr>
                <w:lang w:val="en-GB"/>
              </w:rPr>
              <w:t>Spain</w:t>
            </w:r>
          </w:p>
        </w:tc>
        <w:tc>
          <w:tcPr>
            <w:tcW w:w="1761" w:type="dxa"/>
            <w:shd w:val="clear" w:color="auto" w:fill="auto"/>
          </w:tcPr>
          <w:p w14:paraId="03507DA6" w14:textId="77777777" w:rsidR="00244D84" w:rsidRPr="00E44632" w:rsidRDefault="00244D84" w:rsidP="00532DC5">
            <w:pPr>
              <w:jc w:val="right"/>
            </w:pPr>
            <w:r w:rsidRPr="00532DC5">
              <w:rPr>
                <w:lang w:val="en-GB"/>
              </w:rPr>
              <w:t>42 469</w:t>
            </w:r>
          </w:p>
        </w:tc>
        <w:tc>
          <w:tcPr>
            <w:tcW w:w="2268" w:type="dxa"/>
            <w:shd w:val="clear" w:color="auto" w:fill="auto"/>
          </w:tcPr>
          <w:p w14:paraId="41F0EF85" w14:textId="77777777" w:rsidR="00244D84" w:rsidRPr="00E44632" w:rsidRDefault="00244D84" w:rsidP="00532DC5">
            <w:pPr>
              <w:jc w:val="right"/>
            </w:pPr>
            <w:r w:rsidRPr="00532DC5">
              <w:rPr>
                <w:lang w:val="en-GB"/>
              </w:rPr>
              <w:t>2,4%</w:t>
            </w:r>
          </w:p>
        </w:tc>
        <w:tc>
          <w:tcPr>
            <w:tcW w:w="2115" w:type="dxa"/>
            <w:shd w:val="clear" w:color="auto" w:fill="auto"/>
          </w:tcPr>
          <w:p w14:paraId="53218D38" w14:textId="77777777" w:rsidR="00244D84" w:rsidRPr="00E44632" w:rsidRDefault="00244D84" w:rsidP="00532DC5">
            <w:pPr>
              <w:jc w:val="right"/>
            </w:pPr>
          </w:p>
        </w:tc>
      </w:tr>
      <w:tr w:rsidR="00244D84" w:rsidRPr="00E44632" w14:paraId="79824EB2" w14:textId="77777777" w:rsidTr="00532DC5">
        <w:tc>
          <w:tcPr>
            <w:tcW w:w="3044" w:type="dxa"/>
            <w:shd w:val="clear" w:color="auto" w:fill="auto"/>
          </w:tcPr>
          <w:p w14:paraId="59E56FEA" w14:textId="77777777" w:rsidR="00244D84" w:rsidRPr="00733DD6" w:rsidRDefault="00244D84" w:rsidP="00244D84">
            <w:r w:rsidRPr="00532DC5">
              <w:rPr>
                <w:lang w:val="en-GB"/>
              </w:rPr>
              <w:t>Switzerland</w:t>
            </w:r>
          </w:p>
        </w:tc>
        <w:tc>
          <w:tcPr>
            <w:tcW w:w="1761" w:type="dxa"/>
            <w:shd w:val="clear" w:color="auto" w:fill="auto"/>
          </w:tcPr>
          <w:p w14:paraId="52033A1A" w14:textId="77777777" w:rsidR="00244D84" w:rsidRPr="00E44632" w:rsidRDefault="00244D84" w:rsidP="00532DC5">
            <w:pPr>
              <w:jc w:val="right"/>
            </w:pPr>
            <w:r w:rsidRPr="00532DC5">
              <w:rPr>
                <w:lang w:val="en-GB"/>
              </w:rPr>
              <w:t>40 395</w:t>
            </w:r>
          </w:p>
        </w:tc>
        <w:tc>
          <w:tcPr>
            <w:tcW w:w="2268" w:type="dxa"/>
            <w:shd w:val="clear" w:color="auto" w:fill="auto"/>
          </w:tcPr>
          <w:p w14:paraId="60D8C5F8" w14:textId="77777777" w:rsidR="00244D84" w:rsidRPr="00E44632" w:rsidRDefault="00244D84" w:rsidP="00532DC5">
            <w:pPr>
              <w:jc w:val="right"/>
            </w:pPr>
            <w:r w:rsidRPr="00532DC5">
              <w:rPr>
                <w:lang w:val="en-GB"/>
              </w:rPr>
              <w:t>2,2%</w:t>
            </w:r>
          </w:p>
        </w:tc>
        <w:tc>
          <w:tcPr>
            <w:tcW w:w="2115" w:type="dxa"/>
            <w:shd w:val="clear" w:color="auto" w:fill="auto"/>
          </w:tcPr>
          <w:p w14:paraId="772FA2B7" w14:textId="77777777" w:rsidR="00244D84" w:rsidRPr="00E44632" w:rsidRDefault="00244D84" w:rsidP="00532DC5">
            <w:pPr>
              <w:jc w:val="right"/>
            </w:pPr>
          </w:p>
        </w:tc>
      </w:tr>
      <w:tr w:rsidR="00244D84" w:rsidRPr="00E44632" w14:paraId="541DDEF2" w14:textId="77777777" w:rsidTr="00532DC5">
        <w:tc>
          <w:tcPr>
            <w:tcW w:w="3044" w:type="dxa"/>
            <w:shd w:val="clear" w:color="auto" w:fill="auto"/>
          </w:tcPr>
          <w:p w14:paraId="17120B90" w14:textId="77777777" w:rsidR="00244D84" w:rsidRPr="00733DD6" w:rsidRDefault="00244D84" w:rsidP="00244D84">
            <w:r w:rsidRPr="00532DC5">
              <w:rPr>
                <w:lang w:val="en-GB"/>
              </w:rPr>
              <w:t>Sweden</w:t>
            </w:r>
          </w:p>
        </w:tc>
        <w:tc>
          <w:tcPr>
            <w:tcW w:w="1761" w:type="dxa"/>
            <w:shd w:val="clear" w:color="auto" w:fill="auto"/>
          </w:tcPr>
          <w:p w14:paraId="2A524165" w14:textId="77777777" w:rsidR="00244D84" w:rsidRPr="00E44632" w:rsidRDefault="00244D84" w:rsidP="00532DC5">
            <w:pPr>
              <w:jc w:val="right"/>
            </w:pPr>
            <w:r w:rsidRPr="00532DC5">
              <w:rPr>
                <w:lang w:val="en-GB"/>
              </w:rPr>
              <w:t xml:space="preserve">36 710 </w:t>
            </w:r>
          </w:p>
        </w:tc>
        <w:tc>
          <w:tcPr>
            <w:tcW w:w="2268" w:type="dxa"/>
            <w:shd w:val="clear" w:color="auto" w:fill="auto"/>
          </w:tcPr>
          <w:p w14:paraId="30A38E5E" w14:textId="77777777" w:rsidR="00244D84" w:rsidRPr="00E44632" w:rsidRDefault="00244D84" w:rsidP="00532DC5">
            <w:pPr>
              <w:jc w:val="right"/>
            </w:pPr>
            <w:r w:rsidRPr="00532DC5">
              <w:rPr>
                <w:lang w:val="en-GB"/>
              </w:rPr>
              <w:t>2,0%</w:t>
            </w:r>
          </w:p>
        </w:tc>
        <w:tc>
          <w:tcPr>
            <w:tcW w:w="2115" w:type="dxa"/>
            <w:shd w:val="clear" w:color="auto" w:fill="auto"/>
          </w:tcPr>
          <w:p w14:paraId="0D997B5A" w14:textId="77777777" w:rsidR="00244D84" w:rsidRPr="00E44632" w:rsidRDefault="00244D84" w:rsidP="00532DC5">
            <w:pPr>
              <w:jc w:val="right"/>
            </w:pPr>
          </w:p>
        </w:tc>
      </w:tr>
      <w:tr w:rsidR="00244D84" w:rsidRPr="00E44632" w14:paraId="2F9D2F06" w14:textId="77777777" w:rsidTr="00532DC5">
        <w:tc>
          <w:tcPr>
            <w:tcW w:w="3044" w:type="dxa"/>
            <w:shd w:val="clear" w:color="auto" w:fill="auto"/>
          </w:tcPr>
          <w:p w14:paraId="18FECD0C" w14:textId="77777777" w:rsidR="00244D84" w:rsidRPr="00733DD6" w:rsidRDefault="00244D84" w:rsidP="00244D84">
            <w:r w:rsidRPr="00532DC5">
              <w:rPr>
                <w:lang w:val="en-GB"/>
              </w:rPr>
              <w:t>Mexico (1)</w:t>
            </w:r>
          </w:p>
        </w:tc>
        <w:tc>
          <w:tcPr>
            <w:tcW w:w="1761" w:type="dxa"/>
            <w:shd w:val="clear" w:color="auto" w:fill="auto"/>
          </w:tcPr>
          <w:p w14:paraId="020D04C1" w14:textId="77777777" w:rsidR="00244D84" w:rsidRPr="00E44632" w:rsidRDefault="00244D84" w:rsidP="00532DC5">
            <w:pPr>
              <w:jc w:val="right"/>
            </w:pPr>
            <w:r w:rsidRPr="00532DC5">
              <w:rPr>
                <w:lang w:val="en-GB"/>
              </w:rPr>
              <w:t>34 233</w:t>
            </w:r>
          </w:p>
        </w:tc>
        <w:tc>
          <w:tcPr>
            <w:tcW w:w="2268" w:type="dxa"/>
            <w:shd w:val="clear" w:color="auto" w:fill="auto"/>
          </w:tcPr>
          <w:p w14:paraId="487C06DA" w14:textId="77777777" w:rsidR="00244D84" w:rsidRPr="00E44632" w:rsidRDefault="00244D84" w:rsidP="00532DC5">
            <w:pPr>
              <w:jc w:val="right"/>
            </w:pPr>
            <w:r w:rsidRPr="00532DC5">
              <w:rPr>
                <w:lang w:val="en-GB"/>
              </w:rPr>
              <w:t>1,9%</w:t>
            </w:r>
          </w:p>
        </w:tc>
        <w:tc>
          <w:tcPr>
            <w:tcW w:w="2115" w:type="dxa"/>
            <w:shd w:val="clear" w:color="auto" w:fill="auto"/>
          </w:tcPr>
          <w:p w14:paraId="591FAF84" w14:textId="77777777" w:rsidR="00244D84" w:rsidRPr="00E44632" w:rsidRDefault="00244D84" w:rsidP="00532DC5">
            <w:pPr>
              <w:jc w:val="right"/>
            </w:pPr>
          </w:p>
        </w:tc>
      </w:tr>
      <w:tr w:rsidR="00244D84" w:rsidRPr="00E44632" w14:paraId="0AE5A904" w14:textId="77777777" w:rsidTr="00532DC5">
        <w:tc>
          <w:tcPr>
            <w:tcW w:w="3044" w:type="dxa"/>
            <w:shd w:val="clear" w:color="auto" w:fill="auto"/>
          </w:tcPr>
          <w:p w14:paraId="3C21CB60" w14:textId="77777777" w:rsidR="00244D84" w:rsidRPr="00733DD6" w:rsidRDefault="00244D84" w:rsidP="00244D84">
            <w:r w:rsidRPr="00532DC5">
              <w:rPr>
                <w:lang w:val="en-GB"/>
              </w:rPr>
              <w:t>Australia</w:t>
            </w:r>
          </w:p>
        </w:tc>
        <w:tc>
          <w:tcPr>
            <w:tcW w:w="1761" w:type="dxa"/>
            <w:shd w:val="clear" w:color="auto" w:fill="auto"/>
          </w:tcPr>
          <w:p w14:paraId="778405AD" w14:textId="77777777" w:rsidR="00244D84" w:rsidRPr="00E44632" w:rsidRDefault="00244D84" w:rsidP="00532DC5">
            <w:pPr>
              <w:jc w:val="right"/>
            </w:pPr>
            <w:r w:rsidRPr="00532DC5">
              <w:rPr>
                <w:lang w:val="en-GB"/>
              </w:rPr>
              <w:t>27 194</w:t>
            </w:r>
          </w:p>
        </w:tc>
        <w:tc>
          <w:tcPr>
            <w:tcW w:w="2268" w:type="dxa"/>
            <w:shd w:val="clear" w:color="auto" w:fill="auto"/>
          </w:tcPr>
          <w:p w14:paraId="1EDABBF4" w14:textId="77777777" w:rsidR="00244D84" w:rsidRPr="00E44632" w:rsidRDefault="00244D84" w:rsidP="00532DC5">
            <w:pPr>
              <w:jc w:val="right"/>
            </w:pPr>
            <w:r w:rsidRPr="00532DC5">
              <w:rPr>
                <w:lang w:val="en-GB"/>
              </w:rPr>
              <w:t>1,5%</w:t>
            </w:r>
          </w:p>
        </w:tc>
        <w:tc>
          <w:tcPr>
            <w:tcW w:w="2115" w:type="dxa"/>
            <w:shd w:val="clear" w:color="auto" w:fill="auto"/>
          </w:tcPr>
          <w:p w14:paraId="48694E17" w14:textId="77777777" w:rsidR="00244D84" w:rsidRPr="00E44632" w:rsidRDefault="00244D84" w:rsidP="00532DC5">
            <w:pPr>
              <w:jc w:val="right"/>
            </w:pPr>
          </w:p>
        </w:tc>
      </w:tr>
      <w:tr w:rsidR="00244D84" w:rsidRPr="00E44632" w14:paraId="43659DC8" w14:textId="77777777" w:rsidTr="00532DC5">
        <w:tc>
          <w:tcPr>
            <w:tcW w:w="3044" w:type="dxa"/>
            <w:shd w:val="clear" w:color="auto" w:fill="auto"/>
          </w:tcPr>
          <w:p w14:paraId="2791BE12" w14:textId="77777777" w:rsidR="00244D84" w:rsidRPr="00733DD6" w:rsidRDefault="00244D84" w:rsidP="00244D84">
            <w:r w:rsidRPr="00532DC5">
              <w:rPr>
                <w:lang w:val="en-GB"/>
              </w:rPr>
              <w:t>Denmark</w:t>
            </w:r>
          </w:p>
        </w:tc>
        <w:tc>
          <w:tcPr>
            <w:tcW w:w="1761" w:type="dxa"/>
            <w:shd w:val="clear" w:color="auto" w:fill="auto"/>
          </w:tcPr>
          <w:p w14:paraId="1D35742F" w14:textId="77777777" w:rsidR="00244D84" w:rsidRPr="00E44632" w:rsidRDefault="00244D84" w:rsidP="00532DC5">
            <w:pPr>
              <w:jc w:val="right"/>
            </w:pPr>
            <w:r w:rsidRPr="00532DC5">
              <w:rPr>
                <w:lang w:val="en-GB"/>
              </w:rPr>
              <w:t>24 145</w:t>
            </w:r>
          </w:p>
        </w:tc>
        <w:tc>
          <w:tcPr>
            <w:tcW w:w="2268" w:type="dxa"/>
            <w:shd w:val="clear" w:color="auto" w:fill="auto"/>
          </w:tcPr>
          <w:p w14:paraId="26B6F908" w14:textId="77777777" w:rsidR="00244D84" w:rsidRPr="00E44632" w:rsidRDefault="00244D84" w:rsidP="00532DC5">
            <w:pPr>
              <w:jc w:val="right"/>
            </w:pPr>
            <w:r w:rsidRPr="00532DC5">
              <w:rPr>
                <w:lang w:val="en-GB"/>
              </w:rPr>
              <w:t>1,3%</w:t>
            </w:r>
          </w:p>
        </w:tc>
        <w:tc>
          <w:tcPr>
            <w:tcW w:w="2115" w:type="dxa"/>
            <w:shd w:val="clear" w:color="auto" w:fill="auto"/>
          </w:tcPr>
          <w:p w14:paraId="547C6619" w14:textId="77777777" w:rsidR="00244D84" w:rsidRPr="00E44632" w:rsidRDefault="00244D84" w:rsidP="00532DC5">
            <w:pPr>
              <w:jc w:val="right"/>
            </w:pPr>
          </w:p>
        </w:tc>
      </w:tr>
      <w:tr w:rsidR="00244D84" w:rsidRPr="00E44632" w14:paraId="48B8EAE7" w14:textId="77777777" w:rsidTr="00532DC5">
        <w:tc>
          <w:tcPr>
            <w:tcW w:w="3044" w:type="dxa"/>
            <w:shd w:val="clear" w:color="auto" w:fill="auto"/>
          </w:tcPr>
          <w:p w14:paraId="2C62CD2F" w14:textId="77777777" w:rsidR="00244D84" w:rsidRPr="00733DD6" w:rsidRDefault="00244D84" w:rsidP="00244D84">
            <w:r w:rsidRPr="00532DC5">
              <w:rPr>
                <w:lang w:val="en-GB"/>
              </w:rPr>
              <w:t>Austria*</w:t>
            </w:r>
          </w:p>
        </w:tc>
        <w:tc>
          <w:tcPr>
            <w:tcW w:w="1761" w:type="dxa"/>
            <w:shd w:val="clear" w:color="auto" w:fill="auto"/>
          </w:tcPr>
          <w:p w14:paraId="65666182" w14:textId="77777777" w:rsidR="00244D84" w:rsidRPr="00E44632" w:rsidRDefault="00244D84" w:rsidP="00532DC5">
            <w:pPr>
              <w:jc w:val="right"/>
            </w:pPr>
            <w:r w:rsidRPr="00532DC5">
              <w:rPr>
                <w:lang w:val="en-GB"/>
              </w:rPr>
              <w:t>22 432</w:t>
            </w:r>
          </w:p>
        </w:tc>
        <w:tc>
          <w:tcPr>
            <w:tcW w:w="2268" w:type="dxa"/>
            <w:shd w:val="clear" w:color="auto" w:fill="auto"/>
          </w:tcPr>
          <w:p w14:paraId="23B7A579" w14:textId="77777777" w:rsidR="00244D84" w:rsidRPr="00E44632" w:rsidRDefault="00244D84" w:rsidP="00532DC5">
            <w:pPr>
              <w:jc w:val="right"/>
            </w:pPr>
            <w:r w:rsidRPr="00532DC5">
              <w:rPr>
                <w:lang w:val="en-GB"/>
              </w:rPr>
              <w:t>1,2%</w:t>
            </w:r>
          </w:p>
        </w:tc>
        <w:tc>
          <w:tcPr>
            <w:tcW w:w="2115" w:type="dxa"/>
            <w:shd w:val="clear" w:color="auto" w:fill="auto"/>
          </w:tcPr>
          <w:p w14:paraId="5753E65A" w14:textId="77777777" w:rsidR="00244D84" w:rsidRPr="00E44632" w:rsidRDefault="00244D84" w:rsidP="00532DC5">
            <w:pPr>
              <w:jc w:val="right"/>
            </w:pPr>
          </w:p>
        </w:tc>
      </w:tr>
      <w:tr w:rsidR="00244D84" w:rsidRPr="00E44632" w14:paraId="7CFB2EA9" w14:textId="77777777" w:rsidTr="00532DC5">
        <w:tc>
          <w:tcPr>
            <w:tcW w:w="3044" w:type="dxa"/>
            <w:shd w:val="clear" w:color="auto" w:fill="auto"/>
          </w:tcPr>
          <w:p w14:paraId="79188272" w14:textId="77777777" w:rsidR="00244D84" w:rsidRPr="00733DD6" w:rsidRDefault="00244D84" w:rsidP="00244D84">
            <w:r w:rsidRPr="00532DC5">
              <w:rPr>
                <w:lang w:val="en-GB"/>
              </w:rPr>
              <w:t>Norway</w:t>
            </w:r>
          </w:p>
        </w:tc>
        <w:tc>
          <w:tcPr>
            <w:tcW w:w="1761" w:type="dxa"/>
            <w:shd w:val="clear" w:color="auto" w:fill="auto"/>
          </w:tcPr>
          <w:p w14:paraId="3C514A26" w14:textId="77777777" w:rsidR="00244D84" w:rsidRPr="00E44632" w:rsidRDefault="00244D84" w:rsidP="00532DC5">
            <w:pPr>
              <w:jc w:val="right"/>
            </w:pPr>
            <w:r w:rsidRPr="00532DC5">
              <w:rPr>
                <w:lang w:val="en-GB"/>
              </w:rPr>
              <w:t>21 666</w:t>
            </w:r>
          </w:p>
        </w:tc>
        <w:tc>
          <w:tcPr>
            <w:tcW w:w="2268" w:type="dxa"/>
            <w:shd w:val="clear" w:color="auto" w:fill="auto"/>
          </w:tcPr>
          <w:p w14:paraId="15965BAA" w14:textId="77777777" w:rsidR="00244D84" w:rsidRPr="00E44632" w:rsidRDefault="00244D84" w:rsidP="00532DC5">
            <w:pPr>
              <w:jc w:val="right"/>
            </w:pPr>
            <w:r w:rsidRPr="00532DC5">
              <w:rPr>
                <w:lang w:val="en-GB"/>
              </w:rPr>
              <w:t>1,2%</w:t>
            </w:r>
          </w:p>
        </w:tc>
        <w:tc>
          <w:tcPr>
            <w:tcW w:w="2115" w:type="dxa"/>
            <w:shd w:val="clear" w:color="auto" w:fill="auto"/>
          </w:tcPr>
          <w:p w14:paraId="444743A7" w14:textId="77777777" w:rsidR="00244D84" w:rsidRPr="00E44632" w:rsidRDefault="00244D84" w:rsidP="00532DC5">
            <w:pPr>
              <w:jc w:val="right"/>
            </w:pPr>
          </w:p>
        </w:tc>
      </w:tr>
      <w:tr w:rsidR="00244D84" w:rsidRPr="00E44632" w14:paraId="6BEAF965" w14:textId="77777777" w:rsidTr="00532DC5">
        <w:tc>
          <w:tcPr>
            <w:tcW w:w="3044" w:type="dxa"/>
            <w:shd w:val="clear" w:color="auto" w:fill="auto"/>
          </w:tcPr>
          <w:p w14:paraId="4B3A1729" w14:textId="77777777" w:rsidR="00244D84" w:rsidRPr="00733DD6" w:rsidRDefault="00244D84" w:rsidP="00244D84">
            <w:r w:rsidRPr="00532DC5">
              <w:rPr>
                <w:lang w:val="en-GB"/>
              </w:rPr>
              <w:t>Ireland</w:t>
            </w:r>
          </w:p>
        </w:tc>
        <w:tc>
          <w:tcPr>
            <w:tcW w:w="1761" w:type="dxa"/>
            <w:shd w:val="clear" w:color="auto" w:fill="auto"/>
          </w:tcPr>
          <w:p w14:paraId="0E974CD9" w14:textId="77777777" w:rsidR="00244D84" w:rsidRPr="00E44632" w:rsidRDefault="00244D84" w:rsidP="00532DC5">
            <w:pPr>
              <w:jc w:val="right"/>
            </w:pPr>
            <w:r w:rsidRPr="00532DC5">
              <w:rPr>
                <w:lang w:val="en-GB"/>
              </w:rPr>
              <w:t>19 217</w:t>
            </w:r>
          </w:p>
        </w:tc>
        <w:tc>
          <w:tcPr>
            <w:tcW w:w="2268" w:type="dxa"/>
            <w:shd w:val="clear" w:color="auto" w:fill="auto"/>
          </w:tcPr>
          <w:p w14:paraId="5D6BE936" w14:textId="77777777" w:rsidR="00244D84" w:rsidRPr="00E44632" w:rsidRDefault="00244D84" w:rsidP="00532DC5">
            <w:pPr>
              <w:jc w:val="right"/>
            </w:pPr>
            <w:r w:rsidRPr="00532DC5">
              <w:rPr>
                <w:lang w:val="en-GB"/>
              </w:rPr>
              <w:t>1,1%</w:t>
            </w:r>
          </w:p>
        </w:tc>
        <w:tc>
          <w:tcPr>
            <w:tcW w:w="2115" w:type="dxa"/>
            <w:shd w:val="clear" w:color="auto" w:fill="auto"/>
          </w:tcPr>
          <w:p w14:paraId="0FDEA84B" w14:textId="77777777" w:rsidR="00244D84" w:rsidRPr="00E44632" w:rsidRDefault="00244D84" w:rsidP="00532DC5">
            <w:pPr>
              <w:jc w:val="right"/>
            </w:pPr>
          </w:p>
        </w:tc>
      </w:tr>
      <w:tr w:rsidR="00244D84" w:rsidRPr="00E44632" w14:paraId="6A2EBEA2" w14:textId="77777777" w:rsidTr="00532DC5">
        <w:tc>
          <w:tcPr>
            <w:tcW w:w="3044" w:type="dxa"/>
            <w:shd w:val="clear" w:color="auto" w:fill="auto"/>
          </w:tcPr>
          <w:p w14:paraId="306E81B7" w14:textId="77777777" w:rsidR="00244D84" w:rsidRPr="00733DD6" w:rsidRDefault="00244D84" w:rsidP="00244D84">
            <w:r w:rsidRPr="00532DC5">
              <w:rPr>
                <w:lang w:val="en-GB"/>
              </w:rPr>
              <w:t>Finland</w:t>
            </w:r>
          </w:p>
        </w:tc>
        <w:tc>
          <w:tcPr>
            <w:tcW w:w="1761" w:type="dxa"/>
            <w:shd w:val="clear" w:color="auto" w:fill="auto"/>
          </w:tcPr>
          <w:p w14:paraId="1A732439" w14:textId="77777777" w:rsidR="00244D84" w:rsidRPr="00E44632" w:rsidRDefault="00244D84" w:rsidP="00532DC5">
            <w:pPr>
              <w:jc w:val="right"/>
            </w:pPr>
            <w:r w:rsidRPr="00532DC5">
              <w:rPr>
                <w:lang w:val="en-GB"/>
              </w:rPr>
              <w:t>17 296</w:t>
            </w:r>
          </w:p>
        </w:tc>
        <w:tc>
          <w:tcPr>
            <w:tcW w:w="2268" w:type="dxa"/>
            <w:shd w:val="clear" w:color="auto" w:fill="auto"/>
          </w:tcPr>
          <w:p w14:paraId="4E4150E9" w14:textId="77777777" w:rsidR="00244D84" w:rsidRPr="00E44632" w:rsidRDefault="00244D84" w:rsidP="00532DC5">
            <w:pPr>
              <w:jc w:val="right"/>
            </w:pPr>
            <w:r w:rsidRPr="00532DC5">
              <w:rPr>
                <w:lang w:val="en-GB"/>
              </w:rPr>
              <w:t>1,0%</w:t>
            </w:r>
          </w:p>
        </w:tc>
        <w:tc>
          <w:tcPr>
            <w:tcW w:w="2115" w:type="dxa"/>
            <w:shd w:val="clear" w:color="auto" w:fill="auto"/>
          </w:tcPr>
          <w:p w14:paraId="3AC9C8F2" w14:textId="77777777" w:rsidR="00244D84" w:rsidRPr="00E44632" w:rsidRDefault="00244D84" w:rsidP="00532DC5">
            <w:pPr>
              <w:jc w:val="right"/>
            </w:pPr>
          </w:p>
        </w:tc>
      </w:tr>
      <w:tr w:rsidR="00244D84" w:rsidRPr="00E44632" w14:paraId="101DF092" w14:textId="77777777" w:rsidTr="00532DC5">
        <w:tc>
          <w:tcPr>
            <w:tcW w:w="3044" w:type="dxa"/>
            <w:shd w:val="clear" w:color="auto" w:fill="auto"/>
          </w:tcPr>
          <w:p w14:paraId="1E543B13" w14:textId="77777777" w:rsidR="00244D84" w:rsidRPr="00733DD6" w:rsidRDefault="00244D84" w:rsidP="00244D84">
            <w:r w:rsidRPr="00532DC5">
              <w:rPr>
                <w:lang w:val="en-GB"/>
              </w:rPr>
              <w:t>Poland (1)**</w:t>
            </w:r>
          </w:p>
        </w:tc>
        <w:tc>
          <w:tcPr>
            <w:tcW w:w="1761" w:type="dxa"/>
            <w:shd w:val="clear" w:color="auto" w:fill="auto"/>
          </w:tcPr>
          <w:p w14:paraId="206B02CC" w14:textId="77777777" w:rsidR="00244D84" w:rsidRPr="00E44632" w:rsidRDefault="00244D84" w:rsidP="00532DC5">
            <w:pPr>
              <w:jc w:val="right"/>
            </w:pPr>
            <w:r w:rsidRPr="00532DC5">
              <w:rPr>
                <w:lang w:val="en-GB"/>
              </w:rPr>
              <w:t>12 652</w:t>
            </w:r>
          </w:p>
        </w:tc>
        <w:tc>
          <w:tcPr>
            <w:tcW w:w="2268" w:type="dxa"/>
            <w:shd w:val="clear" w:color="auto" w:fill="auto"/>
          </w:tcPr>
          <w:p w14:paraId="44571D1B" w14:textId="77777777" w:rsidR="00244D84" w:rsidRPr="00E44632" w:rsidRDefault="00244D84" w:rsidP="00532DC5">
            <w:pPr>
              <w:jc w:val="right"/>
            </w:pPr>
            <w:r w:rsidRPr="00532DC5">
              <w:rPr>
                <w:lang w:val="en-GB"/>
              </w:rPr>
              <w:t>0,7%</w:t>
            </w:r>
          </w:p>
        </w:tc>
        <w:tc>
          <w:tcPr>
            <w:tcW w:w="2115" w:type="dxa"/>
            <w:shd w:val="clear" w:color="auto" w:fill="auto"/>
          </w:tcPr>
          <w:p w14:paraId="5D047C35" w14:textId="77777777" w:rsidR="00244D84" w:rsidRPr="00E44632" w:rsidRDefault="00244D84" w:rsidP="00532DC5">
            <w:pPr>
              <w:jc w:val="right"/>
            </w:pPr>
          </w:p>
        </w:tc>
      </w:tr>
      <w:tr w:rsidR="00244D84" w:rsidRPr="00E44632" w14:paraId="2512926A" w14:textId="77777777" w:rsidTr="00532DC5">
        <w:tc>
          <w:tcPr>
            <w:tcW w:w="3044" w:type="dxa"/>
            <w:shd w:val="clear" w:color="auto" w:fill="auto"/>
          </w:tcPr>
          <w:p w14:paraId="67A2D96B" w14:textId="77777777" w:rsidR="00244D84" w:rsidRPr="00733DD6" w:rsidRDefault="00244D84" w:rsidP="00244D84">
            <w:r w:rsidRPr="00532DC5">
              <w:rPr>
                <w:lang w:val="en-GB"/>
              </w:rPr>
              <w:t>Portugal</w:t>
            </w:r>
          </w:p>
        </w:tc>
        <w:tc>
          <w:tcPr>
            <w:tcW w:w="1761" w:type="dxa"/>
            <w:shd w:val="clear" w:color="auto" w:fill="auto"/>
          </w:tcPr>
          <w:p w14:paraId="6D7BC98A" w14:textId="77777777" w:rsidR="00244D84" w:rsidRPr="00E44632" w:rsidRDefault="00244D84" w:rsidP="00532DC5">
            <w:pPr>
              <w:jc w:val="right"/>
            </w:pPr>
            <w:r w:rsidRPr="00532DC5">
              <w:rPr>
                <w:lang w:val="en-GB"/>
              </w:rPr>
              <w:t>10 801</w:t>
            </w:r>
          </w:p>
        </w:tc>
        <w:tc>
          <w:tcPr>
            <w:tcW w:w="2268" w:type="dxa"/>
            <w:shd w:val="clear" w:color="auto" w:fill="auto"/>
          </w:tcPr>
          <w:p w14:paraId="40EFB402" w14:textId="77777777" w:rsidR="00244D84" w:rsidRPr="00E44632" w:rsidRDefault="00244D84" w:rsidP="00532DC5">
            <w:pPr>
              <w:jc w:val="right"/>
            </w:pPr>
            <w:r w:rsidRPr="00532DC5">
              <w:rPr>
                <w:lang w:val="en-GB"/>
              </w:rPr>
              <w:t>0,6%</w:t>
            </w:r>
          </w:p>
        </w:tc>
        <w:tc>
          <w:tcPr>
            <w:tcW w:w="2115" w:type="dxa"/>
            <w:shd w:val="clear" w:color="auto" w:fill="auto"/>
          </w:tcPr>
          <w:p w14:paraId="46D99AC0" w14:textId="77777777" w:rsidR="00244D84" w:rsidRPr="00E44632" w:rsidRDefault="00244D84" w:rsidP="00532DC5">
            <w:pPr>
              <w:jc w:val="right"/>
            </w:pPr>
          </w:p>
        </w:tc>
      </w:tr>
      <w:tr w:rsidR="00244D84" w:rsidRPr="00E44632" w14:paraId="3A8161A4" w14:textId="77777777" w:rsidTr="00532DC5">
        <w:tc>
          <w:tcPr>
            <w:tcW w:w="3044" w:type="dxa"/>
            <w:shd w:val="clear" w:color="auto" w:fill="auto"/>
          </w:tcPr>
          <w:p w14:paraId="5487BE1B" w14:textId="77777777" w:rsidR="00244D84" w:rsidRPr="00733DD6" w:rsidRDefault="00244D84" w:rsidP="00244D84">
            <w:r w:rsidRPr="00532DC5">
              <w:rPr>
                <w:lang w:val="en-GB"/>
              </w:rPr>
              <w:t>Turkey *</w:t>
            </w:r>
          </w:p>
        </w:tc>
        <w:tc>
          <w:tcPr>
            <w:tcW w:w="1761" w:type="dxa"/>
            <w:shd w:val="clear" w:color="auto" w:fill="auto"/>
          </w:tcPr>
          <w:p w14:paraId="7694E43A" w14:textId="77777777" w:rsidR="00244D84" w:rsidRPr="00E44632" w:rsidRDefault="00244D84" w:rsidP="00532DC5">
            <w:pPr>
              <w:jc w:val="right"/>
            </w:pPr>
            <w:r w:rsidRPr="00532DC5">
              <w:rPr>
                <w:lang w:val="en-GB"/>
              </w:rPr>
              <w:t>8 027</w:t>
            </w:r>
          </w:p>
        </w:tc>
        <w:tc>
          <w:tcPr>
            <w:tcW w:w="2268" w:type="dxa"/>
            <w:shd w:val="clear" w:color="auto" w:fill="auto"/>
          </w:tcPr>
          <w:p w14:paraId="49047DC8" w14:textId="77777777" w:rsidR="00244D84" w:rsidRPr="00E44632" w:rsidRDefault="00244D84" w:rsidP="00532DC5">
            <w:pPr>
              <w:jc w:val="right"/>
            </w:pPr>
            <w:r w:rsidRPr="00532DC5">
              <w:rPr>
                <w:lang w:val="en-GB"/>
              </w:rPr>
              <w:t>0,4%</w:t>
            </w:r>
          </w:p>
        </w:tc>
        <w:tc>
          <w:tcPr>
            <w:tcW w:w="2115" w:type="dxa"/>
            <w:shd w:val="clear" w:color="auto" w:fill="auto"/>
          </w:tcPr>
          <w:p w14:paraId="4C5A2D1C" w14:textId="77777777" w:rsidR="00244D84" w:rsidRPr="00E44632" w:rsidRDefault="00244D84" w:rsidP="00532DC5">
            <w:pPr>
              <w:jc w:val="right"/>
            </w:pPr>
          </w:p>
        </w:tc>
      </w:tr>
      <w:tr w:rsidR="00244D84" w:rsidRPr="00E44632" w14:paraId="3E64E9FE" w14:textId="77777777" w:rsidTr="00532DC5">
        <w:tc>
          <w:tcPr>
            <w:tcW w:w="3044" w:type="dxa"/>
            <w:shd w:val="clear" w:color="auto" w:fill="auto"/>
          </w:tcPr>
          <w:p w14:paraId="108B9B96" w14:textId="77777777" w:rsidR="00244D84" w:rsidRPr="00733DD6" w:rsidRDefault="00244D84" w:rsidP="00244D84">
            <w:r w:rsidRPr="00532DC5">
              <w:rPr>
                <w:lang w:val="en-GB"/>
              </w:rPr>
              <w:t>Hungary **</w:t>
            </w:r>
          </w:p>
        </w:tc>
        <w:tc>
          <w:tcPr>
            <w:tcW w:w="1761" w:type="dxa"/>
            <w:shd w:val="clear" w:color="auto" w:fill="auto"/>
          </w:tcPr>
          <w:p w14:paraId="56DC7626" w14:textId="77777777" w:rsidR="00244D84" w:rsidRPr="00E44632" w:rsidRDefault="00244D84" w:rsidP="00532DC5">
            <w:pPr>
              <w:jc w:val="right"/>
            </w:pPr>
            <w:r w:rsidRPr="00532DC5">
              <w:rPr>
                <w:lang w:val="en-GB"/>
              </w:rPr>
              <w:t>6 795</w:t>
            </w:r>
          </w:p>
        </w:tc>
        <w:tc>
          <w:tcPr>
            <w:tcW w:w="2268" w:type="dxa"/>
            <w:shd w:val="clear" w:color="auto" w:fill="auto"/>
          </w:tcPr>
          <w:p w14:paraId="62AD7388" w14:textId="77777777" w:rsidR="00244D84" w:rsidRPr="00E44632" w:rsidRDefault="00244D84" w:rsidP="00532DC5">
            <w:pPr>
              <w:jc w:val="right"/>
            </w:pPr>
            <w:r w:rsidRPr="00532DC5">
              <w:rPr>
                <w:lang w:val="en-GB"/>
              </w:rPr>
              <w:t>0,4%</w:t>
            </w:r>
          </w:p>
        </w:tc>
        <w:tc>
          <w:tcPr>
            <w:tcW w:w="2115" w:type="dxa"/>
            <w:shd w:val="clear" w:color="auto" w:fill="auto"/>
          </w:tcPr>
          <w:p w14:paraId="33361F8B" w14:textId="77777777" w:rsidR="00244D84" w:rsidRPr="00E44632" w:rsidRDefault="00244D84" w:rsidP="00532DC5">
            <w:pPr>
              <w:jc w:val="right"/>
            </w:pPr>
          </w:p>
        </w:tc>
      </w:tr>
      <w:tr w:rsidR="00244D84" w:rsidRPr="00E44632" w14:paraId="6958ECCA" w14:textId="77777777" w:rsidTr="00532DC5">
        <w:tc>
          <w:tcPr>
            <w:tcW w:w="3044" w:type="dxa"/>
            <w:shd w:val="clear" w:color="auto" w:fill="auto"/>
          </w:tcPr>
          <w:p w14:paraId="40718E97" w14:textId="77777777" w:rsidR="00244D84" w:rsidRPr="00733DD6" w:rsidRDefault="00244D84" w:rsidP="00244D84">
            <w:r w:rsidRPr="00532DC5">
              <w:rPr>
                <w:lang w:val="en-GB"/>
              </w:rPr>
              <w:t>New Zealand</w:t>
            </w:r>
          </w:p>
        </w:tc>
        <w:tc>
          <w:tcPr>
            <w:tcW w:w="1761" w:type="dxa"/>
            <w:shd w:val="clear" w:color="auto" w:fill="auto"/>
          </w:tcPr>
          <w:p w14:paraId="5F77FE1C" w14:textId="77777777" w:rsidR="00244D84" w:rsidRPr="00E44632" w:rsidRDefault="00244D84" w:rsidP="00532DC5">
            <w:pPr>
              <w:jc w:val="right"/>
            </w:pPr>
            <w:r w:rsidRPr="00532DC5">
              <w:rPr>
                <w:lang w:val="en-GB"/>
              </w:rPr>
              <w:t>6 663</w:t>
            </w:r>
          </w:p>
        </w:tc>
        <w:tc>
          <w:tcPr>
            <w:tcW w:w="2268" w:type="dxa"/>
            <w:shd w:val="clear" w:color="auto" w:fill="auto"/>
          </w:tcPr>
          <w:p w14:paraId="195C6E69" w14:textId="77777777" w:rsidR="00244D84" w:rsidRPr="00E44632" w:rsidRDefault="00244D84" w:rsidP="00532DC5">
            <w:pPr>
              <w:jc w:val="right"/>
            </w:pPr>
            <w:r w:rsidRPr="00532DC5">
              <w:rPr>
                <w:lang w:val="en-GB"/>
              </w:rPr>
              <w:t>0,4%</w:t>
            </w:r>
          </w:p>
        </w:tc>
        <w:tc>
          <w:tcPr>
            <w:tcW w:w="2115" w:type="dxa"/>
            <w:shd w:val="clear" w:color="auto" w:fill="auto"/>
          </w:tcPr>
          <w:p w14:paraId="0A047DC0" w14:textId="77777777" w:rsidR="00244D84" w:rsidRPr="00E44632" w:rsidRDefault="00244D84" w:rsidP="00532DC5">
            <w:pPr>
              <w:jc w:val="right"/>
            </w:pPr>
          </w:p>
        </w:tc>
      </w:tr>
      <w:tr w:rsidR="00244D84" w:rsidRPr="00E44632" w14:paraId="0886D683" w14:textId="77777777" w:rsidTr="00532DC5">
        <w:tc>
          <w:tcPr>
            <w:tcW w:w="3044" w:type="dxa"/>
            <w:shd w:val="clear" w:color="auto" w:fill="auto"/>
          </w:tcPr>
          <w:p w14:paraId="1380EA83" w14:textId="77777777" w:rsidR="00244D84" w:rsidRPr="00733DD6" w:rsidRDefault="00244D84" w:rsidP="00244D84">
            <w:r w:rsidRPr="00532DC5">
              <w:rPr>
                <w:lang w:val="en-GB"/>
              </w:rPr>
              <w:t>Czech Republic ***</w:t>
            </w:r>
          </w:p>
        </w:tc>
        <w:tc>
          <w:tcPr>
            <w:tcW w:w="1761" w:type="dxa"/>
            <w:shd w:val="clear" w:color="auto" w:fill="auto"/>
          </w:tcPr>
          <w:p w14:paraId="53B150FF" w14:textId="77777777" w:rsidR="00244D84" w:rsidRPr="00E44632" w:rsidRDefault="00244D84" w:rsidP="00532DC5">
            <w:pPr>
              <w:jc w:val="right"/>
            </w:pPr>
            <w:r w:rsidRPr="00532DC5">
              <w:rPr>
                <w:lang w:val="en-GB"/>
              </w:rPr>
              <w:t>6 263</w:t>
            </w:r>
          </w:p>
        </w:tc>
        <w:tc>
          <w:tcPr>
            <w:tcW w:w="2268" w:type="dxa"/>
            <w:shd w:val="clear" w:color="auto" w:fill="auto"/>
          </w:tcPr>
          <w:p w14:paraId="547D2352" w14:textId="77777777" w:rsidR="00244D84" w:rsidRPr="00E44632" w:rsidRDefault="00244D84" w:rsidP="00532DC5">
            <w:pPr>
              <w:jc w:val="right"/>
            </w:pPr>
            <w:r w:rsidRPr="00532DC5">
              <w:rPr>
                <w:lang w:val="en-GB"/>
              </w:rPr>
              <w:t>0,3%</w:t>
            </w:r>
          </w:p>
        </w:tc>
        <w:tc>
          <w:tcPr>
            <w:tcW w:w="2115" w:type="dxa"/>
            <w:shd w:val="clear" w:color="auto" w:fill="auto"/>
          </w:tcPr>
          <w:p w14:paraId="5FC0F513" w14:textId="77777777" w:rsidR="00244D84" w:rsidRPr="00E44632" w:rsidRDefault="00244D84" w:rsidP="00532DC5">
            <w:pPr>
              <w:jc w:val="right"/>
            </w:pPr>
          </w:p>
        </w:tc>
      </w:tr>
      <w:tr w:rsidR="00244D84" w:rsidRPr="00E44632" w14:paraId="508D287E" w14:textId="77777777" w:rsidTr="00532DC5">
        <w:tc>
          <w:tcPr>
            <w:tcW w:w="3044" w:type="dxa"/>
            <w:shd w:val="clear" w:color="auto" w:fill="auto"/>
          </w:tcPr>
          <w:p w14:paraId="37E015B0" w14:textId="77777777" w:rsidR="00244D84" w:rsidRPr="00733DD6" w:rsidRDefault="00244D84" w:rsidP="00244D84">
            <w:r w:rsidRPr="00532DC5">
              <w:rPr>
                <w:lang w:val="en-GB"/>
              </w:rPr>
              <w:t>Greece *</w:t>
            </w:r>
          </w:p>
        </w:tc>
        <w:tc>
          <w:tcPr>
            <w:tcW w:w="1761" w:type="dxa"/>
            <w:shd w:val="clear" w:color="auto" w:fill="auto"/>
          </w:tcPr>
          <w:p w14:paraId="2AACE053" w14:textId="77777777" w:rsidR="00244D84" w:rsidRPr="00E44632" w:rsidRDefault="00244D84" w:rsidP="00532DC5">
            <w:pPr>
              <w:jc w:val="right"/>
            </w:pPr>
            <w:r w:rsidRPr="00532DC5">
              <w:rPr>
                <w:lang w:val="en-GB"/>
              </w:rPr>
              <w:t xml:space="preserve">4 606 </w:t>
            </w:r>
          </w:p>
        </w:tc>
        <w:tc>
          <w:tcPr>
            <w:tcW w:w="2268" w:type="dxa"/>
            <w:shd w:val="clear" w:color="auto" w:fill="auto"/>
          </w:tcPr>
          <w:p w14:paraId="45268C65" w14:textId="77777777" w:rsidR="00244D84" w:rsidRPr="00E44632" w:rsidRDefault="00244D84" w:rsidP="00532DC5">
            <w:pPr>
              <w:jc w:val="right"/>
            </w:pPr>
            <w:r w:rsidRPr="00532DC5">
              <w:rPr>
                <w:lang w:val="en-GB"/>
              </w:rPr>
              <w:t>0,3%</w:t>
            </w:r>
          </w:p>
        </w:tc>
        <w:tc>
          <w:tcPr>
            <w:tcW w:w="2115" w:type="dxa"/>
            <w:shd w:val="clear" w:color="auto" w:fill="auto"/>
          </w:tcPr>
          <w:p w14:paraId="72E4DA07" w14:textId="77777777" w:rsidR="00244D84" w:rsidRPr="00E44632" w:rsidRDefault="00244D84" w:rsidP="00532DC5">
            <w:pPr>
              <w:jc w:val="right"/>
            </w:pPr>
          </w:p>
        </w:tc>
      </w:tr>
      <w:tr w:rsidR="00244D84" w:rsidRPr="00E44632" w14:paraId="5DA63F4C" w14:textId="77777777" w:rsidTr="00532DC5">
        <w:tc>
          <w:tcPr>
            <w:tcW w:w="3044" w:type="dxa"/>
            <w:shd w:val="clear" w:color="auto" w:fill="auto"/>
          </w:tcPr>
          <w:p w14:paraId="52573D9E" w14:textId="77777777" w:rsidR="00244D84" w:rsidRPr="00733DD6" w:rsidRDefault="00244D84" w:rsidP="00244D84">
            <w:r w:rsidRPr="00532DC5">
              <w:rPr>
                <w:lang w:val="en-GB"/>
              </w:rPr>
              <w:t>Iceland</w:t>
            </w:r>
          </w:p>
        </w:tc>
        <w:tc>
          <w:tcPr>
            <w:tcW w:w="1761" w:type="dxa"/>
            <w:shd w:val="clear" w:color="auto" w:fill="auto"/>
          </w:tcPr>
          <w:p w14:paraId="77E3BA0D" w14:textId="77777777" w:rsidR="00244D84" w:rsidRPr="00E44632" w:rsidRDefault="00244D84" w:rsidP="00532DC5">
            <w:pPr>
              <w:jc w:val="right"/>
            </w:pPr>
            <w:r w:rsidRPr="00532DC5">
              <w:rPr>
                <w:lang w:val="en-GB"/>
              </w:rPr>
              <w:t>949</w:t>
            </w:r>
          </w:p>
        </w:tc>
        <w:tc>
          <w:tcPr>
            <w:tcW w:w="2268" w:type="dxa"/>
            <w:shd w:val="clear" w:color="auto" w:fill="auto"/>
          </w:tcPr>
          <w:p w14:paraId="766574E3" w14:textId="77777777" w:rsidR="00244D84" w:rsidRPr="00E44632" w:rsidRDefault="00244D84" w:rsidP="00532DC5">
            <w:pPr>
              <w:jc w:val="right"/>
            </w:pPr>
            <w:r w:rsidRPr="00532DC5">
              <w:rPr>
                <w:lang w:val="en-GB"/>
              </w:rPr>
              <w:t>0,1%</w:t>
            </w:r>
          </w:p>
        </w:tc>
        <w:tc>
          <w:tcPr>
            <w:tcW w:w="2115" w:type="dxa"/>
            <w:shd w:val="clear" w:color="auto" w:fill="auto"/>
          </w:tcPr>
          <w:p w14:paraId="2D422586" w14:textId="77777777" w:rsidR="00244D84" w:rsidRPr="00E44632" w:rsidRDefault="00244D84" w:rsidP="00532DC5">
            <w:pPr>
              <w:jc w:val="right"/>
            </w:pPr>
          </w:p>
        </w:tc>
      </w:tr>
      <w:tr w:rsidR="00244D84" w:rsidRPr="00E44632" w14:paraId="5429AD5D" w14:textId="77777777" w:rsidTr="00532DC5">
        <w:tc>
          <w:tcPr>
            <w:tcW w:w="3044" w:type="dxa"/>
            <w:shd w:val="clear" w:color="auto" w:fill="auto"/>
          </w:tcPr>
          <w:p w14:paraId="4DD73A99" w14:textId="77777777" w:rsidR="00244D84" w:rsidRPr="0061079C" w:rsidRDefault="00244D84" w:rsidP="00244D84"/>
        </w:tc>
        <w:tc>
          <w:tcPr>
            <w:tcW w:w="1761" w:type="dxa"/>
            <w:shd w:val="clear" w:color="auto" w:fill="auto"/>
          </w:tcPr>
          <w:p w14:paraId="54EFE050" w14:textId="77777777" w:rsidR="00244D84" w:rsidRPr="00E44632" w:rsidRDefault="00244D84" w:rsidP="00532DC5">
            <w:pPr>
              <w:jc w:val="right"/>
            </w:pPr>
          </w:p>
        </w:tc>
        <w:tc>
          <w:tcPr>
            <w:tcW w:w="2268" w:type="dxa"/>
            <w:shd w:val="clear" w:color="auto" w:fill="auto"/>
          </w:tcPr>
          <w:p w14:paraId="117D4A03" w14:textId="77777777" w:rsidR="00244D84" w:rsidRPr="00E44632" w:rsidRDefault="00244D84" w:rsidP="00532DC5">
            <w:pPr>
              <w:jc w:val="right"/>
            </w:pPr>
          </w:p>
        </w:tc>
        <w:tc>
          <w:tcPr>
            <w:tcW w:w="2115" w:type="dxa"/>
            <w:shd w:val="clear" w:color="auto" w:fill="auto"/>
          </w:tcPr>
          <w:p w14:paraId="0E8D0C9D" w14:textId="77777777" w:rsidR="00244D84" w:rsidRPr="00E44632" w:rsidRDefault="00244D84" w:rsidP="00532DC5">
            <w:pPr>
              <w:jc w:val="right"/>
            </w:pPr>
          </w:p>
        </w:tc>
      </w:tr>
      <w:tr w:rsidR="00244D84" w:rsidRPr="00E44632" w14:paraId="244436C0" w14:textId="77777777" w:rsidTr="00532DC5">
        <w:tc>
          <w:tcPr>
            <w:tcW w:w="3044" w:type="dxa"/>
            <w:shd w:val="clear" w:color="auto" w:fill="auto"/>
          </w:tcPr>
          <w:p w14:paraId="5DECA9D1" w14:textId="77777777" w:rsidR="00244D84" w:rsidRPr="0061079C" w:rsidRDefault="00244D84" w:rsidP="00244D84">
            <w:r w:rsidRPr="00532DC5">
              <w:rPr>
                <w:b/>
                <w:bCs/>
                <w:lang w:val="en-GB"/>
              </w:rPr>
              <w:t>Total OCDE</w:t>
            </w:r>
          </w:p>
        </w:tc>
        <w:tc>
          <w:tcPr>
            <w:tcW w:w="1761" w:type="dxa"/>
            <w:shd w:val="clear" w:color="auto" w:fill="auto"/>
          </w:tcPr>
          <w:p w14:paraId="5B3B9961" w14:textId="77777777" w:rsidR="00244D84" w:rsidRPr="00E44632" w:rsidRDefault="00244D84" w:rsidP="00532DC5">
            <w:pPr>
              <w:jc w:val="right"/>
            </w:pPr>
            <w:r w:rsidRPr="00532DC5">
              <w:rPr>
                <w:b/>
                <w:bCs/>
                <w:lang w:val="en-GB"/>
              </w:rPr>
              <w:t>1 801 661</w:t>
            </w:r>
          </w:p>
        </w:tc>
        <w:tc>
          <w:tcPr>
            <w:tcW w:w="2268" w:type="dxa"/>
            <w:shd w:val="clear" w:color="auto" w:fill="auto"/>
          </w:tcPr>
          <w:p w14:paraId="18781201" w14:textId="77777777" w:rsidR="00244D84" w:rsidRPr="00E44632" w:rsidRDefault="00244D84" w:rsidP="00532DC5">
            <w:pPr>
              <w:jc w:val="right"/>
            </w:pPr>
            <w:r w:rsidRPr="00532DC5">
              <w:rPr>
                <w:b/>
                <w:bCs/>
                <w:lang w:val="en-GB"/>
              </w:rPr>
              <w:t>100%</w:t>
            </w:r>
          </w:p>
        </w:tc>
        <w:tc>
          <w:tcPr>
            <w:tcW w:w="2115" w:type="dxa"/>
            <w:shd w:val="clear" w:color="auto" w:fill="auto"/>
          </w:tcPr>
          <w:p w14:paraId="51577C31" w14:textId="77777777" w:rsidR="00244D84" w:rsidRPr="00E44632" w:rsidRDefault="00244D84" w:rsidP="00532DC5">
            <w:pPr>
              <w:jc w:val="right"/>
            </w:pPr>
          </w:p>
        </w:tc>
      </w:tr>
    </w:tbl>
    <w:p w14:paraId="67F51A25" w14:textId="77777777" w:rsidR="00244D84" w:rsidRDefault="00244D84" w:rsidP="00244D84">
      <w:pPr>
        <w:jc w:val="both"/>
        <w:rPr>
          <w:lang w:val="en-GB"/>
        </w:rPr>
      </w:pPr>
    </w:p>
    <w:p w14:paraId="40F8F8B3" w14:textId="77777777" w:rsidR="00244D84" w:rsidRPr="008E4426" w:rsidRDefault="00244D84" w:rsidP="00244D84">
      <w:pPr>
        <w:spacing w:before="120" w:after="120"/>
        <w:jc w:val="both"/>
        <w:rPr>
          <w:lang w:val="en-GB"/>
        </w:rPr>
      </w:pPr>
      <w:r w:rsidRPr="008E4426">
        <w:rPr>
          <w:lang w:val="en-GB"/>
        </w:rPr>
        <w:t>Notes: * 1990-1995; ** 1991-1996; *** 1993-1996</w:t>
      </w:r>
    </w:p>
    <w:p w14:paraId="2A69BD27" w14:textId="77777777" w:rsidR="00244D84" w:rsidRPr="008E4426" w:rsidRDefault="00244D84" w:rsidP="00244D84">
      <w:pPr>
        <w:spacing w:before="120" w:after="120"/>
        <w:jc w:val="both"/>
        <w:rPr>
          <w:lang w:val="en-GB"/>
        </w:rPr>
      </w:pPr>
      <w:r w:rsidRPr="008E4426">
        <w:rPr>
          <w:lang w:val="en-GB"/>
        </w:rPr>
        <w:t xml:space="preserve">Source: OECD, </w:t>
      </w:r>
      <w:r w:rsidRPr="00733DD6">
        <w:rPr>
          <w:lang w:val="en-GB"/>
        </w:rPr>
        <w:t>(1)</w:t>
      </w:r>
      <w:r w:rsidRPr="008E4426">
        <w:rPr>
          <w:lang w:val="en-GB"/>
        </w:rPr>
        <w:t xml:space="preserve"> IMF.</w:t>
      </w:r>
    </w:p>
    <w:p w14:paraId="358A37A4" w14:textId="77777777" w:rsidR="00596904" w:rsidRDefault="00244D84" w:rsidP="00244D84">
      <w:pPr>
        <w:spacing w:before="120" w:after="120"/>
        <w:jc w:val="both"/>
        <w:rPr>
          <w:lang w:val="en-GB"/>
        </w:rPr>
      </w:pPr>
      <w:r w:rsidRPr="008E4426">
        <w:rPr>
          <w:lang w:val="en-GB"/>
        </w:rPr>
        <w:t xml:space="preserve">Concerning Belgium-Luxembourg: </w:t>
      </w:r>
      <w:r>
        <w:rPr>
          <w:lang w:val="en-GB"/>
        </w:rPr>
        <w:tab/>
      </w:r>
      <w:r w:rsidRPr="008E4426">
        <w:rPr>
          <w:lang w:val="en-GB"/>
        </w:rPr>
        <w:t xml:space="preserve">Trade statistics for Belgium and Luxembourg are available only on a combined basis for the two countries. For purposes of Article 15, paragraph 1 of the Convention, if either Belgium or Luxembourg deposits its instrument of acceptance, approval or ratification, or if both Belgium and Luxembourg deposit their instruments of acceptance, approval or ratification, </w:t>
      </w:r>
      <w:r w:rsidRPr="008E4426">
        <w:rPr>
          <w:lang w:val="en-GB"/>
        </w:rPr>
        <w:lastRenderedPageBreak/>
        <w:t>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
    <w:p w14:paraId="12856A71" w14:textId="77777777" w:rsidR="00454503" w:rsidRDefault="00596904" w:rsidP="00596904">
      <w:pPr>
        <w:spacing w:before="120" w:after="120"/>
        <w:jc w:val="center"/>
        <w:rPr>
          <w:b/>
          <w:bCs/>
        </w:rPr>
      </w:pPr>
      <w:r>
        <w:rPr>
          <w:lang w:val="en-GB"/>
        </w:rPr>
        <w:br w:type="page"/>
      </w:r>
      <w:r w:rsidR="00A85730" w:rsidRPr="00491A7E">
        <w:rPr>
          <w:b/>
          <w:bCs/>
        </w:rPr>
        <w:lastRenderedPageBreak/>
        <w:t>Članak</w:t>
      </w:r>
      <w:r w:rsidR="00454503">
        <w:rPr>
          <w:b/>
          <w:bCs/>
        </w:rPr>
        <w:t xml:space="preserve"> 3.</w:t>
      </w:r>
      <w:r w:rsidR="00A85730" w:rsidRPr="00491A7E">
        <w:rPr>
          <w:b/>
          <w:bCs/>
        </w:rPr>
        <w:t xml:space="preserve"> </w:t>
      </w:r>
    </w:p>
    <w:p w14:paraId="23513F0E" w14:textId="77777777" w:rsidR="00454503" w:rsidRDefault="00454503" w:rsidP="00596904">
      <w:pPr>
        <w:spacing w:before="120" w:after="120"/>
        <w:jc w:val="center"/>
        <w:rPr>
          <w:b/>
          <w:bCs/>
        </w:rPr>
      </w:pPr>
    </w:p>
    <w:p w14:paraId="7EECB2EE" w14:textId="77777777" w:rsidR="00454503" w:rsidRPr="00454503" w:rsidRDefault="00454503" w:rsidP="00454503">
      <w:pPr>
        <w:spacing w:before="120" w:after="120"/>
        <w:ind w:firstLine="708"/>
        <w:jc w:val="both"/>
        <w:rPr>
          <w:bCs/>
        </w:rPr>
      </w:pPr>
      <w:r w:rsidRPr="00454503">
        <w:rPr>
          <w:bCs/>
        </w:rPr>
        <w:t xml:space="preserve">Republika Hrvatska će, u skladu s člankom </w:t>
      </w:r>
      <w:r>
        <w:rPr>
          <w:bCs/>
        </w:rPr>
        <w:t>11</w:t>
      </w:r>
      <w:r w:rsidRPr="00454503">
        <w:rPr>
          <w:bCs/>
        </w:rPr>
        <w:t xml:space="preserve">. </w:t>
      </w:r>
      <w:bookmarkStart w:id="13" w:name="_Hlk146290771"/>
      <w:r>
        <w:rPr>
          <w:bCs/>
        </w:rPr>
        <w:t>Konvencije</w:t>
      </w:r>
      <w:r w:rsidRPr="00454503">
        <w:rPr>
          <w:bCs/>
        </w:rPr>
        <w:t xml:space="preserve"> iz članka 1. ovoga Zakona, dostaviti glavno</w:t>
      </w:r>
      <w:r>
        <w:rPr>
          <w:bCs/>
        </w:rPr>
        <w:t>m</w:t>
      </w:r>
      <w:r w:rsidRPr="00454503">
        <w:rPr>
          <w:bCs/>
        </w:rPr>
        <w:t xml:space="preserve"> tajnik</w:t>
      </w:r>
      <w:r>
        <w:rPr>
          <w:bCs/>
        </w:rPr>
        <w:t>u</w:t>
      </w:r>
      <w:r w:rsidRPr="00454503">
        <w:rPr>
          <w:bCs/>
        </w:rPr>
        <w:t xml:space="preserve"> OECD-a sljedeće obavijesti</w:t>
      </w:r>
      <w:bookmarkEnd w:id="13"/>
      <w:r w:rsidRPr="00454503">
        <w:rPr>
          <w:bCs/>
        </w:rPr>
        <w:t>:</w:t>
      </w:r>
    </w:p>
    <w:p w14:paraId="5999532A" w14:textId="4D4CF0FB" w:rsidR="00454503" w:rsidRDefault="006A3E96" w:rsidP="00991A16">
      <w:pPr>
        <w:spacing w:before="120" w:after="120"/>
        <w:ind w:firstLine="708"/>
        <w:jc w:val="both"/>
        <w:rPr>
          <w:bCs/>
        </w:rPr>
      </w:pPr>
      <w:r>
        <w:rPr>
          <w:bCs/>
        </w:rPr>
        <w:t>Z</w:t>
      </w:r>
      <w:r w:rsidR="00454503" w:rsidRPr="00454503">
        <w:rPr>
          <w:bCs/>
        </w:rPr>
        <w:t>a potrebe članka 4. stavka 3. Konvencije o borbi protiv podmićivanja stranih javnih službenika u međunarodnim poslovnim transakcijama, Republika Hrvatska određuje</w:t>
      </w:r>
      <w:r w:rsidR="00454503">
        <w:rPr>
          <w:bCs/>
        </w:rPr>
        <w:t xml:space="preserve"> Državno odvjetništvo Republike Hrvatske kao svoje tijelo nadležno </w:t>
      </w:r>
      <w:r w:rsidR="00454503" w:rsidRPr="00454503">
        <w:rPr>
          <w:bCs/>
        </w:rPr>
        <w:t>za podnošenje i primanje zahtjeva</w:t>
      </w:r>
      <w:r w:rsidR="00454503">
        <w:rPr>
          <w:bCs/>
        </w:rPr>
        <w:t xml:space="preserve"> </w:t>
      </w:r>
      <w:r w:rsidR="00FE0B53">
        <w:rPr>
          <w:bCs/>
        </w:rPr>
        <w:t xml:space="preserve">za </w:t>
      </w:r>
      <w:r w:rsidR="00454503">
        <w:rPr>
          <w:bCs/>
        </w:rPr>
        <w:t>savjetovanj</w:t>
      </w:r>
      <w:r w:rsidR="00FE0B53">
        <w:rPr>
          <w:bCs/>
        </w:rPr>
        <w:t>e</w:t>
      </w:r>
      <w:r w:rsidR="00454503">
        <w:rPr>
          <w:bCs/>
        </w:rPr>
        <w:t xml:space="preserve"> </w:t>
      </w:r>
      <w:r w:rsidR="00FE0B53" w:rsidRPr="00FE0B53">
        <w:rPr>
          <w:bCs/>
        </w:rPr>
        <w:t>radi određivanja najprikladnije nadležnosti za kazneni progon</w:t>
      </w:r>
      <w:r>
        <w:rPr>
          <w:bCs/>
        </w:rPr>
        <w:t>.</w:t>
      </w:r>
    </w:p>
    <w:p w14:paraId="6A185217" w14:textId="1BEB1CFA" w:rsidR="00454503" w:rsidRPr="00454503" w:rsidRDefault="006A3E96" w:rsidP="00991A16">
      <w:pPr>
        <w:spacing w:before="120" w:after="120"/>
        <w:ind w:firstLine="708"/>
        <w:jc w:val="both"/>
        <w:rPr>
          <w:bCs/>
        </w:rPr>
      </w:pPr>
      <w:r>
        <w:rPr>
          <w:bCs/>
        </w:rPr>
        <w:t>Z</w:t>
      </w:r>
      <w:r w:rsidR="00454503" w:rsidRPr="00454503">
        <w:rPr>
          <w:bCs/>
        </w:rPr>
        <w:t xml:space="preserve">a potrebe članaka 9. i 10. Konvencije o borbi protiv podmićivanja stranih javnih službenika u međunarodnim poslovnim transakcijama, Republika Hrvatska određuje Ministarstvo pravosuđa i uprave kao svoje tijelo nadležno za podnošenje i primanje zahtjeva </w:t>
      </w:r>
      <w:r>
        <w:rPr>
          <w:bCs/>
        </w:rPr>
        <w:t>za</w:t>
      </w:r>
      <w:r w:rsidR="00FE0B53">
        <w:rPr>
          <w:bCs/>
        </w:rPr>
        <w:t xml:space="preserve"> </w:t>
      </w:r>
      <w:r w:rsidR="00454503" w:rsidRPr="00454503">
        <w:rPr>
          <w:bCs/>
        </w:rPr>
        <w:t>uzajamn</w:t>
      </w:r>
      <w:r>
        <w:rPr>
          <w:bCs/>
        </w:rPr>
        <w:t>u</w:t>
      </w:r>
      <w:r w:rsidR="00454503" w:rsidRPr="00454503">
        <w:rPr>
          <w:bCs/>
        </w:rPr>
        <w:t xml:space="preserve"> </w:t>
      </w:r>
      <w:r w:rsidRPr="00454503">
        <w:rPr>
          <w:bCs/>
        </w:rPr>
        <w:t>pravn</w:t>
      </w:r>
      <w:r>
        <w:rPr>
          <w:bCs/>
        </w:rPr>
        <w:t>u</w:t>
      </w:r>
      <w:r w:rsidRPr="00454503">
        <w:rPr>
          <w:bCs/>
        </w:rPr>
        <w:t xml:space="preserve"> </w:t>
      </w:r>
      <w:r w:rsidR="00454503" w:rsidRPr="00454503">
        <w:rPr>
          <w:bCs/>
        </w:rPr>
        <w:t xml:space="preserve">pomoć i </w:t>
      </w:r>
      <w:r>
        <w:rPr>
          <w:bCs/>
        </w:rPr>
        <w:t xml:space="preserve">za </w:t>
      </w:r>
      <w:r w:rsidR="00454503" w:rsidRPr="00454503">
        <w:rPr>
          <w:bCs/>
        </w:rPr>
        <w:t>izručenj</w:t>
      </w:r>
      <w:r w:rsidR="00FE0B53">
        <w:rPr>
          <w:bCs/>
        </w:rPr>
        <w:t>e</w:t>
      </w:r>
      <w:r w:rsidR="00454503" w:rsidRPr="00454503">
        <w:rPr>
          <w:bCs/>
        </w:rPr>
        <w:t>.</w:t>
      </w:r>
    </w:p>
    <w:p w14:paraId="42122268" w14:textId="77777777" w:rsidR="00454503" w:rsidRDefault="00454503" w:rsidP="00596904">
      <w:pPr>
        <w:spacing w:before="120" w:after="120"/>
        <w:jc w:val="center"/>
        <w:rPr>
          <w:b/>
          <w:bCs/>
        </w:rPr>
      </w:pPr>
    </w:p>
    <w:p w14:paraId="4CBED8C1" w14:textId="77777777" w:rsidR="00A85730" w:rsidRPr="00491A7E" w:rsidRDefault="00454503" w:rsidP="00596904">
      <w:pPr>
        <w:spacing w:before="120" w:after="120"/>
        <w:jc w:val="center"/>
        <w:rPr>
          <w:b/>
          <w:bCs/>
        </w:rPr>
      </w:pPr>
      <w:r>
        <w:rPr>
          <w:b/>
          <w:bCs/>
        </w:rPr>
        <w:t xml:space="preserve">Članak </w:t>
      </w:r>
      <w:r w:rsidR="00E6737F">
        <w:rPr>
          <w:b/>
          <w:bCs/>
        </w:rPr>
        <w:t>4</w:t>
      </w:r>
      <w:r w:rsidR="00A85730" w:rsidRPr="00491A7E">
        <w:rPr>
          <w:b/>
          <w:bCs/>
        </w:rPr>
        <w:t>.</w:t>
      </w:r>
    </w:p>
    <w:p w14:paraId="508E504F" w14:textId="77777777" w:rsidR="00A85730" w:rsidRPr="00491A7E" w:rsidRDefault="00A85730" w:rsidP="00A85730">
      <w:pPr>
        <w:autoSpaceDE w:val="0"/>
        <w:autoSpaceDN w:val="0"/>
        <w:adjustRightInd w:val="0"/>
        <w:jc w:val="center"/>
        <w:rPr>
          <w:b/>
          <w:bCs/>
        </w:rPr>
      </w:pPr>
    </w:p>
    <w:p w14:paraId="7EABCBA0" w14:textId="77777777" w:rsidR="00A85730" w:rsidRPr="00491A7E" w:rsidRDefault="00A85730" w:rsidP="00A85730">
      <w:pPr>
        <w:jc w:val="both"/>
      </w:pPr>
      <w:r w:rsidRPr="00491A7E">
        <w:tab/>
        <w:t xml:space="preserve">Provedba ovoga Zakona u djelokrugu je tijela državne uprave nadležnog za poslove </w:t>
      </w:r>
      <w:r w:rsidR="00307141">
        <w:t>pravosuđa</w:t>
      </w:r>
      <w:r w:rsidRPr="00491A7E">
        <w:t>.</w:t>
      </w:r>
    </w:p>
    <w:p w14:paraId="1FAFACAB" w14:textId="77777777" w:rsidR="00A85730" w:rsidRPr="00491A7E" w:rsidRDefault="00A85730" w:rsidP="00A85730">
      <w:pPr>
        <w:autoSpaceDE w:val="0"/>
        <w:autoSpaceDN w:val="0"/>
        <w:adjustRightInd w:val="0"/>
        <w:jc w:val="both"/>
      </w:pPr>
    </w:p>
    <w:p w14:paraId="317FD332" w14:textId="77777777" w:rsidR="00A85730" w:rsidRPr="00491A7E" w:rsidRDefault="00A85730" w:rsidP="00A85730">
      <w:pPr>
        <w:autoSpaceDE w:val="0"/>
        <w:autoSpaceDN w:val="0"/>
        <w:adjustRightInd w:val="0"/>
        <w:jc w:val="center"/>
        <w:rPr>
          <w:b/>
          <w:bCs/>
        </w:rPr>
      </w:pPr>
      <w:r w:rsidRPr="00491A7E">
        <w:rPr>
          <w:b/>
          <w:bCs/>
        </w:rPr>
        <w:t xml:space="preserve">Članak </w:t>
      </w:r>
      <w:r w:rsidR="00E6737F">
        <w:rPr>
          <w:b/>
          <w:bCs/>
        </w:rPr>
        <w:t>5</w:t>
      </w:r>
      <w:r w:rsidRPr="00491A7E">
        <w:rPr>
          <w:b/>
          <w:bCs/>
        </w:rPr>
        <w:t>.</w:t>
      </w:r>
    </w:p>
    <w:p w14:paraId="0FD5EC0D" w14:textId="77777777" w:rsidR="00A85730" w:rsidRPr="00491A7E" w:rsidRDefault="00A85730" w:rsidP="00A85730">
      <w:pPr>
        <w:autoSpaceDE w:val="0"/>
        <w:autoSpaceDN w:val="0"/>
        <w:adjustRightInd w:val="0"/>
        <w:jc w:val="center"/>
        <w:rPr>
          <w:b/>
          <w:bCs/>
        </w:rPr>
      </w:pPr>
    </w:p>
    <w:p w14:paraId="1CCD5BC2" w14:textId="77777777" w:rsidR="00A85730" w:rsidRPr="00491A7E" w:rsidRDefault="00A85730" w:rsidP="004B558A">
      <w:pPr>
        <w:autoSpaceDE w:val="0"/>
        <w:autoSpaceDN w:val="0"/>
        <w:adjustRightInd w:val="0"/>
        <w:jc w:val="both"/>
      </w:pPr>
      <w:r w:rsidRPr="00491A7E">
        <w:tab/>
        <w:t xml:space="preserve">Na dan stupanja na snagu ovoga Zakona, </w:t>
      </w:r>
      <w:r w:rsidR="00307141">
        <w:rPr>
          <w:rFonts w:eastAsia="Arial Unicode MS"/>
        </w:rPr>
        <w:t>Konvencija</w:t>
      </w:r>
      <w:r w:rsidRPr="00491A7E">
        <w:rPr>
          <w:rFonts w:eastAsia="Arial Unicode MS"/>
        </w:rPr>
        <w:t xml:space="preserve"> iz </w:t>
      </w:r>
      <w:r w:rsidRPr="00491A7E">
        <w:t>članka 1. ovoga Zakona nije na snazi u odnosu na Republiku Hrvatsku te će se podaci o nje</w:t>
      </w:r>
      <w:r w:rsidR="00307141">
        <w:t>zinom</w:t>
      </w:r>
      <w:r w:rsidRPr="00491A7E">
        <w:t xml:space="preserve"> stupanju na snagu objaviti sukladno odredbi članka 30. stavka 3. Zakona o sklapanju i izvršavanju međunarodnih ugovora (</w:t>
      </w:r>
      <w:r w:rsidR="004B6DE0" w:rsidRPr="00491A7E">
        <w:t>„</w:t>
      </w:r>
      <w:r w:rsidRPr="00491A7E">
        <w:t>Narodne novine</w:t>
      </w:r>
      <w:r w:rsidR="004B6DE0" w:rsidRPr="00491A7E">
        <w:t>“</w:t>
      </w:r>
      <w:r w:rsidRPr="00491A7E">
        <w:t>, broj 28/96</w:t>
      </w:r>
      <w:r w:rsidR="004B6DE0" w:rsidRPr="00491A7E">
        <w:t>.</w:t>
      </w:r>
      <w:r w:rsidRPr="00491A7E">
        <w:t>).</w:t>
      </w:r>
    </w:p>
    <w:p w14:paraId="0D45DB53" w14:textId="77777777" w:rsidR="004B558A" w:rsidRPr="00491A7E" w:rsidRDefault="004B558A" w:rsidP="00A85730">
      <w:pPr>
        <w:autoSpaceDE w:val="0"/>
        <w:autoSpaceDN w:val="0"/>
        <w:adjustRightInd w:val="0"/>
        <w:jc w:val="center"/>
        <w:rPr>
          <w:b/>
          <w:bCs/>
        </w:rPr>
      </w:pPr>
    </w:p>
    <w:p w14:paraId="4BFBBB52" w14:textId="77777777" w:rsidR="00A85730" w:rsidRPr="00491A7E" w:rsidRDefault="00A85730" w:rsidP="00A85730">
      <w:pPr>
        <w:autoSpaceDE w:val="0"/>
        <w:autoSpaceDN w:val="0"/>
        <w:adjustRightInd w:val="0"/>
        <w:jc w:val="center"/>
        <w:rPr>
          <w:b/>
          <w:bCs/>
        </w:rPr>
      </w:pPr>
      <w:r w:rsidRPr="00491A7E">
        <w:rPr>
          <w:b/>
          <w:bCs/>
        </w:rPr>
        <w:t xml:space="preserve">Članak </w:t>
      </w:r>
      <w:r w:rsidR="00E6737F">
        <w:rPr>
          <w:b/>
          <w:bCs/>
        </w:rPr>
        <w:t>6</w:t>
      </w:r>
      <w:r w:rsidRPr="00491A7E">
        <w:rPr>
          <w:b/>
          <w:bCs/>
        </w:rPr>
        <w:t>.</w:t>
      </w:r>
    </w:p>
    <w:p w14:paraId="134E0D29" w14:textId="77777777" w:rsidR="00A85730" w:rsidRPr="00491A7E" w:rsidRDefault="00A85730" w:rsidP="00A85730">
      <w:pPr>
        <w:autoSpaceDE w:val="0"/>
        <w:autoSpaceDN w:val="0"/>
        <w:adjustRightInd w:val="0"/>
        <w:jc w:val="center"/>
        <w:rPr>
          <w:b/>
          <w:bCs/>
        </w:rPr>
      </w:pPr>
    </w:p>
    <w:p w14:paraId="345BA59A" w14:textId="25C376D1" w:rsidR="00A85730" w:rsidRPr="00491A7E" w:rsidRDefault="00A85730" w:rsidP="00A85730">
      <w:pPr>
        <w:autoSpaceDE w:val="0"/>
        <w:autoSpaceDN w:val="0"/>
        <w:adjustRightInd w:val="0"/>
      </w:pPr>
      <w:r w:rsidRPr="00491A7E">
        <w:tab/>
        <w:t xml:space="preserve">Ovaj Zakon stupa na snagu </w:t>
      </w:r>
      <w:r w:rsidR="003C2A8F">
        <w:t>prvog</w:t>
      </w:r>
      <w:r w:rsidRPr="00491A7E">
        <w:t xml:space="preserve">a dana od dana objave u </w:t>
      </w:r>
      <w:r w:rsidR="00F16412" w:rsidRPr="00491A7E">
        <w:t>„</w:t>
      </w:r>
      <w:r w:rsidRPr="00491A7E">
        <w:t>Narodnim novinama</w:t>
      </w:r>
      <w:r w:rsidR="00F16412" w:rsidRPr="00491A7E">
        <w:t>“</w:t>
      </w:r>
      <w:r w:rsidRPr="00491A7E">
        <w:t>.</w:t>
      </w:r>
    </w:p>
    <w:p w14:paraId="3AECD844" w14:textId="77777777" w:rsidR="00A85730" w:rsidRPr="00491A7E" w:rsidRDefault="00A85730" w:rsidP="00A85730">
      <w:pPr>
        <w:autoSpaceDE w:val="0"/>
        <w:autoSpaceDN w:val="0"/>
        <w:adjustRightInd w:val="0"/>
        <w:jc w:val="center"/>
        <w:rPr>
          <w:b/>
          <w:bCs/>
        </w:rPr>
      </w:pPr>
    </w:p>
    <w:p w14:paraId="2B3181F2" w14:textId="77777777" w:rsidR="00A85730" w:rsidRPr="00491A7E" w:rsidRDefault="00A85730" w:rsidP="00A85730">
      <w:pPr>
        <w:autoSpaceDE w:val="0"/>
        <w:autoSpaceDN w:val="0"/>
        <w:adjustRightInd w:val="0"/>
        <w:jc w:val="center"/>
        <w:rPr>
          <w:b/>
          <w:bCs/>
        </w:rPr>
      </w:pPr>
    </w:p>
    <w:p w14:paraId="2552E134" w14:textId="77777777" w:rsidR="00A85730" w:rsidRPr="00491A7E" w:rsidRDefault="00A85730" w:rsidP="00A85730">
      <w:pPr>
        <w:autoSpaceDE w:val="0"/>
        <w:autoSpaceDN w:val="0"/>
        <w:adjustRightInd w:val="0"/>
        <w:jc w:val="center"/>
        <w:rPr>
          <w:b/>
          <w:bCs/>
        </w:rPr>
      </w:pPr>
      <w:r w:rsidRPr="00491A7E">
        <w:rPr>
          <w:b/>
          <w:bCs/>
        </w:rPr>
        <w:br w:type="page"/>
      </w:r>
    </w:p>
    <w:p w14:paraId="77965BE2" w14:textId="77777777" w:rsidR="00A85730" w:rsidRPr="00491A7E" w:rsidRDefault="00A85730" w:rsidP="00A85730">
      <w:pPr>
        <w:autoSpaceDE w:val="0"/>
        <w:autoSpaceDN w:val="0"/>
        <w:adjustRightInd w:val="0"/>
        <w:jc w:val="center"/>
        <w:rPr>
          <w:b/>
          <w:bCs/>
        </w:rPr>
      </w:pPr>
      <w:r w:rsidRPr="00491A7E">
        <w:rPr>
          <w:b/>
          <w:bCs/>
        </w:rPr>
        <w:lastRenderedPageBreak/>
        <w:t>OBRAZLOŽENJE</w:t>
      </w:r>
    </w:p>
    <w:p w14:paraId="5E4FDEB1" w14:textId="77777777" w:rsidR="00A85730" w:rsidRPr="00491A7E" w:rsidRDefault="00A85730" w:rsidP="00A85730">
      <w:pPr>
        <w:autoSpaceDE w:val="0"/>
        <w:autoSpaceDN w:val="0"/>
        <w:adjustRightInd w:val="0"/>
        <w:jc w:val="center"/>
        <w:rPr>
          <w:b/>
          <w:bCs/>
        </w:rPr>
      </w:pPr>
    </w:p>
    <w:p w14:paraId="391F143A" w14:textId="77777777" w:rsidR="00F16412" w:rsidRPr="00491A7E" w:rsidRDefault="00F16412" w:rsidP="00A85730">
      <w:pPr>
        <w:autoSpaceDE w:val="0"/>
        <w:autoSpaceDN w:val="0"/>
        <w:adjustRightInd w:val="0"/>
        <w:jc w:val="center"/>
        <w:rPr>
          <w:b/>
          <w:bCs/>
        </w:rPr>
      </w:pPr>
    </w:p>
    <w:p w14:paraId="7857CC6F" w14:textId="77777777" w:rsidR="00F16412" w:rsidRPr="00491A7E" w:rsidRDefault="00F16412" w:rsidP="00A85730">
      <w:pPr>
        <w:autoSpaceDE w:val="0"/>
        <w:autoSpaceDN w:val="0"/>
        <w:adjustRightInd w:val="0"/>
        <w:jc w:val="center"/>
        <w:rPr>
          <w:b/>
          <w:bCs/>
        </w:rPr>
      </w:pPr>
    </w:p>
    <w:p w14:paraId="5B4AB695" w14:textId="56B1FB27" w:rsidR="00A85730" w:rsidRPr="00491A7E" w:rsidRDefault="00A85730" w:rsidP="00A85730">
      <w:pPr>
        <w:autoSpaceDE w:val="0"/>
        <w:autoSpaceDN w:val="0"/>
        <w:adjustRightInd w:val="0"/>
        <w:jc w:val="both"/>
        <w:rPr>
          <w:b/>
          <w:bCs/>
        </w:rPr>
      </w:pPr>
      <w:r w:rsidRPr="00491A7E">
        <w:rPr>
          <w:b/>
          <w:bCs/>
        </w:rPr>
        <w:t>Člankom 1.</w:t>
      </w:r>
      <w:r w:rsidR="00E50D57">
        <w:rPr>
          <w:b/>
          <w:bCs/>
        </w:rPr>
        <w:t xml:space="preserve"> </w:t>
      </w:r>
      <w:r w:rsidRPr="00491A7E">
        <w:rPr>
          <w:bCs/>
        </w:rPr>
        <w:t>utvrđuje se da Hrvatski sabor potvrđuje</w:t>
      </w:r>
      <w:r w:rsidRPr="00491A7E">
        <w:t xml:space="preserve"> </w:t>
      </w:r>
      <w:r w:rsidR="00307141">
        <w:t>Konvenciju</w:t>
      </w:r>
      <w:r w:rsidRPr="00491A7E">
        <w:rPr>
          <w:bCs/>
        </w:rPr>
        <w:t xml:space="preserve">, sukladno odredbi članka 140. stavka 1. Ustava Republike Hrvatske i članka 18. Zakona o sklapanju i izvršavanju međunarodnih ugovora, </w:t>
      </w:r>
      <w:r w:rsidRPr="00491A7E">
        <w:t>čime se iskazuje formalni pristanak Republike Hrvatske da bude vezana njegovim odredbama</w:t>
      </w:r>
      <w:r w:rsidR="006A3E96">
        <w:t>, na temelju čega će konačni pristanak biti izražen na međunarodnoj razini polaganjem isprave o pristupu kod glavnog tajnika Organizacije za gospodarsku suradnju i razvoj, kao depozitara.</w:t>
      </w:r>
    </w:p>
    <w:p w14:paraId="5C4B607F" w14:textId="77777777" w:rsidR="00A85730" w:rsidRPr="00491A7E" w:rsidRDefault="00A85730" w:rsidP="00A85730">
      <w:pPr>
        <w:autoSpaceDE w:val="0"/>
        <w:autoSpaceDN w:val="0"/>
        <w:adjustRightInd w:val="0"/>
        <w:jc w:val="both"/>
      </w:pPr>
    </w:p>
    <w:p w14:paraId="52C1D754" w14:textId="77777777" w:rsidR="00A85730" w:rsidRDefault="00A85730" w:rsidP="00A85730">
      <w:pPr>
        <w:autoSpaceDE w:val="0"/>
        <w:autoSpaceDN w:val="0"/>
        <w:adjustRightInd w:val="0"/>
        <w:jc w:val="both"/>
      </w:pPr>
      <w:r w:rsidRPr="00491A7E">
        <w:rPr>
          <w:b/>
          <w:bCs/>
        </w:rPr>
        <w:t>U članku 2</w:t>
      </w:r>
      <w:r w:rsidRPr="00491A7E">
        <w:rPr>
          <w:b/>
        </w:rPr>
        <w:t>.</w:t>
      </w:r>
      <w:r w:rsidRPr="00491A7E">
        <w:t xml:space="preserve"> sadržan je tekst </w:t>
      </w:r>
      <w:r w:rsidR="00307141">
        <w:t>Konvencije</w:t>
      </w:r>
      <w:r w:rsidRPr="00491A7E">
        <w:rPr>
          <w:bCs/>
        </w:rPr>
        <w:t xml:space="preserve"> u izvorniku </w:t>
      </w:r>
      <w:r w:rsidRPr="00491A7E">
        <w:t>na engleskom jeziku i u prijevodu na hrvatski jezik.</w:t>
      </w:r>
    </w:p>
    <w:p w14:paraId="716EA0A2" w14:textId="77777777" w:rsidR="00FE0B53" w:rsidRDefault="00FE0B53" w:rsidP="00A85730">
      <w:pPr>
        <w:autoSpaceDE w:val="0"/>
        <w:autoSpaceDN w:val="0"/>
        <w:adjustRightInd w:val="0"/>
        <w:jc w:val="both"/>
      </w:pPr>
    </w:p>
    <w:p w14:paraId="3C154F01" w14:textId="77777777" w:rsidR="00FE0B53" w:rsidRPr="00491A7E" w:rsidRDefault="00FE0B53" w:rsidP="00A85730">
      <w:pPr>
        <w:autoSpaceDE w:val="0"/>
        <w:autoSpaceDN w:val="0"/>
        <w:adjustRightInd w:val="0"/>
        <w:jc w:val="both"/>
      </w:pPr>
      <w:r w:rsidRPr="00FE0B53">
        <w:rPr>
          <w:b/>
        </w:rPr>
        <w:t>Člankom 3.</w:t>
      </w:r>
      <w:r w:rsidRPr="00FE0B53">
        <w:t xml:space="preserve"> određeno je da će Republika Hrvatska u skladu s Konvencij</w:t>
      </w:r>
      <w:r>
        <w:t>om</w:t>
      </w:r>
      <w:r w:rsidRPr="00FE0B53">
        <w:t xml:space="preserve"> iz članka 1. ovoga Zakona, dostaviti glavnom tajniku OECD-a obavijesti </w:t>
      </w:r>
      <w:r>
        <w:t xml:space="preserve">o </w:t>
      </w:r>
      <w:r w:rsidRPr="00FE0B53">
        <w:t>tijel</w:t>
      </w:r>
      <w:r>
        <w:t>ima</w:t>
      </w:r>
      <w:r w:rsidRPr="00FE0B53">
        <w:t xml:space="preserve"> u Republici Hrvatskoj nadležnim za podnošenje i primanje zahtjeva, koja služe kao komunikacijski kanal </w:t>
      </w:r>
      <w:r>
        <w:t>z</w:t>
      </w:r>
      <w:r w:rsidRPr="00FE0B53">
        <w:t xml:space="preserve">a potrebe članka 4. stavka 3. </w:t>
      </w:r>
      <w:r>
        <w:t xml:space="preserve">Konvencije </w:t>
      </w:r>
      <w:r w:rsidRPr="00FE0B53">
        <w:t xml:space="preserve">o savjetovanju, članka 9. </w:t>
      </w:r>
      <w:r>
        <w:t xml:space="preserve">Konvencije </w:t>
      </w:r>
      <w:r w:rsidRPr="00FE0B53">
        <w:t xml:space="preserve">o uzajamnoj pravnoj pomoći i članka 10. </w:t>
      </w:r>
      <w:r>
        <w:t xml:space="preserve">Konvencije </w:t>
      </w:r>
      <w:r w:rsidRPr="00FE0B53">
        <w:t>o izručenju.</w:t>
      </w:r>
    </w:p>
    <w:p w14:paraId="18849F6D" w14:textId="77777777" w:rsidR="00A85730" w:rsidRPr="00491A7E" w:rsidRDefault="00A85730" w:rsidP="00A85730">
      <w:pPr>
        <w:autoSpaceDE w:val="0"/>
        <w:autoSpaceDN w:val="0"/>
        <w:adjustRightInd w:val="0"/>
        <w:jc w:val="both"/>
      </w:pPr>
    </w:p>
    <w:p w14:paraId="32E4C5B5" w14:textId="77777777" w:rsidR="00A85730" w:rsidRPr="00491A7E" w:rsidRDefault="00A85730" w:rsidP="00A85730">
      <w:pPr>
        <w:jc w:val="both"/>
      </w:pPr>
      <w:r w:rsidRPr="00491A7E">
        <w:rPr>
          <w:b/>
          <w:bCs/>
        </w:rPr>
        <w:t xml:space="preserve">Člankom </w:t>
      </w:r>
      <w:r w:rsidR="00FE0B53">
        <w:rPr>
          <w:b/>
          <w:bCs/>
        </w:rPr>
        <w:t>4</w:t>
      </w:r>
      <w:r w:rsidRPr="00491A7E">
        <w:rPr>
          <w:b/>
          <w:bCs/>
        </w:rPr>
        <w:t>.</w:t>
      </w:r>
      <w:r w:rsidRPr="00491A7E">
        <w:t xml:space="preserve"> utvrđuje se da je provedba Zakona u djelokrugu tijela državne uprave nadležnog za poslove </w:t>
      </w:r>
      <w:r w:rsidR="00307141">
        <w:t>pravosuđa</w:t>
      </w:r>
      <w:r w:rsidRPr="00491A7E">
        <w:t xml:space="preserve">. </w:t>
      </w:r>
    </w:p>
    <w:p w14:paraId="0D817192" w14:textId="77777777" w:rsidR="00A85730" w:rsidRPr="00491A7E" w:rsidRDefault="00A85730" w:rsidP="00A85730">
      <w:pPr>
        <w:autoSpaceDE w:val="0"/>
        <w:autoSpaceDN w:val="0"/>
        <w:adjustRightInd w:val="0"/>
        <w:jc w:val="both"/>
      </w:pPr>
    </w:p>
    <w:p w14:paraId="39EEA616" w14:textId="77777777" w:rsidR="00A85730" w:rsidRPr="00491A7E" w:rsidRDefault="00A85730" w:rsidP="00A85730">
      <w:pPr>
        <w:jc w:val="both"/>
      </w:pPr>
      <w:r w:rsidRPr="00491A7E">
        <w:rPr>
          <w:b/>
          <w:bCs/>
        </w:rPr>
        <w:t xml:space="preserve">Člankom </w:t>
      </w:r>
      <w:r w:rsidR="00FE0B53">
        <w:rPr>
          <w:b/>
          <w:bCs/>
        </w:rPr>
        <w:t>5</w:t>
      </w:r>
      <w:r w:rsidRPr="00491A7E">
        <w:rPr>
          <w:b/>
        </w:rPr>
        <w:t>.</w:t>
      </w:r>
      <w:r w:rsidRPr="00491A7E">
        <w:t xml:space="preserve"> utvrđuje se da na dan stupanja na snagu Zakona, </w:t>
      </w:r>
      <w:r w:rsidR="00307141">
        <w:t>Konvencija</w:t>
      </w:r>
      <w:r w:rsidRPr="00491A7E">
        <w:t xml:space="preserve"> iz članka 1. Zakona nije na snazi u odnosu na Republiku Hrvatsku te da će se podaci o </w:t>
      </w:r>
      <w:r w:rsidR="00431329">
        <w:t>njezinom</w:t>
      </w:r>
      <w:r w:rsidRPr="00491A7E">
        <w:t xml:space="preserve"> stupanju na snagu objaviti sukladno odredbi članka 30. stavka 3. Zakona o sklapanju i izvršavanju međunarodnih ugovora.</w:t>
      </w:r>
    </w:p>
    <w:p w14:paraId="13666EBD" w14:textId="77777777" w:rsidR="00A85730" w:rsidRPr="00491A7E" w:rsidRDefault="00A85730" w:rsidP="00A85730">
      <w:pPr>
        <w:autoSpaceDE w:val="0"/>
        <w:autoSpaceDN w:val="0"/>
        <w:adjustRightInd w:val="0"/>
      </w:pPr>
    </w:p>
    <w:p w14:paraId="5BB30CD8" w14:textId="766D4315" w:rsidR="00A85730" w:rsidRDefault="00A85730" w:rsidP="00A85730">
      <w:pPr>
        <w:jc w:val="both"/>
        <w:rPr>
          <w:bCs/>
        </w:rPr>
      </w:pPr>
      <w:r w:rsidRPr="00491A7E">
        <w:rPr>
          <w:b/>
          <w:bCs/>
        </w:rPr>
        <w:t xml:space="preserve">Člankom </w:t>
      </w:r>
      <w:r w:rsidR="00FE0B53">
        <w:rPr>
          <w:b/>
          <w:bCs/>
        </w:rPr>
        <w:t>6</w:t>
      </w:r>
      <w:r w:rsidRPr="00491A7E">
        <w:rPr>
          <w:b/>
          <w:bCs/>
        </w:rPr>
        <w:t xml:space="preserve">. </w:t>
      </w:r>
      <w:r w:rsidRPr="00491A7E">
        <w:rPr>
          <w:bCs/>
        </w:rPr>
        <w:t>uređuje se</w:t>
      </w:r>
      <w:r w:rsidRPr="00491A7E">
        <w:rPr>
          <w:b/>
          <w:bCs/>
        </w:rPr>
        <w:t xml:space="preserve"> </w:t>
      </w:r>
      <w:r w:rsidR="003C2A8F" w:rsidRPr="003C2A8F">
        <w:t>da</w:t>
      </w:r>
      <w:r w:rsidR="003C2A8F" w:rsidRPr="003C2A8F">
        <w:rPr>
          <w:b/>
          <w:bCs/>
        </w:rPr>
        <w:t xml:space="preserve"> </w:t>
      </w:r>
      <w:r w:rsidR="003C2A8F" w:rsidRPr="00491A7E">
        <w:t>Zakon</w:t>
      </w:r>
      <w:r w:rsidR="003C2A8F">
        <w:t xml:space="preserve"> </w:t>
      </w:r>
      <w:r w:rsidR="003C2A8F">
        <w:rPr>
          <w:bCs/>
        </w:rPr>
        <w:t>stupa na snagu prvoga dana od dana objave u „Narodnim novinama“</w:t>
      </w:r>
      <w:r w:rsidRPr="00491A7E">
        <w:t>.</w:t>
      </w:r>
      <w:r w:rsidR="003C2A8F">
        <w:t xml:space="preserve"> Naime, provođene I. faze evaluacije predviđeno je na sastanku Radne skupine OECD-a protiv podmićivanja u međunarodnim poslovnim transakcijama koji će se održati od 5. do 8. prosinca 2023., a preduvjet za to je polaganje isprave o ratifikaciji Konvencije</w:t>
      </w:r>
      <w:r w:rsidR="003C2A8F" w:rsidRPr="00491A7E">
        <w:t xml:space="preserve"> iz članka 1. Zakona</w:t>
      </w:r>
      <w:r w:rsidR="003C2A8F">
        <w:t xml:space="preserve"> kod depozitara. Stoga je nužno da ovaj Zakon stupi na snagu odmah po objavljivanju u </w:t>
      </w:r>
      <w:r w:rsidR="003C2A8F">
        <w:rPr>
          <w:bCs/>
        </w:rPr>
        <w:t>„Narodnim novinama“, kako bi se na vrijeme proveli svi potrebni postupci.</w:t>
      </w:r>
    </w:p>
    <w:p w14:paraId="6720B3E4" w14:textId="77777777" w:rsidR="003C2A8F" w:rsidRDefault="003C2A8F" w:rsidP="00A85730">
      <w:pPr>
        <w:jc w:val="both"/>
        <w:rPr>
          <w:bCs/>
        </w:rPr>
      </w:pPr>
    </w:p>
    <w:p w14:paraId="32C24D14" w14:textId="77777777" w:rsidR="003C2A8F" w:rsidRDefault="003C2A8F" w:rsidP="00A85730">
      <w:pPr>
        <w:jc w:val="both"/>
        <w:rPr>
          <w:bCs/>
        </w:rPr>
      </w:pPr>
    </w:p>
    <w:p w14:paraId="5F997B8F" w14:textId="77777777" w:rsidR="003C2A8F" w:rsidRDefault="003C2A8F" w:rsidP="00A85730">
      <w:pPr>
        <w:jc w:val="both"/>
        <w:rPr>
          <w:bCs/>
        </w:rPr>
      </w:pPr>
    </w:p>
    <w:p w14:paraId="558C4D51" w14:textId="77777777" w:rsidR="003C2A8F" w:rsidRDefault="003C2A8F" w:rsidP="00A85730">
      <w:pPr>
        <w:jc w:val="both"/>
        <w:rPr>
          <w:bCs/>
        </w:rPr>
      </w:pPr>
    </w:p>
    <w:p w14:paraId="1556320C" w14:textId="77777777" w:rsidR="003C2A8F" w:rsidRDefault="003C2A8F" w:rsidP="00A85730">
      <w:pPr>
        <w:jc w:val="both"/>
        <w:rPr>
          <w:bCs/>
        </w:rPr>
      </w:pPr>
    </w:p>
    <w:p w14:paraId="28AC3192" w14:textId="77777777" w:rsidR="003C2A8F" w:rsidRDefault="003C2A8F" w:rsidP="00A85730">
      <w:pPr>
        <w:jc w:val="both"/>
        <w:rPr>
          <w:bCs/>
        </w:rPr>
      </w:pPr>
    </w:p>
    <w:p w14:paraId="4434B0C5" w14:textId="77777777" w:rsidR="003C2A8F" w:rsidRDefault="003C2A8F" w:rsidP="00A85730">
      <w:pPr>
        <w:jc w:val="both"/>
        <w:rPr>
          <w:bCs/>
        </w:rPr>
      </w:pPr>
    </w:p>
    <w:p w14:paraId="27BBB948" w14:textId="77777777" w:rsidR="003C2A8F" w:rsidRDefault="003C2A8F" w:rsidP="00A85730">
      <w:pPr>
        <w:jc w:val="both"/>
        <w:rPr>
          <w:bCs/>
        </w:rPr>
      </w:pPr>
    </w:p>
    <w:p w14:paraId="5C4A7D2F" w14:textId="77777777" w:rsidR="003C2A8F" w:rsidRDefault="003C2A8F" w:rsidP="00A85730">
      <w:pPr>
        <w:jc w:val="both"/>
        <w:rPr>
          <w:bCs/>
        </w:rPr>
      </w:pPr>
    </w:p>
    <w:p w14:paraId="37A8B0B0" w14:textId="77777777" w:rsidR="003C2A8F" w:rsidRDefault="003C2A8F" w:rsidP="00A85730">
      <w:pPr>
        <w:jc w:val="both"/>
        <w:rPr>
          <w:bCs/>
        </w:rPr>
      </w:pPr>
    </w:p>
    <w:p w14:paraId="78D1FE3B" w14:textId="77777777" w:rsidR="003C2A8F" w:rsidRDefault="003C2A8F" w:rsidP="00A85730">
      <w:pPr>
        <w:jc w:val="both"/>
        <w:rPr>
          <w:bCs/>
        </w:rPr>
      </w:pPr>
    </w:p>
    <w:p w14:paraId="62E2204C" w14:textId="77777777" w:rsidR="003C2A8F" w:rsidRDefault="003C2A8F" w:rsidP="00A85730">
      <w:pPr>
        <w:jc w:val="both"/>
        <w:rPr>
          <w:bCs/>
        </w:rPr>
      </w:pPr>
    </w:p>
    <w:p w14:paraId="4B426E24" w14:textId="77777777" w:rsidR="003C2A8F" w:rsidRDefault="003C2A8F" w:rsidP="00A85730">
      <w:pPr>
        <w:jc w:val="both"/>
        <w:rPr>
          <w:bCs/>
        </w:rPr>
      </w:pPr>
    </w:p>
    <w:p w14:paraId="4C694032" w14:textId="77777777" w:rsidR="003C2A8F" w:rsidRDefault="003C2A8F" w:rsidP="00A85730">
      <w:pPr>
        <w:jc w:val="both"/>
        <w:rPr>
          <w:bCs/>
        </w:rPr>
      </w:pPr>
    </w:p>
    <w:p w14:paraId="04A7D7EA" w14:textId="77777777" w:rsidR="003C2A8F" w:rsidRPr="00491A7E" w:rsidRDefault="003C2A8F" w:rsidP="00A85730">
      <w:pPr>
        <w:jc w:val="both"/>
      </w:pPr>
    </w:p>
    <w:p w14:paraId="07175D8C" w14:textId="19407755" w:rsidR="00FE4BF9" w:rsidRPr="00491A7E" w:rsidRDefault="00395985" w:rsidP="000402FE">
      <w:pPr>
        <w:ind w:left="993" w:hanging="993"/>
        <w:jc w:val="both"/>
      </w:pPr>
      <w:r w:rsidRPr="00491A7E">
        <w:rPr>
          <w:b/>
        </w:rPr>
        <w:t>Prilog:</w:t>
      </w:r>
      <w:r w:rsidRPr="00491A7E">
        <w:tab/>
        <w:t xml:space="preserve">preslika teksta </w:t>
      </w:r>
      <w:r w:rsidR="00307141">
        <w:t>Konvencije</w:t>
      </w:r>
      <w:r w:rsidRPr="00491A7E">
        <w:t>, u izvorniku na engleskom jeziku</w:t>
      </w:r>
    </w:p>
    <w:sectPr w:rsidR="00FE4BF9" w:rsidRPr="00491A7E" w:rsidSect="00F16412">
      <w:headerReference w:type="default" r:id="rId14"/>
      <w:pgSz w:w="11906" w:h="16838" w:code="9"/>
      <w:pgMar w:top="1417" w:right="1417" w:bottom="1417" w:left="1417" w:header="71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E7FE" w14:textId="77777777" w:rsidR="00FD03E8" w:rsidRDefault="00FD03E8">
      <w:r>
        <w:separator/>
      </w:r>
    </w:p>
  </w:endnote>
  <w:endnote w:type="continuationSeparator" w:id="0">
    <w:p w14:paraId="1264046E" w14:textId="77777777" w:rsidR="00FD03E8" w:rsidRDefault="00FD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08402" w14:textId="77777777" w:rsidR="00FD03E8" w:rsidRDefault="00FD03E8">
      <w:r>
        <w:separator/>
      </w:r>
    </w:p>
  </w:footnote>
  <w:footnote w:type="continuationSeparator" w:id="0">
    <w:p w14:paraId="017D130B" w14:textId="77777777" w:rsidR="00FD03E8" w:rsidRDefault="00FD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059B" w14:textId="4154257C" w:rsidR="00F710FC" w:rsidRDefault="00F710FC">
    <w:pPr>
      <w:pStyle w:val="Header"/>
      <w:jc w:val="center"/>
    </w:pPr>
    <w:r>
      <w:fldChar w:fldCharType="begin"/>
    </w:r>
    <w:r>
      <w:instrText>PAGE   \* MERGEFORMAT</w:instrText>
    </w:r>
    <w:r>
      <w:fldChar w:fldCharType="separate"/>
    </w:r>
    <w:r w:rsidR="00BA3FD2">
      <w:rPr>
        <w:noProof/>
      </w:rPr>
      <w:t>4</w:t>
    </w:r>
    <w:r>
      <w:fldChar w:fldCharType="end"/>
    </w:r>
  </w:p>
  <w:p w14:paraId="74FC048A" w14:textId="77777777" w:rsidR="00F710FC" w:rsidRDefault="00F71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7FF9"/>
    <w:multiLevelType w:val="hybridMultilevel"/>
    <w:tmpl w:val="2D14A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F408B7"/>
    <w:multiLevelType w:val="hybridMultilevel"/>
    <w:tmpl w:val="15B4EAB6"/>
    <w:lvl w:ilvl="0" w:tplc="974A7A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CB2A22"/>
    <w:multiLevelType w:val="hybridMultilevel"/>
    <w:tmpl w:val="3FCE3A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744730"/>
    <w:multiLevelType w:val="hybridMultilevel"/>
    <w:tmpl w:val="2F66E1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D009EB"/>
    <w:multiLevelType w:val="hybridMultilevel"/>
    <w:tmpl w:val="D7FEB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856E15"/>
    <w:multiLevelType w:val="hybridMultilevel"/>
    <w:tmpl w:val="F9E43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5745B2"/>
    <w:multiLevelType w:val="hybridMultilevel"/>
    <w:tmpl w:val="212AC1A4"/>
    <w:lvl w:ilvl="0" w:tplc="041A0019">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E641DEC"/>
    <w:multiLevelType w:val="hybridMultilevel"/>
    <w:tmpl w:val="FBA48E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C9B7972"/>
    <w:multiLevelType w:val="hybridMultilevel"/>
    <w:tmpl w:val="0B5655AC"/>
    <w:lvl w:ilvl="0" w:tplc="3912C35A">
      <w:start w:val="1"/>
      <w:numFmt w:val="lowerLetter"/>
      <w:lvlText w:val="%1."/>
      <w:lvlJc w:val="left"/>
      <w:pPr>
        <w:ind w:left="927" w:hanging="360"/>
      </w:pPr>
      <w:rPr>
        <w:rFonts w:ascii="Times New Roman" w:eastAsia="Calibri" w:hAnsi="Times New Roman" w:cs="Times New Roman"/>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6C0302BF"/>
    <w:multiLevelType w:val="hybridMultilevel"/>
    <w:tmpl w:val="BBBCBBAA"/>
    <w:lvl w:ilvl="0" w:tplc="041A0019">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9"/>
  </w:num>
  <w:num w:numId="6">
    <w:abstractNumId w:val="3"/>
  </w:num>
  <w:num w:numId="7">
    <w:abstractNumId w:val="10"/>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1301"/>
    <w:rsid w:val="00001F9D"/>
    <w:rsid w:val="00014EAD"/>
    <w:rsid w:val="00014EF5"/>
    <w:rsid w:val="0001780D"/>
    <w:rsid w:val="000239B0"/>
    <w:rsid w:val="0003010C"/>
    <w:rsid w:val="00034DD8"/>
    <w:rsid w:val="00037729"/>
    <w:rsid w:val="000402FE"/>
    <w:rsid w:val="00052D67"/>
    <w:rsid w:val="000609D4"/>
    <w:rsid w:val="0006115B"/>
    <w:rsid w:val="00063130"/>
    <w:rsid w:val="00063A0F"/>
    <w:rsid w:val="000655BD"/>
    <w:rsid w:val="0006651A"/>
    <w:rsid w:val="000671B5"/>
    <w:rsid w:val="00072ED2"/>
    <w:rsid w:val="00085211"/>
    <w:rsid w:val="00085369"/>
    <w:rsid w:val="00087309"/>
    <w:rsid w:val="00087F52"/>
    <w:rsid w:val="000A03C8"/>
    <w:rsid w:val="000A10B4"/>
    <w:rsid w:val="000A1388"/>
    <w:rsid w:val="000A4359"/>
    <w:rsid w:val="000A6A49"/>
    <w:rsid w:val="000A7E4C"/>
    <w:rsid w:val="000B0BB3"/>
    <w:rsid w:val="000B3350"/>
    <w:rsid w:val="000C6152"/>
    <w:rsid w:val="000D123B"/>
    <w:rsid w:val="000E6670"/>
    <w:rsid w:val="000F1258"/>
    <w:rsid w:val="000F5D13"/>
    <w:rsid w:val="00102EA1"/>
    <w:rsid w:val="001331E3"/>
    <w:rsid w:val="00134B98"/>
    <w:rsid w:val="00134E57"/>
    <w:rsid w:val="00150FB7"/>
    <w:rsid w:val="00151ADE"/>
    <w:rsid w:val="00160C23"/>
    <w:rsid w:val="00161036"/>
    <w:rsid w:val="00165CB4"/>
    <w:rsid w:val="001808B6"/>
    <w:rsid w:val="00187CBB"/>
    <w:rsid w:val="00192270"/>
    <w:rsid w:val="00195BC4"/>
    <w:rsid w:val="001A22D4"/>
    <w:rsid w:val="001A2F5C"/>
    <w:rsid w:val="001B7EEA"/>
    <w:rsid w:val="001C2E2F"/>
    <w:rsid w:val="001C2F99"/>
    <w:rsid w:val="001C6468"/>
    <w:rsid w:val="001E39BA"/>
    <w:rsid w:val="001E55A3"/>
    <w:rsid w:val="001F5A0D"/>
    <w:rsid w:val="00202EA5"/>
    <w:rsid w:val="00203E65"/>
    <w:rsid w:val="00204698"/>
    <w:rsid w:val="00210771"/>
    <w:rsid w:val="00211C84"/>
    <w:rsid w:val="00216477"/>
    <w:rsid w:val="00217BC6"/>
    <w:rsid w:val="00221D51"/>
    <w:rsid w:val="002264C5"/>
    <w:rsid w:val="00233DE5"/>
    <w:rsid w:val="00240F8A"/>
    <w:rsid w:val="00244D84"/>
    <w:rsid w:val="002546CB"/>
    <w:rsid w:val="0025543F"/>
    <w:rsid w:val="0026327C"/>
    <w:rsid w:val="00270A08"/>
    <w:rsid w:val="00270BE6"/>
    <w:rsid w:val="00272F60"/>
    <w:rsid w:val="00282556"/>
    <w:rsid w:val="00290F8B"/>
    <w:rsid w:val="00295569"/>
    <w:rsid w:val="00296A70"/>
    <w:rsid w:val="002A2DB1"/>
    <w:rsid w:val="002A3D6C"/>
    <w:rsid w:val="002D0E66"/>
    <w:rsid w:val="002D2703"/>
    <w:rsid w:val="002D6FA6"/>
    <w:rsid w:val="002E710D"/>
    <w:rsid w:val="002F092F"/>
    <w:rsid w:val="002F3166"/>
    <w:rsid w:val="002F6F89"/>
    <w:rsid w:val="003067F4"/>
    <w:rsid w:val="00307141"/>
    <w:rsid w:val="0030775C"/>
    <w:rsid w:val="00312014"/>
    <w:rsid w:val="00324465"/>
    <w:rsid w:val="00331699"/>
    <w:rsid w:val="00343657"/>
    <w:rsid w:val="003438D1"/>
    <w:rsid w:val="00343C56"/>
    <w:rsid w:val="0034573F"/>
    <w:rsid w:val="00350718"/>
    <w:rsid w:val="00352517"/>
    <w:rsid w:val="00353EFB"/>
    <w:rsid w:val="00367549"/>
    <w:rsid w:val="003812D3"/>
    <w:rsid w:val="003928EF"/>
    <w:rsid w:val="0039408A"/>
    <w:rsid w:val="00395985"/>
    <w:rsid w:val="003A3A70"/>
    <w:rsid w:val="003B2603"/>
    <w:rsid w:val="003B2D02"/>
    <w:rsid w:val="003B6BEA"/>
    <w:rsid w:val="003C021C"/>
    <w:rsid w:val="003C2A8F"/>
    <w:rsid w:val="003D0F09"/>
    <w:rsid w:val="003D7E41"/>
    <w:rsid w:val="00402360"/>
    <w:rsid w:val="004063EA"/>
    <w:rsid w:val="0041133E"/>
    <w:rsid w:val="004219DF"/>
    <w:rsid w:val="00422943"/>
    <w:rsid w:val="00425C58"/>
    <w:rsid w:val="004270A1"/>
    <w:rsid w:val="00431329"/>
    <w:rsid w:val="00431612"/>
    <w:rsid w:val="00431EE4"/>
    <w:rsid w:val="0043262E"/>
    <w:rsid w:val="004373AB"/>
    <w:rsid w:val="00440C28"/>
    <w:rsid w:val="0044104B"/>
    <w:rsid w:val="004478DF"/>
    <w:rsid w:val="0045126A"/>
    <w:rsid w:val="00454093"/>
    <w:rsid w:val="00454503"/>
    <w:rsid w:val="004574EC"/>
    <w:rsid w:val="00470CC4"/>
    <w:rsid w:val="00471E59"/>
    <w:rsid w:val="00472E58"/>
    <w:rsid w:val="004911C0"/>
    <w:rsid w:val="00491A7E"/>
    <w:rsid w:val="004B0212"/>
    <w:rsid w:val="004B558A"/>
    <w:rsid w:val="004B63E2"/>
    <w:rsid w:val="004B6DE0"/>
    <w:rsid w:val="004D04C5"/>
    <w:rsid w:val="004D0EAA"/>
    <w:rsid w:val="004D53D0"/>
    <w:rsid w:val="004E7C97"/>
    <w:rsid w:val="004F2389"/>
    <w:rsid w:val="004F246C"/>
    <w:rsid w:val="004F4D0B"/>
    <w:rsid w:val="00502321"/>
    <w:rsid w:val="00505700"/>
    <w:rsid w:val="00523415"/>
    <w:rsid w:val="005261D6"/>
    <w:rsid w:val="00532DC5"/>
    <w:rsid w:val="00537823"/>
    <w:rsid w:val="0055518A"/>
    <w:rsid w:val="005572F0"/>
    <w:rsid w:val="00561A49"/>
    <w:rsid w:val="00563528"/>
    <w:rsid w:val="00575871"/>
    <w:rsid w:val="00576F0B"/>
    <w:rsid w:val="005810C4"/>
    <w:rsid w:val="00590375"/>
    <w:rsid w:val="00592071"/>
    <w:rsid w:val="00596904"/>
    <w:rsid w:val="00596CCB"/>
    <w:rsid w:val="005A2B19"/>
    <w:rsid w:val="005A414C"/>
    <w:rsid w:val="005B048F"/>
    <w:rsid w:val="005B0ADA"/>
    <w:rsid w:val="005B4B76"/>
    <w:rsid w:val="005C0E6A"/>
    <w:rsid w:val="005D1B84"/>
    <w:rsid w:val="005D351E"/>
    <w:rsid w:val="005D5E5D"/>
    <w:rsid w:val="005E727E"/>
    <w:rsid w:val="005F2ED9"/>
    <w:rsid w:val="005F402A"/>
    <w:rsid w:val="005F71DB"/>
    <w:rsid w:val="006049B3"/>
    <w:rsid w:val="00616855"/>
    <w:rsid w:val="006219C0"/>
    <w:rsid w:val="006371A3"/>
    <w:rsid w:val="00644CE3"/>
    <w:rsid w:val="006462BA"/>
    <w:rsid w:val="00654897"/>
    <w:rsid w:val="00655752"/>
    <w:rsid w:val="006677AC"/>
    <w:rsid w:val="00677821"/>
    <w:rsid w:val="00682346"/>
    <w:rsid w:val="00683D83"/>
    <w:rsid w:val="00687880"/>
    <w:rsid w:val="00687A84"/>
    <w:rsid w:val="0069198D"/>
    <w:rsid w:val="00692C13"/>
    <w:rsid w:val="00693392"/>
    <w:rsid w:val="00694BED"/>
    <w:rsid w:val="00696D70"/>
    <w:rsid w:val="006A3CE3"/>
    <w:rsid w:val="006A3E96"/>
    <w:rsid w:val="006A48D1"/>
    <w:rsid w:val="006C109A"/>
    <w:rsid w:val="006D20C8"/>
    <w:rsid w:val="006D71AB"/>
    <w:rsid w:val="006D722B"/>
    <w:rsid w:val="006E0DB9"/>
    <w:rsid w:val="006E15A2"/>
    <w:rsid w:val="006E2E8A"/>
    <w:rsid w:val="006E3814"/>
    <w:rsid w:val="006E3ACE"/>
    <w:rsid w:val="006F58ED"/>
    <w:rsid w:val="00704DD4"/>
    <w:rsid w:val="00711299"/>
    <w:rsid w:val="00712209"/>
    <w:rsid w:val="007278C1"/>
    <w:rsid w:val="00730BEC"/>
    <w:rsid w:val="007359AA"/>
    <w:rsid w:val="007418FD"/>
    <w:rsid w:val="0075451D"/>
    <w:rsid w:val="00766551"/>
    <w:rsid w:val="007678EB"/>
    <w:rsid w:val="00771A02"/>
    <w:rsid w:val="0079543C"/>
    <w:rsid w:val="007A121F"/>
    <w:rsid w:val="007A26AB"/>
    <w:rsid w:val="007A2C3E"/>
    <w:rsid w:val="007B1CB2"/>
    <w:rsid w:val="007C3553"/>
    <w:rsid w:val="007D153C"/>
    <w:rsid w:val="007D15BA"/>
    <w:rsid w:val="007D6302"/>
    <w:rsid w:val="007E1386"/>
    <w:rsid w:val="007E7CAE"/>
    <w:rsid w:val="007F1EED"/>
    <w:rsid w:val="007F23A0"/>
    <w:rsid w:val="008036A2"/>
    <w:rsid w:val="00804F95"/>
    <w:rsid w:val="0080520C"/>
    <w:rsid w:val="0080682B"/>
    <w:rsid w:val="00814E57"/>
    <w:rsid w:val="008156EE"/>
    <w:rsid w:val="008245D5"/>
    <w:rsid w:val="008358C1"/>
    <w:rsid w:val="00842243"/>
    <w:rsid w:val="008465DA"/>
    <w:rsid w:val="00850F60"/>
    <w:rsid w:val="00852086"/>
    <w:rsid w:val="00856546"/>
    <w:rsid w:val="00863C5E"/>
    <w:rsid w:val="008674B8"/>
    <w:rsid w:val="0087788A"/>
    <w:rsid w:val="008802DF"/>
    <w:rsid w:val="008932E6"/>
    <w:rsid w:val="0089709B"/>
    <w:rsid w:val="008A1022"/>
    <w:rsid w:val="008B14B6"/>
    <w:rsid w:val="008B4FA4"/>
    <w:rsid w:val="008B596C"/>
    <w:rsid w:val="008C0949"/>
    <w:rsid w:val="008C2E11"/>
    <w:rsid w:val="008C616F"/>
    <w:rsid w:val="008D7853"/>
    <w:rsid w:val="008E543A"/>
    <w:rsid w:val="008E5798"/>
    <w:rsid w:val="008F3C8B"/>
    <w:rsid w:val="00914516"/>
    <w:rsid w:val="00925648"/>
    <w:rsid w:val="0092664D"/>
    <w:rsid w:val="0093251C"/>
    <w:rsid w:val="00943EEB"/>
    <w:rsid w:val="00952D0E"/>
    <w:rsid w:val="00961DDA"/>
    <w:rsid w:val="009621C6"/>
    <w:rsid w:val="00966352"/>
    <w:rsid w:val="009679D2"/>
    <w:rsid w:val="00977593"/>
    <w:rsid w:val="00980CBF"/>
    <w:rsid w:val="009867E4"/>
    <w:rsid w:val="00991A16"/>
    <w:rsid w:val="0099336C"/>
    <w:rsid w:val="0099380E"/>
    <w:rsid w:val="009A0F9D"/>
    <w:rsid w:val="009C0C09"/>
    <w:rsid w:val="009C169A"/>
    <w:rsid w:val="009C33EF"/>
    <w:rsid w:val="009D093A"/>
    <w:rsid w:val="009D58F8"/>
    <w:rsid w:val="009D718C"/>
    <w:rsid w:val="009E1ECA"/>
    <w:rsid w:val="009E507D"/>
    <w:rsid w:val="009E5936"/>
    <w:rsid w:val="009E6A41"/>
    <w:rsid w:val="009F04AF"/>
    <w:rsid w:val="009F550D"/>
    <w:rsid w:val="00A005F3"/>
    <w:rsid w:val="00A037A4"/>
    <w:rsid w:val="00A16046"/>
    <w:rsid w:val="00A16447"/>
    <w:rsid w:val="00A215FF"/>
    <w:rsid w:val="00A24571"/>
    <w:rsid w:val="00A2457E"/>
    <w:rsid w:val="00A254E8"/>
    <w:rsid w:val="00A30529"/>
    <w:rsid w:val="00A331B7"/>
    <w:rsid w:val="00A33BE0"/>
    <w:rsid w:val="00A34F4F"/>
    <w:rsid w:val="00A3553E"/>
    <w:rsid w:val="00A4646C"/>
    <w:rsid w:val="00A46DEF"/>
    <w:rsid w:val="00A53EAC"/>
    <w:rsid w:val="00A57EA1"/>
    <w:rsid w:val="00A62FBF"/>
    <w:rsid w:val="00A676D6"/>
    <w:rsid w:val="00A67ECA"/>
    <w:rsid w:val="00A71792"/>
    <w:rsid w:val="00A85730"/>
    <w:rsid w:val="00A8584D"/>
    <w:rsid w:val="00A86E79"/>
    <w:rsid w:val="00A90717"/>
    <w:rsid w:val="00A9097D"/>
    <w:rsid w:val="00A91AFA"/>
    <w:rsid w:val="00AA219A"/>
    <w:rsid w:val="00AA29DF"/>
    <w:rsid w:val="00AA610A"/>
    <w:rsid w:val="00AB7E66"/>
    <w:rsid w:val="00AC2795"/>
    <w:rsid w:val="00AC3B8D"/>
    <w:rsid w:val="00AD0E24"/>
    <w:rsid w:val="00AD2B65"/>
    <w:rsid w:val="00AD6249"/>
    <w:rsid w:val="00AE52E3"/>
    <w:rsid w:val="00AF08B3"/>
    <w:rsid w:val="00AF187D"/>
    <w:rsid w:val="00AF4236"/>
    <w:rsid w:val="00AF6955"/>
    <w:rsid w:val="00B17033"/>
    <w:rsid w:val="00B312B5"/>
    <w:rsid w:val="00B37E5E"/>
    <w:rsid w:val="00B40E31"/>
    <w:rsid w:val="00B540F1"/>
    <w:rsid w:val="00B544D3"/>
    <w:rsid w:val="00B54DAB"/>
    <w:rsid w:val="00B60A87"/>
    <w:rsid w:val="00B645E9"/>
    <w:rsid w:val="00B72757"/>
    <w:rsid w:val="00B828B4"/>
    <w:rsid w:val="00BA1788"/>
    <w:rsid w:val="00BA2110"/>
    <w:rsid w:val="00BA2EF3"/>
    <w:rsid w:val="00BA3FD2"/>
    <w:rsid w:val="00BA6713"/>
    <w:rsid w:val="00BB064B"/>
    <w:rsid w:val="00BB55E5"/>
    <w:rsid w:val="00BC02BB"/>
    <w:rsid w:val="00BC1BAB"/>
    <w:rsid w:val="00BC5A51"/>
    <w:rsid w:val="00BD10FC"/>
    <w:rsid w:val="00BD3ABB"/>
    <w:rsid w:val="00BD7501"/>
    <w:rsid w:val="00BD7874"/>
    <w:rsid w:val="00BF0992"/>
    <w:rsid w:val="00BF14DB"/>
    <w:rsid w:val="00C00357"/>
    <w:rsid w:val="00C05D24"/>
    <w:rsid w:val="00C07C1A"/>
    <w:rsid w:val="00C13725"/>
    <w:rsid w:val="00C1504E"/>
    <w:rsid w:val="00C167EC"/>
    <w:rsid w:val="00C170D7"/>
    <w:rsid w:val="00C21C9E"/>
    <w:rsid w:val="00C24A9F"/>
    <w:rsid w:val="00C27340"/>
    <w:rsid w:val="00C31694"/>
    <w:rsid w:val="00C3748A"/>
    <w:rsid w:val="00C40961"/>
    <w:rsid w:val="00C437F1"/>
    <w:rsid w:val="00C5717A"/>
    <w:rsid w:val="00C639DD"/>
    <w:rsid w:val="00C66F6F"/>
    <w:rsid w:val="00C71B2C"/>
    <w:rsid w:val="00C72B02"/>
    <w:rsid w:val="00C75705"/>
    <w:rsid w:val="00C92366"/>
    <w:rsid w:val="00C97AB6"/>
    <w:rsid w:val="00CA0C49"/>
    <w:rsid w:val="00CA41C3"/>
    <w:rsid w:val="00CA4354"/>
    <w:rsid w:val="00CA5163"/>
    <w:rsid w:val="00CB4CA4"/>
    <w:rsid w:val="00CB7FEB"/>
    <w:rsid w:val="00CC399A"/>
    <w:rsid w:val="00CC5267"/>
    <w:rsid w:val="00CC66E4"/>
    <w:rsid w:val="00CD009D"/>
    <w:rsid w:val="00CD4551"/>
    <w:rsid w:val="00CE21EA"/>
    <w:rsid w:val="00CE2290"/>
    <w:rsid w:val="00CE2E3B"/>
    <w:rsid w:val="00CF2A59"/>
    <w:rsid w:val="00CF6B3B"/>
    <w:rsid w:val="00D106B7"/>
    <w:rsid w:val="00D17697"/>
    <w:rsid w:val="00D25B16"/>
    <w:rsid w:val="00D33403"/>
    <w:rsid w:val="00D335CB"/>
    <w:rsid w:val="00D35809"/>
    <w:rsid w:val="00D53FD6"/>
    <w:rsid w:val="00D61925"/>
    <w:rsid w:val="00D666A6"/>
    <w:rsid w:val="00D66E56"/>
    <w:rsid w:val="00D70548"/>
    <w:rsid w:val="00D70F47"/>
    <w:rsid w:val="00D73336"/>
    <w:rsid w:val="00D82065"/>
    <w:rsid w:val="00D82478"/>
    <w:rsid w:val="00D854F6"/>
    <w:rsid w:val="00D8682C"/>
    <w:rsid w:val="00D919F6"/>
    <w:rsid w:val="00D92641"/>
    <w:rsid w:val="00DA0870"/>
    <w:rsid w:val="00DB3F04"/>
    <w:rsid w:val="00DC0521"/>
    <w:rsid w:val="00DC1E12"/>
    <w:rsid w:val="00DD08AC"/>
    <w:rsid w:val="00DD23F2"/>
    <w:rsid w:val="00DE13DE"/>
    <w:rsid w:val="00DE2C85"/>
    <w:rsid w:val="00DE78E9"/>
    <w:rsid w:val="00DF0453"/>
    <w:rsid w:val="00E00729"/>
    <w:rsid w:val="00E06DA9"/>
    <w:rsid w:val="00E1143E"/>
    <w:rsid w:val="00E12660"/>
    <w:rsid w:val="00E138A8"/>
    <w:rsid w:val="00E155D7"/>
    <w:rsid w:val="00E226F4"/>
    <w:rsid w:val="00E22FDC"/>
    <w:rsid w:val="00E24334"/>
    <w:rsid w:val="00E24DAA"/>
    <w:rsid w:val="00E25FFC"/>
    <w:rsid w:val="00E327DF"/>
    <w:rsid w:val="00E3569A"/>
    <w:rsid w:val="00E35E41"/>
    <w:rsid w:val="00E35E98"/>
    <w:rsid w:val="00E465D7"/>
    <w:rsid w:val="00E50AB2"/>
    <w:rsid w:val="00E50D57"/>
    <w:rsid w:val="00E51BD6"/>
    <w:rsid w:val="00E65B56"/>
    <w:rsid w:val="00E6737F"/>
    <w:rsid w:val="00E67ED4"/>
    <w:rsid w:val="00E719D9"/>
    <w:rsid w:val="00E7226C"/>
    <w:rsid w:val="00E74353"/>
    <w:rsid w:val="00E745AD"/>
    <w:rsid w:val="00E8568D"/>
    <w:rsid w:val="00E86986"/>
    <w:rsid w:val="00E9446D"/>
    <w:rsid w:val="00EB39CE"/>
    <w:rsid w:val="00EB701D"/>
    <w:rsid w:val="00ED0F40"/>
    <w:rsid w:val="00ED169B"/>
    <w:rsid w:val="00ED404C"/>
    <w:rsid w:val="00ED6E29"/>
    <w:rsid w:val="00F12EC0"/>
    <w:rsid w:val="00F16412"/>
    <w:rsid w:val="00F17B8F"/>
    <w:rsid w:val="00F26D03"/>
    <w:rsid w:val="00F26EC9"/>
    <w:rsid w:val="00F42792"/>
    <w:rsid w:val="00F452E8"/>
    <w:rsid w:val="00F5473D"/>
    <w:rsid w:val="00F6282D"/>
    <w:rsid w:val="00F66C43"/>
    <w:rsid w:val="00F67BD4"/>
    <w:rsid w:val="00F710FC"/>
    <w:rsid w:val="00F72DCB"/>
    <w:rsid w:val="00F73AD5"/>
    <w:rsid w:val="00F84147"/>
    <w:rsid w:val="00F93526"/>
    <w:rsid w:val="00FA05DF"/>
    <w:rsid w:val="00FA1FCF"/>
    <w:rsid w:val="00FB02C2"/>
    <w:rsid w:val="00FB6E11"/>
    <w:rsid w:val="00FD03E8"/>
    <w:rsid w:val="00FD667D"/>
    <w:rsid w:val="00FD78AB"/>
    <w:rsid w:val="00FE0AEC"/>
    <w:rsid w:val="00FE0B53"/>
    <w:rsid w:val="00FE3F00"/>
    <w:rsid w:val="00FE4666"/>
    <w:rsid w:val="00FE4BF9"/>
    <w:rsid w:val="00FE6E07"/>
    <w:rsid w:val="00FF3D4E"/>
    <w:rsid w:val="00FF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C4DA2"/>
  <w15:chartTrackingRefBased/>
  <w15:docId w15:val="{52B84918-4142-454A-B496-C68A0F5F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5E"/>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rsid w:val="00537823"/>
    <w:pPr>
      <w:tabs>
        <w:tab w:val="center" w:pos="4703"/>
        <w:tab w:val="right" w:pos="9406"/>
      </w:tabs>
    </w:pPr>
  </w:style>
  <w:style w:type="character" w:styleId="PageNumber">
    <w:name w:val="page number"/>
    <w:basedOn w:val="DefaultParagraphFont"/>
    <w:rsid w:val="006677AC"/>
  </w:style>
  <w:style w:type="paragraph" w:styleId="ListParagraph">
    <w:name w:val="List Paragraph"/>
    <w:basedOn w:val="Normal"/>
    <w:uiPriority w:val="34"/>
    <w:qFormat/>
    <w:rsid w:val="001808B6"/>
    <w:pPr>
      <w:ind w:left="708"/>
    </w:pPr>
  </w:style>
  <w:style w:type="table" w:styleId="TableGrid">
    <w:name w:val="Table Grid"/>
    <w:basedOn w:val="TableNormal"/>
    <w:uiPriority w:val="39"/>
    <w:rsid w:val="005A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16412"/>
    <w:rPr>
      <w:sz w:val="24"/>
      <w:szCs w:val="24"/>
    </w:rPr>
  </w:style>
  <w:style w:type="table" w:customStyle="1" w:styleId="TableGrid1">
    <w:name w:val="Table Grid1"/>
    <w:basedOn w:val="TableNormal"/>
    <w:next w:val="TableGrid"/>
    <w:rsid w:val="00F67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244D84"/>
    <w:pPr>
      <w:spacing w:before="100" w:beforeAutospacing="1" w:after="100" w:afterAutospacing="1"/>
    </w:pPr>
  </w:style>
  <w:style w:type="paragraph" w:customStyle="1" w:styleId="ql-align-justify">
    <w:name w:val="ql-align-justify"/>
    <w:basedOn w:val="Normal"/>
    <w:rsid w:val="00244D84"/>
    <w:pPr>
      <w:spacing w:before="100" w:beforeAutospacing="1" w:after="100" w:afterAutospacing="1"/>
    </w:pPr>
  </w:style>
  <w:style w:type="character" w:styleId="Strong">
    <w:name w:val="Strong"/>
    <w:uiPriority w:val="22"/>
    <w:qFormat/>
    <w:rsid w:val="00244D84"/>
    <w:rPr>
      <w:b/>
      <w:bCs/>
    </w:rPr>
  </w:style>
  <w:style w:type="character" w:styleId="Emphasis">
    <w:name w:val="Emphasis"/>
    <w:uiPriority w:val="20"/>
    <w:qFormat/>
    <w:rsid w:val="00244D84"/>
    <w:rPr>
      <w:i/>
      <w:iCs/>
    </w:rPr>
  </w:style>
  <w:style w:type="paragraph" w:customStyle="1" w:styleId="ql-align-center">
    <w:name w:val="ql-align-center"/>
    <w:basedOn w:val="Normal"/>
    <w:rsid w:val="00244D84"/>
    <w:pPr>
      <w:spacing w:before="100" w:beforeAutospacing="1" w:after="100" w:afterAutospacing="1"/>
    </w:pPr>
  </w:style>
  <w:style w:type="paragraph" w:styleId="NormalWeb">
    <w:name w:val="Normal (Web)"/>
    <w:basedOn w:val="Normal"/>
    <w:uiPriority w:val="99"/>
    <w:unhideWhenUsed/>
    <w:rsid w:val="00244D84"/>
    <w:pPr>
      <w:spacing w:before="100" w:beforeAutospacing="1" w:after="100" w:afterAutospacing="1"/>
    </w:pPr>
  </w:style>
  <w:style w:type="paragraph" w:styleId="Revision">
    <w:name w:val="Revision"/>
    <w:hidden/>
    <w:uiPriority w:val="99"/>
    <w:semiHidden/>
    <w:rsid w:val="0043262E"/>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AZJMDCZ6QSYZ-7492995-13418</_dlc_DocId>
    <_dlc_DocIdUrl xmlns="a494813a-d0d8-4dad-94cb-0d196f36ba15">
      <Url>https://ekoordinacije.vlada.hr/unutarnja-vanjska-politika/_layouts/15/DocIdRedir.aspx?ID=AZJMDCZ6QSYZ-7492995-13418</Url>
      <Description>AZJMDCZ6QSYZ-7492995-13418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0EEA-5AE1-4264-8BBF-6F4D0A4319F1}">
  <ds:schemaRefs>
    <ds:schemaRef ds:uri="http://schemas.microsoft.com/sharepoint/events"/>
  </ds:schemaRefs>
</ds:datastoreItem>
</file>

<file path=customXml/itemProps2.xml><?xml version="1.0" encoding="utf-8"?>
<ds:datastoreItem xmlns:ds="http://schemas.openxmlformats.org/officeDocument/2006/customXml" ds:itemID="{4C9CC39E-B485-46BB-8DF7-F44782390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380A6-95AA-4BE8-A413-C29109BF2EA8}">
  <ds:schemaRefs>
    <ds:schemaRef ds:uri="http://purl.org/dc/elements/1.1/"/>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D8ED212-38ED-4990-8EE3-8B4DDBC45FA6}">
  <ds:schemaRefs>
    <ds:schemaRef ds:uri="http://schemas.microsoft.com/office/2006/metadata/longProperties"/>
  </ds:schemaRefs>
</ds:datastoreItem>
</file>

<file path=customXml/itemProps5.xml><?xml version="1.0" encoding="utf-8"?>
<ds:datastoreItem xmlns:ds="http://schemas.openxmlformats.org/officeDocument/2006/customXml" ds:itemID="{939CEBC6-FD56-4974-ADED-55853B337DB8}">
  <ds:schemaRefs>
    <ds:schemaRef ds:uri="http://schemas.microsoft.com/sharepoint/v3/contenttype/forms"/>
  </ds:schemaRefs>
</ds:datastoreItem>
</file>

<file path=customXml/itemProps6.xml><?xml version="1.0" encoding="utf-8"?>
<ds:datastoreItem xmlns:ds="http://schemas.openxmlformats.org/officeDocument/2006/customXml" ds:itemID="{AEA31BF1-CA33-41E8-9698-B4C3BD21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7535</Words>
  <Characters>42951</Characters>
  <Application>Microsoft Office Word</Application>
  <DocSecurity>0</DocSecurity>
  <Lines>357</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 Sluzbeni dokument - bar code</vt:lpstr>
      <vt:lpstr>1 Sluzbeni dokument - bar code</vt:lpstr>
    </vt:vector>
  </TitlesOfParts>
  <Company>MZOS</Company>
  <LinksUpToDate>false</LinksUpToDate>
  <CharactersWithSpaces>50386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MZOS</dc:creator>
  <cp:keywords/>
  <cp:lastModifiedBy>Marina Tatalović</cp:lastModifiedBy>
  <cp:revision>5</cp:revision>
  <dcterms:created xsi:type="dcterms:W3CDTF">2023-10-16T12:56:00Z</dcterms:created>
  <dcterms:modified xsi:type="dcterms:W3CDTF">2023-10-18T08:33:00Z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AZJMDCZ6QSYZ-12-8192</vt:lpwstr>
  </property>
  <property fmtid="{D5CDD505-2E9C-101B-9397-08002B2CF9AE}" pid="3" name="_dlc_DocIdItemGuid">
    <vt:lpwstr>9d1f0d65-c078-48c0-a245-d4b8eca00858</vt:lpwstr>
  </property>
  <property fmtid="{D5CDD505-2E9C-101B-9397-08002B2CF9AE}" pid="4" name="_dlc_DocIdUrl">
    <vt:lpwstr>https://ekoordinacije.vlada.hr/sjednice-drustvo/_layouts/15/DocIdRedir.aspx?ID=AZJMDCZ6QSYZ-12-8192, AZJMDCZ6QSYZ-12-8192</vt:lpwstr>
  </property>
  <property fmtid="{D5CDD505-2E9C-101B-9397-08002B2CF9AE}" pid="5" name="ContentTypeId">
    <vt:lpwstr>0x010100B067BDC0524608488A6F0AA2AC437412</vt:lpwstr>
  </property>
</Properties>
</file>