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3CAD" w14:textId="77777777" w:rsidR="00E20BF7" w:rsidRDefault="00E20BF7" w:rsidP="00E20BF7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A360C50" wp14:editId="2683256B">
            <wp:extent cx="502942" cy="68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DFB71B" w14:textId="77777777" w:rsidR="00E20BF7" w:rsidRDefault="00E20BF7" w:rsidP="00E20BF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D803CD5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A8FCB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B4578" w14:textId="77777777" w:rsidR="00E20BF7" w:rsidRDefault="00E20BF7" w:rsidP="00E20B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64753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03424">
        <w:rPr>
          <w:rFonts w:ascii="Times New Roman" w:eastAsia="Times New Roman" w:hAnsi="Times New Roman" w:cs="Times New Roman"/>
          <w:sz w:val="24"/>
          <w:szCs w:val="24"/>
        </w:rPr>
        <w:t>. 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6D850DEB" w14:textId="77777777" w:rsidR="00E20BF7" w:rsidRDefault="00E20BF7" w:rsidP="00E20B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73DDD8" w14:textId="77777777" w:rsidR="00E20BF7" w:rsidRDefault="00E20BF7" w:rsidP="00E20B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12697C" w14:textId="77777777" w:rsidR="00E20BF7" w:rsidRDefault="00E20BF7" w:rsidP="00E20B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56E7F" w14:textId="77777777" w:rsidR="00E20BF7" w:rsidRDefault="00E20BF7" w:rsidP="00E20B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4CDDAD" w14:textId="77777777" w:rsidR="00E20BF7" w:rsidRDefault="00E20BF7" w:rsidP="00E20B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E0D9AA" w14:textId="77777777" w:rsidR="00E20BF7" w:rsidRDefault="00E20BF7" w:rsidP="00E20B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0B21DA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EA9E6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8A038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2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080"/>
      </w:tblGrid>
      <w:tr w:rsidR="00E20BF7" w14:paraId="1BB9F78E" w14:textId="77777777" w:rsidTr="00101C2F">
        <w:tc>
          <w:tcPr>
            <w:tcW w:w="1949" w:type="dxa"/>
          </w:tcPr>
          <w:p w14:paraId="5CD738A4" w14:textId="77777777" w:rsidR="00E20BF7" w:rsidRDefault="00E20BF7" w:rsidP="00E20BF7">
            <w:pPr>
              <w:spacing w:line="360" w:lineRule="auto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</w:tcPr>
          <w:p w14:paraId="47A4E38A" w14:textId="77777777" w:rsidR="00E20BF7" w:rsidRDefault="00E20BF7" w:rsidP="00E20BF7">
            <w:pPr>
              <w:spacing w:line="360" w:lineRule="auto"/>
            </w:pPr>
            <w:r>
              <w:t>Ministarstvo unutarnjih poslova</w:t>
            </w:r>
          </w:p>
        </w:tc>
      </w:tr>
    </w:tbl>
    <w:p w14:paraId="485AD4EF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1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7095"/>
      </w:tblGrid>
      <w:tr w:rsidR="00E20BF7" w14:paraId="5C510F71" w14:textId="77777777" w:rsidTr="00101C2F">
        <w:tc>
          <w:tcPr>
            <w:tcW w:w="1934" w:type="dxa"/>
          </w:tcPr>
          <w:p w14:paraId="5FA7A033" w14:textId="77777777" w:rsidR="00E20BF7" w:rsidRDefault="00E20BF7" w:rsidP="00E20BF7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095" w:type="dxa"/>
          </w:tcPr>
          <w:p w14:paraId="3CB9BA64" w14:textId="77777777" w:rsidR="00E20BF7" w:rsidRPr="00E20BF7" w:rsidRDefault="00E20BF7" w:rsidP="00E20BF7">
            <w:pPr>
              <w:pStyle w:val="NoSpacing"/>
            </w:pPr>
            <w:r w:rsidRPr="00E20BF7">
              <w:t xml:space="preserve">Prijedlog  odluke o osnivanju Istražnog povjerenstva o radu Stožera i drugih nadležnih institucija za vrijeme trajanja </w:t>
            </w:r>
            <w:proofErr w:type="spellStart"/>
            <w:r w:rsidRPr="00E20BF7">
              <w:t>pandemije</w:t>
            </w:r>
            <w:proofErr w:type="spellEnd"/>
            <w:r w:rsidRPr="00E20BF7">
              <w:t xml:space="preserve"> COVID-19 u </w:t>
            </w:r>
          </w:p>
          <w:p w14:paraId="3C305D74" w14:textId="77777777" w:rsidR="00E20BF7" w:rsidRDefault="00E20BF7" w:rsidP="00E20BF7">
            <w:pPr>
              <w:pStyle w:val="NoSpacing"/>
            </w:pPr>
            <w:r w:rsidRPr="00E20BF7">
              <w:t>Hrvatskoj (predlagatelji: 24 zastupnika u Hrvatskome saboru)</w:t>
            </w:r>
          </w:p>
          <w:p w14:paraId="267DFDCA" w14:textId="77777777" w:rsidR="00E20BF7" w:rsidRPr="00E20BF7" w:rsidRDefault="00E20BF7" w:rsidP="00FB5310">
            <w:pPr>
              <w:pStyle w:val="NoSpacing"/>
              <w:numPr>
                <w:ilvl w:val="0"/>
                <w:numId w:val="14"/>
              </w:numPr>
              <w:ind w:left="230" w:hanging="230"/>
            </w:pPr>
            <w:r>
              <w:t>mišljenje Vlade</w:t>
            </w:r>
          </w:p>
          <w:p w14:paraId="4A7DEF45" w14:textId="77777777" w:rsidR="00E20BF7" w:rsidRPr="00E20BF7" w:rsidRDefault="00E20BF7" w:rsidP="00E20BF7">
            <w:pPr>
              <w:spacing w:line="360" w:lineRule="auto"/>
              <w:rPr>
                <w:highlight w:val="yellow"/>
              </w:rPr>
            </w:pPr>
          </w:p>
        </w:tc>
      </w:tr>
    </w:tbl>
    <w:p w14:paraId="2CCA590A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9C69931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FCE5D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C65EE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F3261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C98B0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A960B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AF272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3E013" w14:textId="77777777" w:rsidR="00E20BF7" w:rsidRDefault="00E20BF7" w:rsidP="00E20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7F884" w14:textId="77777777" w:rsidR="00E20BF7" w:rsidRDefault="00E20BF7" w:rsidP="00E20BF7">
      <w:pPr>
        <w:pBdr>
          <w:top w:val="single" w:sz="4" w:space="1" w:color="000000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Banski dvori | Trg Sv. Marka 2 | 10000 Zagreb | tel. 01 4569 222 | vlada.gov.hr</w:t>
      </w:r>
    </w:p>
    <w:p w14:paraId="3205C1F6" w14:textId="77777777" w:rsidR="00E20BF7" w:rsidRDefault="00E20BF7" w:rsidP="003261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EED2B6" w14:textId="77777777" w:rsidR="00326102" w:rsidRDefault="00326102" w:rsidP="00326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62164983" w14:textId="77777777" w:rsidR="006D3AEA" w:rsidRPr="00326102" w:rsidRDefault="00326102" w:rsidP="00326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6102">
        <w:rPr>
          <w:rFonts w:ascii="Times New Roman" w:hAnsi="Times New Roman" w:cs="Times New Roman"/>
          <w:sz w:val="24"/>
          <w:szCs w:val="24"/>
        </w:rPr>
        <w:t>KLASA:</w:t>
      </w:r>
    </w:p>
    <w:p w14:paraId="0C0F05AD" w14:textId="77777777" w:rsidR="00326102" w:rsidRPr="00326102" w:rsidRDefault="00326102" w:rsidP="00326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6102">
        <w:rPr>
          <w:rFonts w:ascii="Times New Roman" w:hAnsi="Times New Roman" w:cs="Times New Roman"/>
          <w:sz w:val="24"/>
          <w:szCs w:val="24"/>
        </w:rPr>
        <w:t>URBROJ:</w:t>
      </w:r>
    </w:p>
    <w:p w14:paraId="37598495" w14:textId="77777777" w:rsidR="00326102" w:rsidRDefault="00326102">
      <w:pPr>
        <w:rPr>
          <w:rFonts w:ascii="Times New Roman" w:hAnsi="Times New Roman" w:cs="Times New Roman"/>
          <w:sz w:val="24"/>
          <w:szCs w:val="24"/>
        </w:rPr>
      </w:pPr>
    </w:p>
    <w:p w14:paraId="00400D97" w14:textId="77777777" w:rsidR="00326102" w:rsidRDefault="0032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6E195EC2" w14:textId="77777777" w:rsidR="00D81275" w:rsidRDefault="00D81275" w:rsidP="00D81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AC0C4" w14:textId="7F9E11AF" w:rsidR="00D81275" w:rsidRDefault="00D81275" w:rsidP="00D81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5DC20A33" w14:textId="77777777" w:rsidR="00D81275" w:rsidRDefault="00D81275" w:rsidP="00D81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0E2F0D" w14:textId="77777777" w:rsidR="00D81275" w:rsidRDefault="00D81275" w:rsidP="00D81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2FEE79" w14:textId="77777777" w:rsidR="00D81275" w:rsidRPr="00D86BC3" w:rsidRDefault="00D81275" w:rsidP="00D81275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86BC3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ab/>
      </w:r>
      <w:r w:rsidRPr="00D86BC3">
        <w:rPr>
          <w:rFonts w:ascii="Times New Roman" w:hAnsi="Times New Roman" w:cs="Times New Roman"/>
          <w:sz w:val="24"/>
          <w:szCs w:val="24"/>
        </w:rPr>
        <w:t>Prijedlog  odluke o osnivanju Istražno</w:t>
      </w:r>
      <w:r>
        <w:rPr>
          <w:rFonts w:ascii="Times New Roman" w:hAnsi="Times New Roman" w:cs="Times New Roman"/>
          <w:sz w:val="24"/>
          <w:szCs w:val="24"/>
        </w:rPr>
        <w:t xml:space="preserve">g povjerenstva o radu Stožera i </w:t>
      </w:r>
      <w:r w:rsidRPr="00D86BC3"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D86BC3">
        <w:rPr>
          <w:rFonts w:ascii="Times New Roman" w:hAnsi="Times New Roman" w:cs="Times New Roman"/>
          <w:sz w:val="24"/>
          <w:szCs w:val="24"/>
        </w:rPr>
        <w:t xml:space="preserve">nadležnih institucija za vrijeme trajanja </w:t>
      </w:r>
      <w:proofErr w:type="spellStart"/>
      <w:r w:rsidRPr="00D86BC3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D86BC3">
        <w:rPr>
          <w:rFonts w:ascii="Times New Roman" w:hAnsi="Times New Roman" w:cs="Times New Roman"/>
          <w:sz w:val="24"/>
          <w:szCs w:val="24"/>
        </w:rPr>
        <w:t xml:space="preserve"> COVID-19 u Hrvatskoj (predlagatelji: 24 zastupnika u Hrvatskome saboru)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C3">
        <w:rPr>
          <w:rFonts w:ascii="Times New Roman" w:hAnsi="Times New Roman" w:cs="Times New Roman"/>
          <w:sz w:val="24"/>
          <w:szCs w:val="24"/>
        </w:rPr>
        <w:t xml:space="preserve">- mišljenje Vlade </w:t>
      </w:r>
    </w:p>
    <w:p w14:paraId="70DC6F65" w14:textId="77777777" w:rsidR="00D81275" w:rsidRPr="00D86BC3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AA74EB" w14:textId="77777777" w:rsidR="00D81275" w:rsidRPr="0078447B" w:rsidRDefault="00D81275" w:rsidP="00D81275">
      <w:pPr>
        <w:pStyle w:val="NoSpacing"/>
        <w:ind w:left="1410" w:hanging="14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6BC3">
        <w:rPr>
          <w:rFonts w:ascii="Times New Roman" w:hAnsi="Times New Roman" w:cs="Times New Roman"/>
          <w:sz w:val="24"/>
          <w:szCs w:val="24"/>
        </w:rPr>
        <w:t xml:space="preserve">Veza: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47B">
        <w:rPr>
          <w:rFonts w:ascii="Times New Roman" w:hAnsi="Times New Roman" w:cs="Times New Roman"/>
          <w:spacing w:val="2"/>
          <w:sz w:val="24"/>
          <w:szCs w:val="24"/>
        </w:rPr>
        <w:t>Pismo Hrvatskoga sabora, KLASA: 021-10/23-14/7, URBROJ: 65-23-03, od 7. lipnja 2023.</w:t>
      </w:r>
    </w:p>
    <w:p w14:paraId="4D5445B2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028DD7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083238" w14:textId="77777777" w:rsidR="00D81275" w:rsidRPr="00FE687D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87D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(„Narodne novine“, br. 81/13., 113/16., 69/17., 29/18., 53/20., 119/20. - Odluka Ustavnog suda Republike Hrvatske, 123/20. i 86/23. - Odluka Ustavnog suda Republike Hrvatske), Vlada Republike Hrvatske o Prijedlogu odluke o osnivanju Istražnog povjerenstva o radu Stožera i drugih nadležnih institucija za vrijeme trajanja </w:t>
      </w:r>
      <w:proofErr w:type="spellStart"/>
      <w:r w:rsidRPr="00FE687D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FE687D">
        <w:rPr>
          <w:rFonts w:ascii="Times New Roman" w:hAnsi="Times New Roman" w:cs="Times New Roman"/>
          <w:sz w:val="24"/>
          <w:szCs w:val="24"/>
        </w:rPr>
        <w:t xml:space="preserve"> COVID-19 u Hrvatskoj (predlagatelji: 24 zastupnika u Hr</w:t>
      </w:r>
      <w:r>
        <w:rPr>
          <w:rFonts w:ascii="Times New Roman" w:hAnsi="Times New Roman" w:cs="Times New Roman"/>
          <w:sz w:val="24"/>
          <w:szCs w:val="24"/>
        </w:rPr>
        <w:t>vatskome saboru), daje sljedeće</w:t>
      </w:r>
    </w:p>
    <w:p w14:paraId="5B7B6243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758EF7" w14:textId="77777777" w:rsidR="00D81275" w:rsidRDefault="00D81275" w:rsidP="00D812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63FA5F69" w14:textId="77777777" w:rsidR="00D81275" w:rsidRDefault="00D81275" w:rsidP="00D81275">
      <w:pPr>
        <w:pStyle w:val="NoSpacing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B3C81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ne prihvati Prijedlog odluke o osnivanju Istražnog povjerenstva o radu Stožera i drugih nadležnih institucija za vrijeme trajanja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u Hrvatskoj, koji je predsjedniku Hrvatskoga sabora podnijelo 24 zastupnika u Hrvatskome saboru (u daljnjem tekstu: Prijedlog odluke).</w:t>
      </w:r>
    </w:p>
    <w:p w14:paraId="70BCCFEA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8146E9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Prvenstveno, Vlada Republike Hrvatske želi napomenuti da je vezano uz zakonitost rada Stožera civilne zaštite Republike Hrvatske (u daljnjem tekstu: Stožer) Ustavni sud Republike Hrvatske svojim Rješenjem, broj: U-I-1372/2020, U-I-1999/2020, U-I-2075/2020, U-I-2233/2020, U-I-21-61-2020, U-I-2234/2020, od 14. rujna 2020., nedvojbeno utvrdio da je člankom 22.a Zakona o sustavu civilne zaštite („Narodne novine“, br. 82/15., 118/18., 31/20., 20/21. i 114/22.) u vezi s člankom 3. stavcima 2. i 3. Zakona o zaštiti pučanstva od zaraznih bolesti („Narodne novine“, br. 79/07., 113/08., 43/09., 130/17., 114/18., 47/20., 134/20. i 143/21.), kao i člankom 47. Zakona o zaštiti pučanstva od zaraznih bolesti, odnosno člankom 10. Zakona o izmjenama i dopunama Zakona o zaštiti pučanstva od zaraznih bolesti („Narodne novine“, broj 47/20.) određen (uspostavljen) zakonski okvir na temelju kojega je Stožer (uz ministra zdravstva) bio ovlašten za donošenje odluka/mjera za sprječavanje širenja bolesti COVID-19. Slijedom navedenoga, Ustavni sud Republike Hrvatske je navedenim Rješenjem utvrdio da je Stožer imao zakonsku ovlast za donošenje mjera iz članka 47. Zakona o zaštiti pučanstva od zaraznih bolesti.</w:t>
      </w:r>
    </w:p>
    <w:p w14:paraId="788A18B5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E2BD34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Stoga, inicijativu 24 zastupnika u Hrvatskome saboru za istraživanje jesu li odluke Vlade Republike Hrvatske i Stožera bile zakonite i svrhovite Vlada Republike Hrvatske smatra nesvrsishodnom, posebno imajući na umu da je Ustavni sud Republike Hrvatske već donio odluku o zakonitosti postupanja Stožera. </w:t>
      </w:r>
    </w:p>
    <w:p w14:paraId="698171FE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5FF1203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određene Odlukama Stožera imale su za cilj zaštitu najboljeg interesa stanovništva s aspekta zaštite zdravlja i života, a u odnosu na epidemiološku situaciju procjenjivala se razmjernost uvedenih mjera u smislu sprječavanja preopterećenja zdravstvenog sustava i zaštite zdravlja populacije u odnosu na štetne posljedice mjera po ekonomiju, gospodarstvo i druge aspekte društvenog života. Mjere koje je svojim Odlukama Stožer određivao sadržajno su bile vrlo slične mjerama u drugim državama. Do sada su p</w:t>
      </w:r>
      <w:r w:rsidRPr="000C75C2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nuti</w:t>
      </w:r>
      <w:r w:rsidRPr="000C75C2">
        <w:rPr>
          <w:rFonts w:ascii="Times New Roman" w:hAnsi="Times New Roman" w:cs="Times New Roman"/>
          <w:sz w:val="24"/>
          <w:szCs w:val="24"/>
        </w:rPr>
        <w:t xml:space="preserve"> brojni postupci pred Europskim sudom za ljudska prava (</w:t>
      </w:r>
      <w:r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0C75C2">
        <w:rPr>
          <w:rFonts w:ascii="Times New Roman" w:hAnsi="Times New Roman" w:cs="Times New Roman"/>
          <w:sz w:val="24"/>
          <w:szCs w:val="24"/>
        </w:rPr>
        <w:t xml:space="preserve">ESLJP) u odnosu na slična pitanja npr.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Zambrano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France (propusnice, potvrde),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Terheş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(samoizolacija u domu),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Makovetskyy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(nenošenje maske),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Árus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(obveza nošenja maske),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Pasquinelli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San Marino (obvezno cijepljenje u zdravstvu),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Guhn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(ograničavanje posjeta ustanovama),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Piperea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(nadziranje kretanja), </w:t>
      </w:r>
      <w:proofErr w:type="spellStart"/>
      <w:r w:rsidRPr="000C75C2">
        <w:rPr>
          <w:rFonts w:ascii="Times New Roman" w:hAnsi="Times New Roman" w:cs="Times New Roman"/>
          <w:sz w:val="24"/>
          <w:szCs w:val="24"/>
        </w:rPr>
        <w:t>Mégard</w:t>
      </w:r>
      <w:proofErr w:type="spellEnd"/>
      <w:r w:rsidRPr="000C75C2">
        <w:rPr>
          <w:rFonts w:ascii="Times New Roman" w:hAnsi="Times New Roman" w:cs="Times New Roman"/>
          <w:sz w:val="24"/>
          <w:szCs w:val="24"/>
        </w:rPr>
        <w:t xml:space="preserve"> v. France (ograničavanje okupljanja), ali još nije donesena presuda ESLJP da bi mjere neke države bile nerazmjerne ili nezakonite.</w:t>
      </w:r>
    </w:p>
    <w:p w14:paraId="4562D6C7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BD67A63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uz Odluku Vlade Republike Hrvatske o nabavi medicinske opreme i usluga ističe se sljedeće:</w:t>
      </w:r>
    </w:p>
    <w:p w14:paraId="6E222FF5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96BDEB" w14:textId="77777777" w:rsidR="00D81275" w:rsidRPr="00C578BE" w:rsidRDefault="00D81275" w:rsidP="00D81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578BE">
        <w:rPr>
          <w:rFonts w:ascii="Times New Roman" w:hAnsi="Times New Roman" w:cs="Times New Roman"/>
          <w:sz w:val="24"/>
          <w:szCs w:val="24"/>
        </w:rPr>
        <w:t xml:space="preserve">Nakon stupanja na snagu Odluke o proglašenju epidemije bolesti COVID-19 </w:t>
      </w:r>
      <w:r w:rsidRPr="00C578B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3BB483" wp14:editId="1788D099">
            <wp:extent cx="3048" cy="3049"/>
            <wp:effectExtent l="0" t="0" r="0" b="0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8BE">
        <w:rPr>
          <w:rFonts w:ascii="Times New Roman" w:hAnsi="Times New Roman" w:cs="Times New Roman"/>
          <w:sz w:val="24"/>
          <w:szCs w:val="24"/>
        </w:rPr>
        <w:t>uzrokovan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8BE">
        <w:rPr>
          <w:rFonts w:ascii="Times New Roman" w:hAnsi="Times New Roman" w:cs="Times New Roman"/>
          <w:sz w:val="24"/>
          <w:szCs w:val="24"/>
        </w:rPr>
        <w:t xml:space="preserve"> virusom SARS-C0V-2 (KLASA: 011-02/20-01/143, URBROJ: 534-02-01-2/620-01, od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78BE">
        <w:rPr>
          <w:rFonts w:ascii="Times New Roman" w:hAnsi="Times New Roman" w:cs="Times New Roman"/>
          <w:sz w:val="24"/>
          <w:szCs w:val="24"/>
        </w:rPr>
        <w:t>. ožujka 2020.), nadležna tijela su transparentno postupala sukladno sljedećim odlukama Vlade Republike Hrvatske:</w:t>
      </w:r>
    </w:p>
    <w:p w14:paraId="2200BA36" w14:textId="77777777" w:rsidR="00D81275" w:rsidRPr="00FC4762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958">
        <w:tab/>
      </w:r>
      <w:r>
        <w:tab/>
      </w:r>
      <w:r w:rsidRPr="00FC4762">
        <w:rPr>
          <w:rFonts w:ascii="Times New Roman" w:hAnsi="Times New Roman" w:cs="Times New Roman"/>
          <w:sz w:val="24"/>
          <w:szCs w:val="24"/>
        </w:rPr>
        <w:t xml:space="preserve">1. Odluci o dodjeli bez naknade zaštitne opreme iz strateških robnih zaliha, Ministarstvu zdravstva za potrebe zaštite osoblja i djelatnika bolnica, zdravstvenih ustanova i drugih službi od moguće zaraze </w:t>
      </w:r>
      <w:proofErr w:type="spellStart"/>
      <w:r w:rsidRPr="00FC4762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FC4762">
        <w:rPr>
          <w:rFonts w:ascii="Times New Roman" w:hAnsi="Times New Roman" w:cs="Times New Roman"/>
          <w:sz w:val="24"/>
          <w:szCs w:val="24"/>
        </w:rPr>
        <w:t xml:space="preserve"> (COVID-19) (KLASA: 022-03/20-04/63, URBROJ: 50301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4762">
        <w:rPr>
          <w:rFonts w:ascii="Times New Roman" w:hAnsi="Times New Roman" w:cs="Times New Roman"/>
          <w:sz w:val="24"/>
          <w:szCs w:val="24"/>
        </w:rPr>
        <w:t>25/16-20-2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762">
        <w:rPr>
          <w:rFonts w:ascii="Times New Roman" w:hAnsi="Times New Roman" w:cs="Times New Roman"/>
          <w:sz w:val="24"/>
          <w:szCs w:val="24"/>
        </w:rPr>
        <w:t xml:space="preserve"> od 12. ožujka 2020.) </w:t>
      </w:r>
    </w:p>
    <w:p w14:paraId="10F47B4B" w14:textId="77777777" w:rsidR="00D81275" w:rsidRPr="00FC4762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4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4762">
        <w:rPr>
          <w:rFonts w:ascii="Times New Roman" w:hAnsi="Times New Roman" w:cs="Times New Roman"/>
          <w:sz w:val="24"/>
          <w:szCs w:val="24"/>
        </w:rPr>
        <w:t>2. Odluci o nabavi i korištenju robe strateških robnih zaliha u svrhu provedbe mjera zaštite zdravlja i jačanja nadzora nad širenjem COVID-19 virusa (KLASA: 022-03/20-04/91,</w:t>
      </w:r>
      <w:r>
        <w:rPr>
          <w:rFonts w:ascii="Times New Roman" w:hAnsi="Times New Roman" w:cs="Times New Roman"/>
          <w:sz w:val="24"/>
          <w:szCs w:val="24"/>
        </w:rPr>
        <w:t xml:space="preserve"> URBROJ: 50301-25/16-30-1, </w:t>
      </w:r>
      <w:r w:rsidRPr="00FC4762">
        <w:rPr>
          <w:rFonts w:ascii="Times New Roman" w:hAnsi="Times New Roman" w:cs="Times New Roman"/>
          <w:sz w:val="24"/>
          <w:szCs w:val="24"/>
        </w:rPr>
        <w:t>od 17. ožujka 2020.)</w:t>
      </w:r>
    </w:p>
    <w:p w14:paraId="0E2A9F47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4762">
        <w:rPr>
          <w:rFonts w:ascii="Times New Roman" w:hAnsi="Times New Roman" w:cs="Times New Roman"/>
          <w:sz w:val="24"/>
          <w:szCs w:val="24"/>
        </w:rPr>
        <w:tab/>
      </w:r>
      <w:r w:rsidRPr="00FC4762">
        <w:rPr>
          <w:rFonts w:ascii="Times New Roman" w:hAnsi="Times New Roman" w:cs="Times New Roman"/>
          <w:sz w:val="24"/>
          <w:szCs w:val="24"/>
        </w:rPr>
        <w:tab/>
        <w:t>3. Rješenju o odobrenju sredstava na teret Proračunske zalihe Državnog proračuna Republike Hrvatske za 2020. godinu (KLASA: 400-06/20-</w:t>
      </w:r>
      <w:r>
        <w:rPr>
          <w:rFonts w:ascii="Times New Roman" w:hAnsi="Times New Roman" w:cs="Times New Roman"/>
          <w:sz w:val="24"/>
          <w:szCs w:val="24"/>
        </w:rPr>
        <w:t xml:space="preserve">02/02, URBROJ: 50301-25/05-20-2, </w:t>
      </w:r>
      <w:r w:rsidRPr="00FC4762">
        <w:rPr>
          <w:rFonts w:ascii="Times New Roman" w:hAnsi="Times New Roman" w:cs="Times New Roman"/>
          <w:sz w:val="24"/>
          <w:szCs w:val="24"/>
        </w:rPr>
        <w:t>od 19. ožujka 2020.)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D0EA8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980EC9" w14:textId="77777777" w:rsidR="00D81275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temelju navedenih odluka Vlade Republike Hrvatske Ministarstvo gospodarstva, poduzetništva i obrta (kasnije: Ministarstvo gospodarstva i održivog razvoja) – Ravnateljstvo za robne zalihe izvršilo je nabave opreme, uređaja, </w:t>
      </w:r>
      <w:r w:rsidRPr="00FC4762">
        <w:rPr>
          <w:rFonts w:ascii="Times New Roman" w:eastAsia="Times New Roman" w:hAnsi="Times New Roman" w:cs="Times New Roman"/>
          <w:sz w:val="24"/>
          <w:szCs w:val="24"/>
        </w:rPr>
        <w:t>dezinficijensa, testova i opreme za testiranje za sprečavanje širenja epidemije C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C4762">
        <w:rPr>
          <w:rFonts w:ascii="Times New Roman" w:eastAsia="Times New Roman" w:hAnsi="Times New Roman" w:cs="Times New Roman"/>
          <w:sz w:val="24"/>
          <w:szCs w:val="24"/>
        </w:rPr>
        <w:t>-19 u ukupnom iznosu od 83.005.218,84 eura. Od navedenog iznosa u 2020. godini izvršena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762">
        <w:rPr>
          <w:rFonts w:ascii="Times New Roman" w:eastAsia="Times New Roman" w:hAnsi="Times New Roman" w:cs="Times New Roman"/>
          <w:sz w:val="24"/>
          <w:szCs w:val="24"/>
        </w:rPr>
        <w:t xml:space="preserve">je nabava i isporuka u iznosu od 64.231.689,44 eura, u 2021. godini u iznosu od 12.930.109,04 eura, a u 2022. godini 5.843.420,36 eura. Za potrebe opskrbe postrojbi civilne zaštite, te za ostalu robu za potrebe sprečavanja epidemije nabavljeno je i isporučeno robe u vrijednosti od 3.527.226,09 eura. Izvršene su nabave i plaćanja usluga za potrebe sprečavanja širenja epidemije u </w:t>
      </w:r>
      <w:r>
        <w:rPr>
          <w:rFonts w:ascii="Times New Roman" w:eastAsia="Times New Roman" w:hAnsi="Times New Roman" w:cs="Times New Roman"/>
          <w:sz w:val="24"/>
          <w:szCs w:val="24"/>
        </w:rPr>
        <w:t>vrijednosti od 7.760.195,31 euro</w:t>
      </w:r>
      <w:r w:rsidRPr="00FC4762">
        <w:rPr>
          <w:rFonts w:ascii="Times New Roman" w:eastAsia="Times New Roman" w:hAnsi="Times New Roman" w:cs="Times New Roman"/>
          <w:sz w:val="24"/>
          <w:szCs w:val="24"/>
        </w:rPr>
        <w:t>. Ukupni troškovi vezani za sprečavanje širenja epidemije C</w:t>
      </w:r>
      <w:r>
        <w:rPr>
          <w:rFonts w:ascii="Times New Roman" w:eastAsia="Times New Roman" w:hAnsi="Times New Roman" w:cs="Times New Roman"/>
          <w:sz w:val="24"/>
          <w:szCs w:val="24"/>
        </w:rPr>
        <w:t>OVID-</w:t>
      </w:r>
      <w:r w:rsidRPr="00FC4762">
        <w:rPr>
          <w:rFonts w:ascii="Times New Roman" w:eastAsia="Times New Roman" w:hAnsi="Times New Roman" w:cs="Times New Roman"/>
          <w:sz w:val="24"/>
          <w:szCs w:val="24"/>
        </w:rPr>
        <w:t xml:space="preserve">19 iznose 94.292.640,24 eura. </w:t>
      </w:r>
    </w:p>
    <w:p w14:paraId="277C0100" w14:textId="77777777" w:rsidR="00D81275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F1785" w14:textId="77777777" w:rsidR="00D81275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2">
        <w:rPr>
          <w:rFonts w:ascii="Times New Roman" w:eastAsia="Times New Roman" w:hAnsi="Times New Roman" w:cs="Times New Roman"/>
          <w:sz w:val="24"/>
          <w:szCs w:val="24"/>
        </w:rPr>
        <w:t xml:space="preserve">Detaljan pregled izvršenih nabava roba i usluga po datumu nabave, dobavljaču, vrsti robe ili usluge, količini i vrijednosti nalazi se na sljedećoj poveznici: </w:t>
      </w:r>
    </w:p>
    <w:p w14:paraId="1E761DD7" w14:textId="77777777" w:rsidR="00D81275" w:rsidRPr="00930BF5" w:rsidRDefault="005F718E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3" w:history="1">
        <w:r w:rsidR="00D812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https://mingor.gov.hr/o-ministarstvu-1065/djelokrug/ravnateljstvo-za-robne-zalihe6106/javna-nabava-i-natjecaji/popis-izvrsenih-nabava-i-usluga/8051</w:t>
        </w:r>
      </w:hyperlink>
      <w:r w:rsidR="00D81275" w:rsidRPr="002B4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37063" w14:textId="77777777" w:rsidR="00D81275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B510A" w14:textId="77777777" w:rsidR="00D81275" w:rsidRPr="00932CB1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2CB1">
        <w:rPr>
          <w:rFonts w:ascii="Times New Roman" w:eastAsia="Times New Roman" w:hAnsi="Times New Roman" w:cs="Times New Roman"/>
          <w:spacing w:val="-2"/>
          <w:sz w:val="24"/>
          <w:szCs w:val="24"/>
        </w:rPr>
        <w:t>Odluka Vlade Republike Hrvatske o nabavi i korištenju robe strateških robnih zaliha u svrhu provedbe mjera zaštite zdravlja i jačanja nadzora nad širenjem COVID-19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irusa od 17. ožujka 2020.</w:t>
      </w:r>
      <w:r w:rsidRPr="00932C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nema oznaku tajnosti i javno je objavljena na stranicama Vlade Republike Hrvatske, kao i na mrežnim stranicama Ministarstva gospodarstva i održivog razvoja.</w:t>
      </w:r>
    </w:p>
    <w:p w14:paraId="29C0ECFD" w14:textId="77777777" w:rsidR="00D81275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05F27" w14:textId="77777777" w:rsidR="00D81275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Radi stalnih potreba žurne nabave pojedinih roba i usluga kojima državna tijela i organizacije Republike Hrvatske nisu raspolagala ili ih nisu imala u dovoljnim količinama,  u okolnostima stalnih izmjena stanja na terenu i u situaciji kojoj Republika Hrvatska još nije bila izložena, postupak nabave bio je izuzet od primjene Zakona o javnoj nabavi („Narodne novine“, br. 120/16. i 114/22.) na temelju članka 42. toga Zakona, zbog zaštite bitnih sigurnosnih interesa Republike Hrvatske koji se nisu mogli jamčiti manje drastičnim mjerama. Stoga, donošenje navedene Odluke bilo je nužno, logično, zakonito i svrhovito.</w:t>
      </w:r>
    </w:p>
    <w:p w14:paraId="4B5F52AE" w14:textId="77777777" w:rsidR="00D81275" w:rsidRDefault="00D81275" w:rsidP="00D81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3AC30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nesvrsishodno je istraživanje i utvrđivanje poznatih činjenica o tome koje su institucije Republike Hrvatske procjenjivale količine cjepiva koje je potrebno nabaviti, koliki je ukupan broj cjepiva protiv COVID-a od početka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nije upotrijebljen na građanima Republike Hrvatske te koja je ukupna vrijednost troškova za sve dostavljene doze svih proizvođača.</w:t>
      </w:r>
    </w:p>
    <w:p w14:paraId="79217225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324E4F0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389">
        <w:rPr>
          <w:rFonts w:ascii="Times New Roman" w:hAnsi="Times New Roman" w:cs="Times New Roman"/>
          <w:sz w:val="24"/>
          <w:szCs w:val="24"/>
        </w:rPr>
        <w:t>Naime, Sukladno Zak</w:t>
      </w:r>
      <w:r>
        <w:rPr>
          <w:rFonts w:ascii="Times New Roman" w:hAnsi="Times New Roman" w:cs="Times New Roman"/>
          <w:sz w:val="24"/>
          <w:szCs w:val="24"/>
        </w:rPr>
        <w:t xml:space="preserve">ljučku Vlade Republike Hrvatske, od </w:t>
      </w:r>
      <w:r w:rsidRPr="00664389">
        <w:rPr>
          <w:rFonts w:ascii="Times New Roman" w:hAnsi="Times New Roman" w:cs="Times New Roman"/>
          <w:sz w:val="24"/>
          <w:szCs w:val="24"/>
        </w:rPr>
        <w:t>30. srpnja 2020., ministar zdravstva je Europskoj komisiji (</w:t>
      </w:r>
      <w:r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664389">
        <w:rPr>
          <w:rFonts w:ascii="Times New Roman" w:hAnsi="Times New Roman" w:cs="Times New Roman"/>
          <w:sz w:val="24"/>
          <w:szCs w:val="24"/>
        </w:rPr>
        <w:t xml:space="preserve">EK) dostavio pismo kojim je obavijestio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4389">
        <w:rPr>
          <w:rFonts w:ascii="Times New Roman" w:hAnsi="Times New Roman" w:cs="Times New Roman"/>
          <w:sz w:val="24"/>
          <w:szCs w:val="24"/>
        </w:rPr>
        <w:t xml:space="preserve"> okončanju unutarnjih postupaka u Republici Hrvatskoj potrebnih za potpisivanje Sporazuma EK i država članica sudionica o nabavi cjepiva protiv bolesti COVID-19 (u daljnjem tekstu: Sporazum). Na temelju Sporazuma, EK je u ime država članica sudionica, ovlaštena sklopiti sporazume o prethodnoj kupnji s</w:t>
      </w:r>
      <w:r>
        <w:rPr>
          <w:rFonts w:ascii="Times New Roman" w:hAnsi="Times New Roman" w:cs="Times New Roman"/>
          <w:sz w:val="24"/>
          <w:szCs w:val="24"/>
        </w:rPr>
        <w:t xml:space="preserve"> proizvođačima</w:t>
      </w:r>
      <w:r w:rsidRPr="00664389">
        <w:rPr>
          <w:rFonts w:ascii="Times New Roman" w:hAnsi="Times New Roman" w:cs="Times New Roman"/>
          <w:sz w:val="24"/>
          <w:szCs w:val="24"/>
        </w:rPr>
        <w:t xml:space="preserve"> cjepiva radi nabave cjepiva za suzbijanje </w:t>
      </w:r>
      <w:proofErr w:type="spellStart"/>
      <w:r w:rsidRPr="00664389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664389">
        <w:rPr>
          <w:rFonts w:ascii="Times New Roman" w:hAnsi="Times New Roman" w:cs="Times New Roman"/>
          <w:sz w:val="24"/>
          <w:szCs w:val="24"/>
        </w:rPr>
        <w:t xml:space="preserve"> bolesti COVID-19 na razini Europske unije (</w:t>
      </w:r>
      <w:r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664389">
        <w:rPr>
          <w:rFonts w:ascii="Times New Roman" w:hAnsi="Times New Roman" w:cs="Times New Roman"/>
          <w:sz w:val="24"/>
          <w:szCs w:val="24"/>
        </w:rPr>
        <w:t>EU).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89">
        <w:rPr>
          <w:rFonts w:ascii="Times New Roman" w:hAnsi="Times New Roman" w:cs="Times New Roman"/>
          <w:sz w:val="24"/>
          <w:szCs w:val="24"/>
        </w:rPr>
        <w:t>Zbog neizvjesnosti koje će cjepivo biti razvijeno i dobiti dozvolu za uporabu, EU je donijela strategiju nabave šireg spektra cjepiva da bi mogla ostvari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64389">
        <w:rPr>
          <w:rFonts w:ascii="Times New Roman" w:hAnsi="Times New Roman" w:cs="Times New Roman"/>
          <w:sz w:val="24"/>
          <w:szCs w:val="24"/>
        </w:rPr>
        <w:t xml:space="preserve"> svoj cilj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4389">
        <w:rPr>
          <w:rFonts w:ascii="Times New Roman" w:hAnsi="Times New Roman" w:cs="Times New Roman"/>
          <w:sz w:val="24"/>
          <w:szCs w:val="24"/>
        </w:rPr>
        <w:t xml:space="preserve"> „do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64389">
        <w:rPr>
          <w:rFonts w:ascii="Times New Roman" w:hAnsi="Times New Roman" w:cs="Times New Roman"/>
          <w:sz w:val="24"/>
          <w:szCs w:val="24"/>
        </w:rPr>
        <w:t>jeta 2021. godine cijepiti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89">
        <w:rPr>
          <w:rFonts w:ascii="Times New Roman" w:hAnsi="Times New Roman" w:cs="Times New Roman"/>
          <w:sz w:val="24"/>
          <w:szCs w:val="24"/>
        </w:rPr>
        <w:t>% EU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64389">
        <w:rPr>
          <w:rFonts w:ascii="Times New Roman" w:hAnsi="Times New Roman" w:cs="Times New Roman"/>
          <w:sz w:val="24"/>
          <w:szCs w:val="24"/>
        </w:rPr>
        <w:t xml:space="preserve">ana” te je zbog toga postojao pritisak da države članice preuzmu količine što bliže pripadajućem </w:t>
      </w:r>
      <w:r w:rsidRPr="00664389">
        <w:rPr>
          <w:rFonts w:ascii="Times New Roman" w:hAnsi="Times New Roman" w:cs="Times New Roman"/>
          <w:i/>
          <w:sz w:val="24"/>
          <w:szCs w:val="24"/>
        </w:rPr>
        <w:t>pro rata</w:t>
      </w:r>
      <w:r w:rsidRPr="00664389">
        <w:rPr>
          <w:rFonts w:ascii="Times New Roman" w:hAnsi="Times New Roman" w:cs="Times New Roman"/>
          <w:sz w:val="24"/>
          <w:szCs w:val="24"/>
        </w:rPr>
        <w:t xml:space="preserve"> udjelu formiranom prema metodologiji </w:t>
      </w:r>
      <w:proofErr w:type="spellStart"/>
      <w:r w:rsidRPr="00664389">
        <w:rPr>
          <w:rFonts w:ascii="Times New Roman" w:hAnsi="Times New Roman" w:cs="Times New Roman"/>
          <w:sz w:val="24"/>
          <w:szCs w:val="24"/>
        </w:rPr>
        <w:t>Eurostata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64389">
        <w:rPr>
          <w:rFonts w:ascii="Times New Roman" w:hAnsi="Times New Roman" w:cs="Times New Roman"/>
          <w:sz w:val="24"/>
          <w:szCs w:val="24"/>
        </w:rPr>
        <w:t xml:space="preserve"> odnosno udjelu stanovnika u ukupnom broju stanovnika E</w:t>
      </w:r>
      <w:r>
        <w:rPr>
          <w:rFonts w:ascii="Times New Roman" w:hAnsi="Times New Roman" w:cs="Times New Roman"/>
          <w:sz w:val="24"/>
          <w:szCs w:val="24"/>
        </w:rPr>
        <w:t>uropske unije</w:t>
      </w:r>
      <w:r w:rsidRPr="00664389">
        <w:rPr>
          <w:rFonts w:ascii="Times New Roman" w:hAnsi="Times New Roman" w:cs="Times New Roman"/>
          <w:sz w:val="24"/>
          <w:szCs w:val="24"/>
        </w:rPr>
        <w:t xml:space="preserve">, koji je EK </w:t>
      </w:r>
      <w:proofErr w:type="spellStart"/>
      <w:r w:rsidRPr="00664389">
        <w:rPr>
          <w:rFonts w:ascii="Times New Roman" w:hAnsi="Times New Roman" w:cs="Times New Roman"/>
          <w:sz w:val="24"/>
          <w:szCs w:val="24"/>
        </w:rPr>
        <w:t>ispregovarala</w:t>
      </w:r>
      <w:proofErr w:type="spellEnd"/>
      <w:r w:rsidRPr="00664389">
        <w:rPr>
          <w:rFonts w:ascii="Times New Roman" w:hAnsi="Times New Roman" w:cs="Times New Roman"/>
          <w:sz w:val="24"/>
          <w:szCs w:val="24"/>
        </w:rPr>
        <w:t xml:space="preserve"> s proizvo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64389">
        <w:rPr>
          <w:rFonts w:ascii="Times New Roman" w:hAnsi="Times New Roman" w:cs="Times New Roman"/>
          <w:sz w:val="24"/>
          <w:szCs w:val="24"/>
        </w:rPr>
        <w:t>ačima</w:t>
      </w:r>
      <w:r>
        <w:rPr>
          <w:rFonts w:ascii="Times New Roman" w:hAnsi="Times New Roman" w:cs="Times New Roman"/>
          <w:sz w:val="24"/>
          <w:szCs w:val="24"/>
        </w:rPr>
        <w:t>. EU</w:t>
      </w:r>
      <w:r w:rsidRPr="00664389">
        <w:rPr>
          <w:rFonts w:ascii="Times New Roman" w:hAnsi="Times New Roman" w:cs="Times New Roman"/>
          <w:sz w:val="24"/>
          <w:szCs w:val="24"/>
        </w:rPr>
        <w:t xml:space="preserve"> je ukupno naručila preko 4.2 milijardi doza dok se R</w:t>
      </w:r>
      <w:r>
        <w:rPr>
          <w:rFonts w:ascii="Times New Roman" w:hAnsi="Times New Roman" w:cs="Times New Roman"/>
          <w:sz w:val="24"/>
          <w:szCs w:val="24"/>
        </w:rPr>
        <w:t>epublika Hrvatska</w:t>
      </w:r>
      <w:r w:rsidRPr="00664389">
        <w:rPr>
          <w:rFonts w:ascii="Times New Roman" w:hAnsi="Times New Roman" w:cs="Times New Roman"/>
          <w:sz w:val="24"/>
          <w:szCs w:val="24"/>
        </w:rPr>
        <w:t xml:space="preserve"> obvezala samo za 0,46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89">
        <w:rPr>
          <w:rFonts w:ascii="Times New Roman" w:hAnsi="Times New Roman" w:cs="Times New Roman"/>
          <w:sz w:val="24"/>
          <w:szCs w:val="24"/>
        </w:rPr>
        <w:t xml:space="preserve">% navedenih doza, iako je naša </w:t>
      </w:r>
      <w:r w:rsidRPr="00664389">
        <w:rPr>
          <w:rFonts w:ascii="Times New Roman" w:hAnsi="Times New Roman" w:cs="Times New Roman"/>
          <w:i/>
          <w:sz w:val="24"/>
          <w:szCs w:val="24"/>
        </w:rPr>
        <w:t>pro rata</w:t>
      </w:r>
      <w:r w:rsidRPr="00664389">
        <w:rPr>
          <w:rFonts w:ascii="Times New Roman" w:hAnsi="Times New Roman" w:cs="Times New Roman"/>
          <w:sz w:val="24"/>
          <w:szCs w:val="24"/>
        </w:rPr>
        <w:t xml:space="preserve"> obveza bila 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89">
        <w:rPr>
          <w:rFonts w:ascii="Times New Roman" w:hAnsi="Times New Roman" w:cs="Times New Roman"/>
          <w:sz w:val="24"/>
          <w:szCs w:val="24"/>
        </w:rPr>
        <w:t xml:space="preserve">%, što svjedoči da </w:t>
      </w:r>
      <w:r>
        <w:rPr>
          <w:rFonts w:ascii="Times New Roman" w:hAnsi="Times New Roman" w:cs="Times New Roman"/>
          <w:sz w:val="24"/>
          <w:szCs w:val="24"/>
        </w:rPr>
        <w:t>je Vlada Republike Hrvatske</w:t>
      </w:r>
      <w:r w:rsidRPr="00664389">
        <w:rPr>
          <w:rFonts w:ascii="Times New Roman" w:hAnsi="Times New Roman" w:cs="Times New Roman"/>
          <w:sz w:val="24"/>
          <w:szCs w:val="24"/>
        </w:rPr>
        <w:t xml:space="preserve"> opre</w:t>
      </w:r>
      <w:r>
        <w:rPr>
          <w:rFonts w:ascii="Times New Roman" w:hAnsi="Times New Roman" w:cs="Times New Roman"/>
          <w:sz w:val="24"/>
          <w:szCs w:val="24"/>
        </w:rPr>
        <w:t>zno</w:t>
      </w:r>
      <w:r w:rsidRPr="00664389">
        <w:rPr>
          <w:rFonts w:ascii="Times New Roman" w:hAnsi="Times New Roman" w:cs="Times New Roman"/>
          <w:sz w:val="24"/>
          <w:szCs w:val="24"/>
        </w:rPr>
        <w:t xml:space="preserve"> donosil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4389">
        <w:rPr>
          <w:rFonts w:ascii="Times New Roman" w:hAnsi="Times New Roman" w:cs="Times New Roman"/>
          <w:sz w:val="24"/>
          <w:szCs w:val="24"/>
        </w:rPr>
        <w:t xml:space="preserve">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89">
        <w:rPr>
          <w:rFonts w:ascii="Times New Roman" w:hAnsi="Times New Roman" w:cs="Times New Roman"/>
          <w:sz w:val="24"/>
          <w:szCs w:val="24"/>
        </w:rPr>
        <w:t xml:space="preserve">Količine cjepiva koje su se ugovarale temeljile su se na prijedlogu </w:t>
      </w:r>
      <w:r>
        <w:rPr>
          <w:rFonts w:ascii="Times New Roman" w:hAnsi="Times New Roman" w:cs="Times New Roman"/>
          <w:sz w:val="24"/>
          <w:szCs w:val="24"/>
        </w:rPr>
        <w:t xml:space="preserve">Hrvatskog zavoda za javno zdravstvo (u daljnjem tekstu: HZJZ), </w:t>
      </w:r>
      <w:r w:rsidRPr="00664389">
        <w:rPr>
          <w:rFonts w:ascii="Times New Roman" w:hAnsi="Times New Roman" w:cs="Times New Roman"/>
          <w:sz w:val="24"/>
          <w:szCs w:val="24"/>
        </w:rPr>
        <w:t>odnosno na prijedlo</w:t>
      </w:r>
      <w:r>
        <w:rPr>
          <w:rFonts w:ascii="Times New Roman" w:hAnsi="Times New Roman" w:cs="Times New Roman"/>
          <w:sz w:val="24"/>
          <w:szCs w:val="24"/>
        </w:rPr>
        <w:t>zima</w:t>
      </w:r>
      <w:r w:rsidRPr="00664389">
        <w:rPr>
          <w:rFonts w:ascii="Times New Roman" w:hAnsi="Times New Roman" w:cs="Times New Roman"/>
          <w:sz w:val="24"/>
          <w:szCs w:val="24"/>
        </w:rPr>
        <w:t xml:space="preserve"> epidemiološke struke i Radne skupine Ministarstva zdravstva.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F8975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F8FECF" w14:textId="26DBC20C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 je ukupno do kraja 2024. godine naručila 19.771.336 doza svih cjepiva. Od tog broja doza treba odbiti one od kojih se odustalo (</w:t>
      </w:r>
      <w:proofErr w:type="spellStart"/>
      <w:r>
        <w:rPr>
          <w:rFonts w:ascii="Times New Roman" w:hAnsi="Times New Roman" w:cs="Times New Roman"/>
          <w:sz w:val="24"/>
          <w:szCs w:val="24"/>
        </w:rPr>
        <w:t>Valneva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536.978 doza), a za neke se vode pregovori  o smanjenju isporuke. Do 30. lipnja 2023. je u Republiku Hrvatsku isporučeno 12.443.890 doza, od čega je 5.362.053 utrošeno cijepljenjem. Isporučene doze koje nisu upotrijebljene se sastoje od </w:t>
      </w:r>
      <w:r w:rsidR="0007726E">
        <w:rPr>
          <w:rFonts w:ascii="Times New Roman" w:hAnsi="Times New Roman" w:cs="Times New Roman"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 4.000.000 doza koje su na skladištu HZJZ-a i Županijskih zavoda, 1.200.000 doza koje su bilateralno donirane sa skladišta u Hrvatskoj, te 1.800.000 doza koje su uništene zbog isteklog roka trajanja. </w:t>
      </w:r>
      <w:r w:rsidR="008A00D7">
        <w:rPr>
          <w:rFonts w:ascii="Times New Roman" w:hAnsi="Times New Roman" w:cs="Times New Roman"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 3.000.000 doza je donirano direktno sa skladišta proizvođača putem mehanizma COVAX.</w:t>
      </w:r>
    </w:p>
    <w:p w14:paraId="6954129B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danom 30. lipnja 2023. </w:t>
      </w:r>
      <w:r w:rsidRPr="00E51D28">
        <w:rPr>
          <w:rFonts w:ascii="Times New Roman" w:hAnsi="Times New Roman" w:cs="Times New Roman"/>
          <w:sz w:val="24"/>
          <w:szCs w:val="24"/>
        </w:rPr>
        <w:t xml:space="preserve">u računovodstvenom sustavu HZJZ-a evidentiran je trošak za nabavu cjepiva protiv bolesti COVID-19 u ukupnom iznosu od 230.841.606,64 </w:t>
      </w:r>
      <w:r>
        <w:rPr>
          <w:rFonts w:ascii="Times New Roman" w:hAnsi="Times New Roman" w:cs="Times New Roman"/>
          <w:sz w:val="24"/>
          <w:szCs w:val="24"/>
        </w:rPr>
        <w:t>eura</w:t>
      </w:r>
      <w:r w:rsidRPr="00E51D28">
        <w:rPr>
          <w:rFonts w:ascii="Times New Roman" w:hAnsi="Times New Roman" w:cs="Times New Roman"/>
          <w:sz w:val="24"/>
          <w:szCs w:val="24"/>
        </w:rPr>
        <w:t xml:space="preserve"> bez PDV-a.</w:t>
      </w:r>
    </w:p>
    <w:p w14:paraId="595AA21E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50A42A0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D28">
        <w:rPr>
          <w:rFonts w:ascii="Times New Roman" w:hAnsi="Times New Roman" w:cs="Times New Roman"/>
          <w:sz w:val="24"/>
          <w:szCs w:val="24"/>
        </w:rPr>
        <w:t xml:space="preserve">Svrha nabave cjepiva je bila zaštita zdravlja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51D28">
        <w:rPr>
          <w:rFonts w:ascii="Times New Roman" w:hAnsi="Times New Roman" w:cs="Times New Roman"/>
          <w:sz w:val="24"/>
          <w:szCs w:val="24"/>
        </w:rPr>
        <w:t>judi te su sredstva utrošena za nabavu cjepiva bila svojevrsno ulaganje za zaštitu zdravlja. Naime, cjepiva su jedno od najvećih postignuća medicine koje je spasilo i spašava milijune života diljem svijeta. Od 2020.</w:t>
      </w:r>
      <w:r>
        <w:rPr>
          <w:rFonts w:ascii="Times New Roman" w:hAnsi="Times New Roman" w:cs="Times New Roman"/>
          <w:sz w:val="24"/>
          <w:szCs w:val="24"/>
        </w:rPr>
        <w:t xml:space="preserve"> godine, a u skladu s</w:t>
      </w:r>
      <w:r w:rsidRPr="00E51D28">
        <w:rPr>
          <w:rFonts w:ascii="Times New Roman" w:hAnsi="Times New Roman" w:cs="Times New Roman"/>
          <w:sz w:val="24"/>
          <w:szCs w:val="24"/>
        </w:rPr>
        <w:t xml:space="preserve"> EU strategijom za cjepivo protiv bolesti </w:t>
      </w:r>
      <w:r>
        <w:rPr>
          <w:rFonts w:ascii="Times New Roman" w:hAnsi="Times New Roman" w:cs="Times New Roman"/>
          <w:sz w:val="24"/>
          <w:szCs w:val="24"/>
        </w:rPr>
        <w:t>COVID-</w:t>
      </w:r>
      <w:r w:rsidRPr="00E51D28">
        <w:rPr>
          <w:rFonts w:ascii="Times New Roman" w:hAnsi="Times New Roman" w:cs="Times New Roman"/>
          <w:sz w:val="24"/>
          <w:szCs w:val="24"/>
        </w:rPr>
        <w:t xml:space="preserve">19 (EU </w:t>
      </w:r>
      <w:proofErr w:type="spellStart"/>
      <w:r w:rsidRPr="00E51D2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8">
        <w:rPr>
          <w:rFonts w:ascii="Times New Roman" w:hAnsi="Times New Roman" w:cs="Times New Roman"/>
          <w:sz w:val="24"/>
          <w:szCs w:val="24"/>
        </w:rPr>
        <w:t xml:space="preserve">for COVID-19 </w:t>
      </w:r>
      <w:proofErr w:type="spellStart"/>
      <w:r w:rsidRPr="00E51D28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E51D28">
        <w:rPr>
          <w:rFonts w:ascii="Times New Roman" w:hAnsi="Times New Roman" w:cs="Times New Roman"/>
          <w:sz w:val="24"/>
          <w:szCs w:val="24"/>
        </w:rPr>
        <w:t xml:space="preserve">, COM(2020) 245), EU, pa tako i </w:t>
      </w:r>
      <w:r>
        <w:rPr>
          <w:rFonts w:ascii="Times New Roman" w:hAnsi="Times New Roman" w:cs="Times New Roman"/>
          <w:sz w:val="24"/>
          <w:szCs w:val="24"/>
        </w:rPr>
        <w:t xml:space="preserve">Republika </w:t>
      </w:r>
      <w:r w:rsidRPr="00E51D28">
        <w:rPr>
          <w:rFonts w:ascii="Times New Roman" w:hAnsi="Times New Roman" w:cs="Times New Roman"/>
          <w:sz w:val="24"/>
          <w:szCs w:val="24"/>
        </w:rPr>
        <w:t xml:space="preserve">Hrvatska, uložili su velika sredstva u razvoj i globalnu proizvodnju cjepiva protiv COVID-19 u svrhu očuvanja zdravlja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51D28">
        <w:rPr>
          <w:rFonts w:ascii="Times New Roman" w:hAnsi="Times New Roman" w:cs="Times New Roman"/>
          <w:sz w:val="24"/>
          <w:szCs w:val="24"/>
        </w:rPr>
        <w:t xml:space="preserve">judi. Bilo je ključno imati </w:t>
      </w:r>
      <w:r w:rsidRPr="00E51D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B72A3C" wp14:editId="6BDC49E3">
            <wp:extent cx="3048" cy="3049"/>
            <wp:effectExtent l="0" t="0" r="0" b="0"/>
            <wp:docPr id="5771" name="Picture 5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" name="Picture 57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D28">
        <w:rPr>
          <w:rFonts w:ascii="Times New Roman" w:hAnsi="Times New Roman" w:cs="Times New Roman"/>
          <w:sz w:val="24"/>
          <w:szCs w:val="24"/>
        </w:rPr>
        <w:t>cjepiva što je ranije moguće i u potrebnoj mjeri, što je zahtijevalo značajna ulaganja prije nego što se zna hoće li se bilo koje od ovih cjepiva pokazati uspješnim. Provedba EU Strategije za cjepivo protiv bolesti C</w:t>
      </w:r>
      <w:r>
        <w:rPr>
          <w:rFonts w:ascii="Times New Roman" w:hAnsi="Times New Roman" w:cs="Times New Roman"/>
          <w:sz w:val="24"/>
          <w:szCs w:val="24"/>
        </w:rPr>
        <w:t>OVID-</w:t>
      </w:r>
      <w:r w:rsidRPr="00E51D28">
        <w:rPr>
          <w:rFonts w:ascii="Times New Roman" w:hAnsi="Times New Roman" w:cs="Times New Roman"/>
          <w:sz w:val="24"/>
          <w:szCs w:val="24"/>
        </w:rPr>
        <w:t>19 nadmašila je sva očekivanja. Države članice EU-a imale su pristup sigurnim i učinkovitim cjepivima iz širokog portfelja različitih tehnologija i u potrebnim količinama, što je omogućilo svi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51D28"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 xml:space="preserve">anima </w:t>
      </w:r>
      <w:r>
        <w:rPr>
          <w:rFonts w:ascii="Times New Roman" w:hAnsi="Times New Roman" w:cs="Times New Roman"/>
          <w:sz w:val="24"/>
          <w:szCs w:val="24"/>
        </w:rPr>
        <w:t>Unije</w:t>
      </w:r>
      <w:r w:rsidRPr="00E51D28">
        <w:rPr>
          <w:rFonts w:ascii="Times New Roman" w:hAnsi="Times New Roman" w:cs="Times New Roman"/>
          <w:sz w:val="24"/>
          <w:szCs w:val="24"/>
        </w:rPr>
        <w:t xml:space="preserve"> da dobiju primarna cjepiva i docjepljivanje, spašavajući živote i ublažavanje utjecaja </w:t>
      </w:r>
      <w:proofErr w:type="spellStart"/>
      <w:r w:rsidRPr="00E51D28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E51D28">
        <w:rPr>
          <w:rFonts w:ascii="Times New Roman" w:hAnsi="Times New Roman" w:cs="Times New Roman"/>
          <w:sz w:val="24"/>
          <w:szCs w:val="24"/>
        </w:rPr>
        <w:t xml:space="preserve"> na društveni i gospodarski život.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51D28">
        <w:rPr>
          <w:rFonts w:ascii="Times New Roman" w:hAnsi="Times New Roman" w:cs="Times New Roman"/>
          <w:sz w:val="24"/>
          <w:szCs w:val="24"/>
        </w:rPr>
        <w:t>toviše, velik broj ovi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51D28">
        <w:rPr>
          <w:rFonts w:ascii="Times New Roman" w:hAnsi="Times New Roman" w:cs="Times New Roman"/>
          <w:sz w:val="24"/>
          <w:szCs w:val="24"/>
        </w:rPr>
        <w:t xml:space="preserve"> cjepiva korišten je i u globalnim naporima za suzbijanje </w:t>
      </w:r>
      <w:proofErr w:type="spellStart"/>
      <w:r w:rsidRPr="00E51D28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E51D28">
        <w:rPr>
          <w:rFonts w:ascii="Times New Roman" w:hAnsi="Times New Roman" w:cs="Times New Roman"/>
          <w:sz w:val="24"/>
          <w:szCs w:val="24"/>
        </w:rPr>
        <w:t>. Države članice donirale su 526 milijuna doza. Vlada Republike Hrvatske je iskoristila većinu cjepiva za cijepljenje i donacije sudjelujući ne samo u zaštiti života naših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 xml:space="preserve">ana već i globalno. </w:t>
      </w:r>
      <w:r>
        <w:rPr>
          <w:rFonts w:ascii="Times New Roman" w:hAnsi="Times New Roman" w:cs="Times New Roman"/>
          <w:sz w:val="24"/>
          <w:szCs w:val="24"/>
        </w:rPr>
        <w:t xml:space="preserve">Republika </w:t>
      </w:r>
      <w:r w:rsidRPr="00E51D28">
        <w:rPr>
          <w:rFonts w:ascii="Times New Roman" w:hAnsi="Times New Roman" w:cs="Times New Roman"/>
          <w:sz w:val="24"/>
          <w:szCs w:val="24"/>
        </w:rPr>
        <w:t>Hrvatska je donirala nekoliko milijuna cjepiva bilateralno i putem COVAX inicijative.</w:t>
      </w:r>
    </w:p>
    <w:p w14:paraId="75AAB2E9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9E9D17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D28">
        <w:rPr>
          <w:rFonts w:ascii="Times New Roman" w:hAnsi="Times New Roman" w:cs="Times New Roman"/>
          <w:sz w:val="24"/>
          <w:szCs w:val="24"/>
        </w:rPr>
        <w:t>Vrlo je teško predvidjeti koliko će osiguranih cjepiva biti iskorišteno u slučaju zdravstvene epidemije, posebice u slučaju nove bolesti s puno nepoznanica i novog cjepiva, kao što je to bilo kod SARS-COV-2 i COVID-19 i cjepiva protiv COVID-19 i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 xml:space="preserve">ena ograničenja precizne procjene potrebnih količina cjepiva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51D28">
        <w:rPr>
          <w:rFonts w:ascii="Times New Roman" w:hAnsi="Times New Roman" w:cs="Times New Roman"/>
          <w:sz w:val="24"/>
          <w:szCs w:val="24"/>
        </w:rPr>
        <w:t xml:space="preserve"> neminovna. No ta ograničenja su ublažena zajedničkom suradnjom i koordinacijom EK i država članica,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51D28">
        <w:rPr>
          <w:rFonts w:ascii="Times New Roman" w:hAnsi="Times New Roman" w:cs="Times New Roman"/>
          <w:sz w:val="24"/>
          <w:szCs w:val="24"/>
        </w:rPr>
        <w:t xml:space="preserve"> imal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1D28">
        <w:rPr>
          <w:rFonts w:ascii="Times New Roman" w:hAnsi="Times New Roman" w:cs="Times New Roman"/>
          <w:sz w:val="24"/>
          <w:szCs w:val="24"/>
        </w:rPr>
        <w:t xml:space="preserve"> za cilj osiguranje jednakosti u pristupu cjepivu i u slučaju potrebe zajednička akcija u usmjeravanju prema državama u potrebi kroz donacije ili revidiranje ugovara o nabav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51D28">
        <w:rPr>
          <w:rFonts w:ascii="Times New Roman" w:hAnsi="Times New Roman" w:cs="Times New Roman"/>
          <w:sz w:val="24"/>
          <w:szCs w:val="24"/>
        </w:rPr>
        <w:t xml:space="preserve"> s proizvo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>ačima. Kao što je bio slučaj od početka Strategije za nabavu cjepiva EU-a i nakon zahtjeva ministara zdravstva, EK i države članice nastavile su djelovati zajedno kako bi osigurale da se naši ugovori o cjepivima protiv COVID-19 prilagode sukladno promjenama potreba i odgovore na ovu novu situaciju.</w:t>
      </w:r>
    </w:p>
    <w:p w14:paraId="4FFD4C5A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3670019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>Vezano uz znanstvene spoznaje na temelju kojih je donesena odluka o prebaci</w:t>
      </w:r>
      <w:r>
        <w:rPr>
          <w:rFonts w:ascii="Times New Roman" w:hAnsi="Times New Roman" w:cs="Times New Roman"/>
          <w:sz w:val="24"/>
          <w:szCs w:val="24"/>
        </w:rPr>
        <w:t xml:space="preserve">vanju škola na online nastavu, Vlada Republike Hrvatske </w:t>
      </w:r>
      <w:r w:rsidRPr="00C91363">
        <w:rPr>
          <w:rFonts w:ascii="Times New Roman" w:hAnsi="Times New Roman" w:cs="Times New Roman"/>
          <w:sz w:val="24"/>
          <w:szCs w:val="24"/>
        </w:rPr>
        <w:t>ističe kako je Odluku o proglašenju opasnosti od epidemije zarazne bolesti COVID-19 uzrokovane virusom SARS-CoV-2 za cijelo područje Republike Hrvatske ministar zdravstva donio 4. ožujka 2020., a navedena bolest je 10. ožujka 2020. stavljena na Listu zaraznih bolesti čije je sprječavanje i suzbijanje od interesa za Republiku Hrvatsku. Ministar zdravstva proglasio je 11. ožujka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63">
        <w:rPr>
          <w:rFonts w:ascii="Times New Roman" w:hAnsi="Times New Roman" w:cs="Times New Roman"/>
          <w:sz w:val="24"/>
          <w:szCs w:val="24"/>
        </w:rPr>
        <w:t xml:space="preserve">epidemiju bolesti COVID-19 uzrokovane virusom SARS-CoV-2. Svjetska zdravstvena organizacija je 11. ožujka 2020. proglasila </w:t>
      </w:r>
      <w:proofErr w:type="spellStart"/>
      <w:r w:rsidRPr="00C91363">
        <w:rPr>
          <w:rFonts w:ascii="Times New Roman" w:hAnsi="Times New Roman" w:cs="Times New Roman"/>
          <w:sz w:val="24"/>
          <w:szCs w:val="24"/>
        </w:rPr>
        <w:t>pandemiju</w:t>
      </w:r>
      <w:proofErr w:type="spellEnd"/>
      <w:r w:rsidRPr="00C91363">
        <w:rPr>
          <w:rFonts w:ascii="Times New Roman" w:hAnsi="Times New Roman" w:cs="Times New Roman"/>
          <w:sz w:val="24"/>
          <w:szCs w:val="24"/>
        </w:rPr>
        <w:t xml:space="preserve"> COV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1363">
        <w:rPr>
          <w:rFonts w:ascii="Times New Roman" w:hAnsi="Times New Roman" w:cs="Times New Roman"/>
          <w:sz w:val="24"/>
          <w:szCs w:val="24"/>
        </w:rPr>
        <w:t>D-19.</w:t>
      </w:r>
    </w:p>
    <w:p w14:paraId="617B8C08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B7FDA6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>Vlada Republike Hrvatske donijela je 13. ožujka 2020. Odluku o obustavi izvođenja nastave u visokim učilištima, srednjim i osnovnim školama te redovnog rada ustanova predškolskog odgoja i obrazovanja i uspostavi nastave na daljinu („Narodne novine", br. 29/20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363">
        <w:rPr>
          <w:rFonts w:ascii="Times New Roman" w:hAnsi="Times New Roman" w:cs="Times New Roman"/>
          <w:sz w:val="24"/>
          <w:szCs w:val="24"/>
        </w:rPr>
        <w:t xml:space="preserve"> i 32/20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363">
        <w:rPr>
          <w:rFonts w:ascii="Times New Roman" w:hAnsi="Times New Roman" w:cs="Times New Roman"/>
          <w:sz w:val="24"/>
          <w:szCs w:val="24"/>
        </w:rPr>
        <w:t xml:space="preserve">). Navedenom Odlukom se, u uvjetima proglašene epidemije na području Republike Hrvatske, obustavlja izvođenje nastave u visokim učilištima, srednjim i osnovnim školama, kao i redovni rad vezan uz prijam djece u ustanovama predškolskog odgoja i obrazovanja te zadužuje Ministarstvo znanosti i obrazovanja za koordinaciju poslova i </w:t>
      </w:r>
      <w:r w:rsidRPr="00C91363">
        <w:rPr>
          <w:rFonts w:ascii="Times New Roman" w:hAnsi="Times New Roman" w:cs="Times New Roman"/>
          <w:sz w:val="24"/>
          <w:szCs w:val="24"/>
        </w:rPr>
        <w:lastRenderedPageBreak/>
        <w:t>dinamiku uspostave nastave na daljinu.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63">
        <w:rPr>
          <w:rFonts w:ascii="Times New Roman" w:hAnsi="Times New Roman" w:cs="Times New Roman"/>
          <w:sz w:val="24"/>
          <w:szCs w:val="24"/>
        </w:rPr>
        <w:t>Ministarstvo znanosti i obrazovanja je, zajedno s agencijama sustava (</w:t>
      </w:r>
      <w:proofErr w:type="spellStart"/>
      <w:r w:rsidRPr="00C91363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C91363">
        <w:rPr>
          <w:rFonts w:ascii="Times New Roman" w:hAnsi="Times New Roman" w:cs="Times New Roman"/>
          <w:sz w:val="24"/>
          <w:szCs w:val="24"/>
        </w:rPr>
        <w:t>, SRCE, AZOO, ASOO, AMPEU, NCVVO), razvilo koncept nastave na daljinu.</w:t>
      </w:r>
    </w:p>
    <w:p w14:paraId="3C8AB4FA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4DB556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 xml:space="preserve">Budući da učenici razredne nastave u toj dobi nisu spremni samostalno koristiti digitalne alate, Ministarstvo znanosti i obrazovanja je u suradnji s javnom televizijom (HRT) za najmlađe učenike uspostavilo nastavu na daljinu (Škola na Trećem). Za starije učenike (od V. razreda osnovne škole nadalje) izrađene su 15-minutne video-lekcije, koje su se prikazivale prema nacionalnom rasporedu. Za maturante su izrađene video-lekcije te raznovrsni digitalni sadržaji koje su ih pripremale za ispite državne mature. Učenicima predmetne nastave osigurana je oprema i pristup internetu. Tehničku je podršku školama pružao </w:t>
      </w:r>
      <w:proofErr w:type="spellStart"/>
      <w:r w:rsidRPr="00C91363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C91363">
        <w:rPr>
          <w:rFonts w:ascii="Times New Roman" w:hAnsi="Times New Roman" w:cs="Times New Roman"/>
          <w:sz w:val="24"/>
          <w:szCs w:val="24"/>
        </w:rPr>
        <w:t>.</w:t>
      </w:r>
    </w:p>
    <w:p w14:paraId="303267E7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C8E395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>Nadalje, sukladno dinamici kretanja epidemije bolesti COVID-19, Vlada Republike donijela je 7. svibnja 2020. Odluku o načinu izvođenja nastave u osnovnim i srednjim školama kao i na visokim učilištima te obavljanju redovnog rada ustanova predškolskog odgoja i ob</w:t>
      </w:r>
      <w:r>
        <w:rPr>
          <w:rFonts w:ascii="Times New Roman" w:hAnsi="Times New Roman" w:cs="Times New Roman"/>
          <w:sz w:val="24"/>
          <w:szCs w:val="24"/>
        </w:rPr>
        <w:t>razovanja („Narodne novine”, broj</w:t>
      </w:r>
      <w:r w:rsidRPr="00C91363">
        <w:rPr>
          <w:rFonts w:ascii="Times New Roman" w:hAnsi="Times New Roman" w:cs="Times New Roman"/>
          <w:sz w:val="24"/>
          <w:szCs w:val="24"/>
        </w:rPr>
        <w:t xml:space="preserve"> 55/20.), kojom se ureduje način izvođenja nastave u osnovnim i srednjim školama te na visokim učilištima, kao i obavljanje redovnog rada ustanova predškolskog odgoja i obrazovanja i stvara uporište za provođenje mješovitog modela nastave, dijelom kao oblik nastave koji učenici pohađaju u školi, a dijelom kao nastava na daljinu.</w:t>
      </w:r>
    </w:p>
    <w:p w14:paraId="6DCF9CB9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0BC5DFE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>Za učenike osnovnih i srednjih škola nastava se u školskoj godini 2020./2021. provodila sukladno modelima nastave utvrđenima Modelima i preporukama za rad u uvjetima povezanima s COVID-19 u pedagoškoj/školskoj godini 2020./2021. Ministarstva znanosti i obrazovanja.</w:t>
      </w:r>
    </w:p>
    <w:p w14:paraId="656EAB9E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BABE23" w14:textId="77777777" w:rsidR="00D81275" w:rsidRPr="007D5CE4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5CE4">
        <w:rPr>
          <w:rFonts w:ascii="Times New Roman" w:hAnsi="Times New Roman" w:cs="Times New Roman"/>
          <w:spacing w:val="-2"/>
          <w:sz w:val="24"/>
          <w:szCs w:val="24"/>
        </w:rPr>
        <w:t>Imajući u vidu preporuke nadležnih tijela iz područja javnog zdravstva kao i dinamiku bolesti COVID-19 predložena s</w:t>
      </w:r>
      <w:r>
        <w:rPr>
          <w:rFonts w:ascii="Times New Roman" w:hAnsi="Times New Roman" w:cs="Times New Roman"/>
          <w:spacing w:val="-2"/>
          <w:sz w:val="24"/>
          <w:szCs w:val="24"/>
        </w:rPr>
        <w:t>u tri modela odgojno-obrazovnog</w:t>
      </w:r>
      <w:r w:rsidRPr="007D5CE4">
        <w:rPr>
          <w:rFonts w:ascii="Times New Roman" w:hAnsi="Times New Roman" w:cs="Times New Roman"/>
          <w:spacing w:val="-2"/>
          <w:sz w:val="24"/>
          <w:szCs w:val="24"/>
        </w:rPr>
        <w:t xml:space="preserve"> rada u školama, koji su omogućavali prilagodbu modela izvođenja nastave sukladno stanju na pojedinom području, dakle pojedinoj županiji, gradu, odnosno školi. To su: odgojno-obrazovni rad i nastava u ustanovi (Model A), mješoviti oblik odgojno-obrazovnog rada/nastave, pri čemu se dio nastave izvodi u ustanovi, dio na daljinu (Model B) i odgojno-obrazovni rad i nastava na daljinu (Model C). Riječ je o fleksibilnim modelima koji se na lokalnoj razini mogu mijenjati ili dopunjavati u skladu s epidemiološkom slikom i novim nalazima o širenju SARS-CoV-2 infekcije.</w:t>
      </w:r>
    </w:p>
    <w:p w14:paraId="541D3A93" w14:textId="77777777" w:rsidR="00D81275" w:rsidRPr="007D5CE4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5D0EE5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>Shodno navedenom, modeli izvođenja nastave razrađeni u Ministarstvu znanosti i obrazovanja za trajanja epidemije bolesti COVID-19 bili su fleksibilni i omogućavali su da se način izvođenja</w:t>
      </w:r>
      <w:r>
        <w:rPr>
          <w:rFonts w:ascii="Times New Roman" w:hAnsi="Times New Roman" w:cs="Times New Roman"/>
          <w:sz w:val="24"/>
          <w:szCs w:val="24"/>
        </w:rPr>
        <w:t xml:space="preserve"> odgojno-obrazovnog</w:t>
      </w:r>
      <w:r w:rsidRPr="00C91363">
        <w:rPr>
          <w:rFonts w:ascii="Times New Roman" w:hAnsi="Times New Roman" w:cs="Times New Roman"/>
          <w:sz w:val="24"/>
          <w:szCs w:val="24"/>
        </w:rPr>
        <w:t xml:space="preserve"> rada prilagodi epidemiološkoj situaciji na svakom pojedinom području, a odluke o modelu izvođenja nastave donosile su se na razini školskih ustanova, u suradnji sa stožerom civilne zaštite jedinice lokalne i područne (regionalne) samouprave, ovisno o broju zaraženih na području svake pojedine jedinice lokalne i područne (regionalne</w:t>
      </w:r>
      <w:r w:rsidRPr="00C91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B06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C91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samouprave, odnosno u svakoj pojedinoj školskoj ustanovi, o čemu je postojala svakodnevna komunikacija s Ministarstvom znanosti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obrazovanja</w:t>
      </w:r>
      <w:r w:rsidRPr="00C91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D11137A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24F035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uz znanstvene spoznaje na temelju kojih je pokrenuta kampanja „Cijepi se, misli na druge“, uvedena COVID potvrda, donesene preporuke o cijepljenju, Vlada Republike Hrvatske napominje sljedeće:</w:t>
      </w:r>
    </w:p>
    <w:p w14:paraId="1B201503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8D2D0A2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D28">
        <w:rPr>
          <w:rFonts w:ascii="Times New Roman" w:hAnsi="Times New Roman" w:cs="Times New Roman"/>
          <w:sz w:val="24"/>
          <w:szCs w:val="24"/>
        </w:rPr>
        <w:t>Zdravstvene kampanje su vremenski ograničene aktivnosti koje se bave specifi</w:t>
      </w:r>
      <w:r>
        <w:rPr>
          <w:rFonts w:ascii="Times New Roman" w:hAnsi="Times New Roman" w:cs="Times New Roman"/>
          <w:sz w:val="24"/>
          <w:szCs w:val="24"/>
        </w:rPr>
        <w:t>čnim epidemiološkim izazovima i</w:t>
      </w:r>
      <w:r w:rsidRPr="00E51D28">
        <w:rPr>
          <w:rFonts w:ascii="Times New Roman" w:hAnsi="Times New Roman" w:cs="Times New Roman"/>
          <w:sz w:val="24"/>
          <w:szCs w:val="24"/>
        </w:rPr>
        <w:t xml:space="preserve"> osiguravaju bolji temelj za provedbu zdravstvene </w:t>
      </w:r>
      <w:r>
        <w:rPr>
          <w:rFonts w:ascii="Times New Roman" w:hAnsi="Times New Roman" w:cs="Times New Roman"/>
          <w:sz w:val="24"/>
          <w:szCs w:val="24"/>
        </w:rPr>
        <w:lastRenderedPageBreak/>
        <w:t>intervencije</w:t>
      </w:r>
      <w:r w:rsidRPr="00E5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E51D28">
        <w:rPr>
          <w:rFonts w:ascii="Times New Roman" w:hAnsi="Times New Roman" w:cs="Times New Roman"/>
          <w:sz w:val="24"/>
          <w:szCs w:val="24"/>
        </w:rPr>
        <w:t xml:space="preserve">podižu svijest javnosti o nekom zdravstvenom problemu. Mogu se koristiti za sprječavanje ili za poboljšani odgovor na epidemiju, kontrolu ili iskorjenjivanje ciljanih bolesti odnosno uklanjanje nekog javnozdravstvenog problema. Kampanje se koriste za podizanje svijesti o važnim zdravstvenim problemima i poticanje grupa ili pojedinaca na traženje informacija i usluga. Kroz povećanje informiranosti i znanja,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51D28">
        <w:rPr>
          <w:rFonts w:ascii="Times New Roman" w:hAnsi="Times New Roman" w:cs="Times New Roman"/>
          <w:sz w:val="24"/>
          <w:szCs w:val="24"/>
        </w:rPr>
        <w:t xml:space="preserve">judi mogu s vremenom promijeniti stavove i dugoročno, osobito primjenom drugih programa intervencije, promijeniti svoje ponašanje čime se stvaraju povoljnije okolnosti za ispravne odluke odnosno za bolje </w:t>
      </w:r>
      <w:r w:rsidRPr="00E51D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0B80AC" wp14:editId="3D544663">
            <wp:extent cx="3048" cy="3049"/>
            <wp:effectExtent l="0" t="0" r="0" b="0"/>
            <wp:docPr id="9242" name="Picture 9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" name="Picture 92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D28">
        <w:rPr>
          <w:rFonts w:ascii="Times New Roman" w:hAnsi="Times New Roman" w:cs="Times New Roman"/>
          <w:sz w:val="24"/>
          <w:szCs w:val="24"/>
        </w:rPr>
        <w:t>ishode intervencije u zajednici i ukupno bolje zdravlje u zajednici.</w:t>
      </w:r>
    </w:p>
    <w:p w14:paraId="0A9AA7B4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A20577D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D28">
        <w:rPr>
          <w:rFonts w:ascii="Times New Roman" w:hAnsi="Times New Roman" w:cs="Times New Roman"/>
          <w:sz w:val="24"/>
          <w:szCs w:val="24"/>
        </w:rPr>
        <w:t xml:space="preserve">Podizanjem javne svijesti o važnim zdravstvenim problemima i načinima njihovog rješavanja </w:t>
      </w:r>
      <w:r w:rsidRPr="00E51D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51D2033" wp14:editId="2969355F">
            <wp:extent cx="3048" cy="3049"/>
            <wp:effectExtent l="0" t="0" r="0" b="0"/>
            <wp:docPr id="9243" name="Picture 9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" name="Picture 92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D28">
        <w:rPr>
          <w:rFonts w:ascii="Times New Roman" w:hAnsi="Times New Roman" w:cs="Times New Roman"/>
          <w:sz w:val="24"/>
          <w:szCs w:val="24"/>
        </w:rPr>
        <w:t>ili umanjivanja šteta na zdravlje, zdravstvene kampanje mogu doprinijeti promjenama životnih stavova i navika, smanjiti pojavnost bolesti i preuranjene smrti od nekih bolesti koje se mogu spriječiti i liječiti ako im se na vrijeme i ispravno pristupi. U ovom konkretnom slučaju, riječ je o motivaciji za cijepljenje. Cijepljenjem se stječe imunitet i ujedno je manja šansa za cijepljenu osobu da prenosi bolest necijepljenima te se na taj način štiti i zdravlje onih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>u kojima se svaka cijepljena osoba kreće od javnog prostora, radnog okruženja i obiteljskog, odnosno privatnog okruženja u koje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51D28">
        <w:rPr>
          <w:rFonts w:ascii="Times New Roman" w:hAnsi="Times New Roman" w:cs="Times New Roman"/>
          <w:sz w:val="24"/>
          <w:szCs w:val="24"/>
        </w:rPr>
        <w:t xml:space="preserve"> ima onih osoba koje u slučaju zaraze imaju rizik razviti teški klinički oblik bolesti, odnosno koje se iz raznih zdravstvenih razloga ne mogu cijepiti.</w:t>
      </w:r>
    </w:p>
    <w:p w14:paraId="75C951F7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75A5EBA" w14:textId="77777777" w:rsidR="00D81275" w:rsidRPr="00670E57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pacing w:val="-4"/>
          <w:position w:val="-2"/>
          <w:sz w:val="24"/>
          <w:szCs w:val="24"/>
        </w:rPr>
      </w:pPr>
      <w:r w:rsidRPr="00670E57">
        <w:rPr>
          <w:rFonts w:ascii="Times New Roman" w:hAnsi="Times New Roman" w:cs="Times New Roman"/>
          <w:spacing w:val="-4"/>
          <w:position w:val="-2"/>
          <w:sz w:val="24"/>
          <w:szCs w:val="24"/>
        </w:rPr>
        <w:t xml:space="preserve">Važnost kampanja za podizanje svijesti o zdravlju leži u davanju mogućnosti ljudima da preuzmu odgovornost za svoje zdravlje, ali na neki način i za zdravlje zajednice pogotovo u situacijama kada se radi o epidemiji zarazne bolesti gdje svatko može biti izvor zaraze. Dakle, </w:t>
      </w:r>
      <w:r w:rsidRPr="00670E57">
        <w:rPr>
          <w:rFonts w:ascii="Times New Roman" w:hAnsi="Times New Roman" w:cs="Times New Roman"/>
          <w:noProof/>
          <w:spacing w:val="-4"/>
          <w:position w:val="-2"/>
          <w:sz w:val="24"/>
          <w:szCs w:val="24"/>
          <w:lang w:eastAsia="hr-HR"/>
        </w:rPr>
        <w:drawing>
          <wp:inline distT="0" distB="0" distL="0" distR="0" wp14:anchorId="4431461E" wp14:editId="315BC71D">
            <wp:extent cx="3049" cy="3049"/>
            <wp:effectExtent l="0" t="0" r="0" b="0"/>
            <wp:docPr id="9244" name="Picture 9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" name="Picture 92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E57">
        <w:rPr>
          <w:rFonts w:ascii="Times New Roman" w:hAnsi="Times New Roman" w:cs="Times New Roman"/>
          <w:spacing w:val="-4"/>
          <w:position w:val="-2"/>
          <w:sz w:val="24"/>
          <w:szCs w:val="24"/>
        </w:rPr>
        <w:t>nije samo u pitanju zaštita zdravlja osobe koja se cijepi i velikodušnost prema drugima, već je i moralna obveza biti cijepljen. To je bio i slučaj s cijepljenjem protiv COVID-19.</w:t>
      </w:r>
    </w:p>
    <w:p w14:paraId="70F0D1EB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B22818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D28">
        <w:rPr>
          <w:rFonts w:ascii="Times New Roman" w:hAnsi="Times New Roman" w:cs="Times New Roman"/>
          <w:sz w:val="24"/>
          <w:szCs w:val="24"/>
        </w:rPr>
        <w:t xml:space="preserve">Dakle, javnozdravstvene kampanje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51D28">
        <w:rPr>
          <w:rFonts w:ascii="Times New Roman" w:hAnsi="Times New Roman" w:cs="Times New Roman"/>
          <w:sz w:val="24"/>
          <w:szCs w:val="24"/>
        </w:rPr>
        <w:t>ire svijest o bolestima i zdravstvenim opasnostima, odnosno, u ovom konkretnom slučaju, podižu svijest o potrebi da štiteći svoje zdravlje i vlastitim ispravnim odabirom pozitivno utječemo na sigurnost obitelji i svih sugra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>ana u smislu zaštite zdravlja cijepljenjem. Sve je temeljeno na stavu da se imunizacijom stječe šansa da se zaštiti i zdravlje drugih osoba medu kojima se krećemo i s kojima se susrećemo ili s kojima živimo, a uz premisu da se na taj način poboljšavaju šanse za eliminacijom zaraze i prestankom epidemije, uvažavajući do tada dostupna znanja i skupove podataka. Podizanje svijesti o zdravlju, educirajući javnost o bolestima i rizicima te pružajući resurse za više informacija ili dobivanje pomoći, uz ciljano slanje poruka u sklopu zdravstvene kampanje može pomoći u promjeni ponašanja stanovništva, a uspješne javnozdravstvene kampanje mogu educirati i utjecati da stanovništvo promijeni svoje ponašanje.</w:t>
      </w:r>
    </w:p>
    <w:p w14:paraId="0AB90726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53FBE4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3A14">
        <w:rPr>
          <w:rFonts w:ascii="Times New Roman" w:hAnsi="Times New Roman" w:cs="Times New Roman"/>
          <w:spacing w:val="-2"/>
          <w:sz w:val="24"/>
          <w:szCs w:val="24"/>
        </w:rPr>
        <w:t xml:space="preserve">Promicanje javnog zdravlja i sprječavanje nastanka i/ili širenja opasnih zdravstvenih rizika i ishoda sastavna je komunikacijska funkcija preventivne medicine u suvremenom društvu. Bez obzira na to je li fokus </w:t>
      </w:r>
      <w:r>
        <w:rPr>
          <w:rFonts w:ascii="Times New Roman" w:hAnsi="Times New Roman" w:cs="Times New Roman"/>
          <w:spacing w:val="-2"/>
          <w:sz w:val="24"/>
          <w:szCs w:val="24"/>
        </w:rPr>
        <w:t>na prevenciji i kontroli COVID-</w:t>
      </w:r>
      <w:r w:rsidRPr="00523A14">
        <w:rPr>
          <w:rFonts w:ascii="Times New Roman" w:hAnsi="Times New Roman" w:cs="Times New Roman"/>
          <w:spacing w:val="-2"/>
          <w:sz w:val="24"/>
          <w:szCs w:val="24"/>
        </w:rPr>
        <w:t xml:space="preserve">19, dijabetesa, karcinoma, bolesti srca, javnozdravstvene kampanje uključuju širok skup komunikacijskih strategija i aktivnosti u koje se uključuju stručnjaci za promicanje zdravlja kako bi širili relevantne i uvjerljive </w:t>
      </w:r>
      <w:r w:rsidRPr="00523A14">
        <w:rPr>
          <w:rFonts w:ascii="Times New Roman" w:hAnsi="Times New Roman" w:cs="Times New Roman"/>
          <w:noProof/>
          <w:spacing w:val="-2"/>
          <w:sz w:val="24"/>
          <w:szCs w:val="24"/>
          <w:lang w:eastAsia="hr-HR"/>
        </w:rPr>
        <w:drawing>
          <wp:inline distT="0" distB="0" distL="0" distR="0" wp14:anchorId="28F271B0" wp14:editId="780031B8">
            <wp:extent cx="3048" cy="3048"/>
            <wp:effectExtent l="0" t="0" r="0" b="0"/>
            <wp:docPr id="9245" name="Picture 9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5" name="Picture 92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A14">
        <w:rPr>
          <w:rFonts w:ascii="Times New Roman" w:hAnsi="Times New Roman" w:cs="Times New Roman"/>
          <w:spacing w:val="-2"/>
          <w:sz w:val="24"/>
          <w:szCs w:val="24"/>
        </w:rPr>
        <w:t>zdravstvene informacije skupinama ljudi kojima su takve informacije potrebne da im pomognu donositi ispravne odabire. Javnozdravstvene kampanje uključuju strateško širenje informacija u javnosti kako bi se grupama ljudi pomoglo da se odupru neposrednim zdravstvenim prijetnjama i usvoje ponašanja koja promiču dobro zdravlje. Ta ponašanja mogu uključivati i korištenje najboljih dostupnih zdravstvenih usluga, kada je to prikladno, kako bi se šteta za javno i osobno zdravlje svela na minimum - u ovom slučaju da se cijepe.</w:t>
      </w:r>
      <w:r w:rsidRPr="00523A14">
        <w:rPr>
          <w:rFonts w:ascii="Times New Roman" w:hAnsi="Times New Roman" w:cs="Times New Roman"/>
          <w:noProof/>
          <w:spacing w:val="-2"/>
          <w:sz w:val="24"/>
          <w:szCs w:val="24"/>
          <w:lang w:eastAsia="hr-HR"/>
        </w:rPr>
        <w:drawing>
          <wp:inline distT="0" distB="0" distL="0" distR="0" wp14:anchorId="3A80564E" wp14:editId="687BCEEB">
            <wp:extent cx="3048" cy="3049"/>
            <wp:effectExtent l="0" t="0" r="0" b="0"/>
            <wp:docPr id="11627" name="Picture 1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" name="Picture 116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57C8" w14:textId="77777777" w:rsidR="00D81275" w:rsidRPr="00267452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</w:t>
      </w:r>
      <w:r w:rsidRPr="00E51D28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51D28">
        <w:rPr>
          <w:rFonts w:ascii="Times New Roman" w:hAnsi="Times New Roman" w:cs="Times New Roman"/>
          <w:sz w:val="24"/>
          <w:szCs w:val="24"/>
        </w:rPr>
        <w:t xml:space="preserve"> dostupnog iskustva i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51D28">
        <w:rPr>
          <w:rFonts w:ascii="Times New Roman" w:hAnsi="Times New Roman" w:cs="Times New Roman"/>
          <w:sz w:val="24"/>
          <w:szCs w:val="24"/>
        </w:rPr>
        <w:t>ih znanja o dobrobitima 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>incima provedbe javnozdravstvenih kampanja zauzet je ovaj pristup u kampanji za cijepljenje protiv COVID</w:t>
      </w:r>
      <w:r w:rsidRPr="00E51D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BDEC61" wp14:editId="41222B5E">
            <wp:extent cx="6096" cy="3049"/>
            <wp:effectExtent l="0" t="0" r="0" b="0"/>
            <wp:docPr id="11628" name="Picture 1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8" name="Picture 116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</w:t>
      </w:r>
      <w:r w:rsidRPr="00E51D28">
        <w:rPr>
          <w:rFonts w:ascii="Times New Roman" w:hAnsi="Times New Roman" w:cs="Times New Roman"/>
          <w:sz w:val="24"/>
          <w:szCs w:val="24"/>
        </w:rPr>
        <w:t>19 smatraju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51D28">
        <w:rPr>
          <w:rFonts w:ascii="Times New Roman" w:hAnsi="Times New Roman" w:cs="Times New Roman"/>
          <w:sz w:val="24"/>
          <w:szCs w:val="24"/>
        </w:rPr>
        <w:t>i da je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51D28">
        <w:rPr>
          <w:rFonts w:ascii="Times New Roman" w:hAnsi="Times New Roman" w:cs="Times New Roman"/>
          <w:sz w:val="24"/>
          <w:szCs w:val="24"/>
        </w:rPr>
        <w:t>a zabrinutost o osobnom zdravlju, zdravlju uku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51D28">
        <w:rPr>
          <w:rFonts w:ascii="Times New Roman" w:hAnsi="Times New Roman" w:cs="Times New Roman"/>
          <w:sz w:val="24"/>
          <w:szCs w:val="24"/>
        </w:rPr>
        <w:t>ana, obitelji i sugra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>ana dovoljan okida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 xml:space="preserve"> empatije i solidarnosti da bi osoba izabrala cijepljenje kao mjeru </w:t>
      </w:r>
      <w:r w:rsidRPr="00E51D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E67ECD" wp14:editId="639B6D84">
            <wp:extent cx="3048" cy="3049"/>
            <wp:effectExtent l="0" t="0" r="0" b="0"/>
            <wp:docPr id="11629" name="Picture 1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9" name="Picture 116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D28">
        <w:rPr>
          <w:rFonts w:ascii="Times New Roman" w:hAnsi="Times New Roman" w:cs="Times New Roman"/>
          <w:sz w:val="24"/>
          <w:szCs w:val="24"/>
        </w:rPr>
        <w:t>zaštite vlastitog zdravlja i na taj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>in, štite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51D28">
        <w:rPr>
          <w:rFonts w:ascii="Times New Roman" w:hAnsi="Times New Roman" w:cs="Times New Roman"/>
          <w:sz w:val="24"/>
          <w:szCs w:val="24"/>
        </w:rPr>
        <w:t>i sebe, zaštitila i ranjive skupine u vlastitom okuženju.</w:t>
      </w:r>
    </w:p>
    <w:p w14:paraId="717B7A88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9189C62" w14:textId="77777777" w:rsidR="00D81275" w:rsidRPr="00E51D28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D28">
        <w:rPr>
          <w:rFonts w:ascii="Times New Roman" w:hAnsi="Times New Roman" w:cs="Times New Roman"/>
          <w:sz w:val="24"/>
          <w:szCs w:val="24"/>
        </w:rPr>
        <w:t>Zaklju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 xml:space="preserve">no, kampanje za informiranje o cjepivima i promociju cijepljenja su provodile i druge </w:t>
      </w:r>
      <w:r w:rsidRPr="00E51D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C54222" wp14:editId="168702BF">
            <wp:extent cx="9144" cy="9147"/>
            <wp:effectExtent l="0" t="0" r="0" b="0"/>
            <wp:docPr id="58855" name="Picture 58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55" name="Picture 588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D28">
        <w:rPr>
          <w:rFonts w:ascii="Times New Roman" w:hAnsi="Times New Roman" w:cs="Times New Roman"/>
          <w:sz w:val="24"/>
          <w:szCs w:val="24"/>
        </w:rPr>
        <w:t xml:space="preserve">države svijeta i Europe nakon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 xml:space="preserve">ega je bilježen porast odaziva na cijepljenje, a unutar EU su </w:t>
      </w:r>
      <w:r w:rsidRPr="00E51D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811E8B" wp14:editId="787DAD6F">
            <wp:extent cx="3048" cy="3049"/>
            <wp:effectExtent l="0" t="0" r="0" b="0"/>
            <wp:docPr id="11632" name="Picture 1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2" name="Picture 116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D28">
        <w:rPr>
          <w:rFonts w:ascii="Times New Roman" w:hAnsi="Times New Roman" w:cs="Times New Roman"/>
          <w:sz w:val="24"/>
          <w:szCs w:val="24"/>
        </w:rPr>
        <w:t>korišteni slogani sli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>ni ovom koji je bio korišten i za kampanju u Hrvatskoj. Svaka javnozdravstvena kampanja je aktivnost koja dopunjuje ostale preventivne aktivnosti i koja zapo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>inje neposredno uo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>i ili te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51D28">
        <w:rPr>
          <w:rFonts w:ascii="Times New Roman" w:hAnsi="Times New Roman" w:cs="Times New Roman"/>
          <w:sz w:val="24"/>
          <w:szCs w:val="24"/>
        </w:rPr>
        <w:t>e paralelno s aktivnostima na terenu. Ima svoju svrhu usmjerenu poticanju na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51D28">
        <w:rPr>
          <w:rFonts w:ascii="Times New Roman" w:hAnsi="Times New Roman" w:cs="Times New Roman"/>
          <w:sz w:val="24"/>
          <w:szCs w:val="24"/>
        </w:rPr>
        <w:t>enu aktivnost za zaštitu zdravlja i prevenciju bolesti ili informiranju, koristi jednostavne, razumljive i pamtljive poruke, utemeljena je na znanstvenim dokazima, za koje su samo neke od referenci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1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42183" w14:textId="77777777" w:rsidR="00D81275" w:rsidRDefault="00D81275" w:rsidP="00D81275">
      <w:pPr>
        <w:pStyle w:val="NoSpacing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2F1">
        <w:rPr>
          <w:rFonts w:ascii="Times New Roman" w:hAnsi="Times New Roman" w:cs="Times New Roman"/>
          <w:sz w:val="24"/>
          <w:szCs w:val="24"/>
        </w:rPr>
        <w:t>Coroiu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Moran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Campbell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Geller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AC.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facilitators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adherence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5AF6641F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2F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distancing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52F1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9352F1">
        <w:rPr>
          <w:rFonts w:ascii="Times New Roman" w:hAnsi="Times New Roman" w:cs="Times New Roman"/>
          <w:sz w:val="24"/>
          <w:szCs w:val="24"/>
        </w:rPr>
        <w:t xml:space="preserve"> ONE 2020;15(10): e0239795.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BE8AE" w14:textId="77777777" w:rsidR="00D81275" w:rsidRPr="009352F1" w:rsidRDefault="005F718E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81275" w:rsidRPr="009352F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https://doi.org/10.1371/journal.pone.0239795</w:t>
        </w:r>
      </w:hyperlink>
      <w:r w:rsidR="00D81275" w:rsidRPr="009352F1">
        <w:rPr>
          <w:rFonts w:ascii="Times New Roman" w:hAnsi="Times New Roman" w:cs="Times New Roman"/>
          <w:sz w:val="24"/>
          <w:szCs w:val="24"/>
        </w:rPr>
        <w:t>.</w:t>
      </w:r>
    </w:p>
    <w:p w14:paraId="7BCA38DE" w14:textId="77777777" w:rsidR="00D81275" w:rsidRPr="00682315" w:rsidRDefault="00D81275" w:rsidP="00D81275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82315">
        <w:rPr>
          <w:rFonts w:ascii="Times New Roman" w:hAnsi="Times New Roman" w:cs="Times New Roman"/>
          <w:sz w:val="24"/>
          <w:szCs w:val="24"/>
        </w:rPr>
        <w:t>Ophir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Y, Walter D,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Arnon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Lokmanoglu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Tizzoni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Carota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J, D'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Antiga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Nicastro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mixed-method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 xml:space="preserve">. J Health </w:t>
      </w:r>
      <w:proofErr w:type="spellStart"/>
      <w:r w:rsidRPr="00682315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682315">
        <w:rPr>
          <w:rFonts w:ascii="Times New Roman" w:hAnsi="Times New Roman" w:cs="Times New Roman"/>
          <w:sz w:val="24"/>
          <w:szCs w:val="24"/>
        </w:rPr>
        <w:t>. 2021 ;26(3): 161—</w:t>
      </w:r>
      <w:r w:rsidRPr="00570B9B">
        <w:rPr>
          <w:noProof/>
          <w:lang w:eastAsia="hr-HR"/>
        </w:rPr>
        <w:drawing>
          <wp:inline distT="0" distB="0" distL="0" distR="0" wp14:anchorId="08736D98" wp14:editId="4F4013D8">
            <wp:extent cx="3048" cy="3049"/>
            <wp:effectExtent l="0" t="0" r="0" b="0"/>
            <wp:docPr id="11645" name="Picture 1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5" name="Picture 116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315">
        <w:rPr>
          <w:rFonts w:ascii="Times New Roman" w:hAnsi="Times New Roman" w:cs="Times New Roman"/>
          <w:sz w:val="24"/>
          <w:szCs w:val="24"/>
        </w:rPr>
        <w:t xml:space="preserve">73. </w:t>
      </w:r>
    </w:p>
    <w:p w14:paraId="17F49ECD" w14:textId="77777777" w:rsidR="00D81275" w:rsidRPr="009236FB" w:rsidRDefault="005F718E" w:rsidP="00D8127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8127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https://doi.org/10.1080/10810730.2021.1899344</w:t>
        </w:r>
      </w:hyperlink>
      <w:r w:rsidR="00D81275" w:rsidRPr="00534A8A">
        <w:rPr>
          <w:rFonts w:ascii="Times New Roman" w:hAnsi="Times New Roman" w:cs="Times New Roman"/>
          <w:sz w:val="24"/>
          <w:szCs w:val="24"/>
        </w:rPr>
        <w:t>.</w:t>
      </w:r>
    </w:p>
    <w:p w14:paraId="1E7CE595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804711" w14:textId="77777777" w:rsidR="00D81275" w:rsidRDefault="00D81275" w:rsidP="00D81275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570B9B">
        <w:rPr>
          <w:rFonts w:ascii="Times New Roman" w:hAnsi="Times New Roman" w:cs="Times New Roman"/>
          <w:sz w:val="24"/>
          <w:szCs w:val="24"/>
        </w:rPr>
        <w:t>EU je donijela odluku o uvo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enju digitalne COVID potvrde (</w:t>
      </w:r>
      <w:r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570B9B">
        <w:rPr>
          <w:rFonts w:ascii="Times New Roman" w:hAnsi="Times New Roman" w:cs="Times New Roman"/>
          <w:sz w:val="24"/>
          <w:szCs w:val="24"/>
        </w:rPr>
        <w:t xml:space="preserve">EU DCC) putem Uredbe koja je izravno primjenjiva u državama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lanicama, a poradi poboljšanja kontrole unosa zaraze primarno iz tre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ih zemalja u kojima je broj zaraženih bio znatno 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i nego li je bio u 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ini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462513" wp14:editId="66094169">
            <wp:extent cx="3048" cy="3049"/>
            <wp:effectExtent l="0" t="0" r="0" b="0"/>
            <wp:docPr id="14100" name="Picture 14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" name="Picture 141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>zemalja E</w:t>
      </w:r>
      <w:r>
        <w:rPr>
          <w:rFonts w:ascii="Times New Roman" w:hAnsi="Times New Roman" w:cs="Times New Roman"/>
          <w:sz w:val="24"/>
          <w:szCs w:val="24"/>
        </w:rPr>
        <w:t>U-a</w:t>
      </w:r>
      <w:r w:rsidRPr="00570B9B">
        <w:rPr>
          <w:rFonts w:ascii="Times New Roman" w:hAnsi="Times New Roman" w:cs="Times New Roman"/>
          <w:sz w:val="24"/>
          <w:szCs w:val="24"/>
        </w:rPr>
        <w:t>. Ujedno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B9B">
        <w:rPr>
          <w:rFonts w:ascii="Times New Roman" w:hAnsi="Times New Roman" w:cs="Times New Roman"/>
          <w:sz w:val="24"/>
          <w:szCs w:val="24"/>
        </w:rPr>
        <w:t xml:space="preserve"> uvo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enje EU DCC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570B9B">
        <w:rPr>
          <w:rFonts w:ascii="Times New Roman" w:hAnsi="Times New Roman" w:cs="Times New Roman"/>
          <w:sz w:val="24"/>
          <w:szCs w:val="24"/>
        </w:rPr>
        <w:t xml:space="preserve"> bilo je namijenjeno za uspostavljanje kontrole širenja zaraze izme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 xml:space="preserve">u pojedinih zemalja država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lanica unutar EU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570B9B">
        <w:rPr>
          <w:rFonts w:ascii="Times New Roman" w:hAnsi="Times New Roman" w:cs="Times New Roman"/>
          <w:sz w:val="24"/>
          <w:szCs w:val="24"/>
        </w:rPr>
        <w:t xml:space="preserve"> jer je i tu postojala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ajna razlika od regije do regije, od države do države. Korištenje EU DCC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570B9B">
        <w:rPr>
          <w:rFonts w:ascii="Times New Roman" w:hAnsi="Times New Roman" w:cs="Times New Roman"/>
          <w:sz w:val="24"/>
          <w:szCs w:val="24"/>
        </w:rPr>
        <w:t xml:space="preserve"> pri prelasku granica uvedene su na zahtjev 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70B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Korištenje EU DCC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4419B4"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 xml:space="preserve">unutar </w:t>
      </w:r>
      <w:r>
        <w:rPr>
          <w:rFonts w:ascii="Times New Roman" w:hAnsi="Times New Roman" w:cs="Times New Roman"/>
          <w:sz w:val="24"/>
          <w:szCs w:val="24"/>
        </w:rPr>
        <w:t xml:space="preserve">Republike </w:t>
      </w:r>
      <w:r w:rsidRPr="00570B9B">
        <w:rPr>
          <w:rFonts w:ascii="Times New Roman" w:hAnsi="Times New Roman" w:cs="Times New Roman"/>
          <w:sz w:val="24"/>
          <w:szCs w:val="24"/>
        </w:rPr>
        <w:t>Hrvatske, a pri prelasku granice uvedeno je na temelju sljede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ih znanstvenih spoznaja:</w:t>
      </w:r>
    </w:p>
    <w:p w14:paraId="2C332B06" w14:textId="77777777" w:rsidR="00D81275" w:rsidRPr="00570B9B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064279" w14:textId="77777777" w:rsidR="00D81275" w:rsidRDefault="00D81275" w:rsidP="00D812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Manja je vjerojatnost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e osoba koja je preboljela COVID-19 unazad par mjeseci biti nositelj virusa nego osoba koja nije preboljela bolest ili ju je preboljela davno.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1F4E7C" wp14:editId="2812AFC2">
            <wp:extent cx="6096" cy="21342"/>
            <wp:effectExtent l="0" t="0" r="0" b="0"/>
            <wp:docPr id="58860" name="Picture 58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0" name="Picture 588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E5C4" w14:textId="77777777" w:rsidR="00D81275" w:rsidRPr="00570B9B" w:rsidRDefault="00D81275" w:rsidP="00D81275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U nastavku je naveden samo dio sveobuhvatne literature koja dokazuje da osobe koje su nedavno preboljele COVID-19 imaju manju vjerojatnost biti inficirane i prenositi infekciju nego osobe koje nisu preboljele COVID-19:</w:t>
      </w:r>
    </w:p>
    <w:p w14:paraId="3FEB4075" w14:textId="77777777" w:rsidR="00D81275" w:rsidRDefault="00D81275" w:rsidP="00D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ED6E9B" wp14:editId="02B914F1">
            <wp:extent cx="45720" cy="48782"/>
            <wp:effectExtent l="0" t="0" r="0" b="0"/>
            <wp:docPr id="14104" name="Picture 14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" name="Picture 141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documented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https://www.ecdc.europa.eu/sites/default/files/documents/Risk-of-transmission-and-reinfection-of-SARS-CoV-2-following-vaccination.pdf</w:t>
        </w:r>
      </w:hyperlink>
    </w:p>
    <w:p w14:paraId="3F14A172" w14:textId="58953F29" w:rsidR="00D81275" w:rsidRDefault="00D81275" w:rsidP="00D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CFCFE2B" wp14:editId="173EA038">
            <wp:extent cx="47625" cy="47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CDC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recovered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for 3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25D32" w14:textId="77777777" w:rsidR="00D81275" w:rsidRDefault="005F718E" w:rsidP="00D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81275" w:rsidRPr="00722217">
          <w:rPr>
            <w:rStyle w:val="Hyperlink"/>
            <w:rFonts w:ascii="Times New Roman" w:hAnsi="Times New Roman" w:cs="Times New Roman"/>
            <w:sz w:val="24"/>
            <w:szCs w:val="24"/>
          </w:rPr>
          <w:t>https://www.nbcnews.com/health/health-news/cdc-suggests-recovered-covid-patients-can-t-spread-virus-3-n1236782</w:t>
        </w:r>
      </w:hyperlink>
      <w:r w:rsidR="00D8127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53E0548" w14:textId="7288444F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0AF96EE" wp14:editId="0C249582">
            <wp:extent cx="47625" cy="571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Past SARS-CoV-2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re-infection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>.</w:t>
      </w:r>
    </w:p>
    <w:p w14:paraId="775D64E2" w14:textId="77777777" w:rsidR="00D81275" w:rsidRDefault="005F718E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81275" w:rsidRPr="005B751F">
          <w:rPr>
            <w:rStyle w:val="Hyperlink"/>
            <w:rFonts w:ascii="Times New Roman" w:hAnsi="Times New Roman" w:cs="Times New Roman"/>
            <w:sz w:val="24"/>
            <w:szCs w:val="24"/>
          </w:rPr>
          <w:t>https://www.thelancet.com/article/S0140-6736(22)02465-5/fulltext</w:t>
        </w:r>
      </w:hyperlink>
    </w:p>
    <w:p w14:paraId="54F4281D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16512EF" wp14:editId="6D9402D6">
            <wp:extent cx="45720" cy="51831"/>
            <wp:effectExtent l="0" t="0" r="0" b="0"/>
            <wp:docPr id="14108" name="Picture 1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8" name="Picture 1410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B9B">
        <w:rPr>
          <w:rFonts w:ascii="Times New Roman" w:hAnsi="Times New Roman" w:cs="Times New Roman"/>
          <w:sz w:val="24"/>
          <w:szCs w:val="24"/>
        </w:rPr>
        <w:t xml:space="preserve">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omicron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https://www.thelancet.com/journals/laninf/article/PIIS1473-3099(22)00801-5/fulltext</w:t>
        </w:r>
      </w:hyperlink>
    </w:p>
    <w:p w14:paraId="35B3BDAC" w14:textId="283F722A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B3E041A" wp14:editId="0F32BB13">
            <wp:extent cx="47625" cy="47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SARS-CoV-2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reinfections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hybrid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040DB" w14:textId="77777777" w:rsidR="00D81275" w:rsidRDefault="005F718E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81275" w:rsidRPr="005B751F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https://www.ncbi.nlm.nih.gov/pmc/articles/PMC8824301/</w:t>
        </w:r>
      </w:hyperlink>
      <w:r w:rsidR="00D81275" w:rsidRPr="00570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4F571" w14:textId="224175FE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530128B" wp14:editId="00FDC37E">
            <wp:extent cx="47625" cy="47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B9B">
        <w:rPr>
          <w:rFonts w:ascii="Times New Roman" w:hAnsi="Times New Roman" w:cs="Times New Roman"/>
          <w:sz w:val="24"/>
          <w:szCs w:val="24"/>
        </w:rPr>
        <w:t xml:space="preserve">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data. </w:t>
      </w:r>
    </w:p>
    <w:p w14:paraId="7A88A865" w14:textId="77777777" w:rsidR="00D81275" w:rsidRDefault="005F718E" w:rsidP="00D81275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38" w:history="1">
        <w:r w:rsidR="00D81275" w:rsidRPr="005B751F">
          <w:rPr>
            <w:rStyle w:val="Hyperlink"/>
            <w:rFonts w:ascii="Times New Roman" w:hAnsi="Times New Roman" w:cs="Times New Roman"/>
            <w:sz w:val="24"/>
            <w:szCs w:val="24"/>
          </w:rPr>
          <w:t>https://www.nature.com/articles/s41598-023-28129-7</w:t>
        </w:r>
      </w:hyperlink>
    </w:p>
    <w:p w14:paraId="67B11B4E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17FD7" w14:textId="77777777" w:rsidR="00D81275" w:rsidRPr="00570B9B" w:rsidRDefault="00D81275" w:rsidP="00D81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Manja je vjerojatnost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e osoba koja je cijepljena protiv COVID-19 prije par mjeseci biti nositelj virusa nego osoba koja nije cijepljena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je cijepljena davno.</w:t>
      </w:r>
    </w:p>
    <w:p w14:paraId="6D422249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 xml:space="preserve">U nastavku </w:t>
      </w:r>
      <w:r>
        <w:rPr>
          <w:rFonts w:ascii="Times New Roman" w:hAnsi="Times New Roman" w:cs="Times New Roman"/>
          <w:sz w:val="24"/>
          <w:szCs w:val="24"/>
        </w:rPr>
        <w:t xml:space="preserve">se navodi </w:t>
      </w:r>
      <w:r w:rsidRPr="00570B9B">
        <w:rPr>
          <w:rFonts w:ascii="Times New Roman" w:hAnsi="Times New Roman" w:cs="Times New Roman"/>
          <w:sz w:val="24"/>
          <w:szCs w:val="24"/>
        </w:rPr>
        <w:t>dio znanstvenih izvora koji dokazuju da osobe koje su nedavno cijepljene protiv bolesti COVID-19 imaju manju vjerojatnost biti inficirane i prenositi infekciju nego necijepljeni:</w:t>
      </w:r>
    </w:p>
    <w:p w14:paraId="1D2A39CA" w14:textId="77777777" w:rsidR="00D81275" w:rsidRPr="00570B9B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7F7CA2E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3DBC6F" wp14:editId="7572CF5A">
            <wp:extent cx="48768" cy="51831"/>
            <wp:effectExtent l="0" t="0" r="0" b="0"/>
            <wp:docPr id="14111" name="Picture 14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1" name="Picture 141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SARS-C0V-2 delta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? </w:t>
      </w:r>
      <w:hyperlink r:id="rId40" w:history="1">
        <w:r w:rsidRPr="00722217">
          <w:rPr>
            <w:rStyle w:val="Hyperlink"/>
            <w:rFonts w:ascii="Times New Roman" w:hAnsi="Times New Roman" w:cs="Times New Roman"/>
            <w:sz w:val="24"/>
            <w:szCs w:val="24"/>
          </w:rPr>
          <w:t>https://www.thelancet.com/journals/laninf/article/PIIS1473-3099(21)00690-3/fulltext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431B5" w14:textId="77777777" w:rsidR="00D81275" w:rsidRDefault="00D81275" w:rsidP="00D81275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B1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Delta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Variants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. </w:t>
      </w:r>
      <w:hyperlink r:id="rId41" w:history="1">
        <w:r w:rsidRPr="00E66B16">
          <w:rPr>
            <w:rStyle w:val="Hyperlink"/>
            <w:rFonts w:ascii="Times New Roman" w:hAnsi="Times New Roman" w:cs="Times New Roman"/>
            <w:sz w:val="24"/>
            <w:szCs w:val="24"/>
          </w:rPr>
          <w:t>https://www.nejm.org/doi/full/10.1056/nejmoa2116597</w:t>
        </w:r>
      </w:hyperlink>
    </w:p>
    <w:p w14:paraId="39C3D548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89B884" wp14:editId="4E786D81">
            <wp:extent cx="48768" cy="48782"/>
            <wp:effectExtent l="0" t="0" r="0" b="0"/>
            <wp:docPr id="16189" name="Picture 1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" name="Picture 1618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,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0DC7A0" wp14:editId="14B03632">
            <wp:extent cx="6096" cy="15244"/>
            <wp:effectExtent l="0" t="0" r="0" b="0"/>
            <wp:docPr id="58865" name="Picture 58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5" name="Picture 5886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hospitalisations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>,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5B751F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https://www.ncbi.nlm.nih.gov/pmc/articles/PMC9917454/</w:t>
        </w:r>
      </w:hyperlink>
    </w:p>
    <w:p w14:paraId="28D9ED9F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1BD363" wp14:editId="118951C9">
            <wp:extent cx="48768" cy="51831"/>
            <wp:effectExtent l="0" t="0" r="0" b="0"/>
            <wp:docPr id="16192" name="Picture 1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" name="Picture 1619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Infectiousness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breakthrough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reinfections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13572C" wp14:editId="6D0413F0">
            <wp:extent cx="6096" cy="51831"/>
            <wp:effectExtent l="0" t="0" r="0" b="0"/>
            <wp:docPr id="58867" name="Picture 58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7" name="Picture 5886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Omicron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https://www.nature.com/articles/s41591-022-02138-x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A4A8" w14:textId="77777777" w:rsidR="00D81275" w:rsidRPr="004E1AAA" w:rsidRDefault="00D81275" w:rsidP="00D81275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B1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SARS-CoV-2 Delta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. </w:t>
      </w:r>
      <w:hyperlink r:id="rId48" w:history="1">
        <w:r w:rsidRPr="00A72E8E">
          <w:rPr>
            <w:rStyle w:val="Hyperlink"/>
            <w:rFonts w:ascii="Times New Roman" w:hAnsi="Times New Roman" w:cs="Times New Roman"/>
            <w:sz w:val="24"/>
            <w:szCs w:val="24"/>
          </w:rPr>
          <w:t>https://www.nature.com/articles/s41467-022-31494-y</w:t>
        </w:r>
      </w:hyperlink>
    </w:p>
    <w:p w14:paraId="2E22AE34" w14:textId="77777777" w:rsidR="00D81275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COVID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markedly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 show. </w:t>
      </w:r>
      <w:r w:rsidRPr="00570B9B">
        <w:rPr>
          <w:noProof/>
          <w:lang w:eastAsia="hr-HR"/>
        </w:rPr>
        <w:drawing>
          <wp:inline distT="0" distB="0" distL="0" distR="0" wp14:anchorId="507DE00A" wp14:editId="0808B13C">
            <wp:extent cx="3048" cy="3049"/>
            <wp:effectExtent l="0" t="0" r="0" b="0"/>
            <wp:docPr id="16198" name="Picture 1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8" name="Picture 1619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noProof/>
          <w:lang w:eastAsia="hr-HR"/>
        </w:rPr>
        <w:drawing>
          <wp:inline distT="0" distB="0" distL="0" distR="0" wp14:anchorId="5083F6DB" wp14:editId="71A201E7">
            <wp:extent cx="3048" cy="3049"/>
            <wp:effectExtent l="0" t="0" r="0" b="0"/>
            <wp:docPr id="16201" name="Picture 1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1" name="Picture 1620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1CD52" w14:textId="77777777" w:rsidR="00D81275" w:rsidRPr="00950C30" w:rsidRDefault="005F718E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D81275" w:rsidRPr="00950C30">
          <w:rPr>
            <w:rStyle w:val="Hyperlink"/>
            <w:rFonts w:ascii="Times New Roman" w:hAnsi="Times New Roman" w:cs="Times New Roman"/>
            <w:sz w:val="24"/>
            <w:szCs w:val="24"/>
          </w:rPr>
          <w:t>https://www.cidrap.umn.edu/covid-vaccine-markedly-cuts-household-transmission-studies-show</w:t>
        </w:r>
      </w:hyperlink>
      <w:r w:rsidR="00D81275" w:rsidRPr="00950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E80C2" w14:textId="77777777" w:rsidR="00D81275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B16">
        <w:rPr>
          <w:rFonts w:ascii="Times New Roman" w:hAnsi="Times New Roman" w:cs="Times New Roman"/>
          <w:sz w:val="24"/>
          <w:szCs w:val="24"/>
        </w:rPr>
        <w:t>Transmissibility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Rapi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 </w:t>
      </w:r>
    </w:p>
    <w:p w14:paraId="328E4E45" w14:textId="77777777" w:rsidR="00D81275" w:rsidRPr="00950C30" w:rsidRDefault="00D81275" w:rsidP="00D81275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3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50C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0C30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950C30">
        <w:rPr>
          <w:rFonts w:ascii="Times New Roman" w:hAnsi="Times New Roman" w:cs="Times New Roman"/>
          <w:sz w:val="24"/>
          <w:szCs w:val="24"/>
        </w:rPr>
        <w:t xml:space="preserve"> #2. </w:t>
      </w:r>
    </w:p>
    <w:p w14:paraId="185D84F6" w14:textId="77777777" w:rsidR="00D81275" w:rsidRPr="00950C30" w:rsidRDefault="005F718E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D81275" w:rsidRPr="00950C30">
          <w:rPr>
            <w:rStyle w:val="Hyperlink"/>
            <w:rFonts w:ascii="Times New Roman" w:hAnsi="Times New Roman" w:cs="Times New Roman"/>
            <w:sz w:val="24"/>
            <w:szCs w:val="24"/>
          </w:rPr>
          <w:t>https://www.mcmasterforum.org/docs/default-source/product-documents/living-evidence-syntheses/covid-19-living-evidence-synthesis-1.3---transmissibility-of-covid-19-among-vaccinated-individuals.pdf?sfvrsn=1d1d40e0_3</w:t>
        </w:r>
      </w:hyperlink>
      <w:r w:rsidR="00D81275" w:rsidRPr="00950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28751" w14:textId="77777777" w:rsidR="00D81275" w:rsidRPr="00864FE1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BNT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6B16">
        <w:rPr>
          <w:rFonts w:ascii="Times New Roman" w:hAnsi="Times New Roman" w:cs="Times New Roman"/>
          <w:sz w:val="24"/>
          <w:szCs w:val="24"/>
        </w:rPr>
        <w:t xml:space="preserve">62b2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SARS-CoV-2 to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.  </w:t>
      </w:r>
      <w:hyperlink r:id="rId5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https://www.science.org/doi/10.1126/science.abl4292</w:t>
        </w:r>
      </w:hyperlink>
    </w:p>
    <w:p w14:paraId="7FCDFFDF" w14:textId="77777777" w:rsidR="00D81275" w:rsidRPr="00A72E8E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6B16">
        <w:rPr>
          <w:rFonts w:ascii="Times New Roman" w:hAnsi="Times New Roman" w:cs="Times New Roman"/>
          <w:sz w:val="24"/>
          <w:szCs w:val="24"/>
        </w:rPr>
        <w:t>Unaprjeđenje kvalitete zdravstvene zaštite u bolničkom sustavu vezano uz suzbijanje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https://www.koronavirus.hr/uploads/Unaprjedenje_kvalitete_zdravstvene_zastite_u_bolnickom_sustavu_vezano_uz_suzbijanje_COVID_19_8c5c36ca48.pdf</w:t>
        </w:r>
      </w:hyperlink>
    </w:p>
    <w:p w14:paraId="1CDDF8DD" w14:textId="77777777" w:rsidR="00D81275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2E8E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0EAAA" w14:textId="77777777" w:rsidR="00D81275" w:rsidRDefault="005F718E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anchor="/details?url=https://www.cdc.gov/coronavirus/2019-ncov/science/science-briefs/fully-vaccinated-people.html" w:history="1">
        <w:r w:rsidR="00D81275" w:rsidRPr="00722217">
          <w:rPr>
            <w:rStyle w:val="Hyperlink"/>
            <w:rFonts w:ascii="Times New Roman" w:hAnsi="Times New Roman" w:cs="Times New Roman"/>
            <w:sz w:val="24"/>
            <w:szCs w:val="24"/>
          </w:rPr>
          <w:t>https://archive.cdc.gov/#/details?url=https://www.cdc.gov/coronavirus/2019-ncov/science/science-briefs/fully-vaccinated-people.html</w:t>
        </w:r>
      </w:hyperlink>
      <w:r w:rsidR="00D81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72DF5" w14:textId="77777777" w:rsidR="00D81275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E8E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ansmission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B04AA" w14:textId="77777777" w:rsidR="00D81275" w:rsidRPr="008219E2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9E2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, </w:t>
      </w:r>
      <w:r w:rsidRPr="00570B9B">
        <w:rPr>
          <w:noProof/>
          <w:lang w:eastAsia="hr-HR"/>
        </w:rPr>
        <w:drawing>
          <wp:inline distT="0" distB="0" distL="0" distR="0" wp14:anchorId="6F2FECA8" wp14:editId="1C96DF0C">
            <wp:extent cx="3049" cy="6098"/>
            <wp:effectExtent l="0" t="0" r="0" b="0"/>
            <wp:docPr id="16207" name="Picture 1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7" name="Picture 1620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219E2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8219E2">
        <w:rPr>
          <w:rFonts w:ascii="Times New Roman" w:hAnsi="Times New Roman" w:cs="Times New Roman"/>
          <w:sz w:val="24"/>
          <w:szCs w:val="24"/>
        </w:rPr>
        <w:t xml:space="preserve"> to May 2021. </w:t>
      </w:r>
    </w:p>
    <w:p w14:paraId="393EE6D8" w14:textId="77777777" w:rsidR="00D81275" w:rsidRPr="008219E2" w:rsidRDefault="005F718E" w:rsidP="00D81275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7" w:history="1">
        <w:r w:rsidR="00D81275" w:rsidRPr="008219E2">
          <w:rPr>
            <w:rStyle w:val="Hyperlink"/>
            <w:rFonts w:ascii="Times New Roman" w:hAnsi="Times New Roman" w:cs="Times New Roman"/>
            <w:sz w:val="24"/>
            <w:szCs w:val="24"/>
          </w:rPr>
          <w:t>https://www.eurosurveillance.org/content/10.2807/1560-7917.ES.2021.26.31.2100640</w:t>
        </w:r>
      </w:hyperlink>
    </w:p>
    <w:p w14:paraId="3D2AB453" w14:textId="77777777" w:rsidR="00D81275" w:rsidRPr="00A72E8E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72E8E">
        <w:rPr>
          <w:rFonts w:ascii="Times New Roman" w:hAnsi="Times New Roman" w:cs="Times New Roman"/>
          <w:sz w:val="24"/>
          <w:szCs w:val="24"/>
        </w:rPr>
        <w:lastRenderedPageBreak/>
        <w:t>Effectiveness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BNT162b2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ChAdOx1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prospe</w:t>
      </w:r>
      <w:r>
        <w:rPr>
          <w:rFonts w:ascii="Times New Roman" w:hAnsi="Times New Roman" w:cs="Times New Roman"/>
          <w:sz w:val="24"/>
          <w:szCs w:val="24"/>
        </w:rPr>
        <w:t>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58" w:history="1">
        <w:r w:rsidRPr="00525CCB">
          <w:rPr>
            <w:rStyle w:val="Hyperlink"/>
            <w:rFonts w:ascii="Times New Roman" w:hAnsi="Times New Roman" w:cs="Times New Roman"/>
            <w:sz w:val="24"/>
            <w:szCs w:val="24"/>
          </w:rPr>
          <w:t>https://www.medrxiv.org/content/10.1101/2021.11.24.21266401v1</w:t>
        </w:r>
      </w:hyperlink>
    </w:p>
    <w:p w14:paraId="2A54B569" w14:textId="77777777" w:rsidR="00D81275" w:rsidRDefault="00D81275" w:rsidP="00D8127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E8E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documented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orvaccination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04E25" w14:textId="77777777" w:rsidR="00D81275" w:rsidRPr="009B798B" w:rsidRDefault="005F718E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D81275" w:rsidRPr="009B798B">
          <w:rPr>
            <w:rStyle w:val="Hyperlink"/>
            <w:rFonts w:ascii="Times New Roman" w:hAnsi="Times New Roman" w:cs="Times New Roman"/>
            <w:sz w:val="24"/>
            <w:szCs w:val="24"/>
          </w:rPr>
          <w:t>https://www.ecdc.europa.eu/sites/default/files/documents/Risk-of-transmission-and-reinfection-of-SARS-CoV-2-following-vaccination.pdf</w:t>
        </w:r>
      </w:hyperlink>
    </w:p>
    <w:p w14:paraId="0282A27C" w14:textId="48E0CF1D" w:rsidR="00D81275" w:rsidRDefault="00D81275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04421B6" wp14:editId="1257AEFD">
            <wp:extent cx="47625" cy="47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Booster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A015A2" w14:textId="77777777" w:rsidR="00D81275" w:rsidRDefault="005F718E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D81275" w:rsidRPr="005B751F">
          <w:rPr>
            <w:rStyle w:val="Hyperlink"/>
            <w:rFonts w:ascii="Times New Roman" w:hAnsi="Times New Roman" w:cs="Times New Roman"/>
            <w:sz w:val="24"/>
            <w:szCs w:val="24"/>
          </w:rPr>
          <w:t>https://jamanetwork.com/journals/j ama/</w:t>
        </w:r>
        <w:proofErr w:type="spellStart"/>
        <w:r w:rsidR="00D81275" w:rsidRPr="005B751F">
          <w:rPr>
            <w:rStyle w:val="Hyperlink"/>
            <w:rFonts w:ascii="Times New Roman" w:hAnsi="Times New Roman" w:cs="Times New Roman"/>
            <w:sz w:val="24"/>
            <w:szCs w:val="24"/>
          </w:rPr>
          <w:t>fullarticle</w:t>
        </w:r>
        <w:proofErr w:type="spellEnd"/>
        <w:r w:rsidR="00D81275" w:rsidRPr="005B751F">
          <w:rPr>
            <w:rStyle w:val="Hyperlink"/>
            <w:rFonts w:ascii="Times New Roman" w:hAnsi="Times New Roman" w:cs="Times New Roman"/>
            <w:sz w:val="24"/>
            <w:szCs w:val="24"/>
          </w:rPr>
          <w:t>/2788105</w:t>
        </w:r>
      </w:hyperlink>
    </w:p>
    <w:p w14:paraId="606AD699" w14:textId="77777777" w:rsidR="00D81275" w:rsidRDefault="00D81275" w:rsidP="00D81275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2B4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Shedding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Kinetics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B4">
        <w:rPr>
          <w:rFonts w:ascii="Times New Roman" w:hAnsi="Times New Roman" w:cs="Times New Roman"/>
          <w:sz w:val="24"/>
          <w:szCs w:val="24"/>
        </w:rPr>
        <w:t>UnvaccinatedIndividuals</w:t>
      </w:r>
      <w:proofErr w:type="spellEnd"/>
      <w:r w:rsidRPr="00AE32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2B4"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noProof/>
          <w:lang w:eastAsia="hr-HR"/>
        </w:rPr>
        <w:drawing>
          <wp:inline distT="0" distB="0" distL="0" distR="0" wp14:anchorId="62F78621" wp14:editId="4CE197B9">
            <wp:extent cx="3048" cy="3049"/>
            <wp:effectExtent l="0" t="0" r="0" b="0"/>
            <wp:docPr id="18715" name="Picture 18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" name="Picture 1871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3" w:history="1">
        <w:r w:rsidRPr="00525CCB">
          <w:rPr>
            <w:rStyle w:val="Hyperlink"/>
            <w:rFonts w:ascii="Times New Roman" w:hAnsi="Times New Roman" w:cs="Times New Roman"/>
            <w:sz w:val="24"/>
            <w:szCs w:val="24"/>
          </w:rPr>
          <w:t>https://jamanetwork.com/journals/jamanetworkopen/fullarticle/2792598</w:t>
        </w:r>
      </w:hyperlink>
    </w:p>
    <w:p w14:paraId="7DB787E4" w14:textId="77777777" w:rsidR="00D81275" w:rsidRDefault="00D81275" w:rsidP="00D81275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E8E">
        <w:rPr>
          <w:rFonts w:ascii="Times New Roman" w:hAnsi="Times New Roman" w:cs="Times New Roman"/>
          <w:sz w:val="24"/>
          <w:szCs w:val="24"/>
        </w:rPr>
        <w:t xml:space="preserve">SARS-CoV-2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symptomatic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COVID-19: a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Pr="00A72E8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72E8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E52DA4" w14:textId="77777777" w:rsidR="00D81275" w:rsidRPr="00A72E8E" w:rsidRDefault="005F718E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D81275" w:rsidRPr="00A72E8E">
          <w:rPr>
            <w:rStyle w:val="Hyperlink"/>
            <w:rFonts w:ascii="Times New Roman" w:hAnsi="Times New Roman" w:cs="Times New Roman"/>
            <w:sz w:val="24"/>
            <w:szCs w:val="24"/>
          </w:rPr>
          <w:t>https://bmcinfectdis.biomedcentral.com/articles/10.1186/s12879-022-07418-y</w:t>
        </w:r>
      </w:hyperlink>
    </w:p>
    <w:p w14:paraId="6714B123" w14:textId="77777777" w:rsidR="00D81275" w:rsidRPr="00E66B16" w:rsidRDefault="00D81275" w:rsidP="00D81275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B16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Frontline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B. 1.617.2 (Delta)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Predominance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Locations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2020—August 2021. </w:t>
      </w:r>
    </w:p>
    <w:p w14:paraId="1FDC6D46" w14:textId="77777777" w:rsidR="00D81275" w:rsidRPr="004419B4" w:rsidRDefault="005F718E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5" w:history="1">
        <w:r w:rsidR="00D81275" w:rsidRPr="00525CCB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https://www.cdc.gov/mmwr/volumes/70/wr/mm7034e4.htm?s%20cid=mm7034e4_w</w:t>
        </w:r>
      </w:hyperlink>
    </w:p>
    <w:p w14:paraId="6658DCEF" w14:textId="6B0E6A55" w:rsidR="00D81275" w:rsidRDefault="00D81275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0CDF3F8" wp14:editId="2FA1BE4D">
            <wp:extent cx="47625" cy="47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A20BA1A" w14:textId="77777777" w:rsidR="00D81275" w:rsidRDefault="005F718E" w:rsidP="00D81275">
      <w:pPr>
        <w:pStyle w:val="ListParagraph"/>
        <w:spacing w:after="0" w:line="240" w:lineRule="auto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7" w:history="1">
        <w:r w:rsidR="00D81275" w:rsidRPr="00525CCB">
          <w:rPr>
            <w:rStyle w:val="Hyperlink"/>
            <w:rFonts w:ascii="Times New Roman" w:hAnsi="Times New Roman" w:cs="Times New Roman"/>
            <w:sz w:val="24"/>
            <w:szCs w:val="24"/>
          </w:rPr>
          <w:t>https://www.bmj.com/content/376/bmj.o298</w:t>
        </w:r>
      </w:hyperlink>
    </w:p>
    <w:p w14:paraId="54906C42" w14:textId="77777777" w:rsidR="00D81275" w:rsidRDefault="00D81275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867817" wp14:editId="12B9C2B4">
            <wp:extent cx="48768" cy="48782"/>
            <wp:effectExtent l="0" t="0" r="0" b="0"/>
            <wp:docPr id="18722" name="Picture 18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2" name="Picture 1872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UK Health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Covid-19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1. 6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ab/>
        <w:t>2022.</w:t>
      </w:r>
    </w:p>
    <w:p w14:paraId="439600B6" w14:textId="77777777" w:rsidR="00D81275" w:rsidRDefault="005F718E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D81275" w:rsidRPr="00722217">
          <w:rPr>
            <w:rStyle w:val="Hyperlink"/>
            <w:rFonts w:ascii="Times New Roman" w:hAnsi="Times New Roman" w:cs="Times New Roman"/>
            <w:sz w:val="24"/>
            <w:szCs w:val="24"/>
          </w:rPr>
          <w:t>https://assets.publishing.service.gov.uk/media/61d84daa8fa8f5058bc049ae/Vaccine_surveillance_report_week_1_2022.pdf</w:t>
        </w:r>
      </w:hyperlink>
    </w:p>
    <w:p w14:paraId="6CA60CB2" w14:textId="375154EC" w:rsidR="00D81275" w:rsidRDefault="00D81275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8155B6B" wp14:editId="07B49F56">
            <wp:extent cx="47625" cy="47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Harris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RJ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  <w:r w:rsidRPr="009B798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B798B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9B798B">
        <w:rPr>
          <w:rFonts w:ascii="Times New Roman" w:hAnsi="Times New Roman" w:cs="Times New Roman"/>
          <w:sz w:val="24"/>
          <w:szCs w:val="24"/>
        </w:rPr>
        <w:t xml:space="preserve"> J Med 2021; 385:759-760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p w14:paraId="39420CEA" w14:textId="77777777" w:rsidR="00D81275" w:rsidRDefault="005F718E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D81275" w:rsidRPr="00534244">
          <w:rPr>
            <w:rStyle w:val="Hyperlink"/>
            <w:rFonts w:ascii="Times New Roman" w:hAnsi="Times New Roman" w:cs="Times New Roman"/>
            <w:sz w:val="24"/>
            <w:szCs w:val="24"/>
          </w:rPr>
          <w:t>https://www.nejm.org/doi/full/10.1056/nejmc2107717</w:t>
        </w:r>
      </w:hyperlink>
    </w:p>
    <w:p w14:paraId="35F6376A" w14:textId="1F95F9B2" w:rsidR="00D81275" w:rsidRDefault="00D81275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660E81E" wp14:editId="2EA23347">
            <wp:extent cx="47625" cy="47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Shah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ASV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vaccinati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SARS-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6F3DA4" wp14:editId="759CBD01">
            <wp:extent cx="6096" cy="91466"/>
            <wp:effectExtent l="0" t="0" r="0" b="0"/>
            <wp:docPr id="58883" name="Picture 58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83" name="Picture 5888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2. </w:t>
      </w:r>
      <w:r w:rsidRPr="009B798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B798B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9B798B">
        <w:rPr>
          <w:rFonts w:ascii="Times New Roman" w:hAnsi="Times New Roman" w:cs="Times New Roman"/>
          <w:sz w:val="24"/>
          <w:szCs w:val="24"/>
        </w:rPr>
        <w:t xml:space="preserve"> J Med 2021; 385:1718-1720</w:t>
      </w:r>
    </w:p>
    <w:p w14:paraId="41B89F25" w14:textId="77777777" w:rsidR="00D81275" w:rsidRDefault="005F718E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D81275" w:rsidRPr="00722217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hr-HR"/>
          </w:rPr>
          <w:t>https://www.nejm.org/doi/full/10.1056/nejmc2106757</w:t>
        </w:r>
      </w:hyperlink>
      <w:r w:rsidR="00D8127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62BE2CC6" w14:textId="77777777" w:rsidR="00D81275" w:rsidRDefault="00D81275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0BB618" wp14:editId="71556B64">
            <wp:extent cx="48768" cy="48782"/>
            <wp:effectExtent l="0" t="0" r="0" b="0"/>
            <wp:docPr id="18729" name="Picture 18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" name="Picture 1872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Eyre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DW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delta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>. Medrxiv2021.09.28.21264260 [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Preprint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>: 10.1101/2021.09.28.21264260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6" w:history="1">
        <w:r w:rsidRPr="00534244">
          <w:rPr>
            <w:rStyle w:val="Hyperlink"/>
            <w:rFonts w:ascii="Times New Roman" w:hAnsi="Times New Roman" w:cs="Times New Roman"/>
            <w:sz w:val="24"/>
            <w:szCs w:val="24"/>
          </w:rPr>
          <w:t>https://www.medrxiv.org/content/10.1101/2021.09.28.21264260v2</w:t>
        </w:r>
      </w:hyperlink>
    </w:p>
    <w:p w14:paraId="34C89C12" w14:textId="77777777" w:rsidR="00D81275" w:rsidRDefault="00D81275" w:rsidP="00D812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1826D9" w14:textId="77777777" w:rsidR="00D81275" w:rsidRPr="00570B9B" w:rsidRDefault="00D81275" w:rsidP="00D812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Manja je vjerojatnost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e osoba koja se testirala unazad dva, tri dana i ima negativan nalaz, biti nositelj virusa nego osoba koja se nije testirala ili se testirala davno.</w:t>
      </w:r>
    </w:p>
    <w:p w14:paraId="2C97112D" w14:textId="77777777" w:rsidR="00D81275" w:rsidRDefault="00D81275" w:rsidP="00D81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9B">
        <w:rPr>
          <w:rFonts w:ascii="Times New Roman" w:hAnsi="Times New Roman" w:cs="Times New Roman"/>
          <w:sz w:val="24"/>
          <w:szCs w:val="24"/>
        </w:rPr>
        <w:t xml:space="preserve">Dokaza za manju vjerojatnost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zaražavanja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i prenošenja infekcije u osoba koje su preboljele i osoba koje su cijepljene u odnosu na osobe koje nisu niti cijepljene niti preboljele, ima vrlo mnogo. Temeljeni su na brojnim objavljenim epidemiološkim studijama koje pokazuju koliku zaštitu pruža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preboljenje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i cijepljenje od ponovne infekcije, u odnosu na osobe koje nisu cijepljene ni preboljele COVID-19. Ta zaštita nije stopostotna i s vremenom opada, no postoji.</w:t>
      </w:r>
    </w:p>
    <w:p w14:paraId="3A7AA39F" w14:textId="77777777" w:rsidR="00D81275" w:rsidRDefault="00D81275" w:rsidP="00D81275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 xml:space="preserve">Primjerice, Nizozemska </w:t>
      </w:r>
      <w:r>
        <w:rPr>
          <w:rFonts w:ascii="Times New Roman" w:hAnsi="Times New Roman" w:cs="Times New Roman"/>
          <w:sz w:val="24"/>
          <w:szCs w:val="24"/>
        </w:rPr>
        <w:t>studija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o djelotvornosti cjepiva u sprje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avanju transmisije virusa kontaktima u 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anstvu pokazuje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e u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%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ajeva biti sprije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en </w:t>
      </w:r>
      <w:r w:rsidRPr="00570B9B">
        <w:rPr>
          <w:rFonts w:ascii="Times New Roman" w:hAnsi="Times New Roman" w:cs="Times New Roman"/>
          <w:sz w:val="24"/>
          <w:szCs w:val="24"/>
        </w:rPr>
        <w:lastRenderedPageBreak/>
        <w:t>prijenos virusa s cijepljene oboljele osobe na nekoga od uku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ana koji je cijepljen, a tek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% ako su uku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ani necijepljeni.</w:t>
      </w:r>
    </w:p>
    <w:p w14:paraId="0DE3CE0D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Britanska studija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70B9B">
        <w:rPr>
          <w:rFonts w:ascii="Times New Roman" w:hAnsi="Times New Roman" w:cs="Times New Roman"/>
          <w:sz w:val="24"/>
          <w:szCs w:val="24"/>
        </w:rPr>
        <w:t xml:space="preserve"> tako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 xml:space="preserve">er je pokazala da cijepljene osobe koje obole u manjoj mjeri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zaražavaju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svoje bliske kontakte nego necijepljene osobe. Ako je osoba cijepljena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Pfizerovim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cjepivom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, šansa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e prenijeti infekciju na bliske kontakte manja je za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%, a ako je indeksni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aj cijepljen cjepivom AstraZenece, šansa da prenese infekciju na bliske kontakte manja je tek za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%.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inkovitost u sprje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avanju transmisije opada s protokom vremena nakon cijepljenja kod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70B9B">
        <w:rPr>
          <w:rFonts w:ascii="Times New Roman" w:hAnsi="Times New Roman" w:cs="Times New Roman"/>
          <w:sz w:val="24"/>
          <w:szCs w:val="24"/>
        </w:rPr>
        <w:t xml:space="preserve">ba cjepiva, a kod AstraZenece ipak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05CFC4" wp14:editId="7B007687">
            <wp:extent cx="3048" cy="3049"/>
            <wp:effectExtent l="0" t="0" r="0" b="0"/>
            <wp:docPr id="22009" name="Picture 2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9" name="Picture 2200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>nešto brže.</w:t>
      </w:r>
    </w:p>
    <w:p w14:paraId="7764808B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5A43AB2" w14:textId="77777777" w:rsidR="00D81275" w:rsidRPr="00C06F86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06F86">
        <w:rPr>
          <w:rFonts w:ascii="Times New Roman" w:hAnsi="Times New Roman" w:cs="Times New Roman"/>
          <w:spacing w:val="-3"/>
          <w:sz w:val="24"/>
          <w:szCs w:val="24"/>
        </w:rPr>
        <w:t xml:space="preserve">Zanimljiva su i iskustva zdravstvenih radnika u Škotskoj cijepljenih </w:t>
      </w:r>
      <w:proofErr w:type="spellStart"/>
      <w:r w:rsidRPr="00C06F86">
        <w:rPr>
          <w:rFonts w:ascii="Times New Roman" w:hAnsi="Times New Roman" w:cs="Times New Roman"/>
          <w:spacing w:val="-3"/>
          <w:sz w:val="24"/>
          <w:szCs w:val="24"/>
        </w:rPr>
        <w:t>Pfizerovim</w:t>
      </w:r>
      <w:proofErr w:type="spellEnd"/>
      <w:r w:rsidRPr="00C06F86">
        <w:rPr>
          <w:rFonts w:ascii="Times New Roman" w:hAnsi="Times New Roman" w:cs="Times New Roman"/>
          <w:spacing w:val="-3"/>
          <w:sz w:val="24"/>
          <w:szCs w:val="24"/>
        </w:rPr>
        <w:t xml:space="preserve"> ili AstraZeneca cjepivom</w:t>
      </w:r>
      <w:r>
        <w:rPr>
          <w:rStyle w:val="FootnoteReference"/>
          <w:rFonts w:ascii="Times New Roman" w:hAnsi="Times New Roman" w:cs="Times New Roman"/>
          <w:spacing w:val="-3"/>
          <w:sz w:val="24"/>
          <w:szCs w:val="24"/>
        </w:rPr>
        <w:footnoteReference w:id="3"/>
      </w:r>
      <w:r w:rsidRPr="00C06F86">
        <w:rPr>
          <w:rFonts w:ascii="Times New Roman" w:hAnsi="Times New Roman" w:cs="Times New Roman"/>
          <w:spacing w:val="-3"/>
          <w:sz w:val="24"/>
          <w:szCs w:val="24"/>
        </w:rPr>
        <w:t xml:space="preserve">. Ukućani cijepljenih zdravstvenih radnika su imali 30 % manju šansu </w:t>
      </w:r>
      <w:proofErr w:type="spellStart"/>
      <w:r w:rsidRPr="00C06F86">
        <w:rPr>
          <w:rFonts w:ascii="Times New Roman" w:hAnsi="Times New Roman" w:cs="Times New Roman"/>
          <w:spacing w:val="-3"/>
          <w:sz w:val="24"/>
          <w:szCs w:val="24"/>
        </w:rPr>
        <w:t>zaražavanja</w:t>
      </w:r>
      <w:proofErr w:type="spellEnd"/>
      <w:r w:rsidRPr="00C06F86">
        <w:rPr>
          <w:rFonts w:ascii="Times New Roman" w:hAnsi="Times New Roman" w:cs="Times New Roman"/>
          <w:spacing w:val="-3"/>
          <w:sz w:val="24"/>
          <w:szCs w:val="24"/>
        </w:rPr>
        <w:t xml:space="preserve"> 14 dana i više nakon što je zdravstveni radnik primio prvu dozu cjepiva, a 54 % manju šansu </w:t>
      </w:r>
      <w:proofErr w:type="spellStart"/>
      <w:r w:rsidRPr="00C06F86">
        <w:rPr>
          <w:rFonts w:ascii="Times New Roman" w:hAnsi="Times New Roman" w:cs="Times New Roman"/>
          <w:spacing w:val="-3"/>
          <w:sz w:val="24"/>
          <w:szCs w:val="24"/>
        </w:rPr>
        <w:t>zaražavanja</w:t>
      </w:r>
      <w:proofErr w:type="spellEnd"/>
      <w:r w:rsidRPr="00C06F86">
        <w:rPr>
          <w:rFonts w:ascii="Times New Roman" w:hAnsi="Times New Roman" w:cs="Times New Roman"/>
          <w:spacing w:val="-3"/>
          <w:sz w:val="24"/>
          <w:szCs w:val="24"/>
        </w:rPr>
        <w:t xml:space="preserve"> 14 i više dana nakon što je zdravstveni radnik primio drugu dozu cjepiva.</w:t>
      </w:r>
    </w:p>
    <w:p w14:paraId="686CB593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D7EAC5C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S druge strane, u jednoj od studija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70B9B">
        <w:rPr>
          <w:rFonts w:ascii="Times New Roman" w:hAnsi="Times New Roman" w:cs="Times New Roman"/>
          <w:sz w:val="24"/>
          <w:szCs w:val="24"/>
        </w:rPr>
        <w:t xml:space="preserve"> objavljenih u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Lancetu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istraživa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i su utvrdili da je rizik od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zaražavanja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nih kontakata podjednak neovisno o tome je li indeksni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aj cijepljen ili nije cijepljen. Maksimalna koli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ina izlu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ivanja virusa bila je jednaka kod cijepljenih i necijepljenih oboljelih osoba,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utim brže je opadala kod cijepljenih osoba.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BD021A3" wp14:editId="5AA74926">
            <wp:extent cx="3048" cy="3049"/>
            <wp:effectExtent l="0" t="0" r="0" b="0"/>
            <wp:docPr id="22010" name="Picture 2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0" name="Picture 22010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704BC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56D8CCA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Do sli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nog zaklju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ka došli su i autori druge studije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570B9B">
        <w:rPr>
          <w:rFonts w:ascii="Times New Roman" w:hAnsi="Times New Roman" w:cs="Times New Roman"/>
          <w:sz w:val="24"/>
          <w:szCs w:val="24"/>
        </w:rPr>
        <w:t xml:space="preserve"> koji su, usporedbom periodi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kih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briseva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i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ivanja amplifikacijskih ciklusa kod hospitaliziranih pacijenata, našli da cijepljeni i necijepljeni pacijenti podjednako veliku koli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inu virusa izlu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uju na vrhuncu zaraznosti, ali se kod cijepljenih osoba koli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ina izlu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ivanja virusa znatno brže smanjuje nego kod necijepljenih.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AE15F6" wp14:editId="578D726E">
            <wp:extent cx="3048" cy="6098"/>
            <wp:effectExtent l="0" t="0" r="0" b="0"/>
            <wp:docPr id="22011" name="Picture 2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1" name="Picture 2201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2230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D8F4834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 xml:space="preserve">Situacija nakon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preboljenja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tako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er pokazuje neupitnu korist COVID potvrda kao mjere smanjenja r</w:t>
      </w:r>
      <w:r>
        <w:rPr>
          <w:rFonts w:ascii="Times New Roman" w:hAnsi="Times New Roman" w:cs="Times New Roman"/>
          <w:sz w:val="24"/>
          <w:szCs w:val="24"/>
        </w:rPr>
        <w:t>izika od širenja bolesti COVID-</w:t>
      </w:r>
      <w:r w:rsidRPr="00570B9B">
        <w:rPr>
          <w:rFonts w:ascii="Times New Roman" w:hAnsi="Times New Roman" w:cs="Times New Roman"/>
          <w:sz w:val="24"/>
          <w:szCs w:val="24"/>
        </w:rPr>
        <w:t>19.</w:t>
      </w:r>
    </w:p>
    <w:p w14:paraId="2CD1D8A5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970FF32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Više epidemioloških i klini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kih studija, 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ući</w:t>
      </w:r>
      <w:r w:rsidRPr="00570B9B">
        <w:rPr>
          <w:rFonts w:ascii="Times New Roman" w:hAnsi="Times New Roman" w:cs="Times New Roman"/>
          <w:sz w:val="24"/>
          <w:szCs w:val="24"/>
        </w:rPr>
        <w:t xml:space="preserve"> studije tijekom nedavnog razdoblja prijenosa pretežno delta varijante, otkrile su da se rizik od ponovne infekcije SARS-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6BCDA9" wp14:editId="0ABDB539">
            <wp:extent cx="3047" cy="3049"/>
            <wp:effectExtent l="0" t="0" r="0" b="0"/>
            <wp:docPr id="22012" name="Picture 2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2" name="Picture 220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>2 sm</w:t>
      </w:r>
      <w:r>
        <w:rPr>
          <w:rFonts w:ascii="Times New Roman" w:hAnsi="Times New Roman" w:cs="Times New Roman"/>
          <w:sz w:val="24"/>
          <w:szCs w:val="24"/>
        </w:rPr>
        <w:t xml:space="preserve">anjio za 80,5 - </w:t>
      </w:r>
      <w:r w:rsidRPr="00570B9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% medu onima koji su prethodno imali COVID-19. Prijavljene studije obuhva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aju veliki broj ispitanika i provedene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570B9B">
        <w:rPr>
          <w:rFonts w:ascii="Times New Roman" w:hAnsi="Times New Roman" w:cs="Times New Roman"/>
          <w:sz w:val="24"/>
          <w:szCs w:val="24"/>
        </w:rPr>
        <w:t xml:space="preserve">u cijelom svijetu. Druga laboratorijska </w:t>
      </w:r>
      <w:r w:rsidRPr="004419B4">
        <w:rPr>
          <w:rFonts w:ascii="Times New Roman" w:hAnsi="Times New Roman" w:cs="Times New Roman"/>
          <w:spacing w:val="6"/>
          <w:sz w:val="24"/>
          <w:szCs w:val="24"/>
        </w:rPr>
        <w:t>studija koja je analizirala rezultate testova 9.119 osoba koje su preboljele COVID-19 od 1. prosinca 2019. do 13. studenoga 2020. pokazala je da se samo 0, 7 % ponovno zarazi</w:t>
      </w:r>
      <w:r>
        <w:rPr>
          <w:rFonts w:ascii="Times New Roman" w:hAnsi="Times New Roman" w:cs="Times New Roman"/>
          <w:spacing w:val="6"/>
          <w:sz w:val="24"/>
          <w:szCs w:val="24"/>
        </w:rPr>
        <w:t>lo</w:t>
      </w:r>
      <w:r>
        <w:rPr>
          <w:rStyle w:val="FootnoteReference"/>
          <w:rFonts w:ascii="Times New Roman" w:hAnsi="Times New Roman" w:cs="Times New Roman"/>
          <w:spacing w:val="6"/>
          <w:sz w:val="24"/>
          <w:szCs w:val="24"/>
        </w:rPr>
        <w:footnoteReference w:id="6"/>
      </w:r>
      <w:r w:rsidRPr="004419B4">
        <w:rPr>
          <w:rFonts w:ascii="Times New Roman" w:hAnsi="Times New Roman" w:cs="Times New Roman"/>
          <w:spacing w:val="6"/>
          <w:sz w:val="24"/>
          <w:szCs w:val="24"/>
        </w:rPr>
        <w:t>. U</w:t>
      </w:r>
      <w:r w:rsidRPr="00570B9B">
        <w:rPr>
          <w:rFonts w:ascii="Times New Roman" w:hAnsi="Times New Roman" w:cs="Times New Roman"/>
          <w:sz w:val="24"/>
          <w:szCs w:val="24"/>
        </w:rPr>
        <w:t xml:space="preserve"> studiji provedenoj na klinici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Cleveland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u SAD-u, oni koji prethodno nisu bili zaraženi imali su stopu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incidencije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COVID-19 od 4,3 na 100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70B9B">
        <w:rPr>
          <w:rFonts w:ascii="Times New Roman" w:hAnsi="Times New Roman" w:cs="Times New Roman"/>
          <w:sz w:val="24"/>
          <w:szCs w:val="24"/>
        </w:rPr>
        <w:t xml:space="preserve">judi, dok su oni koji su prethodno bili zaraženi </w:t>
      </w:r>
      <w:r w:rsidRPr="00570B9B">
        <w:rPr>
          <w:rFonts w:ascii="Times New Roman" w:hAnsi="Times New Roman" w:cs="Times New Roman"/>
          <w:sz w:val="24"/>
          <w:szCs w:val="24"/>
        </w:rPr>
        <w:lastRenderedPageBreak/>
        <w:t xml:space="preserve">imali stopu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incidencije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COVID-19 od 0 na 100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70B9B">
        <w:rPr>
          <w:rFonts w:ascii="Times New Roman" w:hAnsi="Times New Roman" w:cs="Times New Roman"/>
          <w:sz w:val="24"/>
          <w:szCs w:val="24"/>
        </w:rPr>
        <w:t>judi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.</w:t>
      </w:r>
      <w:r w:rsidRPr="00570B9B">
        <w:rPr>
          <w:rFonts w:ascii="Times New Roman" w:hAnsi="Times New Roman" w:cs="Times New Roman"/>
          <w:sz w:val="24"/>
          <w:szCs w:val="24"/>
        </w:rPr>
        <w:t xml:space="preserve"> Nadalje, studija provedena u Austriji pokazala je da je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estalost hospitalizacije zbog ponovljene infekcije pet na 14 840 (0,03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70B9B">
        <w:rPr>
          <w:rFonts w:ascii="Times New Roman" w:hAnsi="Times New Roman" w:cs="Times New Roman"/>
          <w:sz w:val="24"/>
          <w:szCs w:val="24"/>
        </w:rPr>
        <w:t>judi, 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estalost smrti zbog ponovljene infekcije jedna na 14 840 (0,01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70B9B">
        <w:rPr>
          <w:rFonts w:ascii="Times New Roman" w:hAnsi="Times New Roman" w:cs="Times New Roman"/>
          <w:sz w:val="24"/>
          <w:szCs w:val="24"/>
        </w:rPr>
        <w:t>jud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570B9B">
        <w:rPr>
          <w:rFonts w:ascii="Times New Roman" w:hAnsi="Times New Roman" w:cs="Times New Roman"/>
          <w:sz w:val="24"/>
          <w:szCs w:val="24"/>
        </w:rPr>
        <w:t>.</w:t>
      </w:r>
    </w:p>
    <w:p w14:paraId="4EFADF0E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94BF747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U Britaniji su provedene i studije koje su se bavile utjecajem obveze digitalnih COVID potvrda na sprje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avanje širenja zaraze na javnim okupljanjima.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 xml:space="preserve">Program britanske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70B9B">
        <w:rPr>
          <w:rFonts w:ascii="Times New Roman" w:hAnsi="Times New Roman" w:cs="Times New Roman"/>
          <w:sz w:val="24"/>
          <w:szCs w:val="24"/>
        </w:rPr>
        <w:t>lade za istraživanje doga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 xml:space="preserve">aja (engl.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570B9B">
        <w:rPr>
          <w:rFonts w:ascii="Times New Roman" w:hAnsi="Times New Roman" w:cs="Times New Roman"/>
          <w:sz w:val="24"/>
          <w:szCs w:val="24"/>
        </w:rPr>
        <w:t>, iako je u nekim aspektima ograni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en, daje temelj za optimizam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e alati kao što je digitalna COVID potvrda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i u ograni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avanju prijenosa na masovnim doga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ajima. U fazi I. programa otkriveno je samo 28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ajeva COVID-19 u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B9B">
        <w:rPr>
          <w:rFonts w:ascii="Times New Roman" w:hAnsi="Times New Roman" w:cs="Times New Roman"/>
          <w:sz w:val="24"/>
          <w:szCs w:val="24"/>
        </w:rPr>
        <w:t>764 sudionika koji su ispunili sve zahtjeve testiranja nakon doga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aja.</w:t>
      </w:r>
    </w:p>
    <w:p w14:paraId="425A1471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CF0EFE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 xml:space="preserve">Na Institutu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Blair za globalne promjene proveli su analizu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 xml:space="preserve"> utemeljenu na model</w:t>
      </w:r>
      <w:r>
        <w:rPr>
          <w:rFonts w:ascii="Times New Roman" w:hAnsi="Times New Roman" w:cs="Times New Roman"/>
          <w:sz w:val="24"/>
          <w:szCs w:val="24"/>
        </w:rPr>
        <w:t xml:space="preserve">u širenja virusa iz lipnja 2021. godine </w:t>
      </w:r>
      <w:r w:rsidRPr="00570B9B">
        <w:rPr>
          <w:rFonts w:ascii="Times New Roman" w:hAnsi="Times New Roman" w:cs="Times New Roman"/>
          <w:sz w:val="24"/>
          <w:szCs w:val="24"/>
        </w:rPr>
        <w:t>koji su izradili istraživa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i s Imperial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Collegea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u Londonu za britansku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Group for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Emergencies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(SAGE). To je pokazalo da bi, da je vlada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ila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initi COVID potvrde obvezne za velika okupljanja u zatvorenim prostorima u Engleskoj nakon ukidanja ograni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enja 19. srpnja, moglo smanjiti broj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ADE039B" wp14:editId="223D181E">
            <wp:extent cx="3048" cy="3049"/>
            <wp:effectExtent l="0" t="0" r="0" b="0"/>
            <wp:docPr id="25182" name="Picture 2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2" name="Picture 25182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ajeva i smrtnih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ajeva tijekom sljede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ih tjedana za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ak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9B">
        <w:rPr>
          <w:rFonts w:ascii="Times New Roman" w:hAnsi="Times New Roman" w:cs="Times New Roman"/>
          <w:sz w:val="24"/>
          <w:szCs w:val="24"/>
        </w:rPr>
        <w:t>%.</w:t>
      </w:r>
    </w:p>
    <w:p w14:paraId="667ED4E0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B994D4" w14:textId="77777777" w:rsidR="00D81275" w:rsidRDefault="00D81275" w:rsidP="00D81275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U vrijeme intenzivne cirkulacije virusa u populaciji,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 xml:space="preserve">eni postotak zdravih osoba odnosno osoba bez simptoma COVID-19 je imao pozitivan bris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nazofarinksa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na SARSCoV-2 virus, a ti se postoci kre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u od dva do tri posto do desetak posto u vrijeme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D30354" wp14:editId="66336B7B">
            <wp:extent cx="3048" cy="6098"/>
            <wp:effectExtent l="0" t="0" r="0" b="0"/>
            <wp:docPr id="25183" name="Picture 2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3" name="Picture 2518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 xml:space="preserve">najintenzivnije cirkulacije virusa u populaciji. Stoga je preventivno testiranje i otkrivanje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asimptomatskih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ili blagih infekcija smanjivalo rizik širenja COVID-19 u populaciji. Dakle, jasno je da osoba koja je negativna u brisu, unato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 tome što bris može biti lažno negativan, ima manju šansu biti zaražena i zarazna za okolinu nego osoba koja nije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AF2FD7" wp14:editId="24CB2300">
            <wp:extent cx="9144" cy="3049"/>
            <wp:effectExtent l="0" t="0" r="0" b="0"/>
            <wp:docPr id="58888" name="Picture 5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88" name="Picture 58888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>testirana.</w:t>
      </w:r>
    </w:p>
    <w:p w14:paraId="2C8F61BB" w14:textId="77777777" w:rsidR="00D81275" w:rsidRDefault="00D81275" w:rsidP="00D81275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S obzirom na navedeno, s ciljem smanjenja vjerojatnosti unosa virusa u kolektive, jasno je da osoba koja je nedavno cijepljena, nedavno preboljela ili unazad dva do tri dana testirana i negativna, ima manju vjerojatnost da unese virus u kolektiv nego osoba koja nije niti preboljela niti se cijepila niti testirala.</w:t>
      </w:r>
    </w:p>
    <w:p w14:paraId="13A51F2C" w14:textId="77777777" w:rsidR="00D81275" w:rsidRDefault="00D81275" w:rsidP="00D81275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S ciljem održavanja funkcioniranja društva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B9B">
        <w:rPr>
          <w:rFonts w:ascii="Times New Roman" w:hAnsi="Times New Roman" w:cs="Times New Roman"/>
          <w:sz w:val="24"/>
          <w:szCs w:val="24"/>
        </w:rPr>
        <w:t xml:space="preserve"> Stožer je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io uvesti COVID potvrde s ciljem smanjenja rizika unosa virusa u kolektive i usporiti širenje u populaciji. Tom mjerom se nije moglo u potpunosti sprije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iti unos virusa u kolektive i potpuno zaustaviti širenje virusa u populaciji, ali 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 i smanjenje rizika prijenosa i 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nost usporavanja širenja virusa je puno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ilo u zaštiti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 xml:space="preserve">enih vitalnih sustava poput zdravstvenog sustava, sustava socijalne skrbi i drugih esencijalnih službi, koje su imale za korisnike najosjetljivije skupine </w:t>
      </w:r>
      <w:r w:rsidRPr="00570B9B">
        <w:rPr>
          <w:rFonts w:ascii="Times New Roman" w:hAnsi="Times New Roman" w:cs="Times New Roman"/>
          <w:sz w:val="24"/>
          <w:szCs w:val="24"/>
        </w:rPr>
        <w:lastRenderedPageBreak/>
        <w:t>stanovništva. Na sli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an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in i s istim argumentima je 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ina zemalja EU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570B9B">
        <w:rPr>
          <w:rFonts w:ascii="Times New Roman" w:hAnsi="Times New Roman" w:cs="Times New Roman"/>
          <w:sz w:val="24"/>
          <w:szCs w:val="24"/>
        </w:rPr>
        <w:t xml:space="preserve"> koristila digitalne COVID potvrde.</w:t>
      </w:r>
    </w:p>
    <w:p w14:paraId="40A9A577" w14:textId="77777777" w:rsidR="00D81275" w:rsidRDefault="00D81275" w:rsidP="00D81275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Jedini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in da se u potpunosti sprije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i unos virusa u vulnerabilnu populaciju i esencijalne službe i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enito društvene djelatnosti, bio je potpuna obustava kretanja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70B9B">
        <w:rPr>
          <w:rFonts w:ascii="Times New Roman" w:hAnsi="Times New Roman" w:cs="Times New Roman"/>
          <w:sz w:val="24"/>
          <w:szCs w:val="24"/>
        </w:rPr>
        <w:t>judi, što je bilo neprihvatljivo.</w:t>
      </w:r>
    </w:p>
    <w:p w14:paraId="473D8ED6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S obzirom na to da se više nije moglo 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unati na potpuno spr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70B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avanje unosa virusa u kolektive, ali je i dalje imalo smisla usporavati širenje virusa i štititi najosjetljivije skupine stanovništva, Stožer je donio odluku da oni koji su nedavno preboljeli ili cijepljeni ne moraju raditi bris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nazofarinksa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jer je bila manja vjerojatnost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 xml:space="preserve">e unijeti virus u kolektiv nego osobe koje nisu cijepljene ili preboljele nedavno. Naime, svi mogu nositi virus u nosu i unijeti u kolektiv i cijepljeni i oporavljeni i oni s negativnim rezultatom brisa nosa, ali vjerojatnost je manja nego kod onih koji nisu nedavno cijepljeni, preboljeli ili nemaju negativan nalaz brisa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nazofarinksa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>.</w:t>
      </w:r>
    </w:p>
    <w:p w14:paraId="1F9D81F5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88F6227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U vrijeme kada je mjera korištenja COVID potvrda uvedena, dominirala je delta varijanta virusa koja je imala znatno 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i potencijal da uzrokuje veliki broj teško oboljelih i popuni kapacitete zdravstvenog sustava hospitaliziranim pacijentima i uzrokuje visoku smrtnost kod vulnerabilnih osoba.</w:t>
      </w:r>
    </w:p>
    <w:p w14:paraId="2FB55D51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C9BCAC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Preostaje pitanje o tome bi li bilo bolje da se redovno testiralo apsolutno svakog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 xml:space="preserve">anina, neovisno o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cjepnom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statusu i statusu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preboljenja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>.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utim, to je bilo logisti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ki nemogu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e i odabran je kompromis, koji je bio logisti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>ki izvediv te je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70B9B">
        <w:rPr>
          <w:rFonts w:ascii="Times New Roman" w:hAnsi="Times New Roman" w:cs="Times New Roman"/>
          <w:sz w:val="24"/>
          <w:szCs w:val="24"/>
        </w:rPr>
        <w:t>avao funkcioniranje svih društvenih djelatnosti.</w:t>
      </w:r>
    </w:p>
    <w:p w14:paraId="655800ED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287A42" w14:textId="77777777" w:rsidR="00D81275" w:rsidRPr="00570B9B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0B9B">
        <w:rPr>
          <w:rFonts w:ascii="Times New Roman" w:hAnsi="Times New Roman" w:cs="Times New Roman"/>
          <w:sz w:val="24"/>
          <w:szCs w:val="24"/>
        </w:rPr>
        <w:t>Ova je mjera digitalnih COVID potvrda imala više smisla u vrijeme varijanti SARS-CoV2 virusa koje su dominirale pri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70B9B">
        <w:rPr>
          <w:rFonts w:ascii="Times New Roman" w:hAnsi="Times New Roman" w:cs="Times New Roman"/>
          <w:sz w:val="24"/>
          <w:szCs w:val="24"/>
        </w:rPr>
        <w:t xml:space="preserve">e pojave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omikron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varijante. Pojavom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omikron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varijante, </w:t>
      </w:r>
      <w:r w:rsidRPr="00570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00A6CF3" wp14:editId="4B0277B9">
            <wp:extent cx="3048" cy="3049"/>
            <wp:effectExtent l="0" t="0" r="0" b="0"/>
            <wp:docPr id="27149" name="Picture 27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9" name="Picture 2714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B9B">
        <w:rPr>
          <w:rFonts w:ascii="Times New Roman" w:hAnsi="Times New Roman" w:cs="Times New Roman"/>
          <w:sz w:val="24"/>
          <w:szCs w:val="24"/>
        </w:rPr>
        <w:t>koja se pokazala zaraznijom od ranijih varijanti, i koja je u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570B9B">
        <w:rPr>
          <w:rFonts w:ascii="Times New Roman" w:hAnsi="Times New Roman" w:cs="Times New Roman"/>
          <w:sz w:val="24"/>
          <w:szCs w:val="24"/>
        </w:rPr>
        <w:t>enoj mjeri izbjegavala imunološki odgovor ste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70B9B">
        <w:rPr>
          <w:rFonts w:ascii="Times New Roman" w:hAnsi="Times New Roman" w:cs="Times New Roman"/>
          <w:sz w:val="24"/>
          <w:szCs w:val="24"/>
        </w:rPr>
        <w:t xml:space="preserve">en ranijim </w:t>
      </w:r>
      <w:proofErr w:type="spellStart"/>
      <w:r w:rsidRPr="00570B9B">
        <w:rPr>
          <w:rFonts w:ascii="Times New Roman" w:hAnsi="Times New Roman" w:cs="Times New Roman"/>
          <w:sz w:val="24"/>
          <w:szCs w:val="24"/>
        </w:rPr>
        <w:t>preboljenjem</w:t>
      </w:r>
      <w:proofErr w:type="spellEnd"/>
      <w:r w:rsidRPr="00570B9B">
        <w:rPr>
          <w:rFonts w:ascii="Times New Roman" w:hAnsi="Times New Roman" w:cs="Times New Roman"/>
          <w:sz w:val="24"/>
          <w:szCs w:val="24"/>
        </w:rPr>
        <w:t xml:space="preserve"> i cijepljenjem, a istovremeno i u manjoj mjeri izazivala teške oblike bolesti, korist od digitalnih COVID potvrda se znatno umanjila, te su one ukinute.</w:t>
      </w:r>
    </w:p>
    <w:p w14:paraId="37E720FA" w14:textId="4FD9C138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EB5B557" wp14:editId="7904FFE4">
            <wp:extent cx="9525" cy="9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D8FC" w14:textId="6C4E0624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D8FDEF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uz inicijativu predlagatelja za istraživanje i utvrđivanje odgovora na pitanje na temelju kojih </w:t>
      </w:r>
      <w:r w:rsidRPr="00E66B16">
        <w:rPr>
          <w:rFonts w:ascii="Times New Roman" w:eastAsia="Times New Roman" w:hAnsi="Times New Roman" w:cs="Times New Roman"/>
          <w:sz w:val="24"/>
          <w:szCs w:val="24"/>
        </w:rPr>
        <w:t>znanstvenih činjenica je Vlada Republike Hrvatske donijela op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E66B16">
        <w:rPr>
          <w:rFonts w:ascii="Times New Roman" w:eastAsia="Times New Roman" w:hAnsi="Times New Roman" w:cs="Times New Roman"/>
          <w:sz w:val="24"/>
          <w:szCs w:val="24"/>
        </w:rPr>
        <w:t>enite preporuke o cijepljenju svih bez konzultacije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njihovim osobnim liječnicima, </w:t>
      </w:r>
      <w:r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>
        <w:rPr>
          <w:rFonts w:ascii="Times New Roman" w:eastAsia="Times New Roman" w:hAnsi="Times New Roman" w:cs="Times New Roman"/>
          <w:sz w:val="24"/>
          <w:szCs w:val="24"/>
        </w:rPr>
        <w:t>napominje sljedeće:</w:t>
      </w:r>
    </w:p>
    <w:p w14:paraId="3A92911E" w14:textId="77777777" w:rsidR="00D81275" w:rsidRDefault="00D81275" w:rsidP="00D81275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5F6D4" w14:textId="77777777" w:rsidR="00D81275" w:rsidRPr="00267452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7452">
        <w:rPr>
          <w:rFonts w:ascii="Times New Roman" w:hAnsi="Times New Roman" w:cs="Times New Roman"/>
          <w:spacing w:val="-2"/>
          <w:sz w:val="24"/>
          <w:szCs w:val="24"/>
        </w:rPr>
        <w:t xml:space="preserve">Vlada Republike Hrvatske nije donosila preporuke o cijepljenju, već ih je donosio HZJZ putem Službe za epidemiologiju zaraznih bolesti, kao što donosi preporuke i za sva ostala cijepljenja u sklopu nacionalnog programa obaveznih i preporučenih cijepljenja, a sukladno Zakonu o zdravstvenoj zaštiti, Zakonu o zaštiti pučanstva od zaraznih bolesti i pripadajućim propisima te temeljeno na znanstvenim dokazima i pravilima struke u ovom području. </w:t>
      </w:r>
    </w:p>
    <w:p w14:paraId="626AEF11" w14:textId="77777777" w:rsidR="00D81275" w:rsidRPr="00267452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B624707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6B16">
        <w:rPr>
          <w:rFonts w:ascii="Times New Roman" w:hAnsi="Times New Roman" w:cs="Times New Roman"/>
          <w:sz w:val="24"/>
          <w:szCs w:val="24"/>
        </w:rPr>
        <w:t xml:space="preserve">Vlada Republike Hrvatske je prihvatila i podržala preporuke HZJZ-a, kao što je to činila i čini za sva </w:t>
      </w:r>
      <w:r w:rsidRPr="00E66B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A8157A" wp14:editId="5B4CBFDD">
            <wp:extent cx="3048" cy="3049"/>
            <wp:effectExtent l="0" t="0" r="0" b="0"/>
            <wp:docPr id="30468" name="Picture 30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8" name="Picture 3046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B16">
        <w:rPr>
          <w:rFonts w:ascii="Times New Roman" w:hAnsi="Times New Roman" w:cs="Times New Roman"/>
          <w:sz w:val="24"/>
          <w:szCs w:val="24"/>
        </w:rPr>
        <w:t>ostala preporučena cijepljenja u sklopu Nacionalnog programa cijepljenja.</w:t>
      </w:r>
    </w:p>
    <w:p w14:paraId="444BA7F1" w14:textId="77777777" w:rsidR="00D81275" w:rsidRPr="00E66B16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5769E92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6B16">
        <w:rPr>
          <w:rFonts w:ascii="Times New Roman" w:hAnsi="Times New Roman" w:cs="Times New Roman"/>
          <w:sz w:val="24"/>
          <w:szCs w:val="24"/>
        </w:rPr>
        <w:t>Nikada nisu postojale općenite preporuke za cijepljenje apsolutno svih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 xml:space="preserve">ana, odnosno preporuke da se bez liječničke procjene eventualnih privremenih ili trajnih kontraindikacija </w:t>
      </w:r>
      <w:r w:rsidRPr="00E66B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A695EB9" wp14:editId="2763A617">
            <wp:extent cx="3048" cy="3049"/>
            <wp:effectExtent l="0" t="0" r="0" b="0"/>
            <wp:docPr id="30469" name="Picture 30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9" name="Picture 30469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B16">
        <w:rPr>
          <w:rFonts w:ascii="Times New Roman" w:hAnsi="Times New Roman" w:cs="Times New Roman"/>
          <w:sz w:val="24"/>
          <w:szCs w:val="24"/>
        </w:rPr>
        <w:t>cijepe svi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 xml:space="preserve">ani. Preporuke za sva cijepljenja pa tako i za cijepljenje protiv </w:t>
      </w:r>
      <w:r w:rsidRPr="00E66B16">
        <w:rPr>
          <w:rFonts w:ascii="Times New Roman" w:hAnsi="Times New Roman" w:cs="Times New Roman"/>
          <w:sz w:val="24"/>
          <w:szCs w:val="24"/>
        </w:rPr>
        <w:lastRenderedPageBreak/>
        <w:t xml:space="preserve">COVID-19 se </w:t>
      </w:r>
      <w:r w:rsidRPr="00E66B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E793C0" wp14:editId="331C0CF6">
            <wp:extent cx="3048" cy="3049"/>
            <wp:effectExtent l="0" t="0" r="0" b="0"/>
            <wp:docPr id="30470" name="Picture 30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0" name="Picture 30470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B16">
        <w:rPr>
          <w:rFonts w:ascii="Times New Roman" w:hAnsi="Times New Roman" w:cs="Times New Roman"/>
          <w:sz w:val="24"/>
          <w:szCs w:val="24"/>
        </w:rPr>
        <w:t>donose tako da korist nadmašuje rizik mogućih nuspojava za osobu i/ili populaciju koja se cijepi. Preporuke za cijepljenje su se u početku odnosile samo na odrasle osobe, uz izuzetak osoba koje imaju kontraindikaciju za cijepljenje, a koje su utvr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>ivali izabrani liječnik, liječnik kod kojeg osoba kontrolira ili liječi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 xml:space="preserve">enu kroničnu bolest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E66B16">
        <w:rPr>
          <w:rFonts w:ascii="Times New Roman" w:hAnsi="Times New Roman" w:cs="Times New Roman"/>
          <w:sz w:val="24"/>
          <w:szCs w:val="24"/>
        </w:rPr>
        <w:t>ili liječnik koji je provodio cijepljenje. Preporuke su revidirane nekoliko puta, sukladno novim spoznajama, znanstvenoj literaturi,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>unarodnim preporukama (primjerice WHO, ECDC...) i iskustvima primjene u praksi i praćenjem nuspojava i djelotvornosti cijepljenja, a trenutno je aktualna verzija 13. Nikada u preporukama nije bilo preporuč</w:t>
      </w:r>
      <w:r>
        <w:rPr>
          <w:rFonts w:ascii="Times New Roman" w:hAnsi="Times New Roman" w:cs="Times New Roman"/>
          <w:sz w:val="24"/>
          <w:szCs w:val="24"/>
        </w:rPr>
        <w:t>eno</w:t>
      </w:r>
      <w:r w:rsidRPr="00E66B16">
        <w:rPr>
          <w:rFonts w:ascii="Times New Roman" w:hAnsi="Times New Roman" w:cs="Times New Roman"/>
          <w:sz w:val="24"/>
          <w:szCs w:val="24"/>
        </w:rPr>
        <w:t xml:space="preserve"> cijepljenje rutinski apsolutno svih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 xml:space="preserve">ana, bez iznimaka s obzirom na kontraindikacije ili ne uzimajući u obzir procjenu odnosno preporuku koristi cijepljenja u odnosu na rizik nuspojava. Slična situacija je i kod cijepljenja primjerice protiv gripe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6B16">
        <w:rPr>
          <w:rFonts w:ascii="Times New Roman" w:hAnsi="Times New Roman" w:cs="Times New Roman"/>
          <w:sz w:val="24"/>
          <w:szCs w:val="24"/>
        </w:rPr>
        <w:t xml:space="preserve"> iako se mogu 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6B16">
        <w:rPr>
          <w:rFonts w:ascii="Times New Roman" w:hAnsi="Times New Roman" w:cs="Times New Roman"/>
          <w:sz w:val="24"/>
          <w:szCs w:val="24"/>
        </w:rPr>
        <w:t>jepiti svi stanovnici koji nemaju kontraindikaciju za cijepljenje i koji su u dobi za koje je cjepivo registrirano, nekim skupinama stanovništva koji imaju veći rizik za razvoj težih oblika bolesti i komplikacija se ono preporuča.</w:t>
      </w:r>
    </w:p>
    <w:p w14:paraId="52AE0E98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72C8F6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6B16">
        <w:rPr>
          <w:rFonts w:ascii="Times New Roman" w:hAnsi="Times New Roman" w:cs="Times New Roman"/>
          <w:sz w:val="24"/>
          <w:szCs w:val="24"/>
        </w:rPr>
        <w:t>Ono što je univerzalno u preporukama, a za što nije potrebno mišljenje osobnog liječnika za svaku osobu koja pristupa cijepljenju, su kategorije stanovništva za koje je cijepljenje preporučeno, a to se temelji na kliničkim i epidemiološkim istraživanjima djelotvornosti i učinkovitosti cjepiva te o kontraindikacijama za cijepljenje i odnosima koristi i rizika od cijepljenja za određene kategorije stanovništva, koje su se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>ivale kao i za druga cjepiva do sada.</w:t>
      </w:r>
    </w:p>
    <w:p w14:paraId="20948D37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DFA3697" w14:textId="6EAC033B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6B16">
        <w:rPr>
          <w:rFonts w:ascii="Times New Roman" w:hAnsi="Times New Roman" w:cs="Times New Roman"/>
          <w:sz w:val="24"/>
          <w:szCs w:val="24"/>
        </w:rPr>
        <w:t>Drugim riječima, po</w:t>
      </w:r>
      <w:r>
        <w:rPr>
          <w:rFonts w:ascii="Times New Roman" w:hAnsi="Times New Roman" w:cs="Times New Roman"/>
          <w:sz w:val="24"/>
          <w:szCs w:val="24"/>
        </w:rPr>
        <w:t>zn</w:t>
      </w:r>
      <w:r w:rsidRPr="00E66B16">
        <w:rPr>
          <w:rFonts w:ascii="Times New Roman" w:hAnsi="Times New Roman" w:cs="Times New Roman"/>
          <w:sz w:val="24"/>
          <w:szCs w:val="24"/>
        </w:rPr>
        <w:t xml:space="preserve">ata je korist koje cijepljenje donosi, poznate su kontraindikacije za cijepljenje i rizici od cijepljenja - općenito i specifično za cijepljenje protiv COVID-19. Nije potrebno da svaka osoba pita svog liječnika ima li za nju osobno koristi od cijepljenja, ima li kontraindikacije za cijepljenje i kakvi su rizici cijepljenja, jer svatko tko cijepi, neovisno radi li se o izabranom liječniku ili liječniku na punktu za cijepljenje, mora na temelju razgovora prije cijepljenja utvrditi ima li osoba koristi od cijepljenja i ima li kontraindikacije te objasniti moguće rizike. Ako nije moguće na temelju takvog razgovora odrediti je li ta osoba kandidat za cijepljenje, upućuje se izabranom liječniku koji zna više o zdravstvenom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6B16">
        <w:rPr>
          <w:rFonts w:ascii="Times New Roman" w:hAnsi="Times New Roman" w:cs="Times New Roman"/>
          <w:sz w:val="24"/>
          <w:szCs w:val="24"/>
        </w:rPr>
        <w:t>tanju te osobe.</w:t>
      </w:r>
    </w:p>
    <w:p w14:paraId="030D473B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F724607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6B16">
        <w:rPr>
          <w:rFonts w:ascii="Times New Roman" w:hAnsi="Times New Roman" w:cs="Times New Roman"/>
          <w:sz w:val="24"/>
          <w:szCs w:val="24"/>
        </w:rPr>
        <w:t>Pored navedenog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6B16">
        <w:rPr>
          <w:rFonts w:ascii="Times New Roman" w:hAnsi="Times New Roman" w:cs="Times New Roman"/>
          <w:sz w:val="24"/>
          <w:szCs w:val="24"/>
        </w:rPr>
        <w:t xml:space="preserve">, HZJZ je na dvije lokacije imao interdisciplinarna savjetovališta u suradnji s KBC-om Zagreb, Specijalnom bolnicom za plućne bolesti i Klinikom za infektivne bolesti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Mihaljević”, a te su ustanove imale i svoja savjetovališta te su provodile cijepljenje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>ana kod koji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66B16">
        <w:rPr>
          <w:rFonts w:ascii="Times New Roman" w:hAnsi="Times New Roman" w:cs="Times New Roman"/>
          <w:sz w:val="24"/>
          <w:szCs w:val="24"/>
        </w:rPr>
        <w:t xml:space="preserve"> je postojala sumnja na alergijske reakcije ili su bili </w:t>
      </w:r>
      <w:proofErr w:type="spellStart"/>
      <w:r w:rsidRPr="00E66B16">
        <w:rPr>
          <w:rFonts w:ascii="Times New Roman" w:hAnsi="Times New Roman" w:cs="Times New Roman"/>
          <w:sz w:val="24"/>
          <w:szCs w:val="24"/>
        </w:rPr>
        <w:t>imunokomprimitirani</w:t>
      </w:r>
      <w:proofErr w:type="spellEnd"/>
      <w:r w:rsidRPr="00E66B16">
        <w:rPr>
          <w:rFonts w:ascii="Times New Roman" w:hAnsi="Times New Roman" w:cs="Times New Roman"/>
          <w:sz w:val="24"/>
          <w:szCs w:val="24"/>
        </w:rPr>
        <w:t xml:space="preserve"> odnosno koji su bili kronični bolesnici na onkološkoj terapiji. Savjetovališta sličnog tipa bila su organizirana i pri županijskim zavodima za javno zdravstvo te u drugim kliničkim </w:t>
      </w:r>
      <w:r w:rsidRPr="00E66B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29F589" wp14:editId="22BD5D24">
            <wp:extent cx="3048" cy="3049"/>
            <wp:effectExtent l="0" t="0" r="0" b="0"/>
            <wp:docPr id="32369" name="Picture 3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9" name="Picture 3236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B16">
        <w:rPr>
          <w:rFonts w:ascii="Times New Roman" w:hAnsi="Times New Roman" w:cs="Times New Roman"/>
          <w:sz w:val="24"/>
          <w:szCs w:val="24"/>
        </w:rPr>
        <w:t xml:space="preserve">bolničkim centrima u </w:t>
      </w:r>
      <w:r>
        <w:rPr>
          <w:rFonts w:ascii="Times New Roman" w:hAnsi="Times New Roman" w:cs="Times New Roman"/>
          <w:sz w:val="24"/>
          <w:szCs w:val="24"/>
        </w:rPr>
        <w:t xml:space="preserve">Republici </w:t>
      </w:r>
      <w:r w:rsidRPr="00E66B16">
        <w:rPr>
          <w:rFonts w:ascii="Times New Roman" w:hAnsi="Times New Roman" w:cs="Times New Roman"/>
          <w:sz w:val="24"/>
          <w:szCs w:val="24"/>
        </w:rPr>
        <w:t>Hrvatskoj, gdje se mog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66B16">
        <w:rPr>
          <w:rFonts w:ascii="Times New Roman" w:hAnsi="Times New Roman" w:cs="Times New Roman"/>
          <w:sz w:val="24"/>
          <w:szCs w:val="24"/>
        </w:rPr>
        <w:t>o doći i bez naručivanja ili uz prethodnu najavu. Uz to, bile su dostupne i telefonske linije pri svakom zavodu za javno zdravstvo na kojima su epidemiolozi davali relevantne informacije i savjete svim zainteresiranim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>anima, a komunikacija je bila moguća i putem e-pošte.</w:t>
      </w:r>
    </w:p>
    <w:p w14:paraId="4DF538BC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38E6BFF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6B16">
        <w:rPr>
          <w:rFonts w:ascii="Times New Roman" w:hAnsi="Times New Roman" w:cs="Times New Roman"/>
          <w:sz w:val="24"/>
          <w:szCs w:val="24"/>
        </w:rPr>
        <w:t xml:space="preserve">Za sva cijepljenja koja se provode u Hrvatskoj i širom svijeta, obavezna i neobavezna, postoje </w:t>
      </w:r>
      <w:r w:rsidRPr="00E66B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AAF5C9" wp14:editId="1AA3F358">
            <wp:extent cx="3048" cy="3049"/>
            <wp:effectExtent l="0" t="0" r="0" b="0"/>
            <wp:docPr id="32370" name="Picture 32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0" name="Picture 323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B16">
        <w:rPr>
          <w:rFonts w:ascii="Times New Roman" w:hAnsi="Times New Roman" w:cs="Times New Roman"/>
          <w:sz w:val="24"/>
          <w:szCs w:val="24"/>
        </w:rPr>
        <w:t>preporuke za ciljane kategorije stanovništva kojima je cijepljenje preporučljivo, navedene su kontraindikacije i rizici. To se sve temelji na opsežnim kliničkim i epidemiološkim istraživanjima odnosa koristi i rizika od cijepljenja. Taj omjer koristi i rizika se razlikuje od cjepiva do cjepiva po dobnim skupinama i ostalim karakteristikama osoba koje su kandidati za cijepljenje.</w:t>
      </w:r>
    </w:p>
    <w:p w14:paraId="19D1FE77" w14:textId="77777777" w:rsidR="00D81275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81BD321" w14:textId="77777777" w:rsidR="00D81275" w:rsidRPr="00E66B16" w:rsidRDefault="00D81275" w:rsidP="00D812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6B16">
        <w:rPr>
          <w:rFonts w:ascii="Times New Roman" w:hAnsi="Times New Roman" w:cs="Times New Roman"/>
          <w:sz w:val="24"/>
          <w:szCs w:val="24"/>
        </w:rPr>
        <w:lastRenderedPageBreak/>
        <w:t>Jedna od osnovnih djelatnosti HZJZ-a je donositi preporuke o cijepljenju, jer time pomaže i liječnicima da pruže adekvatnu zdravstvenu zaštitu osobama koje imaju u skrbi. Kada bi preporuka glasila</w:t>
      </w:r>
      <w:r>
        <w:rPr>
          <w:rFonts w:ascii="Times New Roman" w:hAnsi="Times New Roman" w:cs="Times New Roman"/>
          <w:sz w:val="24"/>
          <w:szCs w:val="24"/>
        </w:rPr>
        <w:t xml:space="preserve">: „javite </w:t>
      </w:r>
      <w:r w:rsidRPr="00E66B16">
        <w:rPr>
          <w:rFonts w:ascii="Times New Roman" w:hAnsi="Times New Roman" w:cs="Times New Roman"/>
          <w:sz w:val="24"/>
          <w:szCs w:val="24"/>
        </w:rPr>
        <w:t>se svom osobnom/izabranom liječniku radi preporuke o cijepljenju”, to ne bi pomog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66B16">
        <w:rPr>
          <w:rFonts w:ascii="Times New Roman" w:hAnsi="Times New Roman" w:cs="Times New Roman"/>
          <w:sz w:val="24"/>
          <w:szCs w:val="24"/>
        </w:rPr>
        <w:t>o niti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66B16">
        <w:rPr>
          <w:rFonts w:ascii="Times New Roman" w:hAnsi="Times New Roman" w:cs="Times New Roman"/>
          <w:sz w:val="24"/>
          <w:szCs w:val="24"/>
        </w:rPr>
        <w:t>anima niti njihovim liječnicima.</w:t>
      </w:r>
      <w:r w:rsidRPr="00E66B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BB29D9" wp14:editId="0D412A20">
            <wp:extent cx="3048" cy="3049"/>
            <wp:effectExtent l="0" t="0" r="0" b="0"/>
            <wp:docPr id="32371" name="Picture 3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1" name="Picture 3237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5FCC" w14:textId="77777777" w:rsidR="00D81275" w:rsidRPr="002F4BED" w:rsidRDefault="00D81275" w:rsidP="00D8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78AE18A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Vezano uz inicijativu predlagatelja </w:t>
      </w:r>
      <w:r>
        <w:rPr>
          <w:rFonts w:ascii="Times New Roman" w:hAnsi="Times New Roman" w:cs="Times New Roman"/>
          <w:sz w:val="24"/>
          <w:szCs w:val="24"/>
        </w:rPr>
        <w:t>za istraživanje i utvrđivanje posljedica cijepljenja koje su mnogi građani imali u vidu nuspojava, Vlada Republike Hrvatske napominje sljedeće:</w:t>
      </w:r>
    </w:p>
    <w:p w14:paraId="75FB2918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4863D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424">
        <w:rPr>
          <w:rFonts w:ascii="Times New Roman" w:hAnsi="Times New Roman" w:cs="Times New Roman"/>
          <w:sz w:val="24"/>
          <w:szCs w:val="24"/>
        </w:rPr>
        <w:t>Sve prijave sumnji na nuspojave lijekova, uključujući i cjepiva, koje HALMED zaprimi ocjenjuju se i unose u nacionalnu bazu nuspojava te proslje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703424">
        <w:rPr>
          <w:rFonts w:ascii="Times New Roman" w:hAnsi="Times New Roman" w:cs="Times New Roman"/>
          <w:sz w:val="24"/>
          <w:szCs w:val="24"/>
        </w:rPr>
        <w:t>uju u bazu nuspojava Europske unije i bazu nuspojava Svjetske zdravstvene organizacije.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2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F9BB42" wp14:editId="62919E34">
            <wp:extent cx="15241" cy="9144"/>
            <wp:effectExtent l="0" t="0" r="0" b="0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424">
        <w:rPr>
          <w:rFonts w:ascii="Times New Roman" w:hAnsi="Times New Roman" w:cs="Times New Roman"/>
          <w:sz w:val="24"/>
          <w:szCs w:val="24"/>
        </w:rPr>
        <w:t>Sve prijave sumnji na nuspojave čine dio dokumentacije o sigurnosti primjene lijeka i koriste se za kontinuiranu procjenu sigurnosnog profila lijeka.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24">
        <w:rPr>
          <w:rFonts w:ascii="Times New Roman" w:hAnsi="Times New Roman" w:cs="Times New Roman"/>
          <w:sz w:val="24"/>
          <w:szCs w:val="24"/>
        </w:rPr>
        <w:t>U Republici Hrvatskoj prijave sumnji na nuspojave cjepiva zaprimaju, prate i zajednički ocjenjuju HALMED i Hrvatski zavod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24">
        <w:rPr>
          <w:rFonts w:ascii="Times New Roman" w:hAnsi="Times New Roman" w:cs="Times New Roman"/>
          <w:sz w:val="24"/>
          <w:szCs w:val="24"/>
        </w:rPr>
        <w:t>javno zdravstvo (HZJZ).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24">
        <w:rPr>
          <w:rFonts w:ascii="Times New Roman" w:hAnsi="Times New Roman" w:cs="Times New Roman"/>
          <w:sz w:val="24"/>
          <w:szCs w:val="24"/>
        </w:rPr>
        <w:t>HALMED je zaključno</w:t>
      </w:r>
      <w:r>
        <w:rPr>
          <w:rFonts w:ascii="Times New Roman" w:hAnsi="Times New Roman" w:cs="Times New Roman"/>
          <w:sz w:val="24"/>
          <w:szCs w:val="24"/>
        </w:rPr>
        <w:t xml:space="preserve"> s datumom 7. rujna 2023.</w:t>
      </w:r>
      <w:r w:rsidRPr="00703424">
        <w:rPr>
          <w:rFonts w:ascii="Times New Roman" w:hAnsi="Times New Roman" w:cs="Times New Roman"/>
          <w:sz w:val="24"/>
          <w:szCs w:val="24"/>
        </w:rPr>
        <w:t xml:space="preserve"> zaprimio ukupno 6.743 prijave sumnji na nuspojave cjepiva protiv bolesti COVID-19.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703424">
        <w:rPr>
          <w:rFonts w:ascii="Times New Roman" w:hAnsi="Times New Roman" w:cs="Times New Roman"/>
          <w:sz w:val="24"/>
          <w:szCs w:val="24"/>
        </w:rPr>
        <w:t>u do sada zaprimljenim, ocijenjenim te u europsku i svjetsku bazu nuspojava proslijeđenim prijavama sumnji na nuspojave cjepiva protiv bolesti COVID-19, udio prijava koje nisu ozbiljne iznosi 74,3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24">
        <w:rPr>
          <w:rFonts w:ascii="Times New Roman" w:hAnsi="Times New Roman" w:cs="Times New Roman"/>
          <w:sz w:val="24"/>
          <w:szCs w:val="24"/>
        </w:rPr>
        <w:t>%, dok je 25,7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24">
        <w:rPr>
          <w:rFonts w:ascii="Times New Roman" w:hAnsi="Times New Roman" w:cs="Times New Roman"/>
          <w:sz w:val="24"/>
          <w:szCs w:val="24"/>
        </w:rPr>
        <w:t>% prijava ocijenjeno ozbiljnima.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EAA34" w14:textId="77777777" w:rsidR="00D81275" w:rsidRDefault="00D81275" w:rsidP="00D8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450C7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Najčešće prijavljene nuspojave cjepiva protiv bolesti COVID-19 u 2021. godini bile su vrućica i povišena tjelesna temperatura, glavobolja, bol na mjestu primjene cjepiva, zimica, bolovi u mišićima, umor, slabost, malaksalost, mučnina i bolovi u zglobovima, a n</w:t>
      </w:r>
      <w:r>
        <w:rPr>
          <w:rFonts w:ascii="Times New Roman" w:eastAsia="Times New Roman" w:hAnsi="Times New Roman" w:cs="Times New Roman"/>
          <w:sz w:val="24"/>
        </w:rPr>
        <w:t xml:space="preserve">ajčešće prijavljene nuspojave cjepiva protiv bolesti COVID-19 u 2022. godini bile su vrućica i povišena tjelesna temperatura, glavobolja, bol na mjestu primjene cjepiva, slabost, bol u udovima, umor, </w:t>
      </w:r>
      <w:proofErr w:type="spellStart"/>
      <w:r>
        <w:rPr>
          <w:rFonts w:ascii="Times New Roman" w:eastAsia="Times New Roman" w:hAnsi="Times New Roman" w:cs="Times New Roman"/>
          <w:sz w:val="24"/>
        </w:rPr>
        <w:t>parestezije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bol u mišićima, zimica i bol u zglobovima. Navedene nuspojave očekivane su prilikom primjene cjepiva protiv bolesti COVID-19, obično su blagog karaktera te prolaze kroz nekoliko dana bez potrebe za dodatnim liječenjem ili uz simptomatsko liječenje (primjerice analgeticima i antipireticima ili primjenom hladnih obloga). </w:t>
      </w:r>
    </w:p>
    <w:p w14:paraId="39ABAB80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DF12BD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Među ozbiljnim nuspojavama najčešće su zabilježene reakcije preosjetljivosti koje su se manifestirale kao osip, svrbež i koprivnjača nedugo nakon primjene cjepiva, u pojedinim slučajevima praćeno </w:t>
      </w:r>
      <w:proofErr w:type="spellStart"/>
      <w:r>
        <w:rPr>
          <w:rFonts w:ascii="Times New Roman" w:eastAsia="Times New Roman" w:hAnsi="Times New Roman" w:cs="Times New Roman"/>
          <w:sz w:val="24"/>
        </w:rPr>
        <w:t>oticanjem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lica, grla ili jezika te poteškoćama s disanjem ili gutanjem, zbog čega su primijenjeni antialergijski lijekovi. Također su zabilježene reakcije </w:t>
      </w:r>
      <w:proofErr w:type="spellStart"/>
      <w:r>
        <w:rPr>
          <w:rFonts w:ascii="Times New Roman" w:eastAsia="Times New Roman" w:hAnsi="Times New Roman" w:cs="Times New Roman"/>
          <w:sz w:val="24"/>
        </w:rPr>
        <w:t>pareze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lica odnosno periferne slabosti jedne strane lica, koje su obično povezane s otokom tkiva koji pritišće živac i najčešće je riječ o prolaznom stanju, zatim </w:t>
      </w:r>
      <w:proofErr w:type="spellStart"/>
      <w:r>
        <w:rPr>
          <w:rFonts w:ascii="Times New Roman" w:eastAsia="Times New Roman" w:hAnsi="Times New Roman" w:cs="Times New Roman"/>
          <w:sz w:val="24"/>
        </w:rPr>
        <w:t>tromboembolijski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događaji te nesvjestice. </w:t>
      </w:r>
    </w:p>
    <w:p w14:paraId="4DDE89D7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5AEB3F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0" wp14:anchorId="076F18D2" wp14:editId="4C17E14B">
            <wp:simplePos x="0" y="0"/>
            <wp:positionH relativeFrom="column">
              <wp:posOffset>5953145</wp:posOffset>
            </wp:positionH>
            <wp:positionV relativeFrom="paragraph">
              <wp:posOffset>531328</wp:posOffset>
            </wp:positionV>
            <wp:extent cx="21337" cy="18289"/>
            <wp:effectExtent l="0" t="0" r="0" b="0"/>
            <wp:wrapSquare wrapText="bothSides"/>
            <wp:docPr id="8930" name="Picture 8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0" name="Picture 8930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Mjerodavni dokumenti za informiranje o nuspojavama koje su identificirane uz svaki odobreni lijek, pa tako i cjepiva protiv bolesti COVID-19, su sažetak opisa svojstava lijeka, koji je namijenjen zdravstvenim radnicima, i uputa o lijeku, koja je namijenjena pacijentima. </w:t>
      </w:r>
    </w:p>
    <w:p w14:paraId="53FFD08A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F01354" w14:textId="77777777" w:rsidR="00D81275" w:rsidRPr="00453B24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Podaci o nuspojavama dostupni su u dijelu 4.8 sažetka odnosno u dijelu 4. upute o lijeku. Predmetni dokumenti su za sve lijekove koji su odobreni u Republici Hrvatskoj, uključujući cjepiva protiv bolesti COVID-19, dostupni putem baze lijekova HALMED-a: </w:t>
      </w:r>
      <w:hyperlink r:id="rId87" w:history="1">
        <w:r w:rsidRPr="00453B24">
          <w:rPr>
            <w:rStyle w:val="Hyperlink"/>
            <w:rFonts w:ascii="Times New Roman" w:eastAsia="Times New Roman" w:hAnsi="Times New Roman" w:cs="Times New Roman"/>
            <w:sz w:val="24"/>
          </w:rPr>
          <w:t>https://www.halmed.hr/Lijekovi/Baza-lijekova/</w:t>
        </w:r>
      </w:hyperlink>
      <w:r w:rsidRPr="001955A5">
        <w:rPr>
          <w:rFonts w:ascii="Times New Roman" w:eastAsia="Times New Roman" w:hAnsi="Times New Roman" w:cs="Times New Roman"/>
          <w:sz w:val="24"/>
        </w:rPr>
        <w:t>.</w:t>
      </w:r>
    </w:p>
    <w:p w14:paraId="70224525" w14:textId="77777777" w:rsidR="00D81275" w:rsidRPr="006056EE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C38F27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  <w:t>HALMED i Europska agencija za lijekove (</w:t>
      </w:r>
      <w:r>
        <w:rPr>
          <w:rFonts w:ascii="Times New Roman" w:hAnsi="Times New Roman" w:cs="Times New Roman"/>
          <w:sz w:val="24"/>
          <w:szCs w:val="24"/>
        </w:rPr>
        <w:t xml:space="preserve">u daljnjem tekstu: </w:t>
      </w:r>
      <w:r>
        <w:rPr>
          <w:rFonts w:ascii="Times New Roman" w:eastAsia="Times New Roman" w:hAnsi="Times New Roman" w:cs="Times New Roman"/>
          <w:sz w:val="24"/>
        </w:rPr>
        <w:t>EMA) su od samog početka provođenja kampanje cijepljenja protiv bolesti COVID-19 vrlo intenzivno izvještavali o svim saznanjima na području praćenja sigurnosti primjene predmetnih cjepiva. Obavijesti i sve druge relevantne informacije vezane uz predmetna cjepiva dostupne su na internetskim stranicama EMA-e i HALMED-a pod niže navedenim izravnim poveznicama:</w:t>
      </w:r>
    </w:p>
    <w:p w14:paraId="0257CEF9" w14:textId="77777777" w:rsidR="00D81275" w:rsidRDefault="00D81275" w:rsidP="00D8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ABC70C" w14:textId="77777777" w:rsidR="00D81275" w:rsidRPr="001A75E6" w:rsidRDefault="00D81275" w:rsidP="00D81275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Style w:val="Hyperlink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HYPERLINK "https://www.ema.europa.eu/en/human-regulatory/overview/public-health-threats/coronavirus-disease-covid-19/covid-19-medicines"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Pr="001A75E6">
        <w:rPr>
          <w:rStyle w:val="Hyperlink"/>
          <w:rFonts w:ascii="Times New Roman" w:eastAsia="Times New Roman" w:hAnsi="Times New Roman" w:cs="Times New Roman"/>
          <w:sz w:val="24"/>
        </w:rPr>
        <w:t xml:space="preserve">https://www.ema.europa.eu/en/human-regulatory/overview/public-health- </w:t>
      </w:r>
      <w:proofErr w:type="spellStart"/>
      <w:r w:rsidRPr="001A75E6">
        <w:rPr>
          <w:rStyle w:val="Hyperlink"/>
          <w:rFonts w:ascii="Times New Roman" w:eastAsia="Times New Roman" w:hAnsi="Times New Roman" w:cs="Times New Roman"/>
          <w:sz w:val="24"/>
        </w:rPr>
        <w:t>threats</w:t>
      </w:r>
      <w:proofErr w:type="spellEnd"/>
      <w:r w:rsidRPr="001A75E6">
        <w:rPr>
          <w:rStyle w:val="Hyperlink"/>
          <w:rFonts w:ascii="Times New Roman" w:eastAsia="Times New Roman" w:hAnsi="Times New Roman" w:cs="Times New Roman"/>
          <w:sz w:val="24"/>
        </w:rPr>
        <w:t>/coronavirus-disease-covid-19/covid-19-medicines</w:t>
      </w:r>
    </w:p>
    <w:p w14:paraId="42001817" w14:textId="77777777" w:rsidR="00D81275" w:rsidRPr="00D57679" w:rsidRDefault="00D81275" w:rsidP="00D81275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fldChar w:fldCharType="end"/>
      </w:r>
      <w:hyperlink r:id="rId88" w:history="1">
        <w:r w:rsidRPr="00246315">
          <w:rPr>
            <w:rStyle w:val="Hyperlink"/>
            <w:rFonts w:ascii="Times New Roman" w:eastAsia="Times New Roman" w:hAnsi="Times New Roman" w:cs="Times New Roman"/>
            <w:sz w:val="24"/>
          </w:rPr>
          <w:t>https://www.halmed.hr/COVID-19/</w:t>
        </w:r>
      </w:hyperlink>
    </w:p>
    <w:p w14:paraId="18A8F729" w14:textId="77777777" w:rsidR="00D81275" w:rsidRDefault="00D81275" w:rsidP="00D81275">
      <w:pPr>
        <w:spacing w:after="0" w:line="240" w:lineRule="auto"/>
        <w:ind w:firstLine="11"/>
      </w:pPr>
    </w:p>
    <w:p w14:paraId="251E9A57" w14:textId="35FF2D9E" w:rsidR="00D81275" w:rsidRDefault="00D81275" w:rsidP="00D812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Jednako tako, izvještaji o prijavama sumnji na nuspojave cjepiva protiv bolesti </w:t>
      </w:r>
      <w:r w:rsidR="00541202">
        <w:rPr>
          <w:rFonts w:ascii="Times New Roman" w:eastAsia="Times New Roman" w:hAnsi="Times New Roman" w:cs="Times New Roman"/>
          <w:sz w:val="24"/>
        </w:rPr>
        <w:t xml:space="preserve">COVID-19 </w:t>
      </w:r>
      <w:r>
        <w:rPr>
          <w:rFonts w:ascii="Times New Roman" w:eastAsia="Times New Roman" w:hAnsi="Times New Roman" w:cs="Times New Roman"/>
          <w:sz w:val="24"/>
        </w:rPr>
        <w:t xml:space="preserve">se od početka cijepljenja objavljuju te svakim radnim danom ažuriraju na internetskim stranicama HALMED-a: </w:t>
      </w:r>
    </w:p>
    <w:p w14:paraId="2213C929" w14:textId="77777777" w:rsidR="00D81275" w:rsidRPr="001A75E6" w:rsidRDefault="005F718E" w:rsidP="00D81275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</w:pPr>
      <w:hyperlink r:id="rId89" w:history="1">
        <w:r w:rsidR="00D81275" w:rsidRPr="001A75E6">
          <w:rPr>
            <w:rStyle w:val="Hyperlink"/>
            <w:rFonts w:ascii="Times New Roman" w:eastAsia="Times New Roman" w:hAnsi="Times New Roman" w:cs="Times New Roman"/>
            <w:sz w:val="24"/>
          </w:rPr>
          <w:t>https://www.halmed.hr/COVID-19/Kako-prijaviti-sumnju-na-nuspojavu/Podaci-o-zaprimljenim-prijavama-sumnji-na-nuspojave-cjepiva-protiv-bolesti-COVID-19/</w:t>
        </w:r>
      </w:hyperlink>
    </w:p>
    <w:p w14:paraId="6C18DD4B" w14:textId="77777777" w:rsidR="00D81275" w:rsidRPr="00667D08" w:rsidRDefault="00D81275" w:rsidP="00D8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0EE7751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 xml:space="preserve">U odnosu na tekst Prijedloga odluke odnosno predloženi sadržaj točke V. stavka 2., </w:t>
      </w:r>
      <w:r>
        <w:rPr>
          <w:rFonts w:ascii="Times New Roman" w:hAnsi="Times New Roman" w:cs="Times New Roman"/>
          <w:sz w:val="24"/>
          <w:szCs w:val="24"/>
        </w:rPr>
        <w:t>Vlada Republike Hrvatske ističe da ne vidi</w:t>
      </w:r>
      <w:r w:rsidRPr="00C91363">
        <w:rPr>
          <w:rFonts w:ascii="Times New Roman" w:hAnsi="Times New Roman" w:cs="Times New Roman"/>
          <w:sz w:val="24"/>
          <w:szCs w:val="24"/>
        </w:rPr>
        <w:t xml:space="preserve"> pravni temelj u Zakonu o istražnim povjerenstvima („Narodne novine”, broj 24/96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363">
        <w:rPr>
          <w:rFonts w:ascii="Times New Roman" w:hAnsi="Times New Roman" w:cs="Times New Roman"/>
          <w:sz w:val="24"/>
          <w:szCs w:val="24"/>
        </w:rPr>
        <w:t xml:space="preserve">) za propisivanje ovlasti provođenja testa javnog interesa i testa razmjernosti koja je dana Povjerenstvu. Naime, člancima 16., 17. i 18. Zakona o istražnim povjerenstvima propisan je točan odnos istražnog povjerenstva s tijelima državne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91363">
        <w:rPr>
          <w:rFonts w:ascii="Times New Roman" w:hAnsi="Times New Roman" w:cs="Times New Roman"/>
          <w:sz w:val="24"/>
          <w:szCs w:val="24"/>
        </w:rPr>
        <w:t>lasti, pravnim osobama i građanima. Isto se odnosi i na točku VIII. Prijedloga odluke, jer sukladno članku 12. Zakona o istražnim povjerenstvima, istražno povjerenstvo po obavljenoj zadaći podnosi izvješće Hrvatskom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1363">
        <w:rPr>
          <w:rFonts w:ascii="Times New Roman" w:hAnsi="Times New Roman" w:cs="Times New Roman"/>
          <w:sz w:val="24"/>
          <w:szCs w:val="24"/>
        </w:rPr>
        <w:t xml:space="preserve"> saboru s prijedlogom mj</w:t>
      </w:r>
      <w:r>
        <w:rPr>
          <w:rFonts w:ascii="Times New Roman" w:hAnsi="Times New Roman" w:cs="Times New Roman"/>
          <w:sz w:val="24"/>
          <w:szCs w:val="24"/>
        </w:rPr>
        <w:t xml:space="preserve">era koje bi se trebale poduzeti, </w:t>
      </w:r>
      <w:r w:rsidRPr="00C91363">
        <w:rPr>
          <w:rFonts w:ascii="Times New Roman" w:hAnsi="Times New Roman" w:cs="Times New Roman"/>
          <w:sz w:val="24"/>
          <w:szCs w:val="24"/>
        </w:rPr>
        <w:t>ali o izvješću istražnog povjerenstva odlučuje Hrvatski sabor sukladno članku 13. Zakona.</w:t>
      </w:r>
    </w:p>
    <w:p w14:paraId="276415A6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59F5620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1363">
        <w:rPr>
          <w:rFonts w:ascii="Times New Roman" w:hAnsi="Times New Roman" w:cs="Times New Roman"/>
          <w:sz w:val="24"/>
          <w:szCs w:val="24"/>
        </w:rPr>
        <w:t xml:space="preserve">Dodatno, </w:t>
      </w:r>
      <w:r>
        <w:rPr>
          <w:rFonts w:ascii="Times New Roman" w:hAnsi="Times New Roman" w:cs="Times New Roman"/>
          <w:sz w:val="24"/>
          <w:szCs w:val="24"/>
        </w:rPr>
        <w:t>Vlada Republike Hrvatske primjećuje</w:t>
      </w:r>
      <w:r w:rsidRPr="00C91363">
        <w:rPr>
          <w:rFonts w:ascii="Times New Roman" w:hAnsi="Times New Roman" w:cs="Times New Roman"/>
          <w:sz w:val="24"/>
          <w:szCs w:val="24"/>
        </w:rPr>
        <w:t xml:space="preserve"> da Prijedlogom odluke nije određen sastav Povjerenstva.</w:t>
      </w:r>
    </w:p>
    <w:p w14:paraId="0CB7D4C8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6AB741" w14:textId="77777777" w:rsidR="00D81275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navedenoga, Vlada Republike Hrvatske predlaže Hrvatskome saboru da ne prihvati predmetni Prijedlog odluke.</w:t>
      </w:r>
    </w:p>
    <w:p w14:paraId="3004EDBD" w14:textId="77777777" w:rsidR="00D81275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213D2F" w14:textId="77777777" w:rsidR="00D81275" w:rsidRPr="00FF563A" w:rsidRDefault="00D81275" w:rsidP="00D81275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563A">
        <w:rPr>
          <w:rFonts w:ascii="Times New Roman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potpredsjednika Vlade Republike Hrvatske i ministra unutarnjih poslova dr.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. Davora Božinovića, ministra zdravstva dr.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Vilija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 Beroša, dr. med. i ministra gospodarstva i održivog razvoja dr.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. Davora Filipovića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F563A">
        <w:rPr>
          <w:rFonts w:ascii="Times New Roman" w:hAnsi="Times New Roman" w:cs="Times New Roman"/>
          <w:sz w:val="24"/>
          <w:szCs w:val="24"/>
        </w:rPr>
        <w:t xml:space="preserve"> državne tajnike Tereziju Gras, Žarka Katića, dr.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. Irenu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Petrijevčanin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, Tomislava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Dulibića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. Silvia Bašića, dr. med., dr.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. Mariju Bubaš, dr. med., Milu Horvata, Ivu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Milatića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 i Hrvoja </w:t>
      </w:r>
      <w:proofErr w:type="spellStart"/>
      <w:r w:rsidRPr="00FF563A">
        <w:rPr>
          <w:rFonts w:ascii="Times New Roman" w:hAnsi="Times New Roman" w:cs="Times New Roman"/>
          <w:sz w:val="24"/>
          <w:szCs w:val="24"/>
        </w:rPr>
        <w:t>Bujanovića</w:t>
      </w:r>
      <w:proofErr w:type="spellEnd"/>
      <w:r w:rsidRPr="00FF5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4FF87" w14:textId="77777777" w:rsidR="00D81275" w:rsidRPr="00FF563A" w:rsidRDefault="00D81275" w:rsidP="00D81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E5CFD5" w14:textId="77777777" w:rsidR="00A53D17" w:rsidRPr="00FF563A" w:rsidRDefault="00A53D17" w:rsidP="00A53D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62DD06" w14:textId="77777777" w:rsidR="00A53D17" w:rsidRDefault="00A53D17" w:rsidP="00A53D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797C54" w14:textId="77777777" w:rsidR="00B126BA" w:rsidRDefault="00B126BA" w:rsidP="00D57E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A3517E" w14:textId="679F3B87" w:rsidR="00B126BA" w:rsidRPr="000B6095" w:rsidRDefault="009236FB" w:rsidP="00D57E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D57E08">
        <w:rPr>
          <w:rFonts w:ascii="Times New Roman" w:hAnsi="Times New Roman" w:cs="Times New Roman"/>
          <w:sz w:val="24"/>
          <w:szCs w:val="24"/>
        </w:rPr>
        <w:tab/>
      </w:r>
      <w:r w:rsidR="00B126BA" w:rsidRPr="000B6095">
        <w:rPr>
          <w:rFonts w:ascii="Times New Roman" w:hAnsi="Times New Roman" w:cs="Times New Roman"/>
          <w:sz w:val="24"/>
          <w:szCs w:val="24"/>
        </w:rPr>
        <w:t>PREDSJEDNIK</w:t>
      </w:r>
    </w:p>
    <w:p w14:paraId="227A4AB5" w14:textId="77777777" w:rsidR="00B126BA" w:rsidRPr="000B6095" w:rsidRDefault="00B126BA" w:rsidP="00D57E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890C5DD" w14:textId="77777777" w:rsidR="00B126BA" w:rsidRPr="000B6095" w:rsidRDefault="00B126BA" w:rsidP="00B126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6095">
        <w:rPr>
          <w:rFonts w:ascii="Times New Roman" w:hAnsi="Times New Roman" w:cs="Times New Roman"/>
          <w:sz w:val="24"/>
          <w:szCs w:val="24"/>
        </w:rPr>
        <w:t>mr.</w:t>
      </w:r>
      <w:r w:rsidR="000B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9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B6095">
        <w:rPr>
          <w:rFonts w:ascii="Times New Roman" w:hAnsi="Times New Roman" w:cs="Times New Roman"/>
          <w:sz w:val="24"/>
          <w:szCs w:val="24"/>
        </w:rPr>
        <w:t>. Andrej Plenković</w:t>
      </w:r>
    </w:p>
    <w:sectPr w:rsidR="00B126BA" w:rsidRPr="000B6095" w:rsidSect="00F965B3">
      <w:headerReference w:type="default" r:id="rId9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2B3C" w14:textId="77777777" w:rsidR="005F718E" w:rsidRDefault="005F718E" w:rsidP="00F965B3">
      <w:pPr>
        <w:spacing w:after="0" w:line="240" w:lineRule="auto"/>
      </w:pPr>
      <w:r>
        <w:separator/>
      </w:r>
    </w:p>
  </w:endnote>
  <w:endnote w:type="continuationSeparator" w:id="0">
    <w:p w14:paraId="24995E2F" w14:textId="77777777" w:rsidR="005F718E" w:rsidRDefault="005F718E" w:rsidP="00F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168D" w14:textId="77777777" w:rsidR="005F718E" w:rsidRDefault="005F718E" w:rsidP="00F965B3">
      <w:pPr>
        <w:spacing w:after="0" w:line="240" w:lineRule="auto"/>
      </w:pPr>
      <w:r>
        <w:separator/>
      </w:r>
    </w:p>
  </w:footnote>
  <w:footnote w:type="continuationSeparator" w:id="0">
    <w:p w14:paraId="4D7CC974" w14:textId="77777777" w:rsidR="005F718E" w:rsidRDefault="005F718E" w:rsidP="00F965B3">
      <w:pPr>
        <w:spacing w:after="0" w:line="240" w:lineRule="auto"/>
      </w:pPr>
      <w:r>
        <w:continuationSeparator/>
      </w:r>
    </w:p>
  </w:footnote>
  <w:footnote w:id="1">
    <w:p w14:paraId="4B2ACC24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93D">
        <w:t>Vaccine</w:t>
      </w:r>
      <w:proofErr w:type="spellEnd"/>
      <w:r w:rsidRPr="007A293D">
        <w:t xml:space="preserve"> </w:t>
      </w:r>
      <w:proofErr w:type="spellStart"/>
      <w:r w:rsidRPr="007A293D">
        <w:t>effectiveness</w:t>
      </w:r>
      <w:proofErr w:type="spellEnd"/>
      <w:r w:rsidRPr="007A293D">
        <w:t xml:space="preserve"> </w:t>
      </w:r>
      <w:proofErr w:type="spellStart"/>
      <w:r w:rsidRPr="007A293D">
        <w:t>against</w:t>
      </w:r>
      <w:proofErr w:type="spellEnd"/>
      <w:r w:rsidRPr="007A293D">
        <w:t xml:space="preserve"> SARS-CoV-2 </w:t>
      </w:r>
      <w:proofErr w:type="spellStart"/>
      <w:r w:rsidRPr="007A293D">
        <w:t>transmission</w:t>
      </w:r>
      <w:proofErr w:type="spellEnd"/>
      <w:r w:rsidRPr="007A293D">
        <w:t xml:space="preserve"> to </w:t>
      </w:r>
      <w:proofErr w:type="spellStart"/>
      <w:r w:rsidRPr="007A293D">
        <w:t>household</w:t>
      </w:r>
      <w:proofErr w:type="spellEnd"/>
      <w:r w:rsidRPr="007A293D">
        <w:t xml:space="preserve"> </w:t>
      </w:r>
      <w:proofErr w:type="spellStart"/>
      <w:r w:rsidRPr="007A293D">
        <w:t>contacts</w:t>
      </w:r>
      <w:proofErr w:type="spellEnd"/>
      <w:r w:rsidRPr="007A293D">
        <w:t xml:space="preserve"> </w:t>
      </w:r>
      <w:proofErr w:type="spellStart"/>
      <w:r w:rsidRPr="007A293D">
        <w:t>during</w:t>
      </w:r>
      <w:proofErr w:type="spellEnd"/>
      <w:r w:rsidRPr="007A293D">
        <w:t xml:space="preserve"> </w:t>
      </w:r>
      <w:proofErr w:type="spellStart"/>
      <w:r w:rsidRPr="007A293D">
        <w:t>dominance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Delta </w:t>
      </w:r>
      <w:proofErr w:type="spellStart"/>
      <w:r w:rsidRPr="007A293D">
        <w:t>variant</w:t>
      </w:r>
      <w:proofErr w:type="spellEnd"/>
      <w:r w:rsidRPr="007A293D">
        <w:t xml:space="preserve"> (B. 1.617.2), </w:t>
      </w:r>
      <w:proofErr w:type="spellStart"/>
      <w:r w:rsidRPr="007A293D">
        <w:t>the</w:t>
      </w:r>
      <w:proofErr w:type="spellEnd"/>
      <w:r w:rsidRPr="007A293D">
        <w:t xml:space="preserve"> </w:t>
      </w:r>
      <w:proofErr w:type="spellStart"/>
      <w:r w:rsidRPr="007A293D">
        <w:t>Netherland</w:t>
      </w:r>
      <w:r>
        <w:t>s</w:t>
      </w:r>
      <w:proofErr w:type="spellEnd"/>
      <w:r>
        <w:t xml:space="preserve">, </w:t>
      </w:r>
      <w:r w:rsidRPr="007A293D">
        <w:t>August</w:t>
      </w:r>
      <w:r>
        <w:t xml:space="preserve"> to </w:t>
      </w:r>
      <w:proofErr w:type="spellStart"/>
      <w:r>
        <w:t>September</w:t>
      </w:r>
      <w:proofErr w:type="spellEnd"/>
      <w:r>
        <w:t xml:space="preserve"> 2021 </w:t>
      </w:r>
      <w:r w:rsidRPr="007A293D">
        <w:t>(</w:t>
      </w:r>
      <w:hyperlink r:id="rId1" w:history="1">
        <w:r w:rsidRPr="00525CCB">
          <w:rPr>
            <w:rStyle w:val="Hyperlink"/>
          </w:rPr>
          <w:t>https://pubmed.ncbi.nlm.nih.gov/34738514/</w:t>
        </w:r>
      </w:hyperlink>
      <w:r w:rsidRPr="007A293D">
        <w:t>)</w:t>
      </w:r>
    </w:p>
    <w:p w14:paraId="43E66F5F" w14:textId="77777777" w:rsidR="00D81275" w:rsidRDefault="00D81275" w:rsidP="00D81275">
      <w:pPr>
        <w:pStyle w:val="FootnoteText"/>
      </w:pPr>
    </w:p>
  </w:footnote>
  <w:footnote w:id="2">
    <w:p w14:paraId="7A4B77BC" w14:textId="77777777" w:rsidR="00D81275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93D">
        <w:t>The</w:t>
      </w:r>
      <w:proofErr w:type="spellEnd"/>
      <w:r w:rsidRPr="007A293D">
        <w:t xml:space="preserve"> </w:t>
      </w:r>
      <w:proofErr w:type="spellStart"/>
      <w:r w:rsidRPr="007A293D">
        <w:t>impact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SARS-CoV-2 </w:t>
      </w:r>
      <w:proofErr w:type="spellStart"/>
      <w:r w:rsidRPr="007A293D">
        <w:t>vaccination</w:t>
      </w:r>
      <w:proofErr w:type="spellEnd"/>
      <w:r w:rsidRPr="007A293D">
        <w:t xml:space="preserve"> on </w:t>
      </w:r>
      <w:proofErr w:type="spellStart"/>
      <w:r w:rsidRPr="007A293D">
        <w:t>Alpha</w:t>
      </w:r>
      <w:proofErr w:type="spellEnd"/>
      <w:r w:rsidRPr="007A293D">
        <w:t xml:space="preserve"> &amp; Delta </w:t>
      </w:r>
      <w:proofErr w:type="spellStart"/>
      <w:r w:rsidRPr="007A293D">
        <w:t>variant</w:t>
      </w:r>
      <w:proofErr w:type="spellEnd"/>
      <w:r w:rsidRPr="007A293D">
        <w:t xml:space="preserve"> </w:t>
      </w:r>
      <w:proofErr w:type="spellStart"/>
      <w:r w:rsidRPr="007A293D">
        <w:t>transmission</w:t>
      </w:r>
      <w:proofErr w:type="spellEnd"/>
      <w:r w:rsidRPr="007A293D">
        <w:t xml:space="preserve"> (</w:t>
      </w:r>
      <w:hyperlink r:id="rId2" w:history="1">
        <w:r w:rsidRPr="00525CCB">
          <w:rPr>
            <w:rStyle w:val="Hyperlink"/>
          </w:rPr>
          <w:t>https://www.medrxiv.org/content/10.1101/2021.09.28.21264260v1</w:t>
        </w:r>
      </w:hyperlink>
      <w:r w:rsidRPr="007A293D">
        <w:t>)</w:t>
      </w:r>
    </w:p>
  </w:footnote>
  <w:footnote w:id="3">
    <w:p w14:paraId="3C3D5A8A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93D">
        <w:t>Effect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 </w:t>
      </w:r>
      <w:proofErr w:type="spellStart"/>
      <w:r w:rsidRPr="007A293D">
        <w:t>Vaccination</w:t>
      </w:r>
      <w:proofErr w:type="spellEnd"/>
      <w:r w:rsidRPr="007A293D">
        <w:t xml:space="preserve"> on </w:t>
      </w:r>
      <w:proofErr w:type="spellStart"/>
      <w:r w:rsidRPr="007A293D">
        <w:t>Transmission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SARS-C0V-2 </w:t>
      </w:r>
    </w:p>
    <w:p w14:paraId="18C721B3" w14:textId="77777777" w:rsidR="00D81275" w:rsidRDefault="00D81275" w:rsidP="00D81275">
      <w:pPr>
        <w:pStyle w:val="FootnoteText"/>
      </w:pPr>
      <w:r w:rsidRPr="007A293D">
        <w:t>(</w:t>
      </w:r>
      <w:hyperlink r:id="rId3" w:history="1">
        <w:r w:rsidRPr="007A293D">
          <w:rPr>
            <w:rStyle w:val="Hyperlink"/>
          </w:rPr>
          <w:t>https://www.nejm.org/doi/full/10.1056/NEJMc2106757</w:t>
        </w:r>
      </w:hyperlink>
      <w:r w:rsidRPr="007A293D">
        <w:t>)</w:t>
      </w:r>
    </w:p>
  </w:footnote>
  <w:footnote w:id="4">
    <w:p w14:paraId="2A648108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93D">
        <w:t>Community</w:t>
      </w:r>
      <w:proofErr w:type="spellEnd"/>
      <w:r w:rsidRPr="007A293D">
        <w:t xml:space="preserve"> </w:t>
      </w:r>
      <w:proofErr w:type="spellStart"/>
      <w:r w:rsidRPr="007A293D">
        <w:t>transmission</w:t>
      </w:r>
      <w:proofErr w:type="spellEnd"/>
      <w:r w:rsidRPr="007A293D">
        <w:t xml:space="preserve"> </w:t>
      </w:r>
      <w:proofErr w:type="spellStart"/>
      <w:r w:rsidRPr="007A293D">
        <w:t>and</w:t>
      </w:r>
      <w:proofErr w:type="spellEnd"/>
      <w:r w:rsidRPr="007A293D">
        <w:t xml:space="preserve"> </w:t>
      </w:r>
      <w:proofErr w:type="spellStart"/>
      <w:r w:rsidRPr="007A293D">
        <w:t>viral</w:t>
      </w:r>
      <w:proofErr w:type="spellEnd"/>
      <w:r w:rsidRPr="007A293D">
        <w:t xml:space="preserve"> </w:t>
      </w:r>
      <w:proofErr w:type="spellStart"/>
      <w:r w:rsidRPr="007A293D">
        <w:t>load</w:t>
      </w:r>
      <w:proofErr w:type="spellEnd"/>
      <w:r w:rsidRPr="007A293D">
        <w:t xml:space="preserve"> </w:t>
      </w:r>
      <w:proofErr w:type="spellStart"/>
      <w:r w:rsidRPr="007A293D">
        <w:t>kinetics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</w:t>
      </w:r>
      <w:proofErr w:type="spellStart"/>
      <w:r w:rsidRPr="007A293D">
        <w:t>the</w:t>
      </w:r>
      <w:proofErr w:type="spellEnd"/>
      <w:r w:rsidRPr="007A293D">
        <w:t xml:space="preserve"> SARS-CoV-2 delta (B. 1.617.2) </w:t>
      </w:r>
      <w:proofErr w:type="spellStart"/>
      <w:r w:rsidRPr="007A293D">
        <w:t>variant</w:t>
      </w:r>
      <w:proofErr w:type="spellEnd"/>
      <w:r w:rsidRPr="007A293D">
        <w:t xml:space="preserve"> </w:t>
      </w:r>
      <w:proofErr w:type="spellStart"/>
      <w:r w:rsidRPr="007A293D">
        <w:t>in</w:t>
      </w:r>
      <w:proofErr w:type="spellEnd"/>
      <w:r w:rsidRPr="007A293D">
        <w:t xml:space="preserve"> </w:t>
      </w:r>
      <w:proofErr w:type="spellStart"/>
      <w:r w:rsidRPr="007A293D">
        <w:t>vaccinated</w:t>
      </w:r>
      <w:proofErr w:type="spellEnd"/>
      <w:r w:rsidRPr="007A293D">
        <w:t xml:space="preserve"> </w:t>
      </w:r>
      <w:proofErr w:type="spellStart"/>
      <w:r w:rsidRPr="007A293D">
        <w:t>and</w:t>
      </w:r>
      <w:proofErr w:type="spellEnd"/>
      <w:r w:rsidRPr="007A293D">
        <w:t xml:space="preserve"> </w:t>
      </w:r>
      <w:proofErr w:type="spellStart"/>
      <w:r w:rsidRPr="007A293D">
        <w:t>unvaccinated</w:t>
      </w:r>
      <w:proofErr w:type="spellEnd"/>
      <w:r w:rsidRPr="007A293D">
        <w:t xml:space="preserve"> </w:t>
      </w:r>
      <w:proofErr w:type="spellStart"/>
      <w:r w:rsidRPr="007A293D">
        <w:t>individuals</w:t>
      </w:r>
      <w:proofErr w:type="spellEnd"/>
      <w:r w:rsidRPr="007A293D">
        <w:t xml:space="preserve"> </w:t>
      </w:r>
      <w:proofErr w:type="spellStart"/>
      <w:r w:rsidRPr="007A293D">
        <w:t>in</w:t>
      </w:r>
      <w:proofErr w:type="spellEnd"/>
      <w:r w:rsidRPr="007A293D">
        <w:t xml:space="preserve"> </w:t>
      </w:r>
      <w:proofErr w:type="spellStart"/>
      <w:r w:rsidRPr="007A293D">
        <w:t>the</w:t>
      </w:r>
      <w:proofErr w:type="spellEnd"/>
      <w:r w:rsidRPr="007A293D">
        <w:t xml:space="preserve"> UK: a </w:t>
      </w:r>
      <w:proofErr w:type="spellStart"/>
      <w:r w:rsidRPr="007A293D">
        <w:t>prospective</w:t>
      </w:r>
      <w:proofErr w:type="spellEnd"/>
      <w:r w:rsidRPr="007A293D">
        <w:t xml:space="preserve">, </w:t>
      </w:r>
      <w:proofErr w:type="spellStart"/>
      <w:r w:rsidRPr="007A293D">
        <w:t>longitudinal</w:t>
      </w:r>
      <w:proofErr w:type="spellEnd"/>
      <w:r w:rsidRPr="007A293D">
        <w:t xml:space="preserve">, </w:t>
      </w:r>
      <w:proofErr w:type="spellStart"/>
      <w:r w:rsidRPr="007A293D">
        <w:t>cohort</w:t>
      </w:r>
      <w:proofErr w:type="spellEnd"/>
      <w:r w:rsidRPr="007A293D">
        <w:t xml:space="preserve"> </w:t>
      </w:r>
      <w:proofErr w:type="spellStart"/>
      <w:r w:rsidRPr="007A293D">
        <w:t>study</w:t>
      </w:r>
      <w:proofErr w:type="spellEnd"/>
      <w:r w:rsidRPr="007A293D">
        <w:t xml:space="preserve"> </w:t>
      </w:r>
    </w:p>
    <w:p w14:paraId="6CB6E1CD" w14:textId="77777777" w:rsidR="00D81275" w:rsidRPr="007A293D" w:rsidRDefault="00D81275" w:rsidP="00D81275">
      <w:pPr>
        <w:pStyle w:val="FootnoteText"/>
        <w:rPr>
          <w:u w:val="single"/>
        </w:rPr>
      </w:pPr>
      <w:r w:rsidRPr="00707F5C">
        <w:t>(</w:t>
      </w:r>
      <w:hyperlink r:id="rId4" w:history="1">
        <w:r w:rsidRPr="00722217">
          <w:rPr>
            <w:rStyle w:val="Hyperlink"/>
          </w:rPr>
          <w:t>https://www.thelancet.com/journals/laninf/article/PIIS1473-3099(21)00648-4/fulltext</w:t>
        </w:r>
      </w:hyperlink>
      <w:r w:rsidRPr="00707F5C">
        <w:t xml:space="preserve">) </w:t>
      </w:r>
    </w:p>
  </w:footnote>
  <w:footnote w:id="5">
    <w:p w14:paraId="3F0163C4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93D">
        <w:t>Virological</w:t>
      </w:r>
      <w:proofErr w:type="spellEnd"/>
      <w:r w:rsidRPr="007A293D">
        <w:t xml:space="preserve"> </w:t>
      </w:r>
      <w:proofErr w:type="spellStart"/>
      <w:r w:rsidRPr="007A293D">
        <w:t>and</w:t>
      </w:r>
      <w:proofErr w:type="spellEnd"/>
      <w:r w:rsidRPr="007A293D">
        <w:t xml:space="preserve"> </w:t>
      </w:r>
      <w:proofErr w:type="spellStart"/>
      <w:r w:rsidRPr="007A293D">
        <w:t>serological</w:t>
      </w:r>
      <w:proofErr w:type="spellEnd"/>
      <w:r w:rsidRPr="007A293D">
        <w:t xml:space="preserve"> </w:t>
      </w:r>
      <w:proofErr w:type="spellStart"/>
      <w:r w:rsidRPr="007A293D">
        <w:t>kinetics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SARS-CoV-2 Delta </w:t>
      </w:r>
      <w:proofErr w:type="spellStart"/>
      <w:r w:rsidRPr="007A293D">
        <w:t>variant</w:t>
      </w:r>
      <w:proofErr w:type="spellEnd"/>
      <w:r w:rsidRPr="007A293D">
        <w:t xml:space="preserve"> </w:t>
      </w:r>
      <w:proofErr w:type="spellStart"/>
      <w:r w:rsidRPr="007A293D">
        <w:t>vaccine</w:t>
      </w:r>
      <w:proofErr w:type="spellEnd"/>
      <w:r w:rsidRPr="007A293D">
        <w:t xml:space="preserve"> </w:t>
      </w:r>
      <w:proofErr w:type="spellStart"/>
      <w:r w:rsidRPr="007A293D">
        <w:t>breakthrough</w:t>
      </w:r>
      <w:proofErr w:type="spellEnd"/>
      <w:r w:rsidRPr="007A293D">
        <w:t xml:space="preserve"> </w:t>
      </w:r>
      <w:proofErr w:type="spellStart"/>
      <w:r w:rsidRPr="007A293D">
        <w:t>infections</w:t>
      </w:r>
      <w:proofErr w:type="spellEnd"/>
      <w:r w:rsidRPr="007A293D">
        <w:t xml:space="preserve">: a </w:t>
      </w:r>
      <w:proofErr w:type="spellStart"/>
      <w:r w:rsidRPr="007A293D">
        <w:t>multi-center</w:t>
      </w:r>
      <w:proofErr w:type="spellEnd"/>
      <w:r w:rsidRPr="007A293D">
        <w:t xml:space="preserve"> </w:t>
      </w:r>
      <w:proofErr w:type="spellStart"/>
      <w:r w:rsidRPr="007A293D">
        <w:t>cohort</w:t>
      </w:r>
      <w:proofErr w:type="spellEnd"/>
      <w:r w:rsidRPr="007A293D">
        <w:t xml:space="preserve"> </w:t>
      </w:r>
      <w:proofErr w:type="spellStart"/>
      <w:r w:rsidRPr="007A293D">
        <w:t>study</w:t>
      </w:r>
      <w:proofErr w:type="spellEnd"/>
      <w:r w:rsidRPr="007A293D">
        <w:t xml:space="preserve"> </w:t>
      </w:r>
    </w:p>
    <w:p w14:paraId="335D3E6E" w14:textId="77777777" w:rsidR="00D81275" w:rsidRDefault="00D81275" w:rsidP="00D81275">
      <w:pPr>
        <w:pStyle w:val="FootnoteText"/>
      </w:pPr>
      <w:r w:rsidRPr="007A293D">
        <w:t>(</w:t>
      </w:r>
      <w:hyperlink r:id="rId5" w:history="1">
        <w:r w:rsidRPr="00525CCB">
          <w:rPr>
            <w:rStyle w:val="Hyperlink"/>
          </w:rPr>
          <w:t>https://www.medrxiv.org/content/10.1101/2021.07.28.21261295v1</w:t>
        </w:r>
      </w:hyperlink>
      <w:r w:rsidRPr="007A293D">
        <w:t>)</w:t>
      </w:r>
    </w:p>
  </w:footnote>
  <w:footnote w:id="6">
    <w:p w14:paraId="1B30CED7" w14:textId="77777777" w:rsidR="00D81275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293D">
        <w:t>Re-</w:t>
      </w:r>
      <w:proofErr w:type="spellStart"/>
      <w:r w:rsidRPr="007A293D">
        <w:t>infection</w:t>
      </w:r>
      <w:proofErr w:type="spellEnd"/>
      <w:r w:rsidRPr="007A293D">
        <w:t xml:space="preserve"> </w:t>
      </w:r>
      <w:proofErr w:type="spellStart"/>
      <w:r w:rsidRPr="007A293D">
        <w:t>with</w:t>
      </w:r>
      <w:proofErr w:type="spellEnd"/>
      <w:r w:rsidRPr="007A293D">
        <w:t xml:space="preserve"> SARS-CoV-2 </w:t>
      </w:r>
      <w:proofErr w:type="spellStart"/>
      <w:r w:rsidRPr="007A293D">
        <w:t>in</w:t>
      </w:r>
      <w:proofErr w:type="spellEnd"/>
      <w:r w:rsidRPr="007A293D">
        <w:t xml:space="preserve"> </w:t>
      </w:r>
      <w:proofErr w:type="spellStart"/>
      <w:r w:rsidRPr="007A293D">
        <w:t>patients</w:t>
      </w:r>
      <w:proofErr w:type="spellEnd"/>
      <w:r w:rsidRPr="007A293D">
        <w:t xml:space="preserve"> </w:t>
      </w:r>
      <w:proofErr w:type="spellStart"/>
      <w:r w:rsidRPr="007A293D">
        <w:t>undergoing</w:t>
      </w:r>
      <w:proofErr w:type="spellEnd"/>
      <w:r w:rsidRPr="007A293D">
        <w:t xml:space="preserve"> </w:t>
      </w:r>
      <w:proofErr w:type="spellStart"/>
      <w:r w:rsidRPr="007A293D">
        <w:t>serial</w:t>
      </w:r>
      <w:proofErr w:type="spellEnd"/>
      <w:r w:rsidRPr="007A293D">
        <w:t xml:space="preserve"> </w:t>
      </w:r>
      <w:proofErr w:type="spellStart"/>
      <w:r w:rsidRPr="007A293D">
        <w:t>laboratory</w:t>
      </w:r>
      <w:proofErr w:type="spellEnd"/>
      <w:r w:rsidRPr="007A293D">
        <w:t xml:space="preserve"> </w:t>
      </w:r>
      <w:proofErr w:type="spellStart"/>
      <w:r w:rsidRPr="007A293D">
        <w:t>testing</w:t>
      </w:r>
      <w:proofErr w:type="spellEnd"/>
      <w:r w:rsidRPr="007A293D">
        <w:t xml:space="preserve"> (</w:t>
      </w:r>
      <w:hyperlink r:id="rId6" w:history="1">
        <w:r w:rsidRPr="007A293D">
          <w:rPr>
            <w:rStyle w:val="Hyperlink"/>
          </w:rPr>
          <w:t>https://academic.oup.com/cid/advance-article/doi/10.1093 /</w:t>
        </w:r>
        <w:proofErr w:type="spellStart"/>
        <w:r w:rsidRPr="007A293D">
          <w:rPr>
            <w:rStyle w:val="Hyperlink"/>
          </w:rPr>
          <w:t>cid</w:t>
        </w:r>
        <w:proofErr w:type="spellEnd"/>
        <w:r w:rsidRPr="007A293D">
          <w:rPr>
            <w:rStyle w:val="Hyperlink"/>
          </w:rPr>
          <w:t>/ciab345/6251701</w:t>
        </w:r>
      </w:hyperlink>
      <w:r w:rsidRPr="007A293D">
        <w:t>)</w:t>
      </w:r>
    </w:p>
  </w:footnote>
  <w:footnote w:id="7">
    <w:p w14:paraId="3A7BCF85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93D">
        <w:t>Necessity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COVID-19 </w:t>
      </w:r>
      <w:proofErr w:type="spellStart"/>
      <w:r w:rsidRPr="007A293D">
        <w:t>vaccination</w:t>
      </w:r>
      <w:proofErr w:type="spellEnd"/>
      <w:r w:rsidRPr="007A293D">
        <w:t xml:space="preserve"> </w:t>
      </w:r>
      <w:proofErr w:type="spellStart"/>
      <w:r w:rsidRPr="007A293D">
        <w:t>in</w:t>
      </w:r>
      <w:proofErr w:type="spellEnd"/>
      <w:r w:rsidRPr="007A293D">
        <w:t xml:space="preserve"> </w:t>
      </w:r>
      <w:proofErr w:type="spellStart"/>
      <w:r w:rsidRPr="007A293D">
        <w:t>previously</w:t>
      </w:r>
      <w:proofErr w:type="spellEnd"/>
      <w:r w:rsidRPr="007A293D">
        <w:t xml:space="preserve"> </w:t>
      </w:r>
      <w:proofErr w:type="spellStart"/>
      <w:r w:rsidRPr="007A293D">
        <w:t>infected</w:t>
      </w:r>
      <w:proofErr w:type="spellEnd"/>
      <w:r w:rsidRPr="007A293D">
        <w:t xml:space="preserve"> </w:t>
      </w:r>
      <w:proofErr w:type="spellStart"/>
      <w:r w:rsidRPr="007A293D">
        <w:t>individuals</w:t>
      </w:r>
      <w:proofErr w:type="spellEnd"/>
      <w:r w:rsidRPr="007A293D">
        <w:t xml:space="preserve"> (</w:t>
      </w:r>
      <w:hyperlink r:id="rId7" w:history="1">
        <w:r w:rsidRPr="00525CCB">
          <w:rPr>
            <w:rStyle w:val="Hyperlink"/>
          </w:rPr>
          <w:t>https://www.medrxiv.org/content/10.1101/2021.06.01.21258176v2</w:t>
        </w:r>
      </w:hyperlink>
      <w:r w:rsidRPr="007A293D">
        <w:t>)</w:t>
      </w:r>
    </w:p>
    <w:p w14:paraId="3AD4EABF" w14:textId="77777777" w:rsidR="00D81275" w:rsidRDefault="00D81275" w:rsidP="00D81275">
      <w:pPr>
        <w:pStyle w:val="FootnoteText"/>
      </w:pPr>
    </w:p>
  </w:footnote>
  <w:footnote w:id="8">
    <w:p w14:paraId="153E7B87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SARS-C0V-2re-infection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Pr="007A293D">
        <w:t>Austria</w:t>
      </w:r>
      <w:proofErr w:type="spellEnd"/>
      <w:r w:rsidRPr="007A293D">
        <w:t xml:space="preserve"> </w:t>
      </w:r>
      <w:r>
        <w:t>(</w:t>
      </w:r>
      <w:hyperlink r:id="rId8" w:history="1">
        <w:r w:rsidRPr="00525CCB">
          <w:rPr>
            <w:rStyle w:val="Hyperlink"/>
          </w:rPr>
          <w:t>https://pubmed.ncbi.nlm.nih.gov/33583018/</w:t>
        </w:r>
      </w:hyperlink>
      <w:r>
        <w:t>)</w:t>
      </w:r>
    </w:p>
    <w:p w14:paraId="1915B13A" w14:textId="77777777" w:rsidR="00D81275" w:rsidRDefault="00D81275" w:rsidP="00D81275">
      <w:pPr>
        <w:pStyle w:val="FootnoteText"/>
      </w:pPr>
    </w:p>
  </w:footnote>
  <w:footnote w:id="9">
    <w:p w14:paraId="703CC6F9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293D">
        <w:t xml:space="preserve">Department for Digital. </w:t>
      </w:r>
      <w:proofErr w:type="spellStart"/>
      <w:r w:rsidRPr="007A293D">
        <w:t>Culture</w:t>
      </w:r>
      <w:proofErr w:type="spellEnd"/>
      <w:r w:rsidRPr="007A293D">
        <w:t xml:space="preserve">, Media &amp; Sport. </w:t>
      </w:r>
      <w:proofErr w:type="spellStart"/>
      <w:r w:rsidRPr="007A293D">
        <w:t>Events</w:t>
      </w:r>
      <w:proofErr w:type="spellEnd"/>
      <w:r w:rsidRPr="007A293D">
        <w:t xml:space="preserve"> Research </w:t>
      </w:r>
      <w:proofErr w:type="spellStart"/>
      <w:r w:rsidRPr="007A293D">
        <w:t>Programme</w:t>
      </w:r>
      <w:proofErr w:type="spellEnd"/>
      <w:r w:rsidRPr="007A293D">
        <w:t xml:space="preserve">: </w:t>
      </w:r>
      <w:proofErr w:type="spellStart"/>
      <w:r w:rsidRPr="007A293D">
        <w:t>Phase</w:t>
      </w:r>
      <w:proofErr w:type="spellEnd"/>
      <w:r w:rsidRPr="007A293D">
        <w:t xml:space="preserve"> I </w:t>
      </w:r>
      <w:proofErr w:type="spellStart"/>
      <w:r w:rsidRPr="007A293D">
        <w:t>findings</w:t>
      </w:r>
      <w:proofErr w:type="spellEnd"/>
      <w:r w:rsidRPr="007A293D">
        <w:t xml:space="preserve">. </w:t>
      </w:r>
    </w:p>
    <w:p w14:paraId="66AA348B" w14:textId="77777777" w:rsidR="00D81275" w:rsidRPr="007A293D" w:rsidRDefault="00D81275" w:rsidP="00D81275">
      <w:pPr>
        <w:pStyle w:val="FootnoteText"/>
      </w:pPr>
      <w:r w:rsidRPr="007A293D">
        <w:t>(</w:t>
      </w:r>
      <w:hyperlink r:id="rId9" w:history="1">
        <w:r w:rsidRPr="00525CCB">
          <w:rPr>
            <w:rStyle w:val="Hyperlink"/>
          </w:rPr>
          <w:t>https://www.gov.uk/government/publications/events-research-programme-phase-i-findings/events-research-programme-phase-i-findings</w:t>
        </w:r>
      </w:hyperlink>
      <w:r w:rsidRPr="007A293D">
        <w:t>)</w:t>
      </w:r>
    </w:p>
    <w:p w14:paraId="2AAE9C87" w14:textId="77777777" w:rsidR="00D81275" w:rsidRDefault="00D81275" w:rsidP="00D81275">
      <w:pPr>
        <w:pStyle w:val="FootnoteText"/>
      </w:pPr>
    </w:p>
  </w:footnote>
  <w:footnote w:id="10">
    <w:p w14:paraId="07B7AD54" w14:textId="77777777" w:rsidR="00D81275" w:rsidRPr="007A293D" w:rsidRDefault="00D81275" w:rsidP="00D81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93D">
        <w:t>Tony</w:t>
      </w:r>
      <w:proofErr w:type="spellEnd"/>
      <w:r w:rsidRPr="007A293D">
        <w:t xml:space="preserve"> Blair Institute for Global </w:t>
      </w:r>
      <w:proofErr w:type="spellStart"/>
      <w:r w:rsidRPr="007A293D">
        <w:t>Change</w:t>
      </w:r>
      <w:proofErr w:type="spellEnd"/>
      <w:r w:rsidRPr="007A293D">
        <w:t xml:space="preserve">. </w:t>
      </w:r>
      <w:proofErr w:type="spellStart"/>
      <w:r w:rsidRPr="007A293D">
        <w:t>Pass</w:t>
      </w:r>
      <w:proofErr w:type="spellEnd"/>
      <w:r w:rsidRPr="007A293D">
        <w:t xml:space="preserve"> time: </w:t>
      </w:r>
      <w:proofErr w:type="spellStart"/>
      <w:r w:rsidRPr="007A293D">
        <w:t>Quantifying</w:t>
      </w:r>
      <w:proofErr w:type="spellEnd"/>
      <w:r w:rsidRPr="007A293D">
        <w:t xml:space="preserve"> </w:t>
      </w:r>
      <w:proofErr w:type="spellStart"/>
      <w:r w:rsidRPr="007A293D">
        <w:t>the</w:t>
      </w:r>
      <w:proofErr w:type="spellEnd"/>
      <w:r w:rsidRPr="007A293D">
        <w:t xml:space="preserve"> </w:t>
      </w:r>
      <w:proofErr w:type="spellStart"/>
      <w:r w:rsidRPr="007A293D">
        <w:t>public-health</w:t>
      </w:r>
      <w:proofErr w:type="spellEnd"/>
      <w:r w:rsidRPr="007A293D">
        <w:t xml:space="preserve"> </w:t>
      </w:r>
      <w:proofErr w:type="spellStart"/>
      <w:r w:rsidRPr="007A293D">
        <w:t>benefits</w:t>
      </w:r>
      <w:proofErr w:type="spellEnd"/>
      <w:r w:rsidRPr="007A293D">
        <w:t xml:space="preserve"> </w:t>
      </w:r>
      <w:proofErr w:type="spellStart"/>
      <w:r w:rsidRPr="007A293D">
        <w:t>of</w:t>
      </w:r>
      <w:proofErr w:type="spellEnd"/>
      <w:r w:rsidRPr="007A293D">
        <w:t xml:space="preserve"> a </w:t>
      </w:r>
      <w:proofErr w:type="spellStart"/>
      <w:r w:rsidRPr="007A293D">
        <w:t>covid</w:t>
      </w:r>
      <w:proofErr w:type="spellEnd"/>
      <w:r w:rsidRPr="007A293D">
        <w:t xml:space="preserve"> </w:t>
      </w:r>
      <w:proofErr w:type="spellStart"/>
      <w:r w:rsidRPr="007A293D">
        <w:t>pass</w:t>
      </w:r>
      <w:proofErr w:type="spellEnd"/>
      <w:r w:rsidRPr="007A293D">
        <w:t xml:space="preserve">  (</w:t>
      </w:r>
      <w:hyperlink r:id="rId10" w:history="1">
        <w:r w:rsidRPr="00525CCB">
          <w:rPr>
            <w:rStyle w:val="Hyperlink"/>
          </w:rPr>
          <w:t>https://www.institute.global/insights/public-services/pass-time-quantifying-public-health-benefits-covid-pass</w:t>
        </w:r>
      </w:hyperlink>
      <w:r w:rsidRPr="007A293D">
        <w:t>)</w:t>
      </w:r>
    </w:p>
    <w:p w14:paraId="2C813187" w14:textId="77777777" w:rsidR="00D81275" w:rsidRPr="007A293D" w:rsidRDefault="00D81275" w:rsidP="00D81275">
      <w:pPr>
        <w:pStyle w:val="FootnoteText"/>
      </w:pPr>
    </w:p>
    <w:p w14:paraId="7355E2DA" w14:textId="77777777" w:rsidR="00D81275" w:rsidRDefault="00D81275" w:rsidP="00D8127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619457"/>
      <w:docPartObj>
        <w:docPartGallery w:val="Page Numbers (Top of Page)"/>
        <w:docPartUnique/>
      </w:docPartObj>
    </w:sdtPr>
    <w:sdtEndPr/>
    <w:sdtContent>
      <w:p w14:paraId="2948711E" w14:textId="0C9C3982" w:rsidR="00F965B3" w:rsidRDefault="00F965B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D2">
          <w:rPr>
            <w:noProof/>
          </w:rPr>
          <w:t>16</w:t>
        </w:r>
        <w:r>
          <w:fldChar w:fldCharType="end"/>
        </w:r>
      </w:p>
    </w:sdtContent>
  </w:sdt>
  <w:p w14:paraId="5B2842E5" w14:textId="77777777" w:rsidR="00F965B3" w:rsidRDefault="00F96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5" style="width:11.25pt;height:12.7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numPicBullet w:numPicBulletId="1">
    <w:pict>
      <v:shape id="_x0000_i1036" style="width:12pt;height:12pt" coordsize="" o:spt="100" o:bullet="t" adj="0,,0" path="" stroked="f">
        <v:stroke joinstyle="miter"/>
        <v:imagedata r:id="rId2" o:title="image62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3" o:title=""/>
      </v:shape>
    </w:pict>
  </w:numPicBullet>
  <w:numPicBullet w:numPicBulletId="3">
    <w:pict>
      <v:shape id="_x0000_i1038" type="#_x0000_t75" style="width:12pt;height:12.75pt;visibility:visible;mso-wrap-style:square" o:bullet="t">
        <v:imagedata r:id="rId4" o:title=""/>
      </v:shape>
    </w:pict>
  </w:numPicBullet>
  <w:numPicBullet w:numPicBulletId="4">
    <w:pict>
      <v:shape id="_x0000_i1039" type="#_x0000_t75" style="width:11.25pt;height:12.75pt;visibility:visible;mso-wrap-style:square" o:bullet="t">
        <v:imagedata r:id="rId5" o:title=""/>
      </v:shape>
    </w:pict>
  </w:numPicBullet>
  <w:numPicBullet w:numPicBulletId="5">
    <w:pict>
      <v:shape id="_x0000_i1040" type="#_x0000_t75" style="width:12pt;height:12pt;visibility:visible;mso-wrap-style:square" o:bullet="t">
        <v:imagedata r:id="rId6" o:title=""/>
      </v:shape>
    </w:pict>
  </w:numPicBullet>
  <w:numPicBullet w:numPicBulletId="6">
    <w:pict>
      <v:shape id="_x0000_i1041" type="#_x0000_t75" style="width:12pt;height:12.75pt;visibility:visible;mso-wrap-style:square" o:bullet="t">
        <v:imagedata r:id="rId7" o:title=""/>
      </v:shape>
    </w:pict>
  </w:numPicBullet>
  <w:numPicBullet w:numPicBulletId="7">
    <w:pict>
      <v:shape id="_x0000_i1042" type="#_x0000_t75" style="width:.75pt;height:.75pt;visibility:visible;mso-wrap-style:square" o:bullet="t">
        <v:imagedata r:id="rId8" o:title=""/>
      </v:shape>
    </w:pict>
  </w:numPicBullet>
  <w:numPicBullet w:numPicBulletId="8">
    <w:pict>
      <v:shape id="_x0000_i1043" type="#_x0000_t75" style="width:9.75pt;height:10.5pt;visibility:visible;mso-wrap-style:square" o:bullet="t">
        <v:imagedata r:id="rId9" o:title=""/>
      </v:shape>
    </w:pict>
  </w:numPicBullet>
  <w:abstractNum w:abstractNumId="0" w15:restartNumberingAfterBreak="0">
    <w:nsid w:val="03BA18AE"/>
    <w:multiLevelType w:val="hybridMultilevel"/>
    <w:tmpl w:val="A7A27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BCF"/>
    <w:multiLevelType w:val="hybridMultilevel"/>
    <w:tmpl w:val="97341E0A"/>
    <w:lvl w:ilvl="0" w:tplc="C1987FB6">
      <w:start w:val="1"/>
      <w:numFmt w:val="bullet"/>
      <w:lvlText w:val="•"/>
      <w:lvlPicBulletId w:val="0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A52D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CB24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2A41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4DEA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29B7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8631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4FE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ACA3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57A89"/>
    <w:multiLevelType w:val="hybridMultilevel"/>
    <w:tmpl w:val="7C926F54"/>
    <w:lvl w:ilvl="0" w:tplc="6ACC9818">
      <w:start w:val="8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C9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4AF5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A67E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45F5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ACA8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8E6D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8331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C69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5052F"/>
    <w:multiLevelType w:val="hybridMultilevel"/>
    <w:tmpl w:val="04E897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0194"/>
    <w:multiLevelType w:val="hybridMultilevel"/>
    <w:tmpl w:val="556C8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6834"/>
    <w:multiLevelType w:val="hybridMultilevel"/>
    <w:tmpl w:val="D53CFA44"/>
    <w:lvl w:ilvl="0" w:tplc="C4988BC2">
      <w:start w:val="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46DDA">
      <w:start w:val="1"/>
      <w:numFmt w:val="lowerLetter"/>
      <w:lvlText w:val="%2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906C">
      <w:start w:val="1"/>
      <w:numFmt w:val="lowerRoman"/>
      <w:lvlText w:val="%3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C476">
      <w:start w:val="1"/>
      <w:numFmt w:val="decimal"/>
      <w:lvlText w:val="%4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372">
      <w:start w:val="1"/>
      <w:numFmt w:val="lowerLetter"/>
      <w:lvlText w:val="%5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E3EF8">
      <w:start w:val="1"/>
      <w:numFmt w:val="lowerRoman"/>
      <w:lvlText w:val="%6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0D34E">
      <w:start w:val="1"/>
      <w:numFmt w:val="decimal"/>
      <w:lvlText w:val="%7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8A3BE">
      <w:start w:val="1"/>
      <w:numFmt w:val="lowerLetter"/>
      <w:lvlText w:val="%8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4C3E">
      <w:start w:val="1"/>
      <w:numFmt w:val="lowerRoman"/>
      <w:lvlText w:val="%9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52B0D"/>
    <w:multiLevelType w:val="hybridMultilevel"/>
    <w:tmpl w:val="B0EA85FE"/>
    <w:lvl w:ilvl="0" w:tplc="B4D6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3ABB"/>
    <w:multiLevelType w:val="hybridMultilevel"/>
    <w:tmpl w:val="1F06B1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26C7"/>
    <w:multiLevelType w:val="hybridMultilevel"/>
    <w:tmpl w:val="5EECE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E66"/>
    <w:multiLevelType w:val="hybridMultilevel"/>
    <w:tmpl w:val="C4BE44CA"/>
    <w:lvl w:ilvl="0" w:tplc="7AC07460">
      <w:start w:val="1"/>
      <w:numFmt w:val="bullet"/>
      <w:lvlText w:val="•"/>
      <w:lvlPicBulletId w:val="1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661B2">
      <w:start w:val="1"/>
      <w:numFmt w:val="bullet"/>
      <w:lvlText w:val="o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09914">
      <w:start w:val="1"/>
      <w:numFmt w:val="bullet"/>
      <w:lvlText w:val="▪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7F06">
      <w:start w:val="1"/>
      <w:numFmt w:val="bullet"/>
      <w:lvlText w:val="•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88932">
      <w:start w:val="1"/>
      <w:numFmt w:val="bullet"/>
      <w:lvlText w:val="o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EC538">
      <w:start w:val="1"/>
      <w:numFmt w:val="bullet"/>
      <w:lvlText w:val="▪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943A">
      <w:start w:val="1"/>
      <w:numFmt w:val="bullet"/>
      <w:lvlText w:val="•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8097C">
      <w:start w:val="1"/>
      <w:numFmt w:val="bullet"/>
      <w:lvlText w:val="o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88632">
      <w:start w:val="1"/>
      <w:numFmt w:val="bullet"/>
      <w:lvlText w:val="▪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401CF"/>
    <w:multiLevelType w:val="hybridMultilevel"/>
    <w:tmpl w:val="5276E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6252"/>
    <w:multiLevelType w:val="hybridMultilevel"/>
    <w:tmpl w:val="58309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990"/>
    <w:multiLevelType w:val="hybridMultilevel"/>
    <w:tmpl w:val="517A4F78"/>
    <w:lvl w:ilvl="0" w:tplc="107A5A76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C9C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0585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A0FF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4337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80F6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6CA6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C8C8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8061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B24DB4"/>
    <w:multiLevelType w:val="hybridMultilevel"/>
    <w:tmpl w:val="384E9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9D"/>
    <w:multiLevelType w:val="hybridMultilevel"/>
    <w:tmpl w:val="003095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2"/>
    <w:rsid w:val="00012F2A"/>
    <w:rsid w:val="000255A9"/>
    <w:rsid w:val="0005004D"/>
    <w:rsid w:val="0007726E"/>
    <w:rsid w:val="00085BA0"/>
    <w:rsid w:val="00086730"/>
    <w:rsid w:val="000B6095"/>
    <w:rsid w:val="000C75C2"/>
    <w:rsid w:val="000C7AC6"/>
    <w:rsid w:val="001251DE"/>
    <w:rsid w:val="00144CA8"/>
    <w:rsid w:val="0016067A"/>
    <w:rsid w:val="00172B06"/>
    <w:rsid w:val="00180138"/>
    <w:rsid w:val="001871E2"/>
    <w:rsid w:val="001E33F8"/>
    <w:rsid w:val="00200397"/>
    <w:rsid w:val="0020282B"/>
    <w:rsid w:val="00214F5B"/>
    <w:rsid w:val="0022407A"/>
    <w:rsid w:val="00246315"/>
    <w:rsid w:val="00267452"/>
    <w:rsid w:val="00275EA6"/>
    <w:rsid w:val="002F2322"/>
    <w:rsid w:val="002F4BED"/>
    <w:rsid w:val="0030652D"/>
    <w:rsid w:val="00326102"/>
    <w:rsid w:val="00336B1A"/>
    <w:rsid w:val="00355168"/>
    <w:rsid w:val="00357CB1"/>
    <w:rsid w:val="003B7958"/>
    <w:rsid w:val="003C4E0B"/>
    <w:rsid w:val="003E7E01"/>
    <w:rsid w:val="00416F51"/>
    <w:rsid w:val="00465C97"/>
    <w:rsid w:val="004754AA"/>
    <w:rsid w:val="004A5374"/>
    <w:rsid w:val="004E1AAA"/>
    <w:rsid w:val="004F2324"/>
    <w:rsid w:val="00504C88"/>
    <w:rsid w:val="00523A14"/>
    <w:rsid w:val="00534A8A"/>
    <w:rsid w:val="00541202"/>
    <w:rsid w:val="00570B9B"/>
    <w:rsid w:val="0059426B"/>
    <w:rsid w:val="00595715"/>
    <w:rsid w:val="005B6E1D"/>
    <w:rsid w:val="005D3914"/>
    <w:rsid w:val="005F718E"/>
    <w:rsid w:val="006056EE"/>
    <w:rsid w:val="00632FDB"/>
    <w:rsid w:val="0064753F"/>
    <w:rsid w:val="00664389"/>
    <w:rsid w:val="00667D08"/>
    <w:rsid w:val="00670E57"/>
    <w:rsid w:val="00682315"/>
    <w:rsid w:val="006D3AEA"/>
    <w:rsid w:val="006D69D6"/>
    <w:rsid w:val="00703424"/>
    <w:rsid w:val="007035DD"/>
    <w:rsid w:val="007232D2"/>
    <w:rsid w:val="00723B13"/>
    <w:rsid w:val="007560CA"/>
    <w:rsid w:val="007C4199"/>
    <w:rsid w:val="007D5CE4"/>
    <w:rsid w:val="008009EB"/>
    <w:rsid w:val="008026FD"/>
    <w:rsid w:val="008209DD"/>
    <w:rsid w:val="00832E8A"/>
    <w:rsid w:val="00857566"/>
    <w:rsid w:val="00862310"/>
    <w:rsid w:val="008638D4"/>
    <w:rsid w:val="00864FE1"/>
    <w:rsid w:val="008A00D7"/>
    <w:rsid w:val="00900107"/>
    <w:rsid w:val="009012B2"/>
    <w:rsid w:val="00920B8C"/>
    <w:rsid w:val="009236FB"/>
    <w:rsid w:val="00932CB1"/>
    <w:rsid w:val="00965DC8"/>
    <w:rsid w:val="00A042BD"/>
    <w:rsid w:val="00A24F05"/>
    <w:rsid w:val="00A53D17"/>
    <w:rsid w:val="00A72E8E"/>
    <w:rsid w:val="00A75D9E"/>
    <w:rsid w:val="00A842E9"/>
    <w:rsid w:val="00AE32B4"/>
    <w:rsid w:val="00B06897"/>
    <w:rsid w:val="00B126BA"/>
    <w:rsid w:val="00B30F1B"/>
    <w:rsid w:val="00B5036B"/>
    <w:rsid w:val="00B65527"/>
    <w:rsid w:val="00B82E58"/>
    <w:rsid w:val="00B95481"/>
    <w:rsid w:val="00BD0000"/>
    <w:rsid w:val="00BE7FED"/>
    <w:rsid w:val="00BF19C6"/>
    <w:rsid w:val="00C03493"/>
    <w:rsid w:val="00C06F86"/>
    <w:rsid w:val="00C54CCE"/>
    <w:rsid w:val="00C5597D"/>
    <w:rsid w:val="00C578BE"/>
    <w:rsid w:val="00C65F75"/>
    <w:rsid w:val="00C91363"/>
    <w:rsid w:val="00CC7291"/>
    <w:rsid w:val="00D57E08"/>
    <w:rsid w:val="00D70933"/>
    <w:rsid w:val="00D81275"/>
    <w:rsid w:val="00D86BC3"/>
    <w:rsid w:val="00D8727E"/>
    <w:rsid w:val="00DD2750"/>
    <w:rsid w:val="00DE5B85"/>
    <w:rsid w:val="00E138D2"/>
    <w:rsid w:val="00E20BF7"/>
    <w:rsid w:val="00E51D28"/>
    <w:rsid w:val="00E66B16"/>
    <w:rsid w:val="00E75D22"/>
    <w:rsid w:val="00E832CA"/>
    <w:rsid w:val="00EA027A"/>
    <w:rsid w:val="00EA0709"/>
    <w:rsid w:val="00EB2D2C"/>
    <w:rsid w:val="00ED4018"/>
    <w:rsid w:val="00EE5AC9"/>
    <w:rsid w:val="00F01FA3"/>
    <w:rsid w:val="00F42833"/>
    <w:rsid w:val="00F82EAC"/>
    <w:rsid w:val="00F85435"/>
    <w:rsid w:val="00F965B3"/>
    <w:rsid w:val="00FB0AD6"/>
    <w:rsid w:val="00FB5310"/>
    <w:rsid w:val="00FC0B46"/>
    <w:rsid w:val="00FC4762"/>
    <w:rsid w:val="00FD72E0"/>
    <w:rsid w:val="00FE46AF"/>
    <w:rsid w:val="00FE687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DF92"/>
  <w15:chartTrackingRefBased/>
  <w15:docId w15:val="{27095203-3ACE-4FF1-A386-2CF51F53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1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A8A"/>
    <w:pPr>
      <w:ind w:left="720"/>
      <w:contextualSpacing/>
    </w:pPr>
  </w:style>
  <w:style w:type="table" w:customStyle="1" w:styleId="2">
    <w:name w:val="2"/>
    <w:basedOn w:val="TableNormal"/>
    <w:rsid w:val="00E2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eNormal"/>
    <w:rsid w:val="00E2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StyleRowBandSize w:val="1"/>
      <w:tblStyleColBandSize w:val="1"/>
      <w:tblInd w:w="0" w:type="nil"/>
    </w:tblPr>
  </w:style>
  <w:style w:type="paragraph" w:styleId="Header">
    <w:name w:val="header"/>
    <w:basedOn w:val="Normal"/>
    <w:link w:val="HeaderChar"/>
    <w:uiPriority w:val="99"/>
    <w:unhideWhenUsed/>
    <w:rsid w:val="00F9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B3"/>
  </w:style>
  <w:style w:type="paragraph" w:styleId="Footer">
    <w:name w:val="footer"/>
    <w:basedOn w:val="Normal"/>
    <w:link w:val="FooterChar"/>
    <w:uiPriority w:val="99"/>
    <w:unhideWhenUsed/>
    <w:rsid w:val="00F9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B3"/>
  </w:style>
  <w:style w:type="paragraph" w:styleId="BalloonText">
    <w:name w:val="Balloon Text"/>
    <w:basedOn w:val="Normal"/>
    <w:link w:val="BalloonTextChar"/>
    <w:uiPriority w:val="99"/>
    <w:semiHidden/>
    <w:unhideWhenUsed/>
    <w:rsid w:val="00BF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2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2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127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gor.gov.hr/o-ministarstvu-1065/djelokrug/ravnateljstvo-za-robne-zalihe6106/javna-nabava-i-natjecaji/popis-izvrsenih-nabava-i-usluga/8051" TargetMode="External"/><Relationship Id="rId18" Type="http://schemas.openxmlformats.org/officeDocument/2006/relationships/image" Target="media/image16.jpg"/><Relationship Id="rId26" Type="http://schemas.openxmlformats.org/officeDocument/2006/relationships/image" Target="media/image22.jpg"/><Relationship Id="rId39" Type="http://schemas.openxmlformats.org/officeDocument/2006/relationships/image" Target="media/image29.jpg"/><Relationship Id="rId21" Type="http://schemas.openxmlformats.org/officeDocument/2006/relationships/image" Target="media/image19.jpg"/><Relationship Id="rId34" Type="http://schemas.openxmlformats.org/officeDocument/2006/relationships/hyperlink" Target="https://www.thelancet.com/journals/laninf/article/PIIS1473-3099(22)00801-5/fulltext" TargetMode="External"/><Relationship Id="rId42" Type="http://schemas.openxmlformats.org/officeDocument/2006/relationships/image" Target="media/image30.jpg"/><Relationship Id="rId47" Type="http://schemas.openxmlformats.org/officeDocument/2006/relationships/hyperlink" Target="https://www.nature.com/articles/s41591-022-02138-x" TargetMode="External"/><Relationship Id="rId50" Type="http://schemas.openxmlformats.org/officeDocument/2006/relationships/image" Target="media/image35.jpg"/><Relationship Id="rId55" Type="http://schemas.openxmlformats.org/officeDocument/2006/relationships/hyperlink" Target="https://archive.cdc.gov/" TargetMode="External"/><Relationship Id="rId63" Type="http://schemas.openxmlformats.org/officeDocument/2006/relationships/hyperlink" Target="https://jamanetwork.com/journals/jamanetworkopen/fullarticle/2792598" TargetMode="External"/><Relationship Id="rId68" Type="http://schemas.openxmlformats.org/officeDocument/2006/relationships/image" Target="media/image40.jpg"/><Relationship Id="rId76" Type="http://schemas.openxmlformats.org/officeDocument/2006/relationships/hyperlink" Target="https://www.medrxiv.org/content/10.1101/2021.09.28.21264260v2" TargetMode="External"/><Relationship Id="rId84" Type="http://schemas.openxmlformats.org/officeDocument/2006/relationships/image" Target="media/image52.jpg"/><Relationship Id="rId89" Type="http://schemas.openxmlformats.org/officeDocument/2006/relationships/hyperlink" Target="https://www.halmed.hr/COVID-19/Kako-prijaviti-sumnju-na-nuspojavu/Podaci-o-zaprimljenim-prijavama-sumnji-na-nuspojave-cjepiva-protiv-bolesti-COVID-19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ejm.org/doi/full/10.1056/nejmc2107717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4.jpg"/><Relationship Id="rId29" Type="http://schemas.openxmlformats.org/officeDocument/2006/relationships/image" Target="media/image24.jpeg"/><Relationship Id="rId11" Type="http://schemas.openxmlformats.org/officeDocument/2006/relationships/image" Target="media/image10.png"/><Relationship Id="rId24" Type="http://schemas.openxmlformats.org/officeDocument/2006/relationships/hyperlink" Target="https://doi.org/10.1080/10810730.2021.1899344" TargetMode="External"/><Relationship Id="rId32" Type="http://schemas.openxmlformats.org/officeDocument/2006/relationships/hyperlink" Target="https://www.thelancet.com/article/S0140-6736(22)02465-5/fulltext" TargetMode="External"/><Relationship Id="rId37" Type="http://schemas.openxmlformats.org/officeDocument/2006/relationships/image" Target="media/image28.jpeg"/><Relationship Id="rId40" Type="http://schemas.openxmlformats.org/officeDocument/2006/relationships/hyperlink" Target="https://www.thelancet.com/journals/laninf/article/PIIS1473-3099(21)00690-3/fulltext" TargetMode="External"/><Relationship Id="rId45" Type="http://schemas.openxmlformats.org/officeDocument/2006/relationships/image" Target="media/image32.jpg"/><Relationship Id="rId53" Type="http://schemas.openxmlformats.org/officeDocument/2006/relationships/hyperlink" Target="https://www.science.org/doi/10.1126/science.abl4292" TargetMode="External"/><Relationship Id="rId58" Type="http://schemas.openxmlformats.org/officeDocument/2006/relationships/hyperlink" Target="https://www.medrxiv.org/content/10.1101/2021.11.24.21266401v1" TargetMode="External"/><Relationship Id="rId66" Type="http://schemas.openxmlformats.org/officeDocument/2006/relationships/image" Target="media/image39.jpeg"/><Relationship Id="rId74" Type="http://schemas.openxmlformats.org/officeDocument/2006/relationships/hyperlink" Target="https://www.nejm.org/doi/full/10.1056/nejmc2106757" TargetMode="External"/><Relationship Id="rId79" Type="http://schemas.openxmlformats.org/officeDocument/2006/relationships/image" Target="media/image47.jpg"/><Relationship Id="rId87" Type="http://schemas.openxmlformats.org/officeDocument/2006/relationships/hyperlink" Target="https://www.halmed.hr/Lijekovi/Baza-lijekova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jamanetwork.com/journals/j%20ama/fullarticle/2788105" TargetMode="External"/><Relationship Id="rId82" Type="http://schemas.openxmlformats.org/officeDocument/2006/relationships/image" Target="media/image50.jpeg"/><Relationship Id="rId90" Type="http://schemas.openxmlformats.org/officeDocument/2006/relationships/header" Target="header1.xml"/><Relationship Id="rId19" Type="http://schemas.openxmlformats.org/officeDocument/2006/relationships/image" Target="media/image17.jpg"/><Relationship Id="rId14" Type="http://schemas.openxmlformats.org/officeDocument/2006/relationships/image" Target="media/image12.jpg"/><Relationship Id="rId22" Type="http://schemas.openxmlformats.org/officeDocument/2006/relationships/hyperlink" Target="https://doi.org/10.1371/journal.pone.0239795" TargetMode="External"/><Relationship Id="rId27" Type="http://schemas.openxmlformats.org/officeDocument/2006/relationships/image" Target="media/image23.jpg"/><Relationship Id="rId30" Type="http://schemas.openxmlformats.org/officeDocument/2006/relationships/hyperlink" Target="https://www.nbcnews.com/health/health-news/cdc-suggests-recovered-covid-patients-can-t-spread-virus-3-n1236782" TargetMode="External"/><Relationship Id="rId35" Type="http://schemas.openxmlformats.org/officeDocument/2006/relationships/image" Target="media/image27.jpeg"/><Relationship Id="rId43" Type="http://schemas.openxmlformats.org/officeDocument/2006/relationships/image" Target="media/image31.jpg"/><Relationship Id="rId48" Type="http://schemas.openxmlformats.org/officeDocument/2006/relationships/hyperlink" Target="https://www.nature.com/articles/s41467-022-31494-y" TargetMode="External"/><Relationship Id="rId56" Type="http://schemas.openxmlformats.org/officeDocument/2006/relationships/image" Target="media/image36.jpg"/><Relationship Id="rId64" Type="http://schemas.openxmlformats.org/officeDocument/2006/relationships/hyperlink" Target="https://bmcinfectdis.biomedcentral.com/articles/10.1186/s12879-022-07418-y" TargetMode="External"/><Relationship Id="rId69" Type="http://schemas.openxmlformats.org/officeDocument/2006/relationships/hyperlink" Target="https://assets.publishing.service.gov.uk/media/61d84daa8fa8f5058bc049ae/Vaccine_surveillance_report_week_1_2022.pdf" TargetMode="External"/><Relationship Id="rId77" Type="http://schemas.openxmlformats.org/officeDocument/2006/relationships/image" Target="media/image45.jpg"/><Relationship Id="rId8" Type="http://schemas.openxmlformats.org/officeDocument/2006/relationships/webSettings" Target="webSettings.xml"/><Relationship Id="rId51" Type="http://schemas.openxmlformats.org/officeDocument/2006/relationships/hyperlink" Target="https://www.cidrap.umn.edu/covid-vaccine-markedly-cuts-household-transmission-studies-show" TargetMode="External"/><Relationship Id="rId72" Type="http://schemas.openxmlformats.org/officeDocument/2006/relationships/image" Target="media/image42.jpeg"/><Relationship Id="rId80" Type="http://schemas.openxmlformats.org/officeDocument/2006/relationships/image" Target="media/image48.jpg"/><Relationship Id="rId85" Type="http://schemas.openxmlformats.org/officeDocument/2006/relationships/image" Target="media/image53.jpg"/><Relationship Id="rId3" Type="http://schemas.openxmlformats.org/officeDocument/2006/relationships/customXml" Target="../customXml/item3.xml"/><Relationship Id="rId12" Type="http://schemas.openxmlformats.org/officeDocument/2006/relationships/image" Target="media/image11.jpg"/><Relationship Id="rId17" Type="http://schemas.openxmlformats.org/officeDocument/2006/relationships/image" Target="media/image15.jpg"/><Relationship Id="rId25" Type="http://schemas.openxmlformats.org/officeDocument/2006/relationships/image" Target="media/image21.jpg"/><Relationship Id="rId33" Type="http://schemas.openxmlformats.org/officeDocument/2006/relationships/image" Target="media/image26.jpg"/><Relationship Id="rId38" Type="http://schemas.openxmlformats.org/officeDocument/2006/relationships/hyperlink" Target="https://www.nature.com/articles/s41598-023-28129-7" TargetMode="External"/><Relationship Id="rId46" Type="http://schemas.openxmlformats.org/officeDocument/2006/relationships/image" Target="media/image33.jpg"/><Relationship Id="rId59" Type="http://schemas.openxmlformats.org/officeDocument/2006/relationships/hyperlink" Target="https://www.ecdc.europa.eu/sites/default/files/documents/Risk-of-transmission-and-reinfection-of-SARS-CoV-2-following-vaccination.pdf" TargetMode="External"/><Relationship Id="rId67" Type="http://schemas.openxmlformats.org/officeDocument/2006/relationships/hyperlink" Target="https://www.bmj.com/content/376/bmj.o298" TargetMode="External"/><Relationship Id="rId20" Type="http://schemas.openxmlformats.org/officeDocument/2006/relationships/image" Target="media/image18.jpg"/><Relationship Id="rId41" Type="http://schemas.openxmlformats.org/officeDocument/2006/relationships/hyperlink" Target="https://www.nejm.org/doi/full/10.1056/nejmoa2116597" TargetMode="External"/><Relationship Id="rId54" Type="http://schemas.openxmlformats.org/officeDocument/2006/relationships/hyperlink" Target="https://www.koronavirus.hr/uploads/Unaprjedenje_kvalitete_zdravstvene_zastite_u_bolnickom_sustavu_vezano_uz_suzbijanje_COVID_19_8c5c36ca48.pdf" TargetMode="External"/><Relationship Id="rId62" Type="http://schemas.openxmlformats.org/officeDocument/2006/relationships/image" Target="media/image38.jpg"/><Relationship Id="rId70" Type="http://schemas.openxmlformats.org/officeDocument/2006/relationships/image" Target="media/image41.jpeg"/><Relationship Id="rId75" Type="http://schemas.openxmlformats.org/officeDocument/2006/relationships/image" Target="media/image44.jpg"/><Relationship Id="rId83" Type="http://schemas.openxmlformats.org/officeDocument/2006/relationships/image" Target="media/image51.jpg"/><Relationship Id="rId88" Type="http://schemas.openxmlformats.org/officeDocument/2006/relationships/hyperlink" Target="https://www.halmed.hr/COVID-19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13.jpg"/><Relationship Id="rId23" Type="http://schemas.openxmlformats.org/officeDocument/2006/relationships/image" Target="media/image20.jpg"/><Relationship Id="rId28" Type="http://schemas.openxmlformats.org/officeDocument/2006/relationships/hyperlink" Target="https://www.ecdc.europa.eu/sites/default/files/documents/Risk-of-transmission-and-reinfection-of-SARS-CoV-2-following-vaccination.pdf" TargetMode="External"/><Relationship Id="rId36" Type="http://schemas.openxmlformats.org/officeDocument/2006/relationships/hyperlink" Target="https://www.ncbi.nlm.nih.gov/pmc/articles/PMC8824301/" TargetMode="External"/><Relationship Id="rId49" Type="http://schemas.openxmlformats.org/officeDocument/2006/relationships/image" Target="media/image34.jpg"/><Relationship Id="rId57" Type="http://schemas.openxmlformats.org/officeDocument/2006/relationships/hyperlink" Target="https://www.eurosurveillance.org/content/10.2807/1560-7917.ES.2021.26.31.2100640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25.jpeg"/><Relationship Id="rId44" Type="http://schemas.openxmlformats.org/officeDocument/2006/relationships/hyperlink" Target="https://www.ncbi.nlm.nih.gov/pmc/articles/PMC9917454/" TargetMode="External"/><Relationship Id="rId52" Type="http://schemas.openxmlformats.org/officeDocument/2006/relationships/hyperlink" Target="https://www.mcmasterforum.org/docs/default-source/product-documents/living-evidence-syntheses/covid-19-living-evidence-synthesis-1.3---transmissibility-of-covid-19-among-vaccinated-individuals.pdf?sfvrsn=1d1d40e0_3" TargetMode="External"/><Relationship Id="rId60" Type="http://schemas.openxmlformats.org/officeDocument/2006/relationships/image" Target="media/image37.jpeg"/><Relationship Id="rId65" Type="http://schemas.openxmlformats.org/officeDocument/2006/relationships/hyperlink" Target="https://www.cdc.gov/mmwr/volumes/70/wr/mm7034e4.htm?s%20cid=mm7034e4_w" TargetMode="External"/><Relationship Id="rId73" Type="http://schemas.openxmlformats.org/officeDocument/2006/relationships/image" Target="media/image43.jpg"/><Relationship Id="rId78" Type="http://schemas.openxmlformats.org/officeDocument/2006/relationships/image" Target="media/image46.jpg"/><Relationship Id="rId81" Type="http://schemas.openxmlformats.org/officeDocument/2006/relationships/image" Target="media/image49.jpg"/><Relationship Id="rId86" Type="http://schemas.openxmlformats.org/officeDocument/2006/relationships/image" Target="media/image5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583018/" TargetMode="External"/><Relationship Id="rId3" Type="http://schemas.openxmlformats.org/officeDocument/2006/relationships/hyperlink" Target="https://www.nejm.org/doi/full/10.1056/NEJMc2106757" TargetMode="External"/><Relationship Id="rId7" Type="http://schemas.openxmlformats.org/officeDocument/2006/relationships/hyperlink" Target="https://www.medrxiv.org/content/10.1101/2021.06.01.21258176v2" TargetMode="External"/><Relationship Id="rId2" Type="http://schemas.openxmlformats.org/officeDocument/2006/relationships/hyperlink" Target="https://www.medrxiv.org/content/10.1101/2021.09.28.21264260v1" TargetMode="External"/><Relationship Id="rId1" Type="http://schemas.openxmlformats.org/officeDocument/2006/relationships/hyperlink" Target="https://pubmed.ncbi.nlm.nih.gov/34738514/" TargetMode="External"/><Relationship Id="rId6" Type="http://schemas.openxmlformats.org/officeDocument/2006/relationships/hyperlink" Target="https://academic.oup.com/cid/advance-article/doi/10.1093%20/cid/ciab345/6251701" TargetMode="External"/><Relationship Id="rId5" Type="http://schemas.openxmlformats.org/officeDocument/2006/relationships/hyperlink" Target="https://www.medrxiv.org/content/10.1101/2021.07.28.21261295v1" TargetMode="External"/><Relationship Id="rId10" Type="http://schemas.openxmlformats.org/officeDocument/2006/relationships/hyperlink" Target="https://www.institute.global/insights/public-services/pass-time-quantifying-public-health-benefits-covid-pass" TargetMode="External"/><Relationship Id="rId4" Type="http://schemas.openxmlformats.org/officeDocument/2006/relationships/hyperlink" Target="https://www.thelancet.com/journals/laninf/article/PIIS1473-3099(21)00648-4/fulltext" TargetMode="External"/><Relationship Id="rId9" Type="http://schemas.openxmlformats.org/officeDocument/2006/relationships/hyperlink" Target="https://www.gov.uk/government/publications/events-research-programme-phase-i-findings/events-research-programme-phase-i-findings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5F3AF03BE24CA244A86EB7316AA1" ma:contentTypeVersion="0" ma:contentTypeDescription="Create a new document." ma:contentTypeScope="" ma:versionID="c6ca0add068ae9126fed9d7feaa1bc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6E46-C1CD-4250-A6DC-29DD1E62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EDA80-15C8-4128-B071-7CB2AA7E7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27233-DF54-4B8E-8AAA-84691F414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E2E3B-4418-4E30-8BD4-D5F26837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7900</Words>
  <Characters>45034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Sanja Duspara</cp:lastModifiedBy>
  <cp:revision>3</cp:revision>
  <cp:lastPrinted>2023-10-19T13:16:00Z</cp:lastPrinted>
  <dcterms:created xsi:type="dcterms:W3CDTF">2023-10-25T11:37:00Z</dcterms:created>
  <dcterms:modified xsi:type="dcterms:W3CDTF">2023-10-25T11:40:00Z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0x0101000DDC5F3AF03BE24CA244A86EB7316AA1</vt:lpwstr>
  </property>
</Properties>
</file>