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566B" w14:textId="77777777" w:rsidR="0019777F" w:rsidRDefault="0019777F" w:rsidP="004F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4679" w14:textId="77777777" w:rsidR="0019777F" w:rsidRDefault="0019777F" w:rsidP="004F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376B0" w14:textId="77777777" w:rsidR="0019777F" w:rsidRDefault="0019777F" w:rsidP="004F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F29C" w14:textId="77777777" w:rsidR="0019777F" w:rsidRPr="00A231EB" w:rsidRDefault="0019777F" w:rsidP="004F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43F1C" w14:textId="77777777" w:rsidR="00F2041F" w:rsidRPr="00A231EB" w:rsidRDefault="00F2041F" w:rsidP="00F2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641278" wp14:editId="2C256235">
            <wp:extent cx="502942" cy="684000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EB">
        <w:rPr>
          <w:rFonts w:ascii="Times New Roman" w:hAnsi="Times New Roman" w:cs="Times New Roman"/>
          <w:sz w:val="24"/>
          <w:szCs w:val="24"/>
        </w:rPr>
        <w:fldChar w:fldCharType="begin"/>
      </w:r>
      <w:r w:rsidRPr="00A231E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231E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05F981" w14:textId="77777777" w:rsidR="00F2041F" w:rsidRPr="00A231EB" w:rsidRDefault="00F2041F" w:rsidP="00F2041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E4185A8" w14:textId="77777777" w:rsidR="00F2041F" w:rsidRPr="00A231EB" w:rsidRDefault="00F2041F" w:rsidP="00F2041F">
      <w:pPr>
        <w:rPr>
          <w:rFonts w:ascii="Times New Roman" w:hAnsi="Times New Roman" w:cs="Times New Roman"/>
          <w:sz w:val="24"/>
          <w:szCs w:val="24"/>
        </w:rPr>
      </w:pPr>
    </w:p>
    <w:p w14:paraId="42B155EC" w14:textId="77777777" w:rsidR="00F2041F" w:rsidRPr="00A231EB" w:rsidRDefault="00F2041F" w:rsidP="00F2041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 xml:space="preserve">Zagreb, </w:t>
      </w:r>
      <w:r w:rsidR="00CA753B">
        <w:rPr>
          <w:rFonts w:ascii="Times New Roman" w:hAnsi="Times New Roman" w:cs="Times New Roman"/>
          <w:sz w:val="24"/>
          <w:szCs w:val="24"/>
        </w:rPr>
        <w:t>9</w:t>
      </w:r>
      <w:r w:rsidR="0082773A">
        <w:rPr>
          <w:rFonts w:ascii="Times New Roman" w:hAnsi="Times New Roman" w:cs="Times New Roman"/>
          <w:sz w:val="24"/>
          <w:szCs w:val="24"/>
        </w:rPr>
        <w:t>. ožujak</w:t>
      </w:r>
      <w:r w:rsidR="00A231EB">
        <w:rPr>
          <w:rFonts w:ascii="Times New Roman" w:hAnsi="Times New Roman" w:cs="Times New Roman"/>
          <w:sz w:val="24"/>
          <w:szCs w:val="24"/>
        </w:rPr>
        <w:t xml:space="preserve"> 2023.</w:t>
      </w:r>
      <w:r w:rsidRPr="00A2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1B0C" w14:textId="77777777" w:rsidR="00F2041F" w:rsidRPr="00A231EB" w:rsidRDefault="00F2041F" w:rsidP="00F20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81E52A" w14:textId="77777777" w:rsidR="00F2041F" w:rsidRPr="00A231EB" w:rsidRDefault="00F2041F" w:rsidP="00F2041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F2041F" w:rsidRPr="00A231EB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041F" w:rsidRPr="00A231EB" w14:paraId="1382A3B3" w14:textId="77777777" w:rsidTr="00001CC5">
        <w:tc>
          <w:tcPr>
            <w:tcW w:w="1951" w:type="dxa"/>
          </w:tcPr>
          <w:p w14:paraId="564146E3" w14:textId="77777777" w:rsidR="00F2041F" w:rsidRPr="00A231EB" w:rsidRDefault="00F2041F" w:rsidP="00001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494902" w14:textId="77777777" w:rsidR="00F2041F" w:rsidRPr="00A231EB" w:rsidRDefault="00F2041F" w:rsidP="00001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15CED8EE" w14:textId="77777777" w:rsidR="00F2041F" w:rsidRPr="00A231EB" w:rsidRDefault="00F2041F" w:rsidP="00F20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B64E034" w14:textId="77777777" w:rsidR="00F2041F" w:rsidRPr="00A231EB" w:rsidRDefault="00F2041F" w:rsidP="00F2041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F2041F" w:rsidRPr="00A231E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2041F" w:rsidRPr="00A231EB" w14:paraId="1EEFD512" w14:textId="77777777" w:rsidTr="00001CC5">
        <w:tc>
          <w:tcPr>
            <w:tcW w:w="1951" w:type="dxa"/>
          </w:tcPr>
          <w:p w14:paraId="27F9F825" w14:textId="77777777" w:rsidR="00F2041F" w:rsidRPr="00A231EB" w:rsidRDefault="00F2041F" w:rsidP="00001CC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23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B16155" w14:textId="77777777" w:rsidR="00F2041F" w:rsidRPr="00A231EB" w:rsidRDefault="00F2041F" w:rsidP="00CA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B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CA75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231EB">
              <w:rPr>
                <w:rFonts w:ascii="Times New Roman" w:hAnsi="Times New Roman" w:cs="Times New Roman"/>
                <w:sz w:val="24"/>
                <w:szCs w:val="24"/>
              </w:rPr>
              <w:t xml:space="preserve">dluke </w:t>
            </w:r>
            <w:r w:rsidR="0096666C" w:rsidRPr="0096666C">
              <w:rPr>
                <w:rFonts w:ascii="Times New Roman" w:hAnsi="Times New Roman" w:cs="Times New Roman"/>
                <w:sz w:val="24"/>
                <w:szCs w:val="24"/>
              </w:rPr>
              <w:t>o određivanju iznos</w:t>
            </w:r>
            <w:r w:rsidR="00CA75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666C" w:rsidRPr="0096666C">
              <w:rPr>
                <w:rFonts w:ascii="Times New Roman" w:hAnsi="Times New Roman" w:cs="Times New Roman"/>
                <w:sz w:val="24"/>
                <w:szCs w:val="24"/>
              </w:rPr>
              <w:t xml:space="preserve"> razlike između jediničnih cijena za centralne toplinske sustave i zatvorene toplinske sustave u odnosu na krajnje cijene isporučene toplinske energije</w:t>
            </w:r>
          </w:p>
        </w:tc>
      </w:tr>
    </w:tbl>
    <w:p w14:paraId="71CDC92F" w14:textId="77777777" w:rsidR="00F2041F" w:rsidRPr="00A231EB" w:rsidRDefault="00F2041F" w:rsidP="00F2041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23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AC125F" w14:textId="77777777" w:rsidR="00F2041F" w:rsidRPr="00A231EB" w:rsidRDefault="00F2041F" w:rsidP="00F2041F">
      <w:pPr>
        <w:rPr>
          <w:rFonts w:ascii="Times New Roman" w:hAnsi="Times New Roman" w:cs="Times New Roman"/>
          <w:sz w:val="24"/>
          <w:szCs w:val="24"/>
        </w:rPr>
      </w:pPr>
    </w:p>
    <w:p w14:paraId="2A49C1EC" w14:textId="77777777" w:rsidR="00F2041F" w:rsidRPr="00A231EB" w:rsidRDefault="00F2041F" w:rsidP="00F2041F">
      <w:pPr>
        <w:rPr>
          <w:rFonts w:ascii="Times New Roman" w:hAnsi="Times New Roman" w:cs="Times New Roman"/>
          <w:sz w:val="24"/>
          <w:szCs w:val="24"/>
        </w:rPr>
      </w:pPr>
    </w:p>
    <w:p w14:paraId="6AA13480" w14:textId="77777777" w:rsidR="00F2041F" w:rsidRPr="00A231EB" w:rsidRDefault="00F2041F" w:rsidP="00F2041F">
      <w:pPr>
        <w:rPr>
          <w:rFonts w:ascii="Times New Roman" w:hAnsi="Times New Roman" w:cs="Times New Roman"/>
          <w:sz w:val="24"/>
          <w:szCs w:val="24"/>
        </w:rPr>
      </w:pPr>
    </w:p>
    <w:p w14:paraId="4568146D" w14:textId="77777777" w:rsidR="00F2041F" w:rsidRPr="00A231EB" w:rsidRDefault="00F2041F" w:rsidP="00F2041F">
      <w:pPr>
        <w:rPr>
          <w:rFonts w:ascii="Times New Roman" w:hAnsi="Times New Roman" w:cs="Times New Roman"/>
          <w:sz w:val="24"/>
          <w:szCs w:val="24"/>
        </w:rPr>
      </w:pPr>
    </w:p>
    <w:p w14:paraId="15A7CB68" w14:textId="77777777" w:rsidR="00F2041F" w:rsidRPr="00E5588B" w:rsidRDefault="00F2041F" w:rsidP="00F2041F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F2041F" w:rsidRPr="00E5588B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330CFA" w14:textId="77777777" w:rsidR="00F2041F" w:rsidRPr="00E5588B" w:rsidRDefault="00F2041F" w:rsidP="00F2041F">
      <w:pPr>
        <w:rPr>
          <w:rFonts w:ascii="Times New Roman" w:hAnsi="Times New Roman" w:cs="Times New Roman"/>
          <w:sz w:val="24"/>
          <w:szCs w:val="24"/>
        </w:rPr>
      </w:pPr>
      <w:r w:rsidRPr="00E5588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5588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5588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85B57F" w14:textId="77777777" w:rsidR="00F2041F" w:rsidRPr="00E5588B" w:rsidRDefault="00F2041F" w:rsidP="00F2041F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>MINISTARSTVO GOSPODARSTVA I ODRŽIVOG RAZVOJA</w:t>
      </w:r>
    </w:p>
    <w:p w14:paraId="6A90D1CE" w14:textId="77777777" w:rsidR="00F2041F" w:rsidRPr="00E5588B" w:rsidRDefault="00F2041F" w:rsidP="00F2041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50CDB1AA" w14:textId="77777777" w:rsidR="00F2041F" w:rsidRPr="00E5588B" w:rsidRDefault="00F2041F" w:rsidP="00F2041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E259AD3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03B18937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4CE9C07F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3E8AA6D9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682F9D15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05AA2F0F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6CDC12A9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51C4D0C9" w14:textId="77777777" w:rsidR="00F2041F" w:rsidRPr="00E5588B" w:rsidRDefault="00F2041F" w:rsidP="00F2041F">
      <w:pPr>
        <w:rPr>
          <w:rFonts w:ascii="Times New Roman" w:hAnsi="Times New Roman" w:cs="Times New Roman"/>
          <w:b/>
          <w:sz w:val="24"/>
          <w:szCs w:val="24"/>
        </w:rPr>
      </w:pPr>
    </w:p>
    <w:p w14:paraId="068A7E5F" w14:textId="77777777" w:rsidR="00F2041F" w:rsidRPr="00895E0C" w:rsidRDefault="00F2041F" w:rsidP="00F2041F">
      <w:pPr>
        <w:shd w:val="clear" w:color="auto" w:fill="FFFFFF"/>
        <w:spacing w:before="153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95E0C">
        <w:rPr>
          <w:rFonts w:ascii="Times New Roman" w:hAnsi="Times New Roman" w:cs="Times New Roman"/>
          <w:b/>
          <w:bCs/>
          <w:color w:val="231F20"/>
          <w:sz w:val="24"/>
          <w:szCs w:val="24"/>
        </w:rPr>
        <w:t>ODLUKA</w:t>
      </w:r>
    </w:p>
    <w:p w14:paraId="0A1EC3B4" w14:textId="77777777" w:rsidR="003875C1" w:rsidRDefault="003875C1" w:rsidP="0038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 ODREĐ</w:t>
      </w:r>
      <w:r w:rsidRPr="00E26227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VANJU </w:t>
      </w:r>
      <w:r w:rsidRPr="003875C1">
        <w:rPr>
          <w:rFonts w:ascii="Times New Roman" w:hAnsi="Times New Roman" w:cs="Times New Roman"/>
          <w:b/>
          <w:sz w:val="28"/>
          <w:szCs w:val="24"/>
        </w:rPr>
        <w:t>IZNOS</w:t>
      </w:r>
      <w:r w:rsidR="00CA753B">
        <w:rPr>
          <w:rFonts w:ascii="Times New Roman" w:hAnsi="Times New Roman" w:cs="Times New Roman"/>
          <w:b/>
          <w:sz w:val="28"/>
          <w:szCs w:val="24"/>
        </w:rPr>
        <w:t>A</w:t>
      </w:r>
      <w:r w:rsidRPr="003875C1">
        <w:rPr>
          <w:rFonts w:ascii="Times New Roman" w:hAnsi="Times New Roman" w:cs="Times New Roman"/>
          <w:b/>
          <w:sz w:val="28"/>
          <w:szCs w:val="24"/>
        </w:rPr>
        <w:t xml:space="preserve"> RAZLIKE IZMEĐU JEDINIČNIH CIJENA ZA CENTRALNE TOPLINSKE SUSTAVE I ZATVORENE TOPLINSKE SUSTAVE U ODNOSU NA KRAJNJE CIJENE ISPORUČENE TOPLINSKE ENERGIJE</w:t>
      </w:r>
    </w:p>
    <w:p w14:paraId="594684EA" w14:textId="77777777" w:rsidR="00F2041F" w:rsidRDefault="00F2041F" w:rsidP="00F2041F"/>
    <w:p w14:paraId="0165EB84" w14:textId="77777777" w:rsidR="00F2041F" w:rsidRPr="00E5588B" w:rsidRDefault="00F2041F" w:rsidP="00F2041F">
      <w:pPr>
        <w:shd w:val="clear" w:color="auto" w:fill="FFFFFF"/>
        <w:spacing w:before="68" w:after="7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E08C6A6" w14:textId="77777777" w:rsidR="00F2041F" w:rsidRPr="00895E0C" w:rsidRDefault="00F2041F" w:rsidP="00F204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1B9A1C6" w14:textId="77777777" w:rsidR="00F2041F" w:rsidRPr="00E5588B" w:rsidRDefault="00F2041F" w:rsidP="00F204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1B91" w14:textId="77777777" w:rsidR="00F2041F" w:rsidRPr="00E5588B" w:rsidRDefault="00F2041F" w:rsidP="00F204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E8695" w14:textId="77777777" w:rsidR="00F2041F" w:rsidRPr="00E5588B" w:rsidRDefault="00F2041F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6DD42D" w14:textId="77777777" w:rsidR="00F2041F" w:rsidRDefault="00F2041F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C719837" w14:textId="77777777" w:rsidR="00F2041F" w:rsidRDefault="00F2041F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CE955F8" w14:textId="77777777" w:rsidR="00F2041F" w:rsidRDefault="00F2041F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E93B25B" w14:textId="77777777" w:rsidR="00F2041F" w:rsidRDefault="00F2041F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32E2DCB" w14:textId="77777777" w:rsidR="00A231EB" w:rsidRDefault="00A231EB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D9F8B68" w14:textId="77777777" w:rsidR="00A231EB" w:rsidRPr="00E5588B" w:rsidRDefault="00A231EB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CB3D346" w14:textId="77777777" w:rsidR="00A231EB" w:rsidRPr="00E5588B" w:rsidRDefault="00A231EB" w:rsidP="00F2041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F82509F" w14:textId="7B708860" w:rsidR="00F2041F" w:rsidRPr="00E5588B" w:rsidRDefault="00F2041F" w:rsidP="00B34F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88B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  <w:r w:rsidR="0082773A">
        <w:rPr>
          <w:rFonts w:ascii="Times New Roman" w:eastAsia="Calibri" w:hAnsi="Times New Roman" w:cs="Times New Roman"/>
          <w:b/>
          <w:sz w:val="24"/>
          <w:szCs w:val="24"/>
        </w:rPr>
        <w:t>ožujak</w:t>
      </w:r>
      <w:r w:rsidR="00CC2F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31EB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E558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5BC2B3" w14:textId="77777777" w:rsidR="0019777F" w:rsidRDefault="0019777F" w:rsidP="004F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9777F" w:rsidRPr="0042096D" w14:paraId="08713D5B" w14:textId="77777777" w:rsidTr="000B61A2">
        <w:tc>
          <w:tcPr>
            <w:tcW w:w="9070" w:type="dxa"/>
          </w:tcPr>
          <w:p w14:paraId="2C4905D3" w14:textId="77777777" w:rsidR="0019777F" w:rsidRPr="00265497" w:rsidRDefault="0019777F" w:rsidP="004F2BDD">
            <w:pPr>
              <w:tabs>
                <w:tab w:val="left" w:pos="9072"/>
              </w:tabs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4B8D65" w14:textId="77777777" w:rsidR="0019777F" w:rsidRPr="00FB0EA1" w:rsidRDefault="00F2041F" w:rsidP="004F2BDD">
      <w:pPr>
        <w:spacing w:after="0" w:line="240" w:lineRule="auto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F2041F">
        <w:rPr>
          <w:rFonts w:ascii="Times New Roman" w:hAnsi="Times New Roman"/>
          <w:sz w:val="24"/>
          <w:szCs w:val="24"/>
        </w:rPr>
        <w:t xml:space="preserve">Na temelju </w:t>
      </w:r>
      <w:bookmarkStart w:id="0" w:name="_Hlk117065734"/>
      <w:r w:rsidR="00DF09C0" w:rsidRPr="00F2041F">
        <w:rPr>
          <w:rFonts w:ascii="Times New Roman" w:hAnsi="Times New Roman"/>
          <w:sz w:val="24"/>
          <w:szCs w:val="24"/>
        </w:rPr>
        <w:t>člank</w:t>
      </w:r>
      <w:r w:rsidR="00541D8C">
        <w:rPr>
          <w:rFonts w:ascii="Times New Roman" w:hAnsi="Times New Roman"/>
          <w:sz w:val="24"/>
          <w:szCs w:val="24"/>
        </w:rPr>
        <w:t>a</w:t>
      </w:r>
      <w:r w:rsidR="00DF09C0" w:rsidRPr="00F2041F">
        <w:rPr>
          <w:rFonts w:ascii="Times New Roman" w:hAnsi="Times New Roman"/>
          <w:sz w:val="24"/>
          <w:szCs w:val="24"/>
        </w:rPr>
        <w:t xml:space="preserve"> 4. stavka 6.</w:t>
      </w:r>
      <w:r w:rsidR="00EB52A5" w:rsidRPr="00F2041F">
        <w:rPr>
          <w:rFonts w:ascii="Times New Roman" w:hAnsi="Times New Roman"/>
          <w:sz w:val="24"/>
          <w:szCs w:val="24"/>
        </w:rPr>
        <w:t xml:space="preserve"> </w:t>
      </w:r>
      <w:r w:rsidR="003711DB" w:rsidRPr="00F2041F">
        <w:rPr>
          <w:rFonts w:ascii="Times New Roman" w:hAnsi="Times New Roman"/>
          <w:sz w:val="24"/>
          <w:szCs w:val="24"/>
        </w:rPr>
        <w:t>Uredbe o otklanjanju poremećaja na domaćem tržištu energije (</w:t>
      </w:r>
      <w:r w:rsidR="0064107D">
        <w:rPr>
          <w:rFonts w:ascii="Times New Roman" w:hAnsi="Times New Roman"/>
          <w:sz w:val="24"/>
          <w:szCs w:val="24"/>
        </w:rPr>
        <w:t>„</w:t>
      </w:r>
      <w:r w:rsidR="0064107D" w:rsidRPr="003711DB">
        <w:rPr>
          <w:rFonts w:ascii="Times New Roman" w:hAnsi="Times New Roman" w:cs="Times New Roman"/>
          <w:sz w:val="24"/>
          <w:szCs w:val="24"/>
        </w:rPr>
        <w:t>N</w:t>
      </w:r>
      <w:r w:rsidR="0064107D">
        <w:rPr>
          <w:rFonts w:ascii="Times New Roman" w:hAnsi="Times New Roman" w:cs="Times New Roman"/>
          <w:sz w:val="24"/>
          <w:szCs w:val="24"/>
        </w:rPr>
        <w:t>arodne novine“, br.</w:t>
      </w:r>
      <w:r w:rsidR="0064107D" w:rsidRPr="003711DB">
        <w:rPr>
          <w:rFonts w:ascii="Times New Roman" w:hAnsi="Times New Roman" w:cs="Times New Roman"/>
          <w:sz w:val="24"/>
          <w:szCs w:val="24"/>
        </w:rPr>
        <w:t xml:space="preserve"> 104/22</w:t>
      </w:r>
      <w:r w:rsidR="0064107D">
        <w:rPr>
          <w:rFonts w:ascii="Times New Roman" w:hAnsi="Times New Roman" w:cs="Times New Roman"/>
          <w:sz w:val="24"/>
          <w:szCs w:val="24"/>
        </w:rPr>
        <w:t>.</w:t>
      </w:r>
      <w:r w:rsidR="0064107D" w:rsidRPr="003711DB">
        <w:rPr>
          <w:rFonts w:ascii="Times New Roman" w:hAnsi="Times New Roman" w:cs="Times New Roman"/>
          <w:sz w:val="24"/>
          <w:szCs w:val="24"/>
        </w:rPr>
        <w:t>, 106/22</w:t>
      </w:r>
      <w:r w:rsidR="0064107D">
        <w:rPr>
          <w:rFonts w:ascii="Times New Roman" w:hAnsi="Times New Roman" w:cs="Times New Roman"/>
          <w:sz w:val="24"/>
          <w:szCs w:val="24"/>
        </w:rPr>
        <w:t>., 121/22. i 156/22</w:t>
      </w:r>
      <w:r w:rsidR="0064107D" w:rsidRPr="003711DB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64107D">
        <w:rPr>
          <w:rFonts w:ascii="Times New Roman" w:hAnsi="Times New Roman" w:cs="Times New Roman"/>
          <w:sz w:val="24"/>
          <w:szCs w:val="24"/>
        </w:rPr>
        <w:t xml:space="preserve"> </w:t>
      </w:r>
      <w:r w:rsidR="00075A02" w:rsidRPr="00F2041F">
        <w:rPr>
          <w:rFonts w:ascii="Times New Roman" w:hAnsi="Times New Roman"/>
          <w:sz w:val="24"/>
          <w:szCs w:val="24"/>
        </w:rPr>
        <w:t>Vlada Republike Hrvatske je na sjednici održanoj__________202</w:t>
      </w:r>
      <w:r w:rsidR="0064107D">
        <w:rPr>
          <w:rFonts w:ascii="Times New Roman" w:hAnsi="Times New Roman"/>
          <w:sz w:val="24"/>
          <w:szCs w:val="24"/>
        </w:rPr>
        <w:t>3</w:t>
      </w:r>
      <w:r w:rsidR="00075A02" w:rsidRPr="00F2041F">
        <w:rPr>
          <w:rFonts w:ascii="Times New Roman" w:hAnsi="Times New Roman"/>
          <w:sz w:val="24"/>
          <w:szCs w:val="24"/>
        </w:rPr>
        <w:t>. godine donijela</w:t>
      </w:r>
    </w:p>
    <w:p w14:paraId="1C7C4485" w14:textId="77777777" w:rsidR="0019777F" w:rsidRPr="00E26227" w:rsidRDefault="0019777F" w:rsidP="004F2BDD">
      <w:pPr>
        <w:spacing w:after="0" w:line="240" w:lineRule="auto"/>
        <w:jc w:val="both"/>
        <w:textDirection w:val="btLr"/>
        <w:rPr>
          <w:rFonts w:ascii="Times New Roman" w:hAnsi="Times New Roman" w:cs="Times New Roman"/>
          <w:b/>
          <w:sz w:val="28"/>
          <w:szCs w:val="24"/>
        </w:rPr>
      </w:pPr>
    </w:p>
    <w:p w14:paraId="665D5A49" w14:textId="77777777" w:rsidR="0064107D" w:rsidRDefault="00075A02" w:rsidP="004F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ODLUKU </w:t>
      </w:r>
    </w:p>
    <w:p w14:paraId="265D96A9" w14:textId="77777777" w:rsidR="0019777F" w:rsidRDefault="00075A02" w:rsidP="004F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26227">
        <w:rPr>
          <w:rFonts w:ascii="Times New Roman" w:hAnsi="Times New Roman" w:cs="Times New Roman"/>
          <w:b/>
          <w:sz w:val="28"/>
          <w:szCs w:val="24"/>
        </w:rPr>
        <w:t>ODREĐ</w:t>
      </w:r>
      <w:r w:rsidR="00E26227" w:rsidRPr="00E26227">
        <w:rPr>
          <w:rFonts w:ascii="Times New Roman" w:hAnsi="Times New Roman" w:cs="Times New Roman"/>
          <w:b/>
          <w:sz w:val="28"/>
          <w:szCs w:val="24"/>
        </w:rPr>
        <w:t>I</w:t>
      </w:r>
      <w:r w:rsidR="00E26227">
        <w:rPr>
          <w:rFonts w:ascii="Times New Roman" w:hAnsi="Times New Roman" w:cs="Times New Roman"/>
          <w:b/>
          <w:sz w:val="28"/>
          <w:szCs w:val="24"/>
        </w:rPr>
        <w:t xml:space="preserve">VANJU </w:t>
      </w:r>
      <w:r w:rsidR="003875C1" w:rsidRPr="003875C1">
        <w:rPr>
          <w:rFonts w:ascii="Times New Roman" w:hAnsi="Times New Roman" w:cs="Times New Roman"/>
          <w:b/>
          <w:sz w:val="28"/>
          <w:szCs w:val="24"/>
        </w:rPr>
        <w:t>IZNOS</w:t>
      </w:r>
      <w:r w:rsidR="00CA753B">
        <w:rPr>
          <w:rFonts w:ascii="Times New Roman" w:hAnsi="Times New Roman" w:cs="Times New Roman"/>
          <w:b/>
          <w:sz w:val="28"/>
          <w:szCs w:val="24"/>
        </w:rPr>
        <w:t>A</w:t>
      </w:r>
      <w:r w:rsidR="003875C1" w:rsidRPr="003875C1">
        <w:rPr>
          <w:rFonts w:ascii="Times New Roman" w:hAnsi="Times New Roman" w:cs="Times New Roman"/>
          <w:b/>
          <w:sz w:val="28"/>
          <w:szCs w:val="24"/>
        </w:rPr>
        <w:t xml:space="preserve"> RAZLIKE IZMEĐU JEDINIČNIH CIJENA ZA CENTRALNE TOPLINSKE SUSTAVE I ZATVORENE TOPLINSKE SUSTAVE U ODNOSU NA KRAJNJE CIJENE ISPORUČENE TOPLINSKE ENERGIJE</w:t>
      </w:r>
    </w:p>
    <w:p w14:paraId="6F6999B3" w14:textId="77777777" w:rsidR="00CB5B01" w:rsidRPr="00FB0EA1" w:rsidRDefault="00CB5B01" w:rsidP="004F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3A4CBB" w14:textId="77777777" w:rsidR="0019777F" w:rsidRPr="00FB0EA1" w:rsidRDefault="0019777F" w:rsidP="004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E8091" w14:textId="77777777" w:rsidR="00AC6348" w:rsidRDefault="00AC6348" w:rsidP="004F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A1">
        <w:rPr>
          <w:rFonts w:ascii="Times New Roman" w:hAnsi="Times New Roman" w:cs="Times New Roman"/>
          <w:b/>
          <w:sz w:val="24"/>
          <w:szCs w:val="24"/>
        </w:rPr>
        <w:t>I.</w:t>
      </w:r>
    </w:p>
    <w:p w14:paraId="7FB72452" w14:textId="77777777" w:rsidR="00590AD7" w:rsidRPr="00FB0EA1" w:rsidRDefault="00590AD7" w:rsidP="004F2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9627D" w14:textId="77777777" w:rsidR="00AC6348" w:rsidRDefault="00075A02" w:rsidP="004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3711DB">
        <w:rPr>
          <w:rFonts w:ascii="Times New Roman" w:hAnsi="Times New Roman" w:cs="Times New Roman"/>
          <w:sz w:val="24"/>
          <w:szCs w:val="24"/>
        </w:rPr>
        <w:t xml:space="preserve">određuje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C36DC">
        <w:rPr>
          <w:rFonts w:ascii="Times New Roman" w:hAnsi="Times New Roman" w:cs="Times New Roman"/>
          <w:sz w:val="24"/>
          <w:szCs w:val="24"/>
        </w:rPr>
        <w:t>iznos</w:t>
      </w:r>
      <w:r w:rsidR="003711DB">
        <w:rPr>
          <w:rFonts w:ascii="Times New Roman" w:hAnsi="Times New Roman" w:cs="Times New Roman"/>
          <w:sz w:val="24"/>
          <w:szCs w:val="24"/>
        </w:rPr>
        <w:t xml:space="preserve"> razlike između jediničnih cijena</w:t>
      </w:r>
      <w:r w:rsidR="002631C5">
        <w:rPr>
          <w:rFonts w:ascii="Times New Roman" w:hAnsi="Times New Roman" w:cs="Times New Roman"/>
          <w:sz w:val="24"/>
          <w:szCs w:val="24"/>
        </w:rPr>
        <w:t xml:space="preserve"> za centralne</w:t>
      </w:r>
      <w:r w:rsidR="003875C1">
        <w:rPr>
          <w:rFonts w:ascii="Times New Roman" w:hAnsi="Times New Roman" w:cs="Times New Roman"/>
          <w:sz w:val="24"/>
          <w:szCs w:val="24"/>
        </w:rPr>
        <w:t xml:space="preserve"> toplinske sustave </w:t>
      </w:r>
      <w:r w:rsidR="002631C5">
        <w:rPr>
          <w:rFonts w:ascii="Times New Roman" w:hAnsi="Times New Roman" w:cs="Times New Roman"/>
          <w:sz w:val="24"/>
          <w:szCs w:val="24"/>
        </w:rPr>
        <w:t>i zatvorene toplinske sustave u odnosu na krajnje cijene isporučene toplinske energije</w:t>
      </w:r>
      <w:r w:rsidR="003711DB">
        <w:rPr>
          <w:rFonts w:ascii="Times New Roman" w:hAnsi="Times New Roman" w:cs="Times New Roman"/>
          <w:sz w:val="24"/>
          <w:szCs w:val="24"/>
        </w:rPr>
        <w:t xml:space="preserve"> određenih sukladno </w:t>
      </w:r>
      <w:r w:rsidR="00DB3D1F">
        <w:rPr>
          <w:rFonts w:ascii="Times New Roman" w:hAnsi="Times New Roman" w:cs="Times New Roman"/>
          <w:sz w:val="24"/>
          <w:szCs w:val="24"/>
        </w:rPr>
        <w:t>članku 4. stav</w:t>
      </w:r>
      <w:r w:rsidR="0064107D">
        <w:rPr>
          <w:rFonts w:ascii="Times New Roman" w:hAnsi="Times New Roman" w:cs="Times New Roman"/>
          <w:sz w:val="24"/>
          <w:szCs w:val="24"/>
        </w:rPr>
        <w:t>cima</w:t>
      </w:r>
      <w:r w:rsidR="00DB3D1F">
        <w:rPr>
          <w:rFonts w:ascii="Times New Roman" w:hAnsi="Times New Roman" w:cs="Times New Roman"/>
          <w:sz w:val="24"/>
          <w:szCs w:val="24"/>
        </w:rPr>
        <w:t xml:space="preserve"> </w:t>
      </w:r>
      <w:r w:rsidR="003875C1">
        <w:rPr>
          <w:rFonts w:ascii="Times New Roman" w:hAnsi="Times New Roman" w:cs="Times New Roman"/>
          <w:sz w:val="24"/>
          <w:szCs w:val="24"/>
        </w:rPr>
        <w:t>2</w:t>
      </w:r>
      <w:r w:rsidR="00DB3D1F">
        <w:rPr>
          <w:rFonts w:ascii="Times New Roman" w:hAnsi="Times New Roman" w:cs="Times New Roman"/>
          <w:sz w:val="24"/>
          <w:szCs w:val="24"/>
        </w:rPr>
        <w:t xml:space="preserve">. i 4. </w:t>
      </w:r>
      <w:r w:rsidR="003711DB" w:rsidRPr="003711DB">
        <w:rPr>
          <w:rFonts w:ascii="Times New Roman" w:hAnsi="Times New Roman" w:cs="Times New Roman"/>
          <w:sz w:val="24"/>
          <w:szCs w:val="24"/>
        </w:rPr>
        <w:t>Uredbe o otklanjanju poremećaja na domaćem tržištu energije (N</w:t>
      </w:r>
      <w:r w:rsidR="0064107D">
        <w:rPr>
          <w:rFonts w:ascii="Times New Roman" w:hAnsi="Times New Roman" w:cs="Times New Roman"/>
          <w:sz w:val="24"/>
          <w:szCs w:val="24"/>
        </w:rPr>
        <w:t>arodne novine, br.</w:t>
      </w:r>
      <w:r w:rsidR="003711DB" w:rsidRPr="003711DB">
        <w:rPr>
          <w:rFonts w:ascii="Times New Roman" w:hAnsi="Times New Roman" w:cs="Times New Roman"/>
          <w:sz w:val="24"/>
          <w:szCs w:val="24"/>
        </w:rPr>
        <w:t xml:space="preserve"> 104/22</w:t>
      </w:r>
      <w:r w:rsidR="0064107D">
        <w:rPr>
          <w:rFonts w:ascii="Times New Roman" w:hAnsi="Times New Roman" w:cs="Times New Roman"/>
          <w:sz w:val="24"/>
          <w:szCs w:val="24"/>
        </w:rPr>
        <w:t>.</w:t>
      </w:r>
      <w:r w:rsidR="003711DB" w:rsidRPr="003711DB">
        <w:rPr>
          <w:rFonts w:ascii="Times New Roman" w:hAnsi="Times New Roman" w:cs="Times New Roman"/>
          <w:sz w:val="24"/>
          <w:szCs w:val="24"/>
        </w:rPr>
        <w:t>, 106/22</w:t>
      </w:r>
      <w:r w:rsidR="0064107D">
        <w:rPr>
          <w:rFonts w:ascii="Times New Roman" w:hAnsi="Times New Roman" w:cs="Times New Roman"/>
          <w:sz w:val="24"/>
          <w:szCs w:val="24"/>
        </w:rPr>
        <w:t>.</w:t>
      </w:r>
      <w:r w:rsidR="00EB52A5">
        <w:rPr>
          <w:rFonts w:ascii="Times New Roman" w:hAnsi="Times New Roman" w:cs="Times New Roman"/>
          <w:sz w:val="24"/>
          <w:szCs w:val="24"/>
        </w:rPr>
        <w:t>, 121/22</w:t>
      </w:r>
      <w:r w:rsidR="0064107D">
        <w:rPr>
          <w:rFonts w:ascii="Times New Roman" w:hAnsi="Times New Roman" w:cs="Times New Roman"/>
          <w:sz w:val="24"/>
          <w:szCs w:val="24"/>
        </w:rPr>
        <w:t>. i 156/22</w:t>
      </w:r>
      <w:r w:rsidR="003711DB" w:rsidRPr="003711DB">
        <w:rPr>
          <w:rFonts w:ascii="Times New Roman" w:hAnsi="Times New Roman" w:cs="Times New Roman"/>
          <w:sz w:val="24"/>
          <w:szCs w:val="24"/>
        </w:rPr>
        <w:t>)</w:t>
      </w:r>
      <w:r w:rsidR="000F178F">
        <w:rPr>
          <w:rFonts w:ascii="Times New Roman" w:hAnsi="Times New Roman" w:cs="Times New Roman"/>
          <w:sz w:val="24"/>
          <w:szCs w:val="24"/>
        </w:rPr>
        <w:t xml:space="preserve"> (</w:t>
      </w:r>
      <w:r w:rsidR="0064107D">
        <w:rPr>
          <w:rFonts w:ascii="Times New Roman" w:hAnsi="Times New Roman" w:cs="Times New Roman"/>
          <w:sz w:val="24"/>
          <w:szCs w:val="24"/>
        </w:rPr>
        <w:t xml:space="preserve">u </w:t>
      </w:r>
      <w:r w:rsidR="000F178F">
        <w:rPr>
          <w:rFonts w:ascii="Times New Roman" w:hAnsi="Times New Roman" w:cs="Times New Roman"/>
          <w:sz w:val="24"/>
          <w:szCs w:val="24"/>
        </w:rPr>
        <w:t>dalj</w:t>
      </w:r>
      <w:r w:rsidR="0064107D">
        <w:rPr>
          <w:rFonts w:ascii="Times New Roman" w:hAnsi="Times New Roman" w:cs="Times New Roman"/>
          <w:sz w:val="24"/>
          <w:szCs w:val="24"/>
        </w:rPr>
        <w:t>nj</w:t>
      </w:r>
      <w:r w:rsidR="000F178F">
        <w:rPr>
          <w:rFonts w:ascii="Times New Roman" w:hAnsi="Times New Roman" w:cs="Times New Roman"/>
          <w:sz w:val="24"/>
          <w:szCs w:val="24"/>
        </w:rPr>
        <w:t>e</w:t>
      </w:r>
      <w:r w:rsidR="0064107D">
        <w:rPr>
          <w:rFonts w:ascii="Times New Roman" w:hAnsi="Times New Roman" w:cs="Times New Roman"/>
          <w:sz w:val="24"/>
          <w:szCs w:val="24"/>
        </w:rPr>
        <w:t>m tekstu</w:t>
      </w:r>
      <w:r w:rsidR="000F178F">
        <w:rPr>
          <w:rFonts w:ascii="Times New Roman" w:hAnsi="Times New Roman" w:cs="Times New Roman"/>
          <w:sz w:val="24"/>
          <w:szCs w:val="24"/>
        </w:rPr>
        <w:t>:</w:t>
      </w:r>
      <w:r w:rsidR="005C0E6C">
        <w:rPr>
          <w:rFonts w:ascii="Times New Roman" w:hAnsi="Times New Roman" w:cs="Times New Roman"/>
          <w:sz w:val="24"/>
          <w:szCs w:val="24"/>
        </w:rPr>
        <w:t xml:space="preserve"> </w:t>
      </w:r>
      <w:r w:rsidR="000F178F">
        <w:rPr>
          <w:rFonts w:ascii="Times New Roman" w:hAnsi="Times New Roman" w:cs="Times New Roman"/>
          <w:sz w:val="24"/>
          <w:szCs w:val="24"/>
        </w:rPr>
        <w:t>Uredba)</w:t>
      </w:r>
      <w:r w:rsidR="003711DB">
        <w:rPr>
          <w:rFonts w:ascii="Times New Roman" w:hAnsi="Times New Roman" w:cs="Times New Roman"/>
          <w:sz w:val="24"/>
          <w:szCs w:val="24"/>
        </w:rPr>
        <w:t xml:space="preserve"> za </w:t>
      </w:r>
      <w:r w:rsidR="0048657B">
        <w:rPr>
          <w:rFonts w:ascii="Times New Roman" w:hAnsi="Times New Roman" w:cs="Times New Roman"/>
          <w:sz w:val="24"/>
          <w:szCs w:val="24"/>
        </w:rPr>
        <w:t xml:space="preserve">krajnje kupce </w:t>
      </w:r>
      <w:r w:rsidR="0064107D">
        <w:rPr>
          <w:rFonts w:ascii="Times New Roman" w:hAnsi="Times New Roman" w:cs="Times New Roman"/>
          <w:sz w:val="24"/>
          <w:szCs w:val="24"/>
        </w:rPr>
        <w:t>u</w:t>
      </w:r>
      <w:r w:rsidR="0048657B">
        <w:rPr>
          <w:rFonts w:ascii="Times New Roman" w:hAnsi="Times New Roman" w:cs="Times New Roman"/>
          <w:sz w:val="24"/>
          <w:szCs w:val="24"/>
        </w:rPr>
        <w:t xml:space="preserve"> </w:t>
      </w:r>
      <w:r w:rsidR="003711DB">
        <w:rPr>
          <w:rFonts w:ascii="Times New Roman" w:hAnsi="Times New Roman" w:cs="Times New Roman"/>
          <w:sz w:val="24"/>
          <w:szCs w:val="24"/>
        </w:rPr>
        <w:t>centraln</w:t>
      </w:r>
      <w:r w:rsidR="0048657B">
        <w:rPr>
          <w:rFonts w:ascii="Times New Roman" w:hAnsi="Times New Roman" w:cs="Times New Roman"/>
          <w:sz w:val="24"/>
          <w:szCs w:val="24"/>
        </w:rPr>
        <w:t>im</w:t>
      </w:r>
      <w:r w:rsidR="003711DB">
        <w:rPr>
          <w:rFonts w:ascii="Times New Roman" w:hAnsi="Times New Roman" w:cs="Times New Roman"/>
          <w:sz w:val="24"/>
          <w:szCs w:val="24"/>
        </w:rPr>
        <w:t xml:space="preserve"> i zatvoren</w:t>
      </w:r>
      <w:r w:rsidR="0048657B">
        <w:rPr>
          <w:rFonts w:ascii="Times New Roman" w:hAnsi="Times New Roman" w:cs="Times New Roman"/>
          <w:sz w:val="24"/>
          <w:szCs w:val="24"/>
        </w:rPr>
        <w:t>im</w:t>
      </w:r>
      <w:r w:rsidR="003711DB">
        <w:rPr>
          <w:rFonts w:ascii="Times New Roman" w:hAnsi="Times New Roman" w:cs="Times New Roman"/>
          <w:sz w:val="24"/>
          <w:szCs w:val="24"/>
        </w:rPr>
        <w:t xml:space="preserve"> toplinsk</w:t>
      </w:r>
      <w:r w:rsidR="0048657B">
        <w:rPr>
          <w:rFonts w:ascii="Times New Roman" w:hAnsi="Times New Roman" w:cs="Times New Roman"/>
          <w:sz w:val="24"/>
          <w:szCs w:val="24"/>
        </w:rPr>
        <w:t>im</w:t>
      </w:r>
      <w:r w:rsidR="003711DB">
        <w:rPr>
          <w:rFonts w:ascii="Times New Roman" w:hAnsi="Times New Roman" w:cs="Times New Roman"/>
          <w:sz w:val="24"/>
          <w:szCs w:val="24"/>
        </w:rPr>
        <w:t xml:space="preserve"> sustav</w:t>
      </w:r>
      <w:r w:rsidR="0048657B">
        <w:rPr>
          <w:rFonts w:ascii="Times New Roman" w:hAnsi="Times New Roman" w:cs="Times New Roman"/>
          <w:sz w:val="24"/>
          <w:szCs w:val="24"/>
        </w:rPr>
        <w:t>ima</w:t>
      </w:r>
      <w:r w:rsidR="003711DB">
        <w:rPr>
          <w:rFonts w:ascii="Times New Roman" w:hAnsi="Times New Roman" w:cs="Times New Roman"/>
          <w:sz w:val="24"/>
          <w:szCs w:val="24"/>
        </w:rPr>
        <w:t>.</w:t>
      </w:r>
      <w:r w:rsidR="003711DB" w:rsidRPr="003711DB">
        <w:rPr>
          <w:rFonts w:ascii="Times New Roman" w:hAnsi="Times New Roman" w:cs="Times New Roman"/>
          <w:sz w:val="24"/>
          <w:szCs w:val="24"/>
        </w:rPr>
        <w:t xml:space="preserve"> </w:t>
      </w:r>
      <w:r w:rsidR="009C3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42344" w14:textId="77777777" w:rsidR="00CB5B01" w:rsidRDefault="00CB5B01" w:rsidP="004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9909E" w14:textId="77777777" w:rsidR="001E708E" w:rsidRDefault="001E708E" w:rsidP="009C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DB79F" w14:textId="77777777" w:rsidR="0064107D" w:rsidRDefault="009C36DC" w:rsidP="009C3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75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F7A0768" w14:textId="77777777" w:rsidR="0064107D" w:rsidRPr="0048075C" w:rsidRDefault="0064107D" w:rsidP="009C3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B06E9" w14:textId="77777777" w:rsidR="009C36DC" w:rsidRPr="0064107D" w:rsidRDefault="0048657B" w:rsidP="00641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107D">
        <w:rPr>
          <w:rFonts w:ascii="Times New Roman" w:hAnsi="Times New Roman" w:cs="Times New Roman"/>
          <w:sz w:val="24"/>
          <w:szCs w:val="24"/>
        </w:rPr>
        <w:t>Iznos razlike između jediničnih cijena</w:t>
      </w:r>
      <w:r w:rsidR="002631C5" w:rsidRPr="002631C5">
        <w:rPr>
          <w:rFonts w:ascii="Times New Roman" w:hAnsi="Times New Roman" w:cs="Times New Roman"/>
          <w:sz w:val="24"/>
          <w:szCs w:val="24"/>
        </w:rPr>
        <w:t xml:space="preserve"> </w:t>
      </w:r>
      <w:r w:rsidR="002631C5">
        <w:rPr>
          <w:rFonts w:ascii="Times New Roman" w:hAnsi="Times New Roman" w:cs="Times New Roman"/>
          <w:sz w:val="24"/>
          <w:szCs w:val="24"/>
        </w:rPr>
        <w:t>u odnosu na krajnje cijene isporučene toplinske energije</w:t>
      </w:r>
      <w:r w:rsidRPr="0064107D">
        <w:rPr>
          <w:rFonts w:ascii="Times New Roman" w:hAnsi="Times New Roman" w:cs="Times New Roman"/>
          <w:sz w:val="24"/>
          <w:szCs w:val="24"/>
        </w:rPr>
        <w:t xml:space="preserve"> iz točke I. ove Odluke određuje se po energetskim subjektima </w:t>
      </w:r>
      <w:r w:rsidR="00DB3D1F" w:rsidRPr="0064107D">
        <w:rPr>
          <w:rFonts w:ascii="Times New Roman" w:hAnsi="Times New Roman" w:cs="Times New Roman"/>
          <w:sz w:val="24"/>
          <w:szCs w:val="24"/>
        </w:rPr>
        <w:t>za centralne toplinske sustave</w:t>
      </w:r>
      <w:r w:rsidR="00325829">
        <w:rPr>
          <w:rFonts w:ascii="Times New Roman" w:hAnsi="Times New Roman" w:cs="Times New Roman"/>
          <w:sz w:val="24"/>
          <w:szCs w:val="24"/>
        </w:rPr>
        <w:t xml:space="preserve">, </w:t>
      </w:r>
      <w:r w:rsidR="001B23C0" w:rsidRPr="0064107D">
        <w:rPr>
          <w:rFonts w:ascii="Times New Roman" w:hAnsi="Times New Roman" w:cs="Times New Roman"/>
          <w:sz w:val="24"/>
          <w:szCs w:val="24"/>
        </w:rPr>
        <w:t xml:space="preserve">za razdoblje od 1. listopada </w:t>
      </w:r>
      <w:r w:rsidR="0040591E">
        <w:rPr>
          <w:rFonts w:ascii="Times New Roman" w:hAnsi="Times New Roman" w:cs="Times New Roman"/>
          <w:sz w:val="24"/>
          <w:szCs w:val="24"/>
        </w:rPr>
        <w:t xml:space="preserve">2022. </w:t>
      </w:r>
      <w:r w:rsidR="001B23C0" w:rsidRPr="0064107D">
        <w:rPr>
          <w:rFonts w:ascii="Times New Roman" w:hAnsi="Times New Roman" w:cs="Times New Roman"/>
          <w:sz w:val="24"/>
          <w:szCs w:val="24"/>
        </w:rPr>
        <w:t>do 31.</w:t>
      </w:r>
      <w:r w:rsidR="0064107D">
        <w:rPr>
          <w:rFonts w:ascii="Times New Roman" w:hAnsi="Times New Roman" w:cs="Times New Roman"/>
          <w:sz w:val="24"/>
          <w:szCs w:val="24"/>
        </w:rPr>
        <w:t xml:space="preserve"> </w:t>
      </w:r>
      <w:r w:rsidR="00CB5B01">
        <w:rPr>
          <w:rFonts w:ascii="Times New Roman" w:hAnsi="Times New Roman" w:cs="Times New Roman"/>
          <w:sz w:val="24"/>
          <w:szCs w:val="24"/>
        </w:rPr>
        <w:t>ožujka 2023</w:t>
      </w:r>
      <w:r w:rsidR="001B23C0" w:rsidRPr="0064107D">
        <w:rPr>
          <w:rFonts w:ascii="Times New Roman" w:hAnsi="Times New Roman" w:cs="Times New Roman"/>
          <w:sz w:val="24"/>
          <w:szCs w:val="24"/>
        </w:rPr>
        <w:t>. godine</w:t>
      </w:r>
      <w:r w:rsidR="00DB3D1F" w:rsidRPr="0064107D">
        <w:rPr>
          <w:rFonts w:ascii="Times New Roman" w:hAnsi="Times New Roman" w:cs="Times New Roman"/>
          <w:sz w:val="24"/>
          <w:szCs w:val="24"/>
        </w:rPr>
        <w:t xml:space="preserve"> </w:t>
      </w:r>
      <w:r w:rsidRPr="0064107D">
        <w:rPr>
          <w:rFonts w:ascii="Times New Roman" w:hAnsi="Times New Roman" w:cs="Times New Roman"/>
          <w:sz w:val="24"/>
          <w:szCs w:val="24"/>
        </w:rPr>
        <w:t>kako slijedi:</w:t>
      </w:r>
    </w:p>
    <w:p w14:paraId="55C4E239" w14:textId="77777777" w:rsidR="009C36DC" w:rsidRDefault="009C36DC" w:rsidP="009C3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1970"/>
        <w:gridCol w:w="1400"/>
        <w:gridCol w:w="3662"/>
      </w:tblGrid>
      <w:tr w:rsidR="009603BB" w14:paraId="545FAAF9" w14:textId="77777777" w:rsidTr="009603BB">
        <w:trPr>
          <w:jc w:val="center"/>
        </w:trPr>
        <w:tc>
          <w:tcPr>
            <w:tcW w:w="2602" w:type="dxa"/>
          </w:tcPr>
          <w:p w14:paraId="7D278CC7" w14:textId="77777777" w:rsidR="009603BB" w:rsidRPr="002D01FF" w:rsidRDefault="009603BB" w:rsidP="009C3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Energetski subjekt</w:t>
            </w:r>
          </w:p>
        </w:tc>
        <w:tc>
          <w:tcPr>
            <w:tcW w:w="1970" w:type="dxa"/>
          </w:tcPr>
          <w:p w14:paraId="7150B9F5" w14:textId="77777777" w:rsidR="009603BB" w:rsidRPr="002D01FF" w:rsidRDefault="009603BB" w:rsidP="009C3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Centralni toplinski sustav</w:t>
            </w:r>
          </w:p>
        </w:tc>
        <w:tc>
          <w:tcPr>
            <w:tcW w:w="1400" w:type="dxa"/>
          </w:tcPr>
          <w:p w14:paraId="40FADC06" w14:textId="77777777" w:rsidR="009603BB" w:rsidRPr="002D01FF" w:rsidRDefault="009603BB" w:rsidP="009C3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Tarifni model</w:t>
            </w:r>
          </w:p>
        </w:tc>
        <w:tc>
          <w:tcPr>
            <w:tcW w:w="3662" w:type="dxa"/>
          </w:tcPr>
          <w:p w14:paraId="72D79AEF" w14:textId="77777777" w:rsidR="009603BB" w:rsidRPr="002D01FF" w:rsidRDefault="009603BB" w:rsidP="009C3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Iznos razlike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kn/kWh (EUR/kWh)</w:t>
            </w:r>
          </w:p>
        </w:tc>
      </w:tr>
      <w:tr w:rsidR="009603BB" w14:paraId="22819E65" w14:textId="77777777" w:rsidTr="009603BB">
        <w:trPr>
          <w:trHeight w:val="690"/>
          <w:jc w:val="center"/>
        </w:trPr>
        <w:tc>
          <w:tcPr>
            <w:tcW w:w="2602" w:type="dxa"/>
            <w:vMerge w:val="restart"/>
          </w:tcPr>
          <w:p w14:paraId="752EFEE0" w14:textId="77777777" w:rsidR="009603BB" w:rsidRPr="00662F29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Energo d.o.o.</w:t>
            </w:r>
          </w:p>
          <w:p w14:paraId="26F4D136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Rijeka</w:t>
            </w:r>
          </w:p>
        </w:tc>
        <w:tc>
          <w:tcPr>
            <w:tcW w:w="1970" w:type="dxa"/>
          </w:tcPr>
          <w:p w14:paraId="190AC595" w14:textId="77777777" w:rsidR="009603BB" w:rsidRPr="00662F29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GORNJA VEŽICA</w:t>
            </w:r>
          </w:p>
          <w:p w14:paraId="4D4AAB1D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4934409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60A5F891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5A3DB0B6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1,5284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0,2029)</w:t>
            </w:r>
          </w:p>
          <w:p w14:paraId="0BB10E63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1,511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0,2005)</w:t>
            </w:r>
          </w:p>
        </w:tc>
      </w:tr>
      <w:tr w:rsidR="009603BB" w14:paraId="656AABC0" w14:textId="77777777" w:rsidTr="009603BB">
        <w:trPr>
          <w:trHeight w:val="690"/>
          <w:jc w:val="center"/>
        </w:trPr>
        <w:tc>
          <w:tcPr>
            <w:tcW w:w="2602" w:type="dxa"/>
            <w:vMerge/>
          </w:tcPr>
          <w:p w14:paraId="61A64588" w14:textId="77777777" w:rsidR="009603BB" w:rsidRPr="00662F29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2C65F21" w14:textId="77777777" w:rsidR="009603BB" w:rsidRPr="00662F29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VOJAK</w:t>
            </w:r>
          </w:p>
        </w:tc>
        <w:tc>
          <w:tcPr>
            <w:tcW w:w="1400" w:type="dxa"/>
          </w:tcPr>
          <w:p w14:paraId="4F3C3DF8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552229C9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1AA9E3EE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1,1642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0,1545)</w:t>
            </w:r>
          </w:p>
          <w:p w14:paraId="0299E81F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1,1635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0,1544)</w:t>
            </w:r>
          </w:p>
        </w:tc>
      </w:tr>
      <w:tr w:rsidR="009603BB" w14:paraId="09A8B724" w14:textId="77777777" w:rsidTr="009603BB">
        <w:trPr>
          <w:jc w:val="center"/>
        </w:trPr>
        <w:tc>
          <w:tcPr>
            <w:tcW w:w="2602" w:type="dxa"/>
          </w:tcPr>
          <w:p w14:paraId="484BD153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Gradska toplana d.o.o.</w:t>
            </w:r>
          </w:p>
          <w:p w14:paraId="1FAA2F33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970" w:type="dxa"/>
          </w:tcPr>
          <w:p w14:paraId="5EE18D65" w14:textId="77777777" w:rsidR="009603BB" w:rsidRDefault="009603BB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TINA UJEVIĆA</w:t>
            </w:r>
          </w:p>
        </w:tc>
        <w:tc>
          <w:tcPr>
            <w:tcW w:w="1400" w:type="dxa"/>
          </w:tcPr>
          <w:p w14:paraId="0DFA3BAE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53D02979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73D3E7B0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0,0112)</w:t>
            </w:r>
          </w:p>
          <w:p w14:paraId="236C37E3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0,8737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0,1160)</w:t>
            </w:r>
          </w:p>
        </w:tc>
      </w:tr>
      <w:tr w:rsidR="009603BB" w14:paraId="1139EAAC" w14:textId="77777777" w:rsidTr="009603BB">
        <w:trPr>
          <w:jc w:val="center"/>
        </w:trPr>
        <w:tc>
          <w:tcPr>
            <w:tcW w:w="2602" w:type="dxa"/>
          </w:tcPr>
          <w:p w14:paraId="288691FB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Brod-plin d.o.o.</w:t>
            </w:r>
          </w:p>
          <w:p w14:paraId="4D9B22F9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Slavonski Brod</w:t>
            </w:r>
          </w:p>
        </w:tc>
        <w:tc>
          <w:tcPr>
            <w:tcW w:w="1970" w:type="dxa"/>
          </w:tcPr>
          <w:p w14:paraId="53998DA9" w14:textId="77777777" w:rsidR="009603BB" w:rsidRDefault="009603BB" w:rsidP="008F5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SLAVONIJA</w:t>
            </w:r>
          </w:p>
        </w:tc>
        <w:tc>
          <w:tcPr>
            <w:tcW w:w="1400" w:type="dxa"/>
          </w:tcPr>
          <w:p w14:paraId="44DC791E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591F3CE1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1E6F5A6F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="00A97EB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  <w:r w:rsidR="00A97E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14:paraId="30ED0DDF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A97EB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A97EB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3BB" w14:paraId="32443B15" w14:textId="77777777" w:rsidTr="009603BB">
        <w:trPr>
          <w:trHeight w:val="278"/>
          <w:jc w:val="center"/>
        </w:trPr>
        <w:tc>
          <w:tcPr>
            <w:tcW w:w="2602" w:type="dxa"/>
            <w:vMerge w:val="restart"/>
          </w:tcPr>
          <w:p w14:paraId="75EC86F9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Tehnostan d.o.o.</w:t>
            </w:r>
          </w:p>
          <w:p w14:paraId="0E02EB08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Vukovar</w:t>
            </w:r>
          </w:p>
        </w:tc>
        <w:tc>
          <w:tcPr>
            <w:tcW w:w="1970" w:type="dxa"/>
          </w:tcPr>
          <w:p w14:paraId="20FF4D07" w14:textId="77777777" w:rsidR="009603BB" w:rsidRDefault="009603BB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BOROVO NASELJE</w:t>
            </w:r>
          </w:p>
        </w:tc>
        <w:tc>
          <w:tcPr>
            <w:tcW w:w="1400" w:type="dxa"/>
          </w:tcPr>
          <w:p w14:paraId="7D3AC514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52A791AA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018C1B47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0,1403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0,0186)</w:t>
            </w:r>
          </w:p>
          <w:p w14:paraId="76FF1136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0,0226)</w:t>
            </w:r>
          </w:p>
        </w:tc>
      </w:tr>
      <w:tr w:rsidR="009603BB" w14:paraId="0AA5B72F" w14:textId="77777777" w:rsidTr="009603BB">
        <w:trPr>
          <w:trHeight w:val="277"/>
          <w:jc w:val="center"/>
        </w:trPr>
        <w:tc>
          <w:tcPr>
            <w:tcW w:w="2602" w:type="dxa"/>
            <w:vMerge/>
          </w:tcPr>
          <w:p w14:paraId="7E9B5A62" w14:textId="77777777" w:rsidR="009603BB" w:rsidRPr="00662F29" w:rsidRDefault="009603BB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8E765ED" w14:textId="77777777" w:rsidR="009603BB" w:rsidRDefault="009603BB" w:rsidP="008F5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OLAJNICA</w:t>
            </w:r>
          </w:p>
        </w:tc>
        <w:tc>
          <w:tcPr>
            <w:tcW w:w="1400" w:type="dxa"/>
          </w:tcPr>
          <w:p w14:paraId="503E068B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768DED57" w14:textId="77777777" w:rsidR="009603BB" w:rsidRDefault="009603BB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3DD7238F" w14:textId="77777777" w:rsidR="009603BB" w:rsidRDefault="009603BB" w:rsidP="00D5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0,1546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0,0205)</w:t>
            </w:r>
          </w:p>
          <w:p w14:paraId="017BEFA8" w14:textId="77777777" w:rsidR="009603BB" w:rsidRDefault="009603BB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0,1817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0,0241)</w:t>
            </w:r>
          </w:p>
        </w:tc>
      </w:tr>
      <w:tr w:rsidR="00ED7C50" w14:paraId="36578671" w14:textId="77777777" w:rsidTr="009603BB">
        <w:trPr>
          <w:trHeight w:val="370"/>
          <w:jc w:val="center"/>
        </w:trPr>
        <w:tc>
          <w:tcPr>
            <w:tcW w:w="2602" w:type="dxa"/>
            <w:vMerge w:val="restart"/>
          </w:tcPr>
          <w:p w14:paraId="12712D91" w14:textId="77777777" w:rsidR="00ED7C50" w:rsidRPr="00662F29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17075568"/>
          </w:p>
          <w:p w14:paraId="1AEDC817" w14:textId="77777777" w:rsidR="00ED7C50" w:rsidRPr="00662F29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HEP-Toplinarstvo d.o.o.</w:t>
            </w:r>
          </w:p>
          <w:p w14:paraId="2F21E339" w14:textId="77777777" w:rsidR="00ED7C50" w:rsidRPr="00662F29" w:rsidRDefault="00ED7C50" w:rsidP="00590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29"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970" w:type="dxa"/>
          </w:tcPr>
          <w:p w14:paraId="4216E121" w14:textId="77777777" w:rsidR="00ED7C50" w:rsidRDefault="00ED7C50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400" w:type="dxa"/>
          </w:tcPr>
          <w:p w14:paraId="02C781E7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3ACF1AB0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  <w:p w14:paraId="363FAC61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3C4D8EF" w14:textId="77777777" w:rsidR="00ED7C50" w:rsidRDefault="00ED7C50" w:rsidP="0076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0,2208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(0,0293)</w:t>
            </w:r>
          </w:p>
          <w:p w14:paraId="71C31E8A" w14:textId="77777777" w:rsidR="00ED7C50" w:rsidRDefault="00ED7C50" w:rsidP="0076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0,4457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(0,0592)</w:t>
            </w:r>
          </w:p>
          <w:p w14:paraId="65778C8A" w14:textId="77777777" w:rsidR="00ED7C50" w:rsidRDefault="00ED7C50" w:rsidP="00147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50" w14:paraId="408C7372" w14:textId="77777777" w:rsidTr="009603BB">
        <w:trPr>
          <w:trHeight w:val="370"/>
          <w:jc w:val="center"/>
        </w:trPr>
        <w:tc>
          <w:tcPr>
            <w:tcW w:w="2602" w:type="dxa"/>
            <w:vMerge/>
          </w:tcPr>
          <w:p w14:paraId="56CD5DA3" w14:textId="77777777" w:rsidR="00ED7C50" w:rsidRPr="00662F29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F8E2616" w14:textId="77777777" w:rsidR="00ED7C50" w:rsidRDefault="00ED7C50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OSIJEK</w:t>
            </w:r>
          </w:p>
        </w:tc>
        <w:tc>
          <w:tcPr>
            <w:tcW w:w="1400" w:type="dxa"/>
          </w:tcPr>
          <w:p w14:paraId="2B57D4BD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638919B8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  <w:p w14:paraId="1DAC977D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13C629E" w14:textId="77777777" w:rsidR="00ED7C50" w:rsidRDefault="00ED7C50" w:rsidP="00A1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0,0165)</w:t>
            </w:r>
          </w:p>
          <w:p w14:paraId="049FF077" w14:textId="77777777" w:rsidR="00ED7C50" w:rsidRDefault="00ED7C50" w:rsidP="00A1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0,0324)</w:t>
            </w:r>
          </w:p>
          <w:p w14:paraId="06D8A707" w14:textId="77777777" w:rsidR="00ED7C50" w:rsidRDefault="00ED7C50" w:rsidP="00147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50" w14:paraId="4378DF98" w14:textId="77777777" w:rsidTr="009603BB">
        <w:trPr>
          <w:trHeight w:val="370"/>
          <w:jc w:val="center"/>
        </w:trPr>
        <w:tc>
          <w:tcPr>
            <w:tcW w:w="2602" w:type="dxa"/>
            <w:vMerge/>
          </w:tcPr>
          <w:p w14:paraId="6735A3F3" w14:textId="77777777" w:rsidR="00ED7C50" w:rsidRPr="00662F29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FDF94E5" w14:textId="77777777" w:rsidR="00ED7C50" w:rsidRDefault="00ED7C50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400" w:type="dxa"/>
          </w:tcPr>
          <w:p w14:paraId="0F5FD316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6A31A7D0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0DFFD8F1" w14:textId="77777777" w:rsidR="00ED7C50" w:rsidRPr="00147B55" w:rsidRDefault="00ED7C50" w:rsidP="00147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0,0146)</w:t>
            </w:r>
          </w:p>
          <w:p w14:paraId="2B324B20" w14:textId="77777777" w:rsidR="00ED7C50" w:rsidRDefault="00ED7C50" w:rsidP="00147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5">
              <w:rPr>
                <w:rFonts w:ascii="Times New Roman" w:eastAsia="Times New Roman" w:hAnsi="Times New Roman" w:cs="Times New Roman"/>
                <w:sz w:val="24"/>
                <w:szCs w:val="24"/>
              </w:rPr>
              <w:t>0,213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0,0283)</w:t>
            </w:r>
          </w:p>
        </w:tc>
      </w:tr>
      <w:bookmarkEnd w:id="1"/>
      <w:tr w:rsidR="00ED7C50" w14:paraId="6CE0BC2A" w14:textId="77777777" w:rsidTr="009603BB">
        <w:trPr>
          <w:trHeight w:val="278"/>
          <w:jc w:val="center"/>
        </w:trPr>
        <w:tc>
          <w:tcPr>
            <w:tcW w:w="2602" w:type="dxa"/>
            <w:vMerge/>
          </w:tcPr>
          <w:p w14:paraId="0F26A350" w14:textId="77777777" w:rsidR="00ED7C50" w:rsidRPr="00662F29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853E66A" w14:textId="77777777" w:rsidR="00ED7C50" w:rsidRDefault="00ED7C50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SAMOBOR</w:t>
            </w:r>
          </w:p>
        </w:tc>
        <w:tc>
          <w:tcPr>
            <w:tcW w:w="1400" w:type="dxa"/>
          </w:tcPr>
          <w:p w14:paraId="25BB4CBF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1D7C05DE" w14:textId="77777777" w:rsidR="00ED7C50" w:rsidRDefault="00ED7C50" w:rsidP="002D0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39F9DE41" w14:textId="77777777" w:rsidR="00ED7C50" w:rsidRDefault="00ED7C50" w:rsidP="0096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0,6786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0,0901)</w:t>
            </w:r>
          </w:p>
          <w:p w14:paraId="41D03DD4" w14:textId="77777777" w:rsidR="00ED7C50" w:rsidRDefault="00ED7C50" w:rsidP="003E6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F7">
              <w:rPr>
                <w:rFonts w:ascii="Times New Roman" w:eastAsia="Times New Roman" w:hAnsi="Times New Roman" w:cs="Times New Roman"/>
                <w:sz w:val="24"/>
                <w:szCs w:val="24"/>
              </w:rPr>
              <w:t>0,7689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0,1021)</w:t>
            </w:r>
          </w:p>
        </w:tc>
      </w:tr>
      <w:tr w:rsidR="00ED7C50" w14:paraId="0064ED97" w14:textId="77777777" w:rsidTr="009603BB">
        <w:trPr>
          <w:trHeight w:val="277"/>
          <w:jc w:val="center"/>
        </w:trPr>
        <w:tc>
          <w:tcPr>
            <w:tcW w:w="2602" w:type="dxa"/>
            <w:vMerge/>
          </w:tcPr>
          <w:p w14:paraId="049F8269" w14:textId="77777777" w:rsidR="00ED7C50" w:rsidRPr="00662F29" w:rsidRDefault="00ED7C50" w:rsidP="0066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65AA007" w14:textId="77777777" w:rsidR="00ED7C50" w:rsidRDefault="00ED7C50" w:rsidP="008F5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VELIKA GORICA</w:t>
            </w:r>
          </w:p>
        </w:tc>
        <w:tc>
          <w:tcPr>
            <w:tcW w:w="1400" w:type="dxa"/>
          </w:tcPr>
          <w:p w14:paraId="0DBA1AFE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37AA2BDC" w14:textId="77777777" w:rsidR="00ED7C50" w:rsidRDefault="00ED7C50" w:rsidP="009C3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662" w:type="dxa"/>
          </w:tcPr>
          <w:p w14:paraId="1661697F" w14:textId="77777777" w:rsidR="00ED7C50" w:rsidRDefault="00ED7C50" w:rsidP="0096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D9">
              <w:rPr>
                <w:rFonts w:ascii="Times New Roman" w:eastAsia="Times New Roman" w:hAnsi="Times New Roman" w:cs="Times New Roman"/>
                <w:sz w:val="24"/>
                <w:szCs w:val="24"/>
              </w:rPr>
              <w:t>0,7806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0,1036)</w:t>
            </w:r>
          </w:p>
          <w:p w14:paraId="3218E70F" w14:textId="77777777" w:rsidR="00ED7C50" w:rsidRDefault="00ED7C50" w:rsidP="00AE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D9">
              <w:rPr>
                <w:rFonts w:ascii="Times New Roman" w:eastAsia="Times New Roman" w:hAnsi="Times New Roman" w:cs="Times New Roman"/>
                <w:sz w:val="24"/>
                <w:szCs w:val="24"/>
              </w:rPr>
              <w:t>0,8874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0,1178)</w:t>
            </w:r>
          </w:p>
        </w:tc>
      </w:tr>
    </w:tbl>
    <w:p w14:paraId="3AFB63BE" w14:textId="77777777" w:rsidR="00560572" w:rsidRDefault="00560572" w:rsidP="0059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E381B" w14:textId="77777777" w:rsidR="00CB5B01" w:rsidRDefault="00CB5B01" w:rsidP="0059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B41FE" w14:textId="77777777" w:rsidR="006C01CE" w:rsidRDefault="001E708E" w:rsidP="0059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2547">
        <w:rPr>
          <w:rFonts w:ascii="Times New Roman" w:hAnsi="Times New Roman" w:cs="Times New Roman"/>
          <w:b/>
          <w:sz w:val="24"/>
          <w:szCs w:val="24"/>
        </w:rPr>
        <w:t>I</w:t>
      </w:r>
      <w:r w:rsidR="006C01CE" w:rsidRPr="00716F3B">
        <w:rPr>
          <w:rFonts w:ascii="Times New Roman" w:hAnsi="Times New Roman" w:cs="Times New Roman"/>
          <w:b/>
          <w:sz w:val="24"/>
          <w:szCs w:val="24"/>
        </w:rPr>
        <w:t>I.</w:t>
      </w:r>
    </w:p>
    <w:p w14:paraId="5F8F9379" w14:textId="77777777" w:rsidR="00DB3D1F" w:rsidRDefault="00DB3D1F" w:rsidP="006C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97FDF" w14:textId="77777777" w:rsidR="00DB3D1F" w:rsidRPr="0064107D" w:rsidRDefault="00DB3D1F" w:rsidP="0064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7D">
        <w:rPr>
          <w:rFonts w:ascii="Times New Roman" w:eastAsia="Times New Roman" w:hAnsi="Times New Roman" w:cs="Times New Roman"/>
          <w:sz w:val="24"/>
          <w:szCs w:val="24"/>
        </w:rPr>
        <w:t>Iznos razlike između jediničnih cijena iz točke I. ove Odluke određuje se po energetskim subjektima za zatvorene toplinske sustave</w:t>
      </w:r>
      <w:r w:rsidR="003258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C0" w:rsidRPr="0064107D">
        <w:rPr>
          <w:rFonts w:ascii="Times New Roman" w:eastAsia="Times New Roman" w:hAnsi="Times New Roman" w:cs="Times New Roman"/>
          <w:sz w:val="24"/>
          <w:szCs w:val="24"/>
        </w:rPr>
        <w:t>za razdoblje od 1. listopada</w:t>
      </w:r>
      <w:r w:rsidR="0040591E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1B23C0" w:rsidRPr="006410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B5B01" w:rsidRPr="0064107D">
        <w:rPr>
          <w:rFonts w:ascii="Times New Roman" w:hAnsi="Times New Roman" w:cs="Times New Roman"/>
          <w:sz w:val="24"/>
          <w:szCs w:val="24"/>
        </w:rPr>
        <w:t>31.</w:t>
      </w:r>
      <w:r w:rsidR="00CB5B01">
        <w:rPr>
          <w:rFonts w:ascii="Times New Roman" w:hAnsi="Times New Roman" w:cs="Times New Roman"/>
          <w:sz w:val="24"/>
          <w:szCs w:val="24"/>
        </w:rPr>
        <w:t xml:space="preserve"> ožujka 2023</w:t>
      </w:r>
      <w:r w:rsidR="001B23C0" w:rsidRPr="0064107D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Pr="0064107D">
        <w:rPr>
          <w:rFonts w:ascii="Times New Roman" w:eastAsia="Times New Roman" w:hAnsi="Times New Roman" w:cs="Times New Roman"/>
          <w:sz w:val="24"/>
          <w:szCs w:val="24"/>
        </w:rPr>
        <w:t>kako slijedi:</w:t>
      </w:r>
    </w:p>
    <w:p w14:paraId="474B4B9A" w14:textId="77777777" w:rsidR="00DB3D1F" w:rsidRDefault="00DB3D1F" w:rsidP="00DB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22"/>
        <w:gridCol w:w="1060"/>
        <w:gridCol w:w="3742"/>
      </w:tblGrid>
      <w:tr w:rsidR="00BC4C38" w14:paraId="1002AA1A" w14:textId="77777777" w:rsidTr="00BC4C38">
        <w:tc>
          <w:tcPr>
            <w:tcW w:w="2410" w:type="dxa"/>
          </w:tcPr>
          <w:p w14:paraId="2EA038A0" w14:textId="77777777" w:rsidR="00BC4C38" w:rsidRPr="00C26EC1" w:rsidRDefault="00BC4C38" w:rsidP="005C5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Energetski subjekt</w:t>
            </w:r>
          </w:p>
        </w:tc>
        <w:tc>
          <w:tcPr>
            <w:tcW w:w="2422" w:type="dxa"/>
          </w:tcPr>
          <w:p w14:paraId="53A91842" w14:textId="77777777" w:rsidR="00BC4C38" w:rsidRPr="00C26EC1" w:rsidRDefault="00BC4C38" w:rsidP="005C5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Zatvoreni toplinski sustav</w:t>
            </w:r>
          </w:p>
        </w:tc>
        <w:tc>
          <w:tcPr>
            <w:tcW w:w="1060" w:type="dxa"/>
          </w:tcPr>
          <w:p w14:paraId="1914766B" w14:textId="77777777" w:rsidR="00BC4C38" w:rsidRPr="00C26EC1" w:rsidRDefault="00BC4C38" w:rsidP="005C5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Tarifni model</w:t>
            </w:r>
          </w:p>
        </w:tc>
        <w:tc>
          <w:tcPr>
            <w:tcW w:w="3742" w:type="dxa"/>
          </w:tcPr>
          <w:p w14:paraId="410FA390" w14:textId="77777777" w:rsidR="00BC4C38" w:rsidRPr="00C26EC1" w:rsidRDefault="00BC4C38" w:rsidP="005C5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 razlike kn/kWh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(EUR</w:t>
            </w:r>
            <w:r w:rsidR="00ED7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kWh)</w:t>
            </w:r>
          </w:p>
        </w:tc>
      </w:tr>
      <w:tr w:rsidR="00BC4C38" w14:paraId="635921DB" w14:textId="77777777" w:rsidTr="00BC4C38">
        <w:tc>
          <w:tcPr>
            <w:tcW w:w="2410" w:type="dxa"/>
          </w:tcPr>
          <w:p w14:paraId="5144524E" w14:textId="77777777" w:rsidR="00BC4C38" w:rsidRPr="00E57524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Energo d.o.o.  </w:t>
            </w:r>
          </w:p>
          <w:p w14:paraId="45165047" w14:textId="77777777" w:rsidR="00BC4C38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Rijeka</w:t>
            </w:r>
          </w:p>
        </w:tc>
        <w:tc>
          <w:tcPr>
            <w:tcW w:w="2422" w:type="dxa"/>
          </w:tcPr>
          <w:p w14:paraId="04129AC0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Krnjevo, Kozala, Škurinje, Podmurvice, PO-48, V-44, Zamet, Malonji i Srdoči</w:t>
            </w:r>
          </w:p>
        </w:tc>
        <w:tc>
          <w:tcPr>
            <w:tcW w:w="1060" w:type="dxa"/>
          </w:tcPr>
          <w:p w14:paraId="58C75AE4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72F6BDEF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7EE1633F" w14:textId="77777777" w:rsidR="00BC4C38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1,7745 (0,2355)</w:t>
            </w:r>
          </w:p>
          <w:p w14:paraId="27A9579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2A88E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2,0043 (0,2660)</w:t>
            </w:r>
          </w:p>
        </w:tc>
      </w:tr>
      <w:tr w:rsidR="00BC4C38" w14:paraId="23A1D44B" w14:textId="77777777" w:rsidTr="00BC4C38">
        <w:tc>
          <w:tcPr>
            <w:tcW w:w="2410" w:type="dxa"/>
          </w:tcPr>
          <w:p w14:paraId="6D74B954" w14:textId="77777777" w:rsidR="00BC4C38" w:rsidRPr="00E57524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Gradska toplana d.o.o.</w:t>
            </w:r>
          </w:p>
          <w:p w14:paraId="31F6C580" w14:textId="77777777" w:rsidR="00BC4C38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2422" w:type="dxa"/>
          </w:tcPr>
          <w:p w14:paraId="63038E3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Bašćinska cesta 41</w:t>
            </w:r>
          </w:p>
        </w:tc>
        <w:tc>
          <w:tcPr>
            <w:tcW w:w="1060" w:type="dxa"/>
          </w:tcPr>
          <w:p w14:paraId="1A75036C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</w:tc>
        <w:tc>
          <w:tcPr>
            <w:tcW w:w="3742" w:type="dxa"/>
          </w:tcPr>
          <w:p w14:paraId="1610F55E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0,00 (0,00)</w:t>
            </w:r>
          </w:p>
        </w:tc>
      </w:tr>
      <w:tr w:rsidR="00BC4C38" w14:paraId="7237BEB5" w14:textId="77777777" w:rsidTr="00BC4C38">
        <w:tc>
          <w:tcPr>
            <w:tcW w:w="2410" w:type="dxa"/>
          </w:tcPr>
          <w:p w14:paraId="1259FD1E" w14:textId="77777777" w:rsidR="00BC4C38" w:rsidRPr="00E57524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Brod-plin d.o.o.</w:t>
            </w:r>
          </w:p>
          <w:p w14:paraId="21502066" w14:textId="77777777" w:rsidR="00BC4C38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Slavonski Brod </w:t>
            </w:r>
          </w:p>
        </w:tc>
        <w:tc>
          <w:tcPr>
            <w:tcW w:w="2422" w:type="dxa"/>
          </w:tcPr>
          <w:p w14:paraId="19F79AE2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Mikrorajon i Kralj Tomislav</w:t>
            </w:r>
          </w:p>
        </w:tc>
        <w:tc>
          <w:tcPr>
            <w:tcW w:w="1060" w:type="dxa"/>
          </w:tcPr>
          <w:p w14:paraId="4AFDA1EC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7F39C20F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65D6A5CB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1,7069 (0,2265)</w:t>
            </w:r>
          </w:p>
          <w:p w14:paraId="76A34FC2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F1732"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9704</w:t>
            </w: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</w:t>
            </w:r>
            <w:r w:rsidR="00FF1732"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2615</w:t>
            </w: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4C38" w14:paraId="54DB85A8" w14:textId="77777777" w:rsidTr="00BC4C38">
        <w:tc>
          <w:tcPr>
            <w:tcW w:w="2410" w:type="dxa"/>
          </w:tcPr>
          <w:p w14:paraId="5F9C220F" w14:textId="77777777" w:rsidR="00BC4C38" w:rsidRPr="00E57524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Tehnostan d.o.o.</w:t>
            </w:r>
          </w:p>
          <w:p w14:paraId="03D3807B" w14:textId="77777777" w:rsidR="00BC4C38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Vukovar </w:t>
            </w:r>
          </w:p>
        </w:tc>
        <w:tc>
          <w:tcPr>
            <w:tcW w:w="2422" w:type="dxa"/>
          </w:tcPr>
          <w:p w14:paraId="63F498C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D2, D6 i INTERNATI</w:t>
            </w:r>
          </w:p>
        </w:tc>
        <w:tc>
          <w:tcPr>
            <w:tcW w:w="1060" w:type="dxa"/>
          </w:tcPr>
          <w:p w14:paraId="399680BC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5DD56FBB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602C450E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0,1644 (0,0218)</w:t>
            </w:r>
          </w:p>
          <w:p w14:paraId="1D62080C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0,1954 (0,0259)</w:t>
            </w:r>
          </w:p>
        </w:tc>
      </w:tr>
      <w:tr w:rsidR="00BC4C38" w14:paraId="4F76E58C" w14:textId="77777777" w:rsidTr="00BC4C38">
        <w:tc>
          <w:tcPr>
            <w:tcW w:w="2410" w:type="dxa"/>
            <w:vMerge w:val="restart"/>
          </w:tcPr>
          <w:p w14:paraId="04A35AF2" w14:textId="77777777" w:rsidR="00BC4C38" w:rsidRPr="00E57524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HEP-Toplinarstvo d.o.o.</w:t>
            </w:r>
          </w:p>
          <w:p w14:paraId="09E4B263" w14:textId="77777777" w:rsidR="00BC4C38" w:rsidRDefault="00BC4C38" w:rsidP="00E5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422" w:type="dxa"/>
          </w:tcPr>
          <w:p w14:paraId="259C237C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060" w:type="dxa"/>
          </w:tcPr>
          <w:p w14:paraId="720A0344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052C42E4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0E0EC99F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0,4633 (0,0615)</w:t>
            </w:r>
          </w:p>
          <w:p w14:paraId="6859935A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0,9318 (0,1237)</w:t>
            </w:r>
          </w:p>
        </w:tc>
      </w:tr>
      <w:tr w:rsidR="00BC4C38" w14:paraId="6A94C3DC" w14:textId="77777777" w:rsidTr="00BC4C38">
        <w:tc>
          <w:tcPr>
            <w:tcW w:w="2410" w:type="dxa"/>
            <w:vMerge/>
          </w:tcPr>
          <w:p w14:paraId="1F50FD62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115640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Osijek</w:t>
            </w:r>
          </w:p>
        </w:tc>
        <w:tc>
          <w:tcPr>
            <w:tcW w:w="1060" w:type="dxa"/>
          </w:tcPr>
          <w:p w14:paraId="2CAC438E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67A86997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42E7A461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0,3966 (0,0526)</w:t>
            </w:r>
          </w:p>
          <w:p w14:paraId="4B99E937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0,7703 (0,1022)</w:t>
            </w:r>
          </w:p>
        </w:tc>
      </w:tr>
      <w:tr w:rsidR="00BC4C38" w14:paraId="1929F769" w14:textId="77777777" w:rsidTr="00BC4C38">
        <w:tc>
          <w:tcPr>
            <w:tcW w:w="2410" w:type="dxa"/>
            <w:vMerge/>
          </w:tcPr>
          <w:p w14:paraId="682AC9CD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C8CB97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Samobor</w:t>
            </w:r>
          </w:p>
        </w:tc>
        <w:tc>
          <w:tcPr>
            <w:tcW w:w="1060" w:type="dxa"/>
          </w:tcPr>
          <w:p w14:paraId="4DB46EC3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1E0A08D5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02018CA1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0,7733 (0,1026)</w:t>
            </w:r>
          </w:p>
          <w:p w14:paraId="107CA747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0,8776 (0,1165)</w:t>
            </w:r>
          </w:p>
        </w:tc>
      </w:tr>
      <w:tr w:rsidR="00BC4C38" w14:paraId="2D37FD01" w14:textId="77777777" w:rsidTr="00BC4C38">
        <w:tc>
          <w:tcPr>
            <w:tcW w:w="2410" w:type="dxa"/>
            <w:vMerge/>
          </w:tcPr>
          <w:p w14:paraId="7A052C7E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388C434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Zaprešić</w:t>
            </w:r>
          </w:p>
        </w:tc>
        <w:tc>
          <w:tcPr>
            <w:tcW w:w="1060" w:type="dxa"/>
          </w:tcPr>
          <w:p w14:paraId="20DBBE0F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2916FDA6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720D859F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0,6719 (0,0892)</w:t>
            </w:r>
          </w:p>
          <w:p w14:paraId="0BCC0712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0,7630 (0,1013)</w:t>
            </w:r>
          </w:p>
        </w:tc>
      </w:tr>
      <w:tr w:rsidR="00BC4C38" w14:paraId="62B3426E" w14:textId="77777777" w:rsidTr="00BC4C38">
        <w:tc>
          <w:tcPr>
            <w:tcW w:w="2410" w:type="dxa"/>
            <w:vMerge/>
          </w:tcPr>
          <w:p w14:paraId="57F1E36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5AEEB85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Velika Gorica</w:t>
            </w:r>
          </w:p>
        </w:tc>
        <w:tc>
          <w:tcPr>
            <w:tcW w:w="1060" w:type="dxa"/>
          </w:tcPr>
          <w:p w14:paraId="528E311F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33FF4A01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63C6D6BD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0,2729 (0,0362)</w:t>
            </w:r>
          </w:p>
          <w:p w14:paraId="5E28EA59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0,3116 (0,0414)</w:t>
            </w:r>
          </w:p>
        </w:tc>
      </w:tr>
      <w:tr w:rsidR="00BC4C38" w14:paraId="0168737C" w14:textId="77777777" w:rsidTr="00BC4C38">
        <w:tc>
          <w:tcPr>
            <w:tcW w:w="2410" w:type="dxa"/>
          </w:tcPr>
          <w:p w14:paraId="1208579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Vartop d.o.o. Varaždin </w:t>
            </w:r>
          </w:p>
        </w:tc>
        <w:tc>
          <w:tcPr>
            <w:tcW w:w="2422" w:type="dxa"/>
          </w:tcPr>
          <w:p w14:paraId="65152FB1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Zagrebačka 19A i Trakošćanska BB</w:t>
            </w:r>
          </w:p>
        </w:tc>
        <w:tc>
          <w:tcPr>
            <w:tcW w:w="1060" w:type="dxa"/>
          </w:tcPr>
          <w:p w14:paraId="78D39275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67A687B1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7AB06E6F" w14:textId="77777777" w:rsidR="00BC4C38" w:rsidRPr="00590AD7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0,00 (0,00)</w:t>
            </w:r>
          </w:p>
          <w:p w14:paraId="5D89900F" w14:textId="77777777" w:rsidR="00BC4C38" w:rsidRPr="00590AD7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D7">
              <w:rPr>
                <w:rFonts w:ascii="Times New Roman" w:eastAsia="Times New Roman" w:hAnsi="Times New Roman" w:cs="Times New Roman"/>
                <w:sz w:val="24"/>
                <w:szCs w:val="24"/>
              </w:rPr>
              <w:t>0,00 (0,00)</w:t>
            </w:r>
          </w:p>
        </w:tc>
      </w:tr>
      <w:tr w:rsidR="00BC4C38" w14:paraId="2E2D45FF" w14:textId="77777777" w:rsidTr="00BC4C38">
        <w:tc>
          <w:tcPr>
            <w:tcW w:w="2410" w:type="dxa"/>
          </w:tcPr>
          <w:p w14:paraId="1F22FBF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Poslovni park d.o.o. Virovitica</w:t>
            </w:r>
          </w:p>
        </w:tc>
        <w:tc>
          <w:tcPr>
            <w:tcW w:w="2422" w:type="dxa"/>
          </w:tcPr>
          <w:p w14:paraId="1C291B1C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„P+7“ P</w:t>
            </w:r>
            <w:r w:rsidRPr="00A71689">
              <w:rPr>
                <w:rFonts w:ascii="Times New Roman" w:eastAsia="Times New Roman" w:hAnsi="Times New Roman" w:cs="Times New Roman"/>
                <w:sz w:val="24"/>
                <w:szCs w:val="24"/>
              </w:rPr>
              <w:t>ejačevićeva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„P+5“ Trg bana Josipa Jelačiča 10, „Obrtnik“ Ferde Rusana 1, „Slavonija“ Tomaša Masaryka bb i „P+8“ Antuna Mihanovića 1</w:t>
            </w:r>
          </w:p>
        </w:tc>
        <w:tc>
          <w:tcPr>
            <w:tcW w:w="1060" w:type="dxa"/>
          </w:tcPr>
          <w:p w14:paraId="7001C11F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0E5AB072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482FD01E" w14:textId="77777777" w:rsidR="00BC4C38" w:rsidRDefault="00BC4C38" w:rsidP="00D8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1,0701 (0,1420)</w:t>
            </w:r>
          </w:p>
          <w:p w14:paraId="6D4FEC6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1,2022 (0,1595)</w:t>
            </w:r>
          </w:p>
        </w:tc>
      </w:tr>
      <w:tr w:rsidR="00BC4C38" w14:paraId="6184F1A3" w14:textId="77777777" w:rsidTr="00BC4C38">
        <w:tc>
          <w:tcPr>
            <w:tcW w:w="2410" w:type="dxa"/>
          </w:tcPr>
          <w:p w14:paraId="19E316FD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Komunalac d.o.o. Požega</w:t>
            </w:r>
          </w:p>
        </w:tc>
        <w:tc>
          <w:tcPr>
            <w:tcW w:w="2422" w:type="dxa"/>
          </w:tcPr>
          <w:p w14:paraId="37F5A919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Požega: V. Nazor i M. Krleža</w:t>
            </w:r>
          </w:p>
        </w:tc>
        <w:tc>
          <w:tcPr>
            <w:tcW w:w="1060" w:type="dxa"/>
          </w:tcPr>
          <w:p w14:paraId="6664FEF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</w:tc>
        <w:tc>
          <w:tcPr>
            <w:tcW w:w="3742" w:type="dxa"/>
          </w:tcPr>
          <w:p w14:paraId="4B96569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0,8019 (0,1064)</w:t>
            </w:r>
          </w:p>
        </w:tc>
      </w:tr>
      <w:tr w:rsidR="00BC4C38" w14:paraId="00615F50" w14:textId="77777777" w:rsidTr="00BC4C38">
        <w:tc>
          <w:tcPr>
            <w:tcW w:w="2410" w:type="dxa"/>
          </w:tcPr>
          <w:p w14:paraId="4436F40C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SKG d.o.o. Ogulin</w:t>
            </w:r>
          </w:p>
        </w:tc>
        <w:tc>
          <w:tcPr>
            <w:tcW w:w="2422" w:type="dxa"/>
          </w:tcPr>
          <w:p w14:paraId="0B3D578A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V.I.Marinkovića 13 i Ljudevita Gaja 4</w:t>
            </w:r>
          </w:p>
        </w:tc>
        <w:tc>
          <w:tcPr>
            <w:tcW w:w="1060" w:type="dxa"/>
          </w:tcPr>
          <w:p w14:paraId="4B54012E" w14:textId="77777777" w:rsidR="00BC4C38" w:rsidRPr="00BE5900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70BE1674" w14:textId="77777777" w:rsidR="00BC4C38" w:rsidRDefault="00BC4C38" w:rsidP="00BE5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00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47704AB0" w14:textId="77777777" w:rsidR="00BC4C38" w:rsidRDefault="00BC4C38" w:rsidP="0082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0,1335 (0,0177)</w:t>
            </w:r>
          </w:p>
          <w:p w14:paraId="39EE272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0,1664 (0,0221)</w:t>
            </w:r>
          </w:p>
        </w:tc>
      </w:tr>
      <w:tr w:rsidR="00BC4C38" w14:paraId="75331CB1" w14:textId="77777777" w:rsidTr="00BC4C38">
        <w:tc>
          <w:tcPr>
            <w:tcW w:w="2410" w:type="dxa"/>
            <w:vMerge w:val="restart"/>
          </w:tcPr>
          <w:p w14:paraId="32922680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4">
              <w:rPr>
                <w:rFonts w:ascii="Times New Roman" w:eastAsia="Times New Roman" w:hAnsi="Times New Roman" w:cs="Times New Roman"/>
                <w:sz w:val="24"/>
                <w:szCs w:val="24"/>
              </w:rPr>
              <w:t>GTG d.o.o. Vinkovci</w:t>
            </w:r>
          </w:p>
        </w:tc>
        <w:tc>
          <w:tcPr>
            <w:tcW w:w="2422" w:type="dxa"/>
          </w:tcPr>
          <w:p w14:paraId="2BDBDD4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„A“, A. Starčevića 4</w:t>
            </w:r>
          </w:p>
        </w:tc>
        <w:tc>
          <w:tcPr>
            <w:tcW w:w="1060" w:type="dxa"/>
          </w:tcPr>
          <w:p w14:paraId="2CC5FBA3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4253712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1629F12B" w14:textId="77777777" w:rsidR="00BC4C38" w:rsidRDefault="00BC4C38" w:rsidP="0082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0,0707 (0,0094)</w:t>
            </w:r>
          </w:p>
          <w:p w14:paraId="6215B0F9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0,0723 (0,0096)</w:t>
            </w:r>
          </w:p>
        </w:tc>
      </w:tr>
      <w:tr w:rsidR="00BC4C38" w14:paraId="28D256CD" w14:textId="77777777" w:rsidTr="00BC4C38">
        <w:tc>
          <w:tcPr>
            <w:tcW w:w="2410" w:type="dxa"/>
            <w:vMerge/>
          </w:tcPr>
          <w:p w14:paraId="44E0A325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8DF8B32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„S-122“, A.B.Šimića 17</w:t>
            </w:r>
          </w:p>
        </w:tc>
        <w:tc>
          <w:tcPr>
            <w:tcW w:w="1060" w:type="dxa"/>
          </w:tcPr>
          <w:p w14:paraId="32EBE551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1EC91A7C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2409DA85" w14:textId="77777777" w:rsidR="00BC4C38" w:rsidRDefault="00BC4C38" w:rsidP="0082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2,4558 (0,3259)</w:t>
            </w:r>
          </w:p>
          <w:p w14:paraId="2910E122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98D67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2,7984 (0,3714)</w:t>
            </w:r>
          </w:p>
        </w:tc>
      </w:tr>
      <w:tr w:rsidR="00BC4C38" w14:paraId="4CE3736C" w14:textId="77777777" w:rsidTr="00BC4C38">
        <w:tc>
          <w:tcPr>
            <w:tcW w:w="2410" w:type="dxa"/>
            <w:vMerge/>
          </w:tcPr>
          <w:p w14:paraId="2858BAA9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EFDA41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„S-103“, K. Mislava 5</w:t>
            </w:r>
          </w:p>
        </w:tc>
        <w:tc>
          <w:tcPr>
            <w:tcW w:w="1060" w:type="dxa"/>
          </w:tcPr>
          <w:p w14:paraId="138DA14A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3B714290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03136E60" w14:textId="77777777" w:rsidR="00BC4C38" w:rsidRDefault="00BC4C38" w:rsidP="0082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2,4303 (0,3226)</w:t>
            </w:r>
          </w:p>
          <w:p w14:paraId="1B7E071C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2,7798 (0,3689)</w:t>
            </w:r>
          </w:p>
        </w:tc>
      </w:tr>
      <w:tr w:rsidR="00BC4C38" w14:paraId="34821299" w14:textId="77777777" w:rsidTr="00BC4C38">
        <w:tc>
          <w:tcPr>
            <w:tcW w:w="2410" w:type="dxa"/>
            <w:vMerge/>
          </w:tcPr>
          <w:p w14:paraId="4CCFD432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C0C5376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„S-108“, J.J.Strossmayera</w:t>
            </w:r>
          </w:p>
        </w:tc>
        <w:tc>
          <w:tcPr>
            <w:tcW w:w="1060" w:type="dxa"/>
          </w:tcPr>
          <w:p w14:paraId="5FEAB2C7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49D95F20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3231881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2,2984 (0,3051)</w:t>
            </w:r>
          </w:p>
          <w:p w14:paraId="646FEA72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C38" w14:paraId="660CA5C5" w14:textId="77777777" w:rsidTr="00BC4C38">
        <w:tc>
          <w:tcPr>
            <w:tcW w:w="2410" w:type="dxa"/>
            <w:vMerge/>
          </w:tcPr>
          <w:p w14:paraId="7D1042BB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3DD0740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„S-96“, K. Mislava 13</w:t>
            </w:r>
          </w:p>
        </w:tc>
        <w:tc>
          <w:tcPr>
            <w:tcW w:w="1060" w:type="dxa"/>
          </w:tcPr>
          <w:p w14:paraId="016C2441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2CB78AC9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18540B34" w14:textId="77777777" w:rsidR="00BC4C38" w:rsidRDefault="00BC4C38" w:rsidP="0029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2,3197 (0,3079)</w:t>
            </w:r>
          </w:p>
          <w:p w14:paraId="6B3E821F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2D89B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2,6653 (0,3537)</w:t>
            </w:r>
          </w:p>
        </w:tc>
      </w:tr>
      <w:tr w:rsidR="00BC4C38" w14:paraId="08286A3A" w14:textId="77777777" w:rsidTr="00BC4C38">
        <w:tc>
          <w:tcPr>
            <w:tcW w:w="2410" w:type="dxa"/>
            <w:vMerge/>
          </w:tcPr>
          <w:p w14:paraId="0E407340" w14:textId="77777777" w:rsidR="00BC4C38" w:rsidRPr="00E57524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9921B51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Kotlovnica „HŽ-CIK-CAK“, A. Starčevića 64</w:t>
            </w:r>
          </w:p>
        </w:tc>
        <w:tc>
          <w:tcPr>
            <w:tcW w:w="1060" w:type="dxa"/>
          </w:tcPr>
          <w:p w14:paraId="552ECDB0" w14:textId="77777777" w:rsidR="00BC4C38" w:rsidRPr="003F45D4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TM1</w:t>
            </w:r>
          </w:p>
          <w:p w14:paraId="7F95BBEA" w14:textId="77777777" w:rsidR="00BC4C38" w:rsidRDefault="00BC4C38" w:rsidP="003F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D4">
              <w:rPr>
                <w:rFonts w:ascii="Times New Roman" w:eastAsia="Times New Roman" w:hAnsi="Times New Roman" w:cs="Times New Roman"/>
                <w:sz w:val="24"/>
                <w:szCs w:val="24"/>
              </w:rPr>
              <w:t>TM2</w:t>
            </w:r>
          </w:p>
        </w:tc>
        <w:tc>
          <w:tcPr>
            <w:tcW w:w="3742" w:type="dxa"/>
          </w:tcPr>
          <w:p w14:paraId="2E56FE30" w14:textId="77777777" w:rsidR="00BC4C38" w:rsidRDefault="00BC4C38" w:rsidP="00297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2,3008 (0,3054)</w:t>
            </w:r>
          </w:p>
          <w:p w14:paraId="5A624CC8" w14:textId="77777777" w:rsidR="00BC4C38" w:rsidRDefault="00BC4C38" w:rsidP="005C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2,6475 (0,3514)</w:t>
            </w:r>
          </w:p>
        </w:tc>
      </w:tr>
    </w:tbl>
    <w:p w14:paraId="117FF72F" w14:textId="77777777" w:rsidR="0064107D" w:rsidRDefault="0064107D" w:rsidP="0064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A7DD1" w14:textId="77777777" w:rsidR="00B20BAE" w:rsidRDefault="00B20BAE" w:rsidP="007C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9C085" w14:textId="77777777" w:rsidR="00DF09C0" w:rsidRPr="00C26EC1" w:rsidRDefault="00590AD7" w:rsidP="00DB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F09C0" w:rsidRPr="00C26EC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0B5BA96D" w14:textId="77777777" w:rsidR="00DF09C0" w:rsidRDefault="00DF09C0" w:rsidP="00DB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F7EC8" w14:textId="77777777" w:rsidR="00DF09C0" w:rsidRPr="0096354D" w:rsidRDefault="007C14F3" w:rsidP="0096354D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Energetski subjekti</w:t>
      </w:r>
      <w:r w:rsidRPr="0096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iz točki</w:t>
      </w:r>
      <w:r w:rsidR="00DF09C0" w:rsidRPr="0096354D">
        <w:rPr>
          <w:rFonts w:ascii="Times New Roman" w:eastAsia="Times New Roman" w:hAnsi="Times New Roman" w:cs="Times New Roman"/>
          <w:sz w:val="24"/>
          <w:szCs w:val="24"/>
        </w:rPr>
        <w:t xml:space="preserve"> II. i III. ove Odluke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, osim</w:t>
      </w:r>
      <w:r w:rsidR="00DF09C0" w:rsidRPr="0096354D">
        <w:rPr>
          <w:rFonts w:ascii="Times New Roman" w:eastAsia="Times New Roman" w:hAnsi="Times New Roman" w:cs="Times New Roman"/>
          <w:sz w:val="24"/>
          <w:szCs w:val="24"/>
        </w:rPr>
        <w:t xml:space="preserve"> energetskih subjekata Gradska toplana d.o.o. Karlovac i Vartop d.o.o. Varaždin za zatvorene toplinske sustave, dužni su na mjesečnoj razini krajnjim kupcima toplinske energije ispostavljati račune za isporučenu toplinsku energiju,</w:t>
      </w:r>
      <w:r w:rsidR="0082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9C0" w:rsidRPr="0096354D">
        <w:rPr>
          <w:rFonts w:ascii="Times New Roman" w:eastAsia="Times New Roman" w:hAnsi="Times New Roman" w:cs="Times New Roman"/>
          <w:sz w:val="24"/>
          <w:szCs w:val="24"/>
        </w:rPr>
        <w:t>na način da se iskaže jedinična razlika iz točaka II. i III. ove Odluke i</w:t>
      </w:r>
      <w:r w:rsidR="00CC2FB7" w:rsidRPr="0096354D">
        <w:rPr>
          <w:rFonts w:ascii="Times New Roman" w:eastAsia="Times New Roman" w:hAnsi="Times New Roman" w:cs="Times New Roman"/>
          <w:sz w:val="24"/>
          <w:szCs w:val="24"/>
        </w:rPr>
        <w:t xml:space="preserve"> umanji račun </w:t>
      </w:r>
      <w:r w:rsidR="00DF09C0" w:rsidRPr="0096354D">
        <w:rPr>
          <w:rFonts w:ascii="Times New Roman" w:eastAsia="Times New Roman" w:hAnsi="Times New Roman" w:cs="Times New Roman"/>
          <w:sz w:val="24"/>
          <w:szCs w:val="24"/>
        </w:rPr>
        <w:t xml:space="preserve">za ukupni iznos </w:t>
      </w:r>
      <w:r w:rsidR="00C26EC1" w:rsidRPr="0096354D">
        <w:rPr>
          <w:rFonts w:ascii="Times New Roman" w:eastAsia="Times New Roman" w:hAnsi="Times New Roman" w:cs="Times New Roman"/>
          <w:sz w:val="24"/>
          <w:szCs w:val="24"/>
        </w:rPr>
        <w:t>umnoška jedinične razlike</w:t>
      </w:r>
      <w:r w:rsidR="0096354D" w:rsidRPr="0096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D" w:rsidRPr="0096354D">
        <w:rPr>
          <w:rFonts w:ascii="Times New Roman" w:eastAsia="Times New Roman" w:hAnsi="Times New Roman" w:cs="Times New Roman"/>
          <w:bCs/>
          <w:sz w:val="24"/>
          <w:szCs w:val="24"/>
        </w:rPr>
        <w:t>(EUR/kWh)</w:t>
      </w:r>
      <w:r w:rsidR="00C26EC1" w:rsidRPr="0096354D">
        <w:rPr>
          <w:rFonts w:ascii="Times New Roman" w:eastAsia="Times New Roman" w:hAnsi="Times New Roman" w:cs="Times New Roman"/>
          <w:sz w:val="24"/>
          <w:szCs w:val="24"/>
        </w:rPr>
        <w:t xml:space="preserve"> i isporučene toplinske energije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 xml:space="preserve"> u kWh</w:t>
      </w:r>
      <w:r w:rsidR="00CC2FB7" w:rsidRPr="00963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EC1" w:rsidRPr="0096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FA3BB" w14:textId="77777777" w:rsidR="00C26EC1" w:rsidRDefault="00C26EC1" w:rsidP="0096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93E68" w14:textId="77777777" w:rsidR="00C20746" w:rsidRDefault="00742DCB" w:rsidP="0096354D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024F8">
        <w:rPr>
          <w:rFonts w:ascii="Times New Roman" w:eastAsia="Times New Roman" w:hAnsi="Times New Roman" w:cs="Times New Roman"/>
          <w:sz w:val="24"/>
          <w:szCs w:val="24"/>
        </w:rPr>
        <w:t>nergetski subjekti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stavka 1. ove točke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7C28">
        <w:rPr>
          <w:rFonts w:ascii="Times New Roman" w:eastAsia="Times New Roman" w:hAnsi="Times New Roman" w:cs="Times New Roman"/>
          <w:sz w:val="24"/>
          <w:szCs w:val="24"/>
        </w:rPr>
        <w:t xml:space="preserve">po isteku obračunskog mjeseca od dana stupanja na snagu ove Odluke, 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>dostavljaju Ministarstvu gospodarstva i održivog razvoja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D" w:rsidRPr="00AC296B">
        <w:rPr>
          <w:rFonts w:ascii="Times New Roman" w:eastAsia="Times New Roman" w:hAnsi="Times New Roman" w:cs="Times New Roman"/>
          <w:sz w:val="24"/>
          <w:szCs w:val="24"/>
        </w:rPr>
        <w:t>Upravi za energetiku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54D" w:rsidRPr="00AC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>zahtjev za naknadu razlike iz stavka 1. ove točke,</w:t>
      </w:r>
      <w:r w:rsidR="004665B6" w:rsidRPr="00AC296B">
        <w:rPr>
          <w:rFonts w:ascii="Times New Roman" w:eastAsia="Times New Roman" w:hAnsi="Times New Roman" w:cs="Times New Roman"/>
          <w:sz w:val="24"/>
          <w:szCs w:val="24"/>
        </w:rPr>
        <w:t xml:space="preserve"> u elektroničkom formatu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5B6" w:rsidRPr="00AC296B">
        <w:rPr>
          <w:rFonts w:ascii="Times New Roman" w:eastAsia="Times New Roman" w:hAnsi="Times New Roman" w:cs="Times New Roman"/>
          <w:sz w:val="24"/>
          <w:szCs w:val="24"/>
        </w:rPr>
        <w:t xml:space="preserve"> putem adrese elektroničke pošte </w:t>
      </w:r>
      <w:hyperlink r:id="rId12" w:history="1">
        <w:r w:rsidR="004665B6" w:rsidRPr="0096354D">
          <w:rPr>
            <w:rFonts w:ascii="Times New Roman" w:hAnsi="Times New Roman" w:cs="Times New Roman"/>
            <w:sz w:val="24"/>
          </w:rPr>
          <w:t>energetika@mingor.hr</w:t>
        </w:r>
      </w:hyperlink>
      <w:r w:rsidR="004665B6" w:rsidRPr="00AC296B">
        <w:rPr>
          <w:rFonts w:ascii="Times New Roman" w:eastAsia="Times New Roman" w:hAnsi="Times New Roman" w:cs="Times New Roman"/>
          <w:sz w:val="24"/>
          <w:szCs w:val="24"/>
        </w:rPr>
        <w:t xml:space="preserve"> ili fizičkom dostavom putem prijenosnog podatkovnog medija,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 xml:space="preserve"> kojem zahtjevu su dužni priložiti obračun po svakom obračunskom mjernom mjestu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 xml:space="preserve"> i uredno ispunjenu tablicu</w:t>
      </w:r>
      <w:r w:rsidR="00C20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746" w:rsidRPr="00AC296B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="00C207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746" w:rsidRPr="00AC296B">
        <w:rPr>
          <w:rFonts w:ascii="Times New Roman" w:eastAsia="Times New Roman" w:hAnsi="Times New Roman" w:cs="Times New Roman"/>
          <w:sz w:val="24"/>
          <w:szCs w:val="24"/>
        </w:rPr>
        <w:t xml:space="preserve"> za naknadu razlike iz stavka 1. ove točke</w:t>
      </w:r>
      <w:r w:rsidR="00C20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C1731" w14:textId="77777777" w:rsidR="00C20746" w:rsidRPr="007B064D" w:rsidRDefault="00C20746" w:rsidP="007B06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A26C7E" w14:textId="77777777" w:rsidR="005C0E6C" w:rsidRDefault="00C20746" w:rsidP="0096354D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F77231" w:rsidRPr="00AC296B">
        <w:rPr>
          <w:rFonts w:ascii="Times New Roman" w:eastAsia="Times New Roman" w:hAnsi="Times New Roman" w:cs="Times New Roman"/>
          <w:sz w:val="24"/>
          <w:szCs w:val="24"/>
        </w:rPr>
        <w:t>gospodarstva i održivog razvoja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231" w:rsidRPr="00AC296B">
        <w:rPr>
          <w:rFonts w:ascii="Times New Roman" w:eastAsia="Times New Roman" w:hAnsi="Times New Roman" w:cs="Times New Roman"/>
          <w:sz w:val="24"/>
          <w:szCs w:val="24"/>
        </w:rPr>
        <w:t xml:space="preserve">gospodarstva 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>objavit</w:t>
      </w:r>
      <w:r>
        <w:rPr>
          <w:rFonts w:ascii="Times New Roman" w:eastAsia="Times New Roman" w:hAnsi="Times New Roman" w:cs="Times New Roman"/>
          <w:sz w:val="24"/>
          <w:szCs w:val="24"/>
        </w:rPr>
        <w:t>i će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predložak tablice iz stavka 2. ove točke, 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>na svojim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 xml:space="preserve"> mrežnim</w:t>
      </w:r>
      <w:r w:rsidR="00F77231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 xml:space="preserve"> u roku od </w:t>
      </w:r>
      <w:r w:rsidR="005B7C28">
        <w:rPr>
          <w:rFonts w:ascii="Times New Roman" w:eastAsia="Times New Roman" w:hAnsi="Times New Roman" w:cs="Times New Roman"/>
          <w:sz w:val="24"/>
          <w:szCs w:val="24"/>
        </w:rPr>
        <w:t xml:space="preserve">tri </w:t>
      </w:r>
      <w:r w:rsidR="0096354D">
        <w:rPr>
          <w:rFonts w:ascii="Times New Roman" w:eastAsia="Times New Roman" w:hAnsi="Times New Roman" w:cs="Times New Roman"/>
          <w:sz w:val="24"/>
          <w:szCs w:val="24"/>
        </w:rPr>
        <w:t>dana od dana stupanja na snagu ove Odluke</w:t>
      </w:r>
      <w:r w:rsidR="00C26EC1" w:rsidRPr="00AC29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918BB" w14:textId="77777777" w:rsidR="004135E0" w:rsidRDefault="004135E0" w:rsidP="0096354D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69A8C" w14:textId="77777777" w:rsidR="00CB5B01" w:rsidRPr="00CB5B01" w:rsidRDefault="00CB5B01" w:rsidP="00CB5B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83B3D1" w14:textId="77777777" w:rsidR="00653114" w:rsidRPr="001524C9" w:rsidRDefault="00653114" w:rsidP="0064107D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1524C9">
        <w:rPr>
          <w:rFonts w:ascii="Times New Roman" w:hAnsi="Times New Roman" w:cs="Times New Roman"/>
          <w:b/>
          <w:sz w:val="24"/>
          <w:szCs w:val="24"/>
        </w:rPr>
        <w:t>V.</w:t>
      </w:r>
    </w:p>
    <w:p w14:paraId="2396334B" w14:textId="77777777" w:rsidR="00653114" w:rsidRDefault="00653114" w:rsidP="0065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A79F8" w14:textId="4F00B93D" w:rsidR="00E57524" w:rsidRDefault="0048075C" w:rsidP="00E26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75C">
        <w:rPr>
          <w:rFonts w:ascii="Times New Roman" w:hAnsi="Times New Roman" w:cs="Times New Roman"/>
          <w:bCs/>
          <w:sz w:val="24"/>
          <w:szCs w:val="24"/>
        </w:rPr>
        <w:t xml:space="preserve">Ova Odluka stupa na snagu </w:t>
      </w:r>
      <w:r w:rsidR="006772A2">
        <w:rPr>
          <w:rFonts w:ascii="Times New Roman" w:hAnsi="Times New Roman" w:cs="Times New Roman"/>
          <w:bCs/>
          <w:sz w:val="24"/>
          <w:szCs w:val="24"/>
        </w:rPr>
        <w:t>prvog</w:t>
      </w:r>
      <w:r w:rsidR="00B34FC9">
        <w:rPr>
          <w:rFonts w:ascii="Times New Roman" w:hAnsi="Times New Roman" w:cs="Times New Roman"/>
          <w:bCs/>
          <w:sz w:val="24"/>
          <w:szCs w:val="24"/>
        </w:rPr>
        <w:t>a</w:t>
      </w:r>
      <w:r w:rsidR="00A231EB">
        <w:rPr>
          <w:rFonts w:ascii="Times New Roman" w:hAnsi="Times New Roman" w:cs="Times New Roman"/>
          <w:bCs/>
          <w:sz w:val="24"/>
          <w:szCs w:val="24"/>
        </w:rPr>
        <w:t xml:space="preserve"> dana od dana objave u „Narodnim novinama“.</w:t>
      </w:r>
    </w:p>
    <w:p w14:paraId="626601FF" w14:textId="77777777" w:rsidR="007B3E5A" w:rsidRPr="00E57524" w:rsidRDefault="007B3E5A" w:rsidP="00E2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78AD8" w14:textId="77777777" w:rsidR="007B3E5A" w:rsidRDefault="007B3E5A" w:rsidP="00343D17">
      <w:pPr>
        <w:rPr>
          <w:rFonts w:ascii="Times New Roman" w:hAnsi="Times New Roman" w:cs="Times New Roman"/>
          <w:bCs/>
          <w:sz w:val="24"/>
          <w:szCs w:val="24"/>
        </w:rPr>
      </w:pPr>
    </w:p>
    <w:p w14:paraId="6546804B" w14:textId="77777777" w:rsidR="002778B3" w:rsidRDefault="002778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CB4B8F4" w14:textId="77777777" w:rsidR="00A231EB" w:rsidRPr="00A231EB" w:rsidRDefault="00A231EB" w:rsidP="00A23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1C283E36" w14:textId="77777777" w:rsidR="00D646C9" w:rsidRPr="00D646C9" w:rsidRDefault="00D646C9" w:rsidP="00D646C9">
      <w:pPr>
        <w:pStyle w:val="Default"/>
        <w:jc w:val="both"/>
        <w:rPr>
          <w:bCs/>
        </w:rPr>
      </w:pPr>
      <w:r>
        <w:rPr>
          <w:bCs/>
        </w:rPr>
        <w:t xml:space="preserve"> </w:t>
      </w:r>
      <w:r w:rsidR="00A231EB">
        <w:rPr>
          <w:bCs/>
        </w:rPr>
        <w:tab/>
      </w:r>
      <w:r w:rsidR="007C2B0A">
        <w:rPr>
          <w:bCs/>
        </w:rPr>
        <w:t xml:space="preserve">U skladu s </w:t>
      </w:r>
      <w:r w:rsidR="006D3D5B">
        <w:rPr>
          <w:bCs/>
        </w:rPr>
        <w:t xml:space="preserve">odredbama Uredbe o otklanjanju poremećaja na domaćem tržištu energije </w:t>
      </w:r>
      <w:r w:rsidR="00A231EB" w:rsidRPr="00F2041F">
        <w:t>(</w:t>
      </w:r>
      <w:r w:rsidR="00A231EB">
        <w:t>„</w:t>
      </w:r>
      <w:r w:rsidR="00A231EB" w:rsidRPr="003711DB">
        <w:t>N</w:t>
      </w:r>
      <w:r w:rsidR="00A231EB">
        <w:t>arodne novine“, br.</w:t>
      </w:r>
      <w:r w:rsidR="00A231EB" w:rsidRPr="003711DB">
        <w:t xml:space="preserve"> 104/22</w:t>
      </w:r>
      <w:r w:rsidR="00A231EB">
        <w:t>.</w:t>
      </w:r>
      <w:r w:rsidR="00A231EB" w:rsidRPr="003711DB">
        <w:t>, 106/22</w:t>
      </w:r>
      <w:r w:rsidR="00A231EB">
        <w:t>., 121/22. i 156/22</w:t>
      </w:r>
      <w:r w:rsidR="00A231EB" w:rsidRPr="003711DB">
        <w:t>)</w:t>
      </w:r>
      <w:r w:rsidR="006D3D5B">
        <w:rPr>
          <w:bCs/>
        </w:rPr>
        <w:t xml:space="preserve">, </w:t>
      </w:r>
      <w:r w:rsidR="00A231EB" w:rsidRPr="005024F8">
        <w:rPr>
          <w:rFonts w:eastAsia="Times New Roman"/>
          <w:color w:val="auto"/>
        </w:rPr>
        <w:t>Hrvatska energetska regulatorna agencija</w:t>
      </w:r>
      <w:r>
        <w:rPr>
          <w:bCs/>
        </w:rPr>
        <w:t xml:space="preserve"> je </w:t>
      </w:r>
      <w:r w:rsidRPr="00D646C9">
        <w:rPr>
          <w:bCs/>
        </w:rPr>
        <w:t>u postupku određivanja jedinične cijene za proizvodnju toplinske energije, na</w:t>
      </w:r>
      <w:r w:rsidR="00A231EB">
        <w:rPr>
          <w:bCs/>
        </w:rPr>
        <w:t xml:space="preserve"> 32. </w:t>
      </w:r>
      <w:r w:rsidR="007C2B0A" w:rsidRPr="007C2B0A">
        <w:rPr>
          <w:bCs/>
        </w:rPr>
        <w:t xml:space="preserve">sjednici Upravnog vijeća </w:t>
      </w:r>
      <w:r w:rsidR="007C2B0A">
        <w:rPr>
          <w:bCs/>
        </w:rPr>
        <w:t xml:space="preserve"> </w:t>
      </w:r>
      <w:r w:rsidR="00A231EB">
        <w:rPr>
          <w:rFonts w:eastAsia="Times New Roman"/>
          <w:color w:val="auto"/>
        </w:rPr>
        <w:t>Hrvatske energetske regulatorne</w:t>
      </w:r>
      <w:r w:rsidR="00A231EB" w:rsidRPr="005024F8">
        <w:rPr>
          <w:rFonts w:eastAsia="Times New Roman"/>
          <w:color w:val="auto"/>
        </w:rPr>
        <w:t xml:space="preserve"> agencij</w:t>
      </w:r>
      <w:r w:rsidR="00A231EB">
        <w:rPr>
          <w:rFonts w:eastAsia="Times New Roman"/>
          <w:color w:val="auto"/>
        </w:rPr>
        <w:t>e</w:t>
      </w:r>
      <w:r w:rsidR="00A231EB" w:rsidRPr="005024F8">
        <w:rPr>
          <w:rFonts w:eastAsia="Times New Roman"/>
          <w:color w:val="auto"/>
        </w:rPr>
        <w:t xml:space="preserve"> </w:t>
      </w:r>
      <w:r w:rsidR="007C2B0A">
        <w:rPr>
          <w:bCs/>
        </w:rPr>
        <w:t>donijela o</w:t>
      </w:r>
      <w:r w:rsidR="007C2B0A" w:rsidRPr="007C2B0A">
        <w:rPr>
          <w:bCs/>
        </w:rPr>
        <w:t>dluke o jediničn</w:t>
      </w:r>
      <w:r w:rsidR="007C2B0A">
        <w:rPr>
          <w:bCs/>
        </w:rPr>
        <w:t>im</w:t>
      </w:r>
      <w:r w:rsidR="007C2B0A" w:rsidRPr="007C2B0A">
        <w:rPr>
          <w:bCs/>
        </w:rPr>
        <w:t xml:space="preserve"> cijen</w:t>
      </w:r>
      <w:r w:rsidR="007C2B0A">
        <w:rPr>
          <w:bCs/>
        </w:rPr>
        <w:t>ama</w:t>
      </w:r>
      <w:r w:rsidR="007C2B0A" w:rsidRPr="007C2B0A">
        <w:rPr>
          <w:bCs/>
        </w:rPr>
        <w:t xml:space="preserve"> za proizvodnju toplinske</w:t>
      </w:r>
      <w:r w:rsidR="007C2B0A">
        <w:rPr>
          <w:bCs/>
        </w:rPr>
        <w:t xml:space="preserve"> energije za ce</w:t>
      </w:r>
      <w:r w:rsidR="009B3718">
        <w:rPr>
          <w:bCs/>
        </w:rPr>
        <w:t>ntralne toplinske sustave te na</w:t>
      </w:r>
      <w:r w:rsidR="007C2B0A" w:rsidRPr="007C2B0A">
        <w:rPr>
          <w:bCs/>
        </w:rPr>
        <w:t xml:space="preserve"> </w:t>
      </w:r>
      <w:r w:rsidRPr="00D646C9">
        <w:rPr>
          <w:bCs/>
        </w:rPr>
        <w:t xml:space="preserve">33. sjednici Upravnog vijeća </w:t>
      </w:r>
      <w:r w:rsidR="00A231EB">
        <w:rPr>
          <w:rFonts w:eastAsia="Times New Roman"/>
          <w:color w:val="auto"/>
        </w:rPr>
        <w:t>Hrvatske energetske regulatorne agencije</w:t>
      </w:r>
      <w:r w:rsidR="00A231EB" w:rsidRPr="005024F8">
        <w:rPr>
          <w:rFonts w:eastAsia="Times New Roman"/>
          <w:color w:val="auto"/>
        </w:rPr>
        <w:t xml:space="preserve"> </w:t>
      </w:r>
      <w:r w:rsidR="007C2B0A" w:rsidRPr="007C2B0A">
        <w:rPr>
          <w:bCs/>
        </w:rPr>
        <w:t xml:space="preserve">odluke o jediničnim cijenama za proizvodnju toplinske energije u </w:t>
      </w:r>
      <w:r w:rsidR="007C2B0A">
        <w:rPr>
          <w:bCs/>
        </w:rPr>
        <w:t>zatvorenim</w:t>
      </w:r>
      <w:r w:rsidR="007C2B0A" w:rsidRPr="007C2B0A">
        <w:rPr>
          <w:bCs/>
        </w:rPr>
        <w:t xml:space="preserve"> toplinskim sustavima</w:t>
      </w:r>
      <w:r w:rsidRPr="00D646C9">
        <w:rPr>
          <w:bCs/>
        </w:rPr>
        <w:t>, (dalje: Odluke).</w:t>
      </w:r>
    </w:p>
    <w:p w14:paraId="4EE761BA" w14:textId="77777777" w:rsidR="001B1E2D" w:rsidRDefault="001B1E2D" w:rsidP="009B371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Važno je naglasiti da ovom Odlukom se osigurava smanjivanje Energetskog siromaštva za građane koji se griju na toplinskim sustavima.</w:t>
      </w:r>
    </w:p>
    <w:p w14:paraId="1D9CFAAF" w14:textId="067C5DBB" w:rsidR="001B1E2D" w:rsidRDefault="001B1E2D" w:rsidP="009B371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primjene ove Odluke </w:t>
      </w:r>
      <w:r w:rsidR="00B34FC9">
        <w:rPr>
          <w:rFonts w:ascii="Times New Roman" w:hAnsi="Times New Roman" w:cs="Times New Roman"/>
          <w:bCs/>
          <w:sz w:val="24"/>
          <w:szCs w:val="24"/>
        </w:rPr>
        <w:t xml:space="preserve">i završetkom ogrjevne sezone </w:t>
      </w:r>
      <w:r>
        <w:rPr>
          <w:rFonts w:ascii="Times New Roman" w:hAnsi="Times New Roman" w:cs="Times New Roman"/>
          <w:bCs/>
          <w:sz w:val="24"/>
          <w:szCs w:val="24"/>
        </w:rPr>
        <w:t>Hrvatska energetska regulatorna agencija</w:t>
      </w:r>
      <w:r w:rsidR="00B34FC9">
        <w:rPr>
          <w:rFonts w:ascii="Times New Roman" w:hAnsi="Times New Roman" w:cs="Times New Roman"/>
          <w:bCs/>
          <w:sz w:val="24"/>
          <w:szCs w:val="24"/>
        </w:rPr>
        <w:t xml:space="preserve"> će</w:t>
      </w:r>
      <w:r>
        <w:rPr>
          <w:rFonts w:ascii="Times New Roman" w:hAnsi="Times New Roman" w:cs="Times New Roman"/>
          <w:bCs/>
          <w:sz w:val="24"/>
          <w:szCs w:val="24"/>
        </w:rPr>
        <w:t xml:space="preserve"> napravit</w:t>
      </w:r>
      <w:r w:rsidR="00B34FC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analizu primljenih nadoknada i stvarnih troškova te će na temelju toga dostavit izvješće.  </w:t>
      </w:r>
    </w:p>
    <w:p w14:paraId="2A49C472" w14:textId="77777777" w:rsidR="00D646C9" w:rsidRPr="00D646C9" w:rsidRDefault="006D3D5B" w:rsidP="009B371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postupku koji je prethodio donošenju Odluka, </w:t>
      </w:r>
      <w:r w:rsidR="00D646C9" w:rsidRPr="00D64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1EB" w:rsidRPr="005024F8">
        <w:rPr>
          <w:rFonts w:ascii="Times New Roman" w:eastAsia="Times New Roman" w:hAnsi="Times New Roman" w:cs="Times New Roman"/>
          <w:sz w:val="24"/>
          <w:szCs w:val="24"/>
        </w:rPr>
        <w:t>Hrvatska energetska regulatorna agencija</w:t>
      </w:r>
      <w:r w:rsidR="00D646C9" w:rsidRPr="00D646C9">
        <w:rPr>
          <w:rFonts w:ascii="Times New Roman" w:hAnsi="Times New Roman" w:cs="Times New Roman"/>
          <w:bCs/>
          <w:sz w:val="24"/>
          <w:szCs w:val="24"/>
        </w:rPr>
        <w:t xml:space="preserve"> je od svih energetskih subjekata u čijoj nadležnosti </w:t>
      </w:r>
      <w:r w:rsidR="00F33773">
        <w:rPr>
          <w:rFonts w:ascii="Times New Roman" w:hAnsi="Times New Roman" w:cs="Times New Roman"/>
          <w:bCs/>
          <w:sz w:val="24"/>
          <w:szCs w:val="24"/>
        </w:rPr>
        <w:t>su centralni i zatvoreni toplinski sustavi</w:t>
      </w:r>
      <w:r w:rsidR="00D646C9" w:rsidRPr="00D646C9">
        <w:rPr>
          <w:rFonts w:ascii="Times New Roman" w:hAnsi="Times New Roman" w:cs="Times New Roman"/>
          <w:bCs/>
          <w:sz w:val="24"/>
          <w:szCs w:val="24"/>
        </w:rPr>
        <w:t>, dopisima od 12. rujna 2022., (klasa: 025-08/22-01/4. ur. broj: 371-05-22-3) i (klasa: 025-08/22-01/4, ur. broj: 371-05-22-4), zatražila dostavu:</w:t>
      </w:r>
    </w:p>
    <w:p w14:paraId="6B021E15" w14:textId="77777777" w:rsidR="006D3D5B" w:rsidRPr="006D3D5B" w:rsidRDefault="006D3D5B" w:rsidP="009B3718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 xml:space="preserve">podataka o proizvedenoj i isporučenoj toplinskoj energiji u ogrjevnoj sezoni 2021./2022., o </w:t>
      </w:r>
      <w:r w:rsidR="006A533F">
        <w:rPr>
          <w:rFonts w:ascii="Times New Roman" w:hAnsi="Times New Roman" w:cs="Times New Roman"/>
          <w:bCs/>
          <w:sz w:val="24"/>
          <w:szCs w:val="24"/>
        </w:rPr>
        <w:t xml:space="preserve">planiranoj </w:t>
      </w:r>
      <w:r w:rsidRPr="006D3D5B">
        <w:rPr>
          <w:rFonts w:ascii="Times New Roman" w:hAnsi="Times New Roman" w:cs="Times New Roman"/>
          <w:bCs/>
          <w:sz w:val="24"/>
          <w:szCs w:val="24"/>
        </w:rPr>
        <w:t>proizvedenoj i isporučenoj toplinskoj energiji u ogrjevnoj sezoni 2022./2023., o proizvodnim postrojenjima, toplinskim sustavima, krajnjim kupcima, strukturi krajnjih cijena po tarifnim modelima, prihodima i rashodima tijekom ogrjevne sezone 2021./2022. te procjeni za ogrjevnu sezonu 2022./2023.</w:t>
      </w:r>
    </w:p>
    <w:p w14:paraId="4B48EF35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podataka o cijeni ulaznog energenta i cijeni emisijskih jedinica stakleničkih plinova,</w:t>
      </w:r>
    </w:p>
    <w:p w14:paraId="480DAD87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 xml:space="preserve">preslika faktura i ugovora o nabavi energenta iz kojih su vidljive cijene nabave za ogrjevnu sezonu 2021./2022. </w:t>
      </w:r>
    </w:p>
    <w:p w14:paraId="4FC6F5C0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ugovora o nabavi energenata za ogrjevnu sezonu 2022./2023. iz kojih su razvidne cijene,</w:t>
      </w:r>
    </w:p>
    <w:p w14:paraId="1ECE9B32" w14:textId="77777777" w:rsid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 xml:space="preserve">strukture troškova tj. preslike računa iz kojih su vidljive važeće cijene koje su u primjeni za kućanstva te industriju i poslovne potrošače. </w:t>
      </w:r>
    </w:p>
    <w:p w14:paraId="77249BD6" w14:textId="77777777" w:rsidR="009B3718" w:rsidRDefault="009B3718" w:rsidP="00142D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B564E" w14:textId="77777777" w:rsidR="00142DC4" w:rsidRPr="00142DC4" w:rsidRDefault="00142DC4" w:rsidP="00142D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DC4">
        <w:rPr>
          <w:rFonts w:ascii="Times New Roman" w:hAnsi="Times New Roman" w:cs="Times New Roman"/>
          <w:bCs/>
          <w:sz w:val="24"/>
          <w:szCs w:val="24"/>
        </w:rPr>
        <w:t xml:space="preserve">Relevantni podaci na temelju kojih se računala jedinična cijena za proizvodnju toplinske energije za </w:t>
      </w:r>
      <w:r w:rsidR="00A231EB">
        <w:rPr>
          <w:rFonts w:ascii="Times New Roman" w:hAnsi="Times New Roman" w:cs="Times New Roman"/>
          <w:bCs/>
          <w:sz w:val="24"/>
          <w:szCs w:val="24"/>
        </w:rPr>
        <w:t>centralne i zatvorene toplinske sustave</w:t>
      </w:r>
      <w:r w:rsidRPr="00142DC4">
        <w:rPr>
          <w:rFonts w:ascii="Times New Roman" w:hAnsi="Times New Roman" w:cs="Times New Roman"/>
          <w:bCs/>
          <w:sz w:val="24"/>
          <w:szCs w:val="24"/>
        </w:rPr>
        <w:t xml:space="preserve"> su :</w:t>
      </w:r>
    </w:p>
    <w:p w14:paraId="60AAC806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količina isporučene toplinske en</w:t>
      </w:r>
      <w:r w:rsidR="009B3718">
        <w:rPr>
          <w:rFonts w:ascii="Times New Roman" w:hAnsi="Times New Roman" w:cs="Times New Roman"/>
          <w:bCs/>
          <w:sz w:val="24"/>
          <w:szCs w:val="24"/>
        </w:rPr>
        <w:t>ergije po tarifnim modelima TM1 i</w:t>
      </w:r>
      <w:r w:rsidRPr="006D3D5B">
        <w:rPr>
          <w:rFonts w:ascii="Times New Roman" w:hAnsi="Times New Roman" w:cs="Times New Roman"/>
          <w:bCs/>
          <w:sz w:val="24"/>
          <w:szCs w:val="24"/>
        </w:rPr>
        <w:t xml:space="preserve"> TM2;</w:t>
      </w:r>
    </w:p>
    <w:p w14:paraId="12C87848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cijena energenta (goriva) za ogrjevnu sezonu 2021./2022. određena na temelju dostavljenih preslike faktura i ugovora o nabavi energenta iz kojih su vidljive cijene nabave za ogrjevnu sezonu 2021./2022.;</w:t>
      </w:r>
    </w:p>
    <w:p w14:paraId="2FBB1D6D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cijena energenta (goriva) za ogrjevnu sezonu 2022./2023. određena na temelju dostavljenih ugovora o nabavi energenta iz kojih su vidljive cijene nabave za ogrjevnu sezonu 2022./2023.</w:t>
      </w:r>
    </w:p>
    <w:p w14:paraId="3864AC13" w14:textId="77777777" w:rsidR="006D3D5B" w:rsidRP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vrijednostima PDV: 13% na dan donošenja Uredbe (važeće za sezonu 2021./2022. i 5% za sezonu 2022./2023.);</w:t>
      </w:r>
    </w:p>
    <w:p w14:paraId="092A27B4" w14:textId="77777777" w:rsidR="006D3D5B" w:rsidRDefault="006D3D5B" w:rsidP="00A231E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D5B">
        <w:rPr>
          <w:rFonts w:ascii="Times New Roman" w:hAnsi="Times New Roman" w:cs="Times New Roman"/>
          <w:bCs/>
          <w:sz w:val="24"/>
          <w:szCs w:val="24"/>
        </w:rPr>
        <w:t>-</w:t>
      </w:r>
      <w:r w:rsidRPr="006D3D5B">
        <w:rPr>
          <w:rFonts w:ascii="Times New Roman" w:hAnsi="Times New Roman" w:cs="Times New Roman"/>
          <w:bCs/>
          <w:sz w:val="24"/>
          <w:szCs w:val="24"/>
        </w:rPr>
        <w:tab/>
        <w:t>prema Odluci porast cijene energenata i emisijskih jedinica stakleničkih plinova primijenjen je na jedinične cijene energije za proizvodnju toplinske energije</w:t>
      </w:r>
      <w:r w:rsidR="00A231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41CCDA" w14:textId="7F9CFCD1" w:rsidR="00A231EB" w:rsidRDefault="00A231EB" w:rsidP="00F618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2C454" w14:textId="77777777" w:rsidR="00F6184B" w:rsidRPr="00F6184B" w:rsidRDefault="00F6184B" w:rsidP="00F6184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84B">
        <w:rPr>
          <w:rFonts w:ascii="Times New Roman" w:hAnsi="Times New Roman" w:cs="Times New Roman"/>
          <w:iCs/>
          <w:sz w:val="24"/>
          <w:szCs w:val="24"/>
        </w:rPr>
        <w:t>Važno je napomenuti da Gradska toplana d.o.o. Karlovac u zatvorenom toplinskom sustavu nema određen iznos razlike između jediničnih cijena za zatvorene toplinske sustave u odnosu na krajnje cijene isporučene toplinske energije, s obzirom da je ista sklopila ugovor uz fiksnu cijenu s opskrbljivačem plina do kraja 2023. godine, stoga sukladno svim zaprimljenim podatcima nije bilo potrebe za intervencijom u njihove jedinične cijene u zatvorenom toplinskom sustavu, dok se pak u centralnom toplinskom sustavu Gradskoj toplani d.o.o. Karlovac uračunava u iznos razlike između jediničnih cijena za centralni toplinski sustav u odnosu na krajnje cijene isporučene toplinske energije CO2 emisije, a energent se ne računa. U slučaju tvrtke Vartop d.o.o. Varaždin iznos razlike između jediničnih cijena za centralne toplinske sustave i zatvorene toplinske sustave u odnosu na krajnje cijene isporučene toplinske energije iznosi 0,00 eura, s obzirom da je ta tvrtka prije donošenja Uredbe o otklanjanju poremećaja na domaćem tržištu energije (Narodne novine, br. 104/22., 106/22., 121/22. i 156/22) podignula cijene za svoje krajnje kupce, stoga nije bilo potrebe za intervenciju u iznos razlike jediničnih cijena.</w:t>
      </w:r>
    </w:p>
    <w:p w14:paraId="445CA455" w14:textId="2BFF68D0" w:rsidR="00142DC4" w:rsidRDefault="00B34FC9" w:rsidP="006772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U cilju što brže primjene ove O</w:t>
      </w:r>
      <w:r w:rsidR="006772A2">
        <w:rPr>
          <w:rFonts w:ascii="Times New Roman" w:hAnsi="Times New Roman" w:cs="Times New Roman"/>
          <w:bCs/>
          <w:sz w:val="24"/>
          <w:szCs w:val="24"/>
        </w:rPr>
        <w:t>dluke potrebno je da stupi na snagu prvog</w:t>
      </w:r>
      <w:r>
        <w:rPr>
          <w:rFonts w:ascii="Times New Roman" w:hAnsi="Times New Roman" w:cs="Times New Roman"/>
          <w:bCs/>
          <w:sz w:val="24"/>
          <w:szCs w:val="24"/>
        </w:rPr>
        <w:t>a dana od</w:t>
      </w:r>
      <w:r w:rsidR="006772A2">
        <w:rPr>
          <w:rFonts w:ascii="Times New Roman" w:hAnsi="Times New Roman" w:cs="Times New Roman"/>
          <w:bCs/>
          <w:sz w:val="24"/>
          <w:szCs w:val="24"/>
        </w:rPr>
        <w:t xml:space="preserve"> dana objave. </w:t>
      </w:r>
    </w:p>
    <w:sectPr w:rsidR="00142DC4" w:rsidSect="002D01FF">
      <w:headerReference w:type="even" r:id="rId13"/>
      <w:headerReference w:type="default" r:id="rId14"/>
      <w:pgSz w:w="11906" w:h="16838" w:code="9"/>
      <w:pgMar w:top="1560" w:right="991" w:bottom="851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72832" w16cid:durableId="274C157E"/>
  <w16cid:commentId w16cid:paraId="2CAFE676" w16cid:durableId="274C1627"/>
  <w16cid:commentId w16cid:paraId="4AF3FB4C" w16cid:durableId="2739B4AF"/>
  <w16cid:commentId w16cid:paraId="0B1E85E4" w16cid:durableId="2739D3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FFD1" w14:textId="77777777" w:rsidR="00AE33F7" w:rsidRDefault="00AE33F7" w:rsidP="00012A6A">
      <w:pPr>
        <w:spacing w:after="0" w:line="240" w:lineRule="auto"/>
      </w:pPr>
      <w:r>
        <w:separator/>
      </w:r>
    </w:p>
  </w:endnote>
  <w:endnote w:type="continuationSeparator" w:id="0">
    <w:p w14:paraId="3B5FCFD0" w14:textId="77777777" w:rsidR="00AE33F7" w:rsidRDefault="00AE33F7" w:rsidP="0001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05AF" w14:textId="77777777" w:rsidR="00F2041F" w:rsidRPr="00CE78D1" w:rsidRDefault="00F2041F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A3B1" w14:textId="77777777" w:rsidR="00F2041F" w:rsidRDefault="00F2041F">
    <w:pPr>
      <w:pStyle w:val="Footer"/>
    </w:pPr>
  </w:p>
  <w:p w14:paraId="26096DC8" w14:textId="77777777" w:rsidR="00F2041F" w:rsidRDefault="00F20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787E" w14:textId="77777777" w:rsidR="00F2041F" w:rsidRPr="00CE78D1" w:rsidRDefault="00F2041F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8905F61" w14:textId="77777777" w:rsidR="00F2041F" w:rsidRDefault="00F2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E2F6" w14:textId="77777777" w:rsidR="00AE33F7" w:rsidRDefault="00AE33F7" w:rsidP="00012A6A">
      <w:pPr>
        <w:spacing w:after="0" w:line="240" w:lineRule="auto"/>
      </w:pPr>
      <w:r>
        <w:separator/>
      </w:r>
    </w:p>
  </w:footnote>
  <w:footnote w:type="continuationSeparator" w:id="0">
    <w:p w14:paraId="1AE6ED15" w14:textId="77777777" w:rsidR="00AE33F7" w:rsidRDefault="00AE33F7" w:rsidP="0001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D522" w14:textId="77777777" w:rsidR="007058C1" w:rsidRDefault="0019777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50BE985" wp14:editId="250A6E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68415" cy="2388235"/>
              <wp:effectExtent l="0" t="1381125" r="0" b="14217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68415" cy="2388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418EC" w14:textId="77777777" w:rsidR="0019777F" w:rsidRDefault="0019777F" w:rsidP="001977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ARHIVSKI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BE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1.45pt;height:188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9777F" w:rsidRDefault="0019777F" w:rsidP="0019777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ARHIVSKI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2230" w14:textId="77777777" w:rsidR="007058C1" w:rsidRDefault="0019777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C4F661A" wp14:editId="2D0CB6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68415" cy="2388235"/>
              <wp:effectExtent l="0" t="1381125" r="0" b="1421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68415" cy="2388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82EAF" w14:textId="77777777" w:rsidR="0019777F" w:rsidRDefault="0019777F" w:rsidP="001977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ARHIVSKI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F6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1.45pt;height:188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9777F" w:rsidRDefault="0019777F" w:rsidP="0019777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ARHIVSKI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9F"/>
    <w:multiLevelType w:val="hybridMultilevel"/>
    <w:tmpl w:val="B1826960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77"/>
    <w:multiLevelType w:val="hybridMultilevel"/>
    <w:tmpl w:val="8D5A48DE"/>
    <w:lvl w:ilvl="0" w:tplc="570CBA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9110DC"/>
    <w:multiLevelType w:val="hybridMultilevel"/>
    <w:tmpl w:val="0FA694FC"/>
    <w:lvl w:ilvl="0" w:tplc="147EA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45C"/>
    <w:multiLevelType w:val="hybridMultilevel"/>
    <w:tmpl w:val="CB109EB2"/>
    <w:lvl w:ilvl="0" w:tplc="0FCC7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23E"/>
    <w:multiLevelType w:val="hybridMultilevel"/>
    <w:tmpl w:val="89AAB3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905"/>
    <w:multiLevelType w:val="hybridMultilevel"/>
    <w:tmpl w:val="15DCD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30B"/>
    <w:multiLevelType w:val="hybridMultilevel"/>
    <w:tmpl w:val="6A3015AE"/>
    <w:lvl w:ilvl="0" w:tplc="586EF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1250"/>
    <w:multiLevelType w:val="hybridMultilevel"/>
    <w:tmpl w:val="93DE540C"/>
    <w:lvl w:ilvl="0" w:tplc="EBAEF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74AB"/>
    <w:multiLevelType w:val="hybridMultilevel"/>
    <w:tmpl w:val="B1826960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264E"/>
    <w:multiLevelType w:val="hybridMultilevel"/>
    <w:tmpl w:val="828EE4AE"/>
    <w:lvl w:ilvl="0" w:tplc="BC7A0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65D3"/>
    <w:multiLevelType w:val="hybridMultilevel"/>
    <w:tmpl w:val="28941A34"/>
    <w:lvl w:ilvl="0" w:tplc="AD82014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D57A99"/>
    <w:multiLevelType w:val="hybridMultilevel"/>
    <w:tmpl w:val="3CB45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00354"/>
    <w:multiLevelType w:val="hybridMultilevel"/>
    <w:tmpl w:val="999C9CFA"/>
    <w:lvl w:ilvl="0" w:tplc="BE3CA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FB0"/>
    <w:multiLevelType w:val="hybridMultilevel"/>
    <w:tmpl w:val="C78E260C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7C0F"/>
    <w:multiLevelType w:val="hybridMultilevel"/>
    <w:tmpl w:val="6A3015AE"/>
    <w:lvl w:ilvl="0" w:tplc="586EF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7A03"/>
    <w:multiLevelType w:val="hybridMultilevel"/>
    <w:tmpl w:val="2F680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C9C4394"/>
    <w:multiLevelType w:val="hybridMultilevel"/>
    <w:tmpl w:val="9836B556"/>
    <w:lvl w:ilvl="0" w:tplc="147EAB1C">
      <w:start w:val="1"/>
      <w:numFmt w:val="bullet"/>
      <w:lvlText w:val=""/>
      <w:lvlJc w:val="left"/>
      <w:pPr>
        <w:ind w:left="1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abstractNum w:abstractNumId="17" w15:restartNumberingAfterBreak="1">
    <w:nsid w:val="4E70627C"/>
    <w:multiLevelType w:val="hybridMultilevel"/>
    <w:tmpl w:val="152A46DC"/>
    <w:lvl w:ilvl="0" w:tplc="C982156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6CEF"/>
    <w:multiLevelType w:val="hybridMultilevel"/>
    <w:tmpl w:val="B1826960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A151969"/>
    <w:multiLevelType w:val="hybridMultilevel"/>
    <w:tmpl w:val="2FEE1240"/>
    <w:lvl w:ilvl="0" w:tplc="147EA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36A"/>
    <w:multiLevelType w:val="hybridMultilevel"/>
    <w:tmpl w:val="97669024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E2"/>
    <w:multiLevelType w:val="hybridMultilevel"/>
    <w:tmpl w:val="2C7C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8205315"/>
    <w:multiLevelType w:val="hybridMultilevel"/>
    <w:tmpl w:val="4496B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79D5"/>
    <w:multiLevelType w:val="hybridMultilevel"/>
    <w:tmpl w:val="B1826960"/>
    <w:lvl w:ilvl="0" w:tplc="AD8201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7"/>
  </w:num>
  <w:num w:numId="5">
    <w:abstractNumId w:val="19"/>
  </w:num>
  <w:num w:numId="6">
    <w:abstractNumId w:val="21"/>
  </w:num>
  <w:num w:numId="7">
    <w:abstractNumId w:val="11"/>
  </w:num>
  <w:num w:numId="8">
    <w:abstractNumId w:val="5"/>
  </w:num>
  <w:num w:numId="9">
    <w:abstractNumId w:val="23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7F"/>
    <w:rsid w:val="0000131F"/>
    <w:rsid w:val="00001C9C"/>
    <w:rsid w:val="00012A6A"/>
    <w:rsid w:val="000266F0"/>
    <w:rsid w:val="0007350D"/>
    <w:rsid w:val="0007524E"/>
    <w:rsid w:val="00075A02"/>
    <w:rsid w:val="000B1659"/>
    <w:rsid w:val="000B76D4"/>
    <w:rsid w:val="000D0297"/>
    <w:rsid w:val="000D4284"/>
    <w:rsid w:val="000F178F"/>
    <w:rsid w:val="00117725"/>
    <w:rsid w:val="00122FB6"/>
    <w:rsid w:val="00142DC4"/>
    <w:rsid w:val="00147B55"/>
    <w:rsid w:val="001524C9"/>
    <w:rsid w:val="001838F2"/>
    <w:rsid w:val="0019777F"/>
    <w:rsid w:val="001A5AD8"/>
    <w:rsid w:val="001A5E8D"/>
    <w:rsid w:val="001B1E2D"/>
    <w:rsid w:val="001B23C0"/>
    <w:rsid w:val="001C3B6C"/>
    <w:rsid w:val="001C6E81"/>
    <w:rsid w:val="001E708E"/>
    <w:rsid w:val="001F27FC"/>
    <w:rsid w:val="00254E64"/>
    <w:rsid w:val="002631C5"/>
    <w:rsid w:val="002778B3"/>
    <w:rsid w:val="00297995"/>
    <w:rsid w:val="002A70D3"/>
    <w:rsid w:val="002D01FF"/>
    <w:rsid w:val="00325829"/>
    <w:rsid w:val="00343D17"/>
    <w:rsid w:val="00346248"/>
    <w:rsid w:val="00351349"/>
    <w:rsid w:val="003521DA"/>
    <w:rsid w:val="003670FB"/>
    <w:rsid w:val="003711DB"/>
    <w:rsid w:val="00384469"/>
    <w:rsid w:val="00386F06"/>
    <w:rsid w:val="003875C1"/>
    <w:rsid w:val="003944A9"/>
    <w:rsid w:val="003A5565"/>
    <w:rsid w:val="003B2547"/>
    <w:rsid w:val="003B4E31"/>
    <w:rsid w:val="003B6B8F"/>
    <w:rsid w:val="003E66F7"/>
    <w:rsid w:val="003F45D4"/>
    <w:rsid w:val="0040591E"/>
    <w:rsid w:val="00407E7A"/>
    <w:rsid w:val="004135E0"/>
    <w:rsid w:val="00424051"/>
    <w:rsid w:val="00432137"/>
    <w:rsid w:val="004665B6"/>
    <w:rsid w:val="0048075C"/>
    <w:rsid w:val="00484864"/>
    <w:rsid w:val="0048657B"/>
    <w:rsid w:val="004968CC"/>
    <w:rsid w:val="004A3CA0"/>
    <w:rsid w:val="004A4CCE"/>
    <w:rsid w:val="004B37C2"/>
    <w:rsid w:val="004F2BDD"/>
    <w:rsid w:val="004F3835"/>
    <w:rsid w:val="005024F8"/>
    <w:rsid w:val="00541D8C"/>
    <w:rsid w:val="00560572"/>
    <w:rsid w:val="00585D4C"/>
    <w:rsid w:val="00590742"/>
    <w:rsid w:val="00590AD7"/>
    <w:rsid w:val="005B76D2"/>
    <w:rsid w:val="005B7C28"/>
    <w:rsid w:val="005C0E6C"/>
    <w:rsid w:val="006022E1"/>
    <w:rsid w:val="00630A7A"/>
    <w:rsid w:val="0064107D"/>
    <w:rsid w:val="00653114"/>
    <w:rsid w:val="00662F29"/>
    <w:rsid w:val="006703EA"/>
    <w:rsid w:val="006772A2"/>
    <w:rsid w:val="006925A4"/>
    <w:rsid w:val="006A160D"/>
    <w:rsid w:val="006A533F"/>
    <w:rsid w:val="006A6F94"/>
    <w:rsid w:val="006C01CE"/>
    <w:rsid w:val="006D3D5B"/>
    <w:rsid w:val="006E4678"/>
    <w:rsid w:val="006F3C0A"/>
    <w:rsid w:val="00716F3B"/>
    <w:rsid w:val="00742DCB"/>
    <w:rsid w:val="00762614"/>
    <w:rsid w:val="007B064D"/>
    <w:rsid w:val="007B1483"/>
    <w:rsid w:val="007B3E5A"/>
    <w:rsid w:val="007C14F3"/>
    <w:rsid w:val="007C2B0A"/>
    <w:rsid w:val="007F2BF9"/>
    <w:rsid w:val="0080466D"/>
    <w:rsid w:val="00823613"/>
    <w:rsid w:val="0082773A"/>
    <w:rsid w:val="0087373E"/>
    <w:rsid w:val="00876A1B"/>
    <w:rsid w:val="008B41D0"/>
    <w:rsid w:val="008D7C93"/>
    <w:rsid w:val="008F07B4"/>
    <w:rsid w:val="008F5343"/>
    <w:rsid w:val="009603BB"/>
    <w:rsid w:val="0096354D"/>
    <w:rsid w:val="0096666C"/>
    <w:rsid w:val="009828C4"/>
    <w:rsid w:val="009840DA"/>
    <w:rsid w:val="009B0F56"/>
    <w:rsid w:val="009B3718"/>
    <w:rsid w:val="009B5058"/>
    <w:rsid w:val="009B67A6"/>
    <w:rsid w:val="009B704E"/>
    <w:rsid w:val="009B7231"/>
    <w:rsid w:val="009C36DC"/>
    <w:rsid w:val="009D57E0"/>
    <w:rsid w:val="009E69E8"/>
    <w:rsid w:val="00A111C8"/>
    <w:rsid w:val="00A14D7F"/>
    <w:rsid w:val="00A22C40"/>
    <w:rsid w:val="00A231EB"/>
    <w:rsid w:val="00A3542C"/>
    <w:rsid w:val="00A4166A"/>
    <w:rsid w:val="00A71689"/>
    <w:rsid w:val="00A97EBF"/>
    <w:rsid w:val="00AC296B"/>
    <w:rsid w:val="00AC6348"/>
    <w:rsid w:val="00AE33F7"/>
    <w:rsid w:val="00AE6FD9"/>
    <w:rsid w:val="00B209C1"/>
    <w:rsid w:val="00B20BAE"/>
    <w:rsid w:val="00B23BD4"/>
    <w:rsid w:val="00B24165"/>
    <w:rsid w:val="00B34FC9"/>
    <w:rsid w:val="00B80A1E"/>
    <w:rsid w:val="00BC4C38"/>
    <w:rsid w:val="00BE5900"/>
    <w:rsid w:val="00C20746"/>
    <w:rsid w:val="00C26EC1"/>
    <w:rsid w:val="00C323AC"/>
    <w:rsid w:val="00C776ED"/>
    <w:rsid w:val="00C87734"/>
    <w:rsid w:val="00CA753B"/>
    <w:rsid w:val="00CB5B01"/>
    <w:rsid w:val="00CC2FB7"/>
    <w:rsid w:val="00D04723"/>
    <w:rsid w:val="00D54332"/>
    <w:rsid w:val="00D646C9"/>
    <w:rsid w:val="00D85653"/>
    <w:rsid w:val="00DA4C63"/>
    <w:rsid w:val="00DB3D1F"/>
    <w:rsid w:val="00DF09C0"/>
    <w:rsid w:val="00E035F1"/>
    <w:rsid w:val="00E26227"/>
    <w:rsid w:val="00E54DAF"/>
    <w:rsid w:val="00E57524"/>
    <w:rsid w:val="00E719A8"/>
    <w:rsid w:val="00EB52A5"/>
    <w:rsid w:val="00EC5C23"/>
    <w:rsid w:val="00ED7C50"/>
    <w:rsid w:val="00EE5336"/>
    <w:rsid w:val="00EF3486"/>
    <w:rsid w:val="00F103E4"/>
    <w:rsid w:val="00F2041F"/>
    <w:rsid w:val="00F33773"/>
    <w:rsid w:val="00F6184B"/>
    <w:rsid w:val="00F63437"/>
    <w:rsid w:val="00F77231"/>
    <w:rsid w:val="00F820DD"/>
    <w:rsid w:val="00F85C66"/>
    <w:rsid w:val="00FB0EA1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85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C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77F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19777F"/>
    <w:rPr>
      <w:rFonts w:eastAsiaTheme="minorEastAsia"/>
      <w:lang w:val="hr-HR"/>
    </w:rPr>
  </w:style>
  <w:style w:type="table" w:customStyle="1" w:styleId="Reetkatablice1">
    <w:name w:val="Rešetka tablice1"/>
    <w:basedOn w:val="TableNormal"/>
    <w:next w:val="TableGrid"/>
    <w:uiPriority w:val="39"/>
    <w:rsid w:val="0019777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777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7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7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7F"/>
    <w:rPr>
      <w:lang w:val="hr-HR"/>
    </w:rPr>
  </w:style>
  <w:style w:type="paragraph" w:styleId="NormalWeb">
    <w:name w:val="Normal (Web)"/>
    <w:basedOn w:val="Normal"/>
    <w:uiPriority w:val="99"/>
    <w:semiHidden/>
    <w:unhideWhenUsed/>
    <w:rsid w:val="001977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DD"/>
    <w:rPr>
      <w:rFonts w:ascii="Segoe UI" w:hAnsi="Segoe UI" w:cs="Segoe UI"/>
      <w:sz w:val="18"/>
      <w:szCs w:val="18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001C9C"/>
    <w:pPr>
      <w:spacing w:after="200" w:line="240" w:lineRule="auto"/>
    </w:pPr>
    <w:rPr>
      <w:rFonts w:ascii="Corbel" w:eastAsia="Corbel" w:hAnsi="Corbel" w:cs="Corbe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9C"/>
    <w:rPr>
      <w:rFonts w:ascii="Corbel" w:eastAsia="Corbel" w:hAnsi="Corbel" w:cs="Corbel"/>
      <w:sz w:val="20"/>
      <w:szCs w:val="20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01C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C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C2"/>
    <w:rPr>
      <w:rFonts w:ascii="Corbel" w:eastAsia="Corbel" w:hAnsi="Corbel" w:cs="Corbel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C6E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32137"/>
    <w:pPr>
      <w:spacing w:after="0" w:line="240" w:lineRule="auto"/>
    </w:pPr>
    <w:rPr>
      <w:lang w:val="hr-HR"/>
    </w:rPr>
  </w:style>
  <w:style w:type="paragraph" w:customStyle="1" w:styleId="Default">
    <w:name w:val="Default"/>
    <w:rsid w:val="00D64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5B6"/>
    <w:rPr>
      <w:color w:val="605E5C"/>
      <w:shd w:val="clear" w:color="auto" w:fill="E1DFDD"/>
    </w:rPr>
  </w:style>
  <w:style w:type="paragraph" w:customStyle="1" w:styleId="box472050">
    <w:name w:val="box_472050"/>
    <w:basedOn w:val="Normal"/>
    <w:rsid w:val="0050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etika@mingor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04EB-74D9-4C1C-A4E1-68A79D38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2023-03-07T11:19:00Z</dcterms:created>
  <dcterms:modified xsi:type="dcterms:W3CDTF">2023-03-08T08:23:00Z</dcterms:modified>
</cp:coreProperties>
</file>