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0317" w14:textId="7C91B326" w:rsidR="00422CF2" w:rsidRDefault="00422CF2" w:rsidP="002E2272">
      <w:pPr>
        <w:pStyle w:val="box46611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A687AFB" w14:textId="2C7BE0F5" w:rsidR="00422CF2" w:rsidRPr="00422CF2" w:rsidRDefault="005A46B7" w:rsidP="00422CF2">
      <w:pPr>
        <w:jc w:val="center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</w:rPr>
        <w:pict w14:anchorId="19876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>
            <v:imagedata r:id="rId8" o:title=""/>
          </v:shape>
        </w:pict>
      </w:r>
    </w:p>
    <w:p w14:paraId="1542E1D4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41DE3232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22CF2">
        <w:rPr>
          <w:rFonts w:ascii="Times New Roman" w:eastAsia="Calibri" w:hAnsi="Times New Roman" w:cs="Times New Roman"/>
          <w:noProof w:val="0"/>
          <w:sz w:val="28"/>
          <w:szCs w:val="28"/>
        </w:rPr>
        <w:t>VLADA REPUBLIKE HRVATSKE</w:t>
      </w:r>
    </w:p>
    <w:p w14:paraId="04387A24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05B25F9E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270AEE24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695EA854" w14:textId="5C1BB221" w:rsidR="00422CF2" w:rsidRPr="00422CF2" w:rsidRDefault="00711F63" w:rsidP="00422CF2">
      <w:pPr>
        <w:jc w:val="right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</w:rPr>
        <w:t xml:space="preserve">Zagreb, 16. ožujka </w:t>
      </w:r>
      <w:r w:rsidR="00422CF2" w:rsidRPr="00422CF2">
        <w:rPr>
          <w:rFonts w:ascii="Times New Roman" w:eastAsia="Calibri" w:hAnsi="Times New Roman" w:cs="Times New Roman"/>
          <w:noProof w:val="0"/>
        </w:rPr>
        <w:t>2023.</w:t>
      </w:r>
    </w:p>
    <w:p w14:paraId="6F6C82C4" w14:textId="77777777" w:rsidR="00422CF2" w:rsidRPr="00422CF2" w:rsidRDefault="00422CF2" w:rsidP="00422CF2">
      <w:pPr>
        <w:jc w:val="right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30E19AC1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59FABA33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02C61970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04CA882D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22CF2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_______________________________________________________________</w:t>
      </w:r>
    </w:p>
    <w:p w14:paraId="68D6D973" w14:textId="77777777" w:rsidR="00422CF2" w:rsidRPr="00422CF2" w:rsidRDefault="00422CF2" w:rsidP="00422CF2">
      <w:pPr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22CF2">
        <w:rPr>
          <w:rFonts w:ascii="Times New Roman" w:eastAsia="Calibri" w:hAnsi="Times New Roman" w:cs="Times New Roman"/>
          <w:b/>
          <w:smallCaps/>
          <w:noProof w:val="0"/>
          <w:sz w:val="24"/>
          <w:szCs w:val="24"/>
        </w:rPr>
        <w:t>Predlagatelj:</w:t>
      </w:r>
      <w:r w:rsidRPr="00422CF2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r w:rsidRPr="00422CF2">
        <w:rPr>
          <w:rFonts w:ascii="Times New Roman" w:eastAsia="Calibri" w:hAnsi="Times New Roman" w:cs="Times New Roman"/>
          <w:noProof w:val="0"/>
          <w:sz w:val="24"/>
          <w:szCs w:val="24"/>
        </w:rPr>
        <w:t>Ministarstvo prostornoga uređenja, graditeljstva i državne imovine</w:t>
      </w:r>
    </w:p>
    <w:p w14:paraId="1560FCF8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22CF2">
        <w:rPr>
          <w:rFonts w:ascii="Times New Roman" w:eastAsia="Calibri" w:hAnsi="Times New Roman" w:cs="Times New Roman"/>
          <w:noProof w:val="0"/>
          <w:sz w:val="24"/>
          <w:szCs w:val="24"/>
        </w:rPr>
        <w:t>__________________________________________________________________________</w:t>
      </w:r>
    </w:p>
    <w:p w14:paraId="44D56560" w14:textId="4FAA0433" w:rsidR="00422CF2" w:rsidRPr="00422CF2" w:rsidRDefault="00422CF2" w:rsidP="00422CF2">
      <w:pPr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22CF2">
        <w:rPr>
          <w:rFonts w:ascii="Times New Roman" w:eastAsia="Calibri" w:hAnsi="Times New Roman" w:cs="Times New Roman"/>
          <w:b/>
          <w:smallCaps/>
          <w:noProof w:val="0"/>
          <w:sz w:val="24"/>
          <w:szCs w:val="24"/>
        </w:rPr>
        <w:t>Predmet:</w:t>
      </w:r>
      <w:r w:rsidRPr="00422CF2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</w:t>
      </w:r>
      <w:r w:rsidRPr="00422CF2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bookmarkStart w:id="0" w:name="_Hlk34123442"/>
      <w:r w:rsidRPr="00422CF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Prijedlog odluke o </w:t>
      </w:r>
      <w:r w:rsidR="00F82AE2" w:rsidRPr="00F82AE2">
        <w:rPr>
          <w:rFonts w:ascii="Times New Roman" w:eastAsia="Calibri" w:hAnsi="Times New Roman" w:cs="Times New Roman"/>
          <w:noProof w:val="0"/>
          <w:sz w:val="24"/>
          <w:szCs w:val="24"/>
        </w:rPr>
        <w:t>neprim</w:t>
      </w:r>
      <w:r w:rsidR="00557CB1">
        <w:rPr>
          <w:rFonts w:ascii="Times New Roman" w:eastAsia="Calibri" w:hAnsi="Times New Roman" w:cs="Times New Roman"/>
          <w:noProof w:val="0"/>
          <w:sz w:val="24"/>
          <w:szCs w:val="24"/>
        </w:rPr>
        <w:t>jeni</w:t>
      </w:r>
      <w:r w:rsidR="00F82AE2" w:rsidRPr="00F82A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6267FE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="00F82AE2" w:rsidRPr="00F82A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ndeksa potrošačkih cijena na ugovore o zakupu poslovnih prostora u vlasništvu </w:t>
      </w:r>
      <w:r w:rsidR="003421F8">
        <w:rPr>
          <w:rFonts w:ascii="Times New Roman" w:eastAsia="Calibri" w:hAnsi="Times New Roman" w:cs="Times New Roman"/>
          <w:noProof w:val="0"/>
          <w:sz w:val="24"/>
          <w:szCs w:val="24"/>
        </w:rPr>
        <w:t>R</w:t>
      </w:r>
      <w:r w:rsidR="00F82AE2" w:rsidRPr="00F82A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epublike </w:t>
      </w:r>
      <w:r w:rsidR="003421F8">
        <w:rPr>
          <w:rFonts w:ascii="Times New Roman" w:eastAsia="Calibri" w:hAnsi="Times New Roman" w:cs="Times New Roman"/>
          <w:noProof w:val="0"/>
          <w:sz w:val="24"/>
          <w:szCs w:val="24"/>
        </w:rPr>
        <w:t>H</w:t>
      </w:r>
      <w:r w:rsidR="00F82AE2" w:rsidRPr="00F82A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rvatske kojima upravljaju </w:t>
      </w:r>
      <w:r w:rsidR="003421F8">
        <w:rPr>
          <w:rFonts w:ascii="Times New Roman" w:eastAsia="Calibri" w:hAnsi="Times New Roman" w:cs="Times New Roman"/>
          <w:noProof w:val="0"/>
          <w:sz w:val="24"/>
          <w:szCs w:val="24"/>
        </w:rPr>
        <w:t>M</w:t>
      </w:r>
      <w:r w:rsidR="00F82AE2" w:rsidRPr="00F82A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inistarstvo prostornoga uređenja, graditeljstva i državne imovine i društvo </w:t>
      </w:r>
      <w:r w:rsidR="003421F8">
        <w:rPr>
          <w:rFonts w:ascii="Times New Roman" w:eastAsia="Calibri" w:hAnsi="Times New Roman" w:cs="Times New Roman"/>
          <w:noProof w:val="0"/>
          <w:sz w:val="24"/>
          <w:szCs w:val="24"/>
        </w:rPr>
        <w:t>D</w:t>
      </w:r>
      <w:r w:rsidR="00F82AE2" w:rsidRPr="00F82AE2">
        <w:rPr>
          <w:rFonts w:ascii="Times New Roman" w:eastAsia="Calibri" w:hAnsi="Times New Roman" w:cs="Times New Roman"/>
          <w:noProof w:val="0"/>
          <w:sz w:val="24"/>
          <w:szCs w:val="24"/>
        </w:rPr>
        <w:t>ržavne nekretnine d.o.o.</w:t>
      </w:r>
    </w:p>
    <w:bookmarkEnd w:id="0"/>
    <w:p w14:paraId="499EDEF4" w14:textId="77777777" w:rsidR="00422CF2" w:rsidRPr="00422CF2" w:rsidRDefault="00422CF2" w:rsidP="00422CF2">
      <w:pPr>
        <w:rPr>
          <w:rFonts w:ascii="Times New Roman" w:eastAsia="Calibri" w:hAnsi="Times New Roman" w:cs="Times New Roman"/>
          <w:noProof w:val="0"/>
        </w:rPr>
      </w:pPr>
      <w:r w:rsidRPr="00422CF2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________________________________________________________________</w:t>
      </w:r>
    </w:p>
    <w:p w14:paraId="6EDC10A1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0B76D01A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681A203A" w14:textId="77777777" w:rsidR="00422CF2" w:rsidRPr="00422CF2" w:rsidRDefault="00422CF2" w:rsidP="00422CF2">
      <w:pPr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4D534668" w14:textId="77777777" w:rsidR="00422CF2" w:rsidRPr="00422CF2" w:rsidRDefault="00422CF2" w:rsidP="00422CF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0EC0EEDB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56C51491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359C01B0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3CF9804C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4ABBC8C3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2111C2EC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416FA8A8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73A61576" w14:textId="77777777" w:rsidR="00422CF2" w:rsidRPr="00422CF2" w:rsidRDefault="00422CF2" w:rsidP="00422CF2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p w14:paraId="4592474E" w14:textId="77777777" w:rsidR="00422CF2" w:rsidRPr="00422CF2" w:rsidRDefault="00422CF2" w:rsidP="00422CF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404040"/>
          <w:spacing w:val="20"/>
          <w:sz w:val="20"/>
        </w:rPr>
      </w:pPr>
      <w:r w:rsidRPr="00422CF2">
        <w:rPr>
          <w:rFonts w:ascii="Times New Roman" w:eastAsia="Calibri" w:hAnsi="Times New Roman" w:cs="Times New Roman"/>
          <w:noProof w:val="0"/>
          <w:color w:val="404040"/>
          <w:spacing w:val="20"/>
          <w:sz w:val="20"/>
        </w:rPr>
        <w:t>Banski dvori | Trg Sv. Marka 2  | 10000 Zagreb | tel. 01 4569 222 | vlada.gov.hr</w:t>
      </w:r>
    </w:p>
    <w:p w14:paraId="67C02B76" w14:textId="69056729" w:rsidR="00422CF2" w:rsidRPr="00A9008B" w:rsidRDefault="00A9008B" w:rsidP="00A9008B">
      <w:pPr>
        <w:pStyle w:val="ListParagraph"/>
        <w:numPr>
          <w:ilvl w:val="0"/>
          <w:numId w:val="2"/>
        </w:numPr>
        <w:rPr>
          <w:color w:val="231F20"/>
        </w:rPr>
      </w:pPr>
      <w:r w:rsidRPr="00A9008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lastRenderedPageBreak/>
        <w:t>Prijedlog</w:t>
      </w:r>
      <w:r w:rsidRPr="00A9008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</w:p>
    <w:p w14:paraId="59E06CCB" w14:textId="7B40954A" w:rsidR="002E2272" w:rsidRDefault="002E2272" w:rsidP="00EB0C5D">
      <w:pPr>
        <w:pStyle w:val="box46611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</w:t>
      </w:r>
      <w:r w:rsidR="0027052C" w:rsidRPr="0027052C">
        <w:rPr>
          <w:color w:val="231F20"/>
        </w:rPr>
        <w:t xml:space="preserve">članka 1., članka 8. i </w:t>
      </w:r>
      <w:r>
        <w:rPr>
          <w:color w:val="231F20"/>
        </w:rPr>
        <w:t>članka 31. stavka 2. Zakona o Vladi Republike Hrvatske (»Narodne novine«, br. 150/11, 119/14, 93/16</w:t>
      </w:r>
      <w:r w:rsidR="00DA546B">
        <w:rPr>
          <w:color w:val="231F20"/>
        </w:rPr>
        <w:t>,</w:t>
      </w:r>
      <w:r>
        <w:rPr>
          <w:color w:val="231F20"/>
        </w:rPr>
        <w:t>116/18</w:t>
      </w:r>
      <w:r w:rsidR="00DA546B">
        <w:rPr>
          <w:color w:val="231F20"/>
        </w:rPr>
        <w:t xml:space="preserve"> i 80/22</w:t>
      </w:r>
      <w:r>
        <w:rPr>
          <w:color w:val="231F20"/>
        </w:rPr>
        <w:t>), Vlada Republike Hrvatske je na sjednici održanoj ______________</w:t>
      </w:r>
      <w:r w:rsidR="00091DF2">
        <w:rPr>
          <w:color w:val="231F20"/>
        </w:rPr>
        <w:t>______</w:t>
      </w:r>
      <w:r>
        <w:rPr>
          <w:color w:val="231F20"/>
        </w:rPr>
        <w:t xml:space="preserve"> donijela</w:t>
      </w:r>
    </w:p>
    <w:p w14:paraId="3658C920" w14:textId="77777777" w:rsidR="00EB0C5D" w:rsidRPr="00EB0C5D" w:rsidRDefault="005A56AD" w:rsidP="005A56AD">
      <w:pPr>
        <w:pStyle w:val="box467058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 w:rsidRPr="005A56AD">
        <w:rPr>
          <w:rFonts w:ascii="Minion Pro" w:hAnsi="Minion Pro"/>
          <w:b/>
          <w:bCs/>
          <w:color w:val="3F7FC3"/>
          <w:sz w:val="33"/>
          <w:szCs w:val="33"/>
        </w:rPr>
        <w:br/>
      </w:r>
      <w:r w:rsidR="002E2272" w:rsidRPr="00EB0C5D">
        <w:rPr>
          <w:b/>
          <w:bCs/>
          <w:color w:val="231F20"/>
          <w:sz w:val="32"/>
          <w:szCs w:val="32"/>
        </w:rPr>
        <w:t xml:space="preserve">ODLUKU </w:t>
      </w:r>
    </w:p>
    <w:p w14:paraId="63FCBEEC" w14:textId="486FF1D7" w:rsidR="005A56AD" w:rsidRDefault="002E2272" w:rsidP="005A56AD">
      <w:pPr>
        <w:pStyle w:val="box467058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O NEPRIMJEN</w:t>
      </w:r>
      <w:r w:rsidR="00557CB1">
        <w:rPr>
          <w:b/>
          <w:bCs/>
          <w:color w:val="231F20"/>
          <w:sz w:val="28"/>
          <w:szCs w:val="28"/>
        </w:rPr>
        <w:t>I</w:t>
      </w:r>
      <w:r>
        <w:rPr>
          <w:b/>
          <w:bCs/>
          <w:color w:val="231F20"/>
          <w:sz w:val="28"/>
          <w:szCs w:val="28"/>
        </w:rPr>
        <w:t xml:space="preserve"> INDEKSA POTROŠAČKIH CIJENA NA UGOVORE O ZAKUPU POSLOVNIH PROSTORA U VLASNIŠTVU REPUBLIKE HRVATSKE KOJIMA UPRAVLJA</w:t>
      </w:r>
      <w:r w:rsidR="009F06BB">
        <w:rPr>
          <w:b/>
          <w:bCs/>
          <w:color w:val="231F20"/>
          <w:sz w:val="28"/>
          <w:szCs w:val="28"/>
        </w:rPr>
        <w:t>JU MINISTARSTVO PROSTORNOG</w:t>
      </w:r>
      <w:r w:rsidR="002C3DE8">
        <w:rPr>
          <w:b/>
          <w:bCs/>
          <w:color w:val="231F20"/>
          <w:sz w:val="28"/>
          <w:szCs w:val="28"/>
        </w:rPr>
        <w:t>A</w:t>
      </w:r>
      <w:r w:rsidR="009F06BB">
        <w:rPr>
          <w:b/>
          <w:bCs/>
          <w:color w:val="231F20"/>
          <w:sz w:val="28"/>
          <w:szCs w:val="28"/>
        </w:rPr>
        <w:t xml:space="preserve"> UREĐENJA, GRADITELJSTVA I DRŽAVNE IMOVINE</w:t>
      </w:r>
      <w:r w:rsidR="00916E41">
        <w:rPr>
          <w:b/>
          <w:bCs/>
          <w:color w:val="231F20"/>
          <w:sz w:val="28"/>
          <w:szCs w:val="28"/>
        </w:rPr>
        <w:t xml:space="preserve"> I</w:t>
      </w:r>
      <w:r>
        <w:rPr>
          <w:b/>
          <w:bCs/>
          <w:color w:val="231F20"/>
          <w:sz w:val="28"/>
          <w:szCs w:val="28"/>
        </w:rPr>
        <w:t xml:space="preserve"> DRUŠTVO DRŽAVNE NEKRETNINE D.O.O.</w:t>
      </w:r>
    </w:p>
    <w:p w14:paraId="5E487E6C" w14:textId="77777777" w:rsidR="00811FC7" w:rsidRDefault="00811FC7" w:rsidP="005A56A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0EBC0660" w14:textId="5BEE4135" w:rsidR="005A56AD" w:rsidRPr="00DB589A" w:rsidRDefault="005A56AD" w:rsidP="005A56A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  <w:r w:rsidRPr="00DB589A"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  <w:t>I.</w:t>
      </w:r>
    </w:p>
    <w:p w14:paraId="5E4D4E04" w14:textId="4A1A3604" w:rsidR="005A56AD" w:rsidRPr="00530E9E" w:rsidRDefault="005A56AD" w:rsidP="00DA546B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Ovlašćuj</w:t>
      </w:r>
      <w:r w:rsidR="00916E41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u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se</w:t>
      </w:r>
      <w:r w:rsidR="00916E41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Ministarstvo prostornoga uređenja, graditeljstva i državne imovine i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društvo Državne nekretnine d.o.o. da zakupnike poslovnih prostora u vlasništvu Republike Hrvatske kojima upravlja</w:t>
      </w:r>
      <w:r w:rsidR="00473E5B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ju </w:t>
      </w:r>
      <w:r w:rsidR="00473E5B" w:rsidRPr="00530E9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Ministarstvo prostornoga uređenja, graditeljstva i državne imovine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r w:rsidR="00473E5B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i 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društvo Državne nekretnine d.o.o</w:t>
      </w:r>
      <w:r w:rsidR="005A46B7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.</w:t>
      </w:r>
      <w:r w:rsidR="00853A28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(u daljnjem tekstu: zakupnici)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oslobod</w:t>
      </w:r>
      <w:r w:rsidR="00473E5B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e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obveze primjene Indeksa potrošačkih cijena (CPI</w:t>
      </w:r>
      <w:r w:rsidR="0008794C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r w:rsidR="00B2628F" w:rsidRPr="00B2628F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 – 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proofErr w:type="spellStart"/>
      <w:r w:rsidRPr="00530E9E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>consumer</w:t>
      </w:r>
      <w:proofErr w:type="spellEnd"/>
      <w:r w:rsidRPr="00530E9E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 xml:space="preserve"> </w:t>
      </w:r>
      <w:proofErr w:type="spellStart"/>
      <w:r w:rsidRPr="00530E9E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>price</w:t>
      </w:r>
      <w:proofErr w:type="spellEnd"/>
      <w:r w:rsidRPr="00530E9E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 xml:space="preserve"> </w:t>
      </w:r>
      <w:proofErr w:type="spellStart"/>
      <w:r w:rsidRPr="00530E9E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>inde</w:t>
      </w:r>
      <w:r w:rsidR="00A20101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>x</w:t>
      </w:r>
      <w:proofErr w:type="spellEnd"/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) </w:t>
      </w:r>
      <w:r w:rsidR="00853A28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na zakupninu 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za 2023. godinu</w:t>
      </w:r>
      <w:r w:rsidR="00AB6FC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.</w:t>
      </w:r>
    </w:p>
    <w:p w14:paraId="56B6D1AF" w14:textId="77777777" w:rsidR="005A56AD" w:rsidRPr="00DB589A" w:rsidRDefault="005A56AD" w:rsidP="005A56A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  <w:r w:rsidRPr="00DB589A"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  <w:t>II.</w:t>
      </w:r>
    </w:p>
    <w:p w14:paraId="15F0B3F8" w14:textId="6A971BDB" w:rsidR="009D1E9C" w:rsidRPr="00530E9E" w:rsidRDefault="005A56AD" w:rsidP="00530E9E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Oslobođenje iz točke I.</w:t>
      </w:r>
      <w:r w:rsidR="00943352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ove Odluke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primjenjivati će se na one zakupnike </w:t>
      </w:r>
      <w:r w:rsidR="002E2272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koji s </w:t>
      </w:r>
      <w:r w:rsidR="005A13AE" w:rsidRPr="00530E9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Ministarstvom prostornoga uređenja, graditeljstva i državne imovine i</w:t>
      </w:r>
      <w:r w:rsidR="005A13AE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r w:rsidR="002E2272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društvom Državne nekretnine d.o.o. imaju zaključen ugovor o zakupu </w:t>
      </w:r>
      <w:r w:rsidR="00853A28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poslovnog prostora </w:t>
      </w:r>
      <w:r w:rsidR="002E2272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s 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ugovoren</w:t>
      </w:r>
      <w:r w:rsidR="002E2272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om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klauzul</w:t>
      </w:r>
      <w:r w:rsidR="002E2272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om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da će se zakupnina usklađivati na godišnjoj osnovi korištenjem </w:t>
      </w:r>
      <w:r w:rsidR="00BE7277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Indeks</w:t>
      </w:r>
      <w:r w:rsidR="00BE7277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a</w:t>
      </w:r>
      <w:r w:rsidR="00BE7277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potrošačkih cijena </w:t>
      </w:r>
      <w:r w:rsidR="00BE7277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(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CPI </w:t>
      </w:r>
      <w:r w:rsidR="00BE7277" w:rsidRPr="00B2628F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–</w:t>
      </w:r>
      <w:r w:rsidR="00DE4F45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proofErr w:type="spellStart"/>
      <w:r w:rsidR="004C229E" w:rsidRPr="00530E9E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>c</w:t>
      </w:r>
      <w:r w:rsidRPr="00530E9E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>onsumer</w:t>
      </w:r>
      <w:proofErr w:type="spellEnd"/>
      <w:r w:rsidRPr="00530E9E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 xml:space="preserve"> </w:t>
      </w:r>
      <w:proofErr w:type="spellStart"/>
      <w:r w:rsidRPr="00530E9E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>price</w:t>
      </w:r>
      <w:proofErr w:type="spellEnd"/>
      <w:r w:rsidRPr="00530E9E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 xml:space="preserve"> </w:t>
      </w:r>
      <w:proofErr w:type="spellStart"/>
      <w:r w:rsidRPr="00530E9E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>index</w:t>
      </w:r>
      <w:proofErr w:type="spellEnd"/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), kojega objavljuje Državni zavod za statistiku R</w:t>
      </w:r>
      <w:r w:rsidR="004C229E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epublike Hrvatske</w:t>
      </w:r>
      <w:r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, ukoliko CPI na godišnjoj osnovi bude veći od 3%</w:t>
      </w:r>
      <w:r w:rsidR="009D1E9C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i koji su na snazi duže od jedne godine. </w:t>
      </w:r>
    </w:p>
    <w:p w14:paraId="4D07E7BF" w14:textId="77777777" w:rsidR="005A56AD" w:rsidRDefault="005A56AD" w:rsidP="00FC41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3335D8C7" w14:textId="77777777" w:rsidR="005A56AD" w:rsidRPr="00DB589A" w:rsidRDefault="005A56AD" w:rsidP="005A56A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  <w:r w:rsidRPr="00DB589A"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  <w:t>III.</w:t>
      </w:r>
    </w:p>
    <w:p w14:paraId="5844B1DE" w14:textId="2C654AA4" w:rsidR="005A56AD" w:rsidRDefault="005A56AD" w:rsidP="0075667F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5A56A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Za provedbu ove Odluke zadužuj</w:t>
      </w:r>
      <w:r w:rsidR="00D808A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u</w:t>
      </w:r>
      <w:r w:rsidRPr="005A56A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se </w:t>
      </w:r>
      <w:r w:rsidR="00D808A6" w:rsidRPr="00530E9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Ministarstvo prostornoga uređenja, graditeljstva i državne imovine </w:t>
      </w:r>
      <w:r w:rsidR="00D808A6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i </w:t>
      </w:r>
      <w:r w:rsidRPr="005A56A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društvo Državne nekretnine d.o.o.</w:t>
      </w:r>
      <w:bookmarkStart w:id="1" w:name="_GoBack"/>
      <w:bookmarkEnd w:id="1"/>
    </w:p>
    <w:p w14:paraId="4AAFE017" w14:textId="77777777" w:rsidR="002E2272" w:rsidRPr="005A56AD" w:rsidRDefault="002E2272" w:rsidP="0075667F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5E687CF2" w14:textId="204C67D0" w:rsidR="005A56AD" w:rsidRPr="00DB589A" w:rsidRDefault="002E2272" w:rsidP="005A56AD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  <w:r w:rsidRPr="00DB589A"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  <w:t>I</w:t>
      </w:r>
      <w:r w:rsidR="005A56AD" w:rsidRPr="00DB589A"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  <w:t>V.</w:t>
      </w:r>
    </w:p>
    <w:p w14:paraId="698E2DF2" w14:textId="057CAB11" w:rsidR="005A56AD" w:rsidRPr="005A56AD" w:rsidRDefault="005A56AD" w:rsidP="005A56A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5A56A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Ova Odluka stupa na snagu dan</w:t>
      </w:r>
      <w:r w:rsidR="00904404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om donošenja</w:t>
      </w:r>
      <w:r w:rsidR="00EE1203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i</w:t>
      </w:r>
      <w:r w:rsidR="00904404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objavit</w:t>
      </w:r>
      <w:r w:rsidR="004D2762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će se u </w:t>
      </w:r>
      <w:r w:rsidRPr="005A56A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»Narodnim novinama«.</w:t>
      </w:r>
    </w:p>
    <w:p w14:paraId="1D1CD0E8" w14:textId="77777777" w:rsidR="002E2272" w:rsidRDefault="002E2272" w:rsidP="005A56AD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0E859B8C" w14:textId="2D38A5B3" w:rsidR="005A56AD" w:rsidRDefault="002C3DE8" w:rsidP="00422C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5A56A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KLASA: </w:t>
      </w:r>
      <w:r w:rsidR="005A56AD" w:rsidRPr="005A56AD">
        <w:rPr>
          <w:rFonts w:ascii="Minion Pro" w:eastAsia="Times New Roman" w:hAnsi="Minion Pro" w:cs="Times New Roman"/>
          <w:noProof w:val="0"/>
          <w:color w:val="231F20"/>
          <w:sz w:val="24"/>
          <w:szCs w:val="24"/>
          <w:lang w:eastAsia="hr-HR"/>
        </w:rPr>
        <w:br/>
      </w:r>
      <w:r w:rsidRPr="005A56A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URBROJ: </w:t>
      </w:r>
      <w:r w:rsidR="005A56AD" w:rsidRPr="005A56AD">
        <w:rPr>
          <w:rFonts w:ascii="Minion Pro" w:eastAsia="Times New Roman" w:hAnsi="Minion Pro" w:cs="Times New Roman"/>
          <w:noProof w:val="0"/>
          <w:color w:val="231F20"/>
          <w:sz w:val="24"/>
          <w:szCs w:val="24"/>
          <w:lang w:eastAsia="hr-HR"/>
        </w:rPr>
        <w:br/>
      </w:r>
      <w:r w:rsidR="005A56AD" w:rsidRPr="005A56A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Zagreb, </w:t>
      </w:r>
    </w:p>
    <w:p w14:paraId="7139959F" w14:textId="492DED8C" w:rsidR="002C3DE8" w:rsidRDefault="002C3DE8" w:rsidP="005A56AD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6085F85A" w14:textId="0E957AD3" w:rsidR="002C3DE8" w:rsidRDefault="002C3DE8" w:rsidP="005A56AD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36ACFC49" w14:textId="4EE6617E" w:rsidR="005A56AD" w:rsidRPr="005A56AD" w:rsidRDefault="005A56AD" w:rsidP="002C3DE8">
      <w:pPr>
        <w:shd w:val="clear" w:color="auto" w:fill="FFFFFF"/>
        <w:spacing w:after="0" w:line="240" w:lineRule="auto"/>
        <w:ind w:left="4678" w:hanging="18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 w:rsidRPr="005A56A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Predsjednik</w:t>
      </w:r>
      <w:r w:rsidRPr="005A56AD">
        <w:rPr>
          <w:rFonts w:ascii="Minion Pro" w:eastAsia="Times New Roman" w:hAnsi="Minion Pro" w:cs="Times New Roman"/>
          <w:noProof w:val="0"/>
          <w:color w:val="231F20"/>
          <w:sz w:val="24"/>
          <w:szCs w:val="24"/>
          <w:lang w:eastAsia="hr-HR"/>
        </w:rPr>
        <w:br/>
      </w:r>
      <w:r w:rsidR="003C760C">
        <w:rPr>
          <w:rFonts w:ascii="Minion Pro" w:eastAsia="Times New Roman" w:hAnsi="Minion Pro" w:cs="Times New Roman"/>
          <w:b/>
          <w:b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 xml:space="preserve">        </w:t>
      </w:r>
      <w:r w:rsidRPr="005A56AD">
        <w:rPr>
          <w:rFonts w:ascii="Minion Pro" w:eastAsia="Times New Roman" w:hAnsi="Minion Pro" w:cs="Times New Roman"/>
          <w:b/>
          <w:b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 w:rsidRPr="005A56AD">
        <w:rPr>
          <w:rFonts w:ascii="Minion Pro" w:eastAsia="Times New Roman" w:hAnsi="Minion Pro" w:cs="Times New Roman"/>
          <w:b/>
          <w:b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5A56AD">
        <w:rPr>
          <w:rFonts w:ascii="Minion Pro" w:eastAsia="Times New Roman" w:hAnsi="Minion Pro" w:cs="Times New Roman"/>
          <w:b/>
          <w:bCs/>
          <w:noProof w:val="0"/>
          <w:color w:val="231F20"/>
          <w:sz w:val="24"/>
          <w:szCs w:val="24"/>
          <w:bdr w:val="none" w:sz="0" w:space="0" w:color="auto" w:frame="1"/>
          <w:lang w:eastAsia="hr-HR"/>
        </w:rPr>
        <w:t>. Andrej Plenković, </w:t>
      </w:r>
      <w:r w:rsidRPr="005A56A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v. r.</w:t>
      </w:r>
    </w:p>
    <w:p w14:paraId="25575FBA" w14:textId="77777777" w:rsidR="005A56AD" w:rsidRPr="005A56AD" w:rsidRDefault="005A56AD" w:rsidP="002C3DE8">
      <w:pPr>
        <w:shd w:val="clear" w:color="auto" w:fill="FFFFFF"/>
        <w:spacing w:line="0" w:lineRule="auto"/>
        <w:ind w:left="4678" w:hanging="18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"/>
          <w:szCs w:val="2"/>
          <w:lang w:eastAsia="hr-HR"/>
        </w:rPr>
      </w:pPr>
    </w:p>
    <w:p w14:paraId="216B4D29" w14:textId="77777777" w:rsidR="00777DA8" w:rsidRDefault="00777DA8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505D5CC3" w14:textId="4A11A171" w:rsidR="00C50670" w:rsidRDefault="00C50670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  <w:r w:rsidRPr="005A7EFE"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  <w:lastRenderedPageBreak/>
        <w:t>OBRAZLOŽENJE</w:t>
      </w:r>
    </w:p>
    <w:p w14:paraId="28BC9370" w14:textId="77777777" w:rsidR="00C50670" w:rsidRPr="005A7EFE" w:rsidRDefault="00C50670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231F20"/>
          <w:sz w:val="24"/>
          <w:szCs w:val="24"/>
          <w:lang w:eastAsia="hr-HR"/>
        </w:rPr>
      </w:pPr>
    </w:p>
    <w:p w14:paraId="6570E70F" w14:textId="77777777" w:rsidR="00C50670" w:rsidRDefault="00C50670" w:rsidP="00C50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375D0D35" w14:textId="77777777" w:rsidR="00C50670" w:rsidRDefault="00C50670" w:rsidP="00C506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Posljedice rasta sveukupnih troškova poslovanja izazvanih globalnim poremećajima koji su doveli do rasta troškova energenata, sirovina i drugih roba i usluga negativno se odražavanju na gospodarstvo i gospodarstvenike u njihovom poslovanju. </w:t>
      </w:r>
    </w:p>
    <w:p w14:paraId="07D06D2B" w14:textId="77777777" w:rsidR="00C50670" w:rsidRDefault="00C50670" w:rsidP="00C506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61F8C5F6" w14:textId="73A51DB1" w:rsidR="00C50670" w:rsidRPr="00056FBD" w:rsidRDefault="00C50670" w:rsidP="00C506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Kako bi se ublažile posljedice tih trenutno prisutnih negativnih okolnosti na gospodarstvo, ovom se Odlukom predlaže 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da </w:t>
      </w: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se 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zakupnike poslovnih prostora u vlasništvu Republike Hrvatske kojima upravljaju Ministarstvo prostornoga uređenja, graditeljstva i državne imovine i društvo Državne nekretnine d.o.o. iz Zagreba</w:t>
      </w: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oslobodi plaćanja povećanih zakupnina do kojih dolazi zbog primjene ugovorne 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klauzul</w:t>
      </w: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e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o usklađenju zakupnine na godišnjoj osnovi korištenjem </w:t>
      </w:r>
      <w:r w:rsidR="00342A25"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Indeks</w:t>
      </w:r>
      <w:r w:rsidR="00342A25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a</w:t>
      </w:r>
      <w:r w:rsidR="00342A25"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potrošačkih cijena </w:t>
      </w:r>
      <w:r w:rsidR="00342A25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(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CPI </w:t>
      </w:r>
      <w:r w:rsidR="00342A25"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–</w:t>
      </w:r>
      <w:r w:rsidR="00342A25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proofErr w:type="spellStart"/>
      <w:r w:rsidRPr="00091DF2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>consumer</w:t>
      </w:r>
      <w:proofErr w:type="spellEnd"/>
      <w:r w:rsidRPr="00091DF2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 xml:space="preserve"> </w:t>
      </w:r>
      <w:proofErr w:type="spellStart"/>
      <w:r w:rsidRPr="00091DF2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>price</w:t>
      </w:r>
      <w:proofErr w:type="spellEnd"/>
      <w:r w:rsidRPr="00091DF2">
        <w:rPr>
          <w:rFonts w:ascii="Times New Roman" w:eastAsia="Times New Roman" w:hAnsi="Times New Roman" w:cs="Times New Roman"/>
          <w:i/>
          <w:iCs/>
          <w:noProof w:val="0"/>
          <w:color w:val="231F20"/>
          <w:sz w:val="24"/>
          <w:szCs w:val="24"/>
          <w:lang w:eastAsia="hr-HR"/>
        </w:rPr>
        <w:t xml:space="preserve"> indeks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ako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r w:rsidR="00312E2A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isti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na godišnjoj osnovi bude veći od 3%.</w:t>
      </w:r>
      <w:r w:rsidRPr="005A7EFE">
        <w:t xml:space="preserve"> 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Državni zavod za statistiku objavio je 17. siječnja 2023. Indeks potrošačkih cijena (CPI) prema kojem bi se, primjenjujući odredbe ugovora, zakupnina povećala za 10,8%.</w:t>
      </w: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Spomenuta klauzula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se primjenjuje na sve ugovore koji su na snazi duže od jedne godine</w:t>
      </w: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te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bi se n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a dan 10.</w:t>
      </w: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ožujka 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2023. </w:t>
      </w: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povećanje zakupnine primjenom predmetne ugovorne klauzule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treba</w:t>
      </w: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lo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primijeniti na 768 aktivnih ugovora</w:t>
      </w:r>
      <w:r w:rsidR="006F6D8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r w:rsidR="00846B9B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sklopljenih</w:t>
      </w:r>
      <w:r w:rsidR="006F6D8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od strane Državnih nekretnina d.o.o. i </w:t>
      </w:r>
      <w:r w:rsidR="00056FBD" w:rsidRPr="00056FB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32</w:t>
      </w:r>
      <w:r w:rsidR="006F6D8E" w:rsidRPr="00056FB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 </w:t>
      </w:r>
      <w:r w:rsidR="00056FB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ugovora </w:t>
      </w:r>
      <w:r w:rsidR="00DF3150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sklopljenih </w:t>
      </w:r>
      <w:r w:rsidR="00846B9B" w:rsidRPr="00056FB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od strane Ministarstva prostornoga uređenja, graditeljstva i državne imovine</w:t>
      </w:r>
      <w:r w:rsidRPr="00056FBD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>.</w:t>
      </w:r>
    </w:p>
    <w:p w14:paraId="1FCF692D" w14:textId="77777777" w:rsidR="00C50670" w:rsidRDefault="00C50670" w:rsidP="00C506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</w:p>
    <w:p w14:paraId="7302B205" w14:textId="77777777" w:rsidR="00C50670" w:rsidRPr="005A7EFE" w:rsidRDefault="00C50670" w:rsidP="00C506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Shodno tome, a u sklopu paketa pomoći Vlade Republike Hrvatske gospodarstvenicima predlaže se donošenje ove Odluke kojom se ovlašćuje </w:t>
      </w:r>
      <w:r w:rsidRPr="005A7EFE"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Ministarstvo prostornoga uređenja, graditeljstva i državne imovine i društvo Državne nekretnine d.o.o. </w:t>
      </w:r>
      <w:r>
        <w:rPr>
          <w:rFonts w:ascii="Times New Roman" w:eastAsia="Times New Roman" w:hAnsi="Times New Roman" w:cs="Times New Roman"/>
          <w:noProof w:val="0"/>
          <w:color w:val="231F20"/>
          <w:sz w:val="24"/>
          <w:szCs w:val="24"/>
          <w:lang w:eastAsia="hr-HR"/>
        </w:rPr>
        <w:t xml:space="preserve">predmetne zakupnike osloboditi plaćanje povećane zakupnine za korištenje poslovnih prostora u vlasništvu Republike Hrvatske kao jedne od mjera kojom se olakšava poslovanje gospodarstvenika. </w:t>
      </w:r>
    </w:p>
    <w:p w14:paraId="25EBDBA5" w14:textId="77777777" w:rsidR="00E16546" w:rsidRDefault="00E16546"/>
    <w:sectPr w:rsidR="00E1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19D5"/>
    <w:multiLevelType w:val="hybridMultilevel"/>
    <w:tmpl w:val="8DB4BB84"/>
    <w:lvl w:ilvl="0" w:tplc="F46C9A58">
      <w:start w:val="2"/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" w15:restartNumberingAfterBreak="0">
    <w:nsid w:val="3D871DA9"/>
    <w:multiLevelType w:val="hybridMultilevel"/>
    <w:tmpl w:val="25CC68C2"/>
    <w:lvl w:ilvl="0" w:tplc="EE5833B6">
      <w:start w:val="2"/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AD"/>
    <w:rsid w:val="00056FBD"/>
    <w:rsid w:val="0008794C"/>
    <w:rsid w:val="00091DF2"/>
    <w:rsid w:val="000F02A1"/>
    <w:rsid w:val="0012643E"/>
    <w:rsid w:val="0027052C"/>
    <w:rsid w:val="002C3DE8"/>
    <w:rsid w:val="002E2272"/>
    <w:rsid w:val="00312E2A"/>
    <w:rsid w:val="003421F8"/>
    <w:rsid w:val="00342A25"/>
    <w:rsid w:val="003A3625"/>
    <w:rsid w:val="003C760C"/>
    <w:rsid w:val="00422CF2"/>
    <w:rsid w:val="00473E5B"/>
    <w:rsid w:val="004C229E"/>
    <w:rsid w:val="004D2762"/>
    <w:rsid w:val="004E701A"/>
    <w:rsid w:val="00530E9E"/>
    <w:rsid w:val="00536E56"/>
    <w:rsid w:val="00557CB1"/>
    <w:rsid w:val="005A13AE"/>
    <w:rsid w:val="005A46B7"/>
    <w:rsid w:val="005A56AD"/>
    <w:rsid w:val="006267FE"/>
    <w:rsid w:val="006856F2"/>
    <w:rsid w:val="006F6D8E"/>
    <w:rsid w:val="00711720"/>
    <w:rsid w:val="00711F63"/>
    <w:rsid w:val="0075667F"/>
    <w:rsid w:val="00777DA8"/>
    <w:rsid w:val="007B209A"/>
    <w:rsid w:val="00811FC7"/>
    <w:rsid w:val="00813DBD"/>
    <w:rsid w:val="00846B9B"/>
    <w:rsid w:val="00853A28"/>
    <w:rsid w:val="00904404"/>
    <w:rsid w:val="00916E41"/>
    <w:rsid w:val="00943352"/>
    <w:rsid w:val="009B0235"/>
    <w:rsid w:val="009D1E9C"/>
    <w:rsid w:val="009F06BB"/>
    <w:rsid w:val="00A20101"/>
    <w:rsid w:val="00A9008B"/>
    <w:rsid w:val="00AB6FCD"/>
    <w:rsid w:val="00B2628F"/>
    <w:rsid w:val="00B53138"/>
    <w:rsid w:val="00B820C2"/>
    <w:rsid w:val="00BB4837"/>
    <w:rsid w:val="00BE7277"/>
    <w:rsid w:val="00C31724"/>
    <w:rsid w:val="00C50670"/>
    <w:rsid w:val="00D30581"/>
    <w:rsid w:val="00D808A6"/>
    <w:rsid w:val="00DA546B"/>
    <w:rsid w:val="00DB589A"/>
    <w:rsid w:val="00DE4F45"/>
    <w:rsid w:val="00DF3150"/>
    <w:rsid w:val="00E16546"/>
    <w:rsid w:val="00E53646"/>
    <w:rsid w:val="00E81363"/>
    <w:rsid w:val="00EB0C5D"/>
    <w:rsid w:val="00EE1203"/>
    <w:rsid w:val="00F82AE2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5926"/>
  <w15:chartTrackingRefBased/>
  <w15:docId w15:val="{2E99211F-FF0C-45A9-90C0-532571D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058">
    <w:name w:val="box_467058"/>
    <w:basedOn w:val="Normal"/>
    <w:rsid w:val="005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box466117">
    <w:name w:val="box_466117"/>
    <w:basedOn w:val="Normal"/>
    <w:rsid w:val="002E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DA546B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A9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55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48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873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760879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</w:divsChild>
    </w:div>
    <w:div w:id="916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A67D6328F83418BD89E7B555170B0" ma:contentTypeVersion="4" ma:contentTypeDescription="Create a new document." ma:contentTypeScope="" ma:versionID="fd7c86337e2ff74d35b5fb200481c770">
  <xsd:schema xmlns:xsd="http://www.w3.org/2001/XMLSchema" xmlns:xs="http://www.w3.org/2001/XMLSchema" xmlns:p="http://schemas.microsoft.com/office/2006/metadata/properties" xmlns:ns2="bed55515-1663-46cb-9df5-58f2bb59123c" targetNamespace="http://schemas.microsoft.com/office/2006/metadata/properties" ma:root="true" ma:fieldsID="2027298808eabe99045b60442a945bf6" ns2:_="">
    <xsd:import namespace="bed55515-1663-46cb-9df5-58f2bb59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55515-1663-46cb-9df5-58f2bb591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79147-D957-4B65-A8CD-679693BA5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55515-1663-46cb-9df5-58f2bb59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A20A2-A7AF-4F98-B228-39A779F79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118DC-CD31-472E-80C7-7725D94CA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Habijanec</dc:creator>
  <cp:keywords/>
  <dc:description/>
  <cp:lastModifiedBy>Maja Lebarović</cp:lastModifiedBy>
  <cp:revision>3</cp:revision>
  <cp:lastPrinted>2023-03-13T15:04:00Z</cp:lastPrinted>
  <dcterms:created xsi:type="dcterms:W3CDTF">2023-03-15T12:17:00Z</dcterms:created>
  <dcterms:modified xsi:type="dcterms:W3CDTF">2023-03-15T12:18:00Z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0x010100441A67D6328F83418BD89E7B555170B0</vt:lpwstr>
  </property>
</Properties>
</file>